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xmlns:dgm="http://schemas.openxmlformats.org/drawingml/2006/diagram" mc:Ignorable="w14 w15 w16se w16cid w16 w16cex w16sdtdh wp14">
  <w:body>
    <w:p w:rsidR="000646D3" w:rsidP="029B53B0" w:rsidRDefault="009D4925" w14:paraId="04237D62" w14:textId="2A059349">
      <w:pPr>
        <w:pStyle w:val="Heading1"/>
      </w:pPr>
      <w:bookmarkStart w:name="_Hlk110952803" w:id="0"/>
      <w:r>
        <w:t>Ethnicity and pharmacokinetics: m</w:t>
      </w:r>
      <w:r w:rsidR="000646D3">
        <w:t xml:space="preserve">isconception or </w:t>
      </w:r>
      <w:r>
        <w:t>confusion?</w:t>
      </w:r>
    </w:p>
    <w:bookmarkEnd w:id="0"/>
    <w:p w:rsidRPr="00BC05B7" w:rsidR="006C57B3" w:rsidRDefault="00857497" w14:paraId="1EA159C2" w14:textId="5ABD359E">
      <w:r w:rsidRPr="00BC05B7">
        <w:t>Jennifer A Koenig</w:t>
      </w:r>
      <w:r w:rsidRPr="00BC05B7" w:rsidR="00C6676A">
        <w:rPr>
          <w:vertAlign w:val="superscript"/>
        </w:rPr>
        <w:t>1</w:t>
      </w:r>
      <w:r w:rsidRPr="00BC05B7">
        <w:t>, Olusola Olafuyi</w:t>
      </w:r>
      <w:r w:rsidRPr="00BC05B7" w:rsidR="00C6676A">
        <w:rPr>
          <w:vertAlign w:val="superscript"/>
        </w:rPr>
        <w:t>2</w:t>
      </w:r>
      <w:r w:rsidRPr="00BC05B7">
        <w:t xml:space="preserve"> and Rakesh Patel</w:t>
      </w:r>
      <w:r w:rsidRPr="00BC05B7" w:rsidR="00C6676A">
        <w:rPr>
          <w:vertAlign w:val="superscript"/>
        </w:rPr>
        <w:t>1</w:t>
      </w:r>
      <w:r w:rsidR="00EF1125">
        <w:rPr>
          <w:vertAlign w:val="superscript"/>
        </w:rPr>
        <w:t>,3</w:t>
      </w:r>
    </w:p>
    <w:p w:rsidRPr="00BC05B7" w:rsidR="00C6676A" w:rsidRDefault="00C6676A" w14:paraId="099981AE" w14:textId="26DD9CE7">
      <w:r w:rsidRPr="00BC05B7">
        <w:t>School of Medicine</w:t>
      </w:r>
      <w:r w:rsidRPr="00BC05B7">
        <w:rPr>
          <w:vertAlign w:val="superscript"/>
        </w:rPr>
        <w:t>1</w:t>
      </w:r>
      <w:r w:rsidRPr="00BC05B7">
        <w:t xml:space="preserve"> and School of Life Sciences</w:t>
      </w:r>
      <w:r w:rsidRPr="00BC05B7">
        <w:rPr>
          <w:vertAlign w:val="superscript"/>
        </w:rPr>
        <w:t>2</w:t>
      </w:r>
      <w:r w:rsidRPr="00BC05B7">
        <w:t>, University of Nottingham, Nottingham, United Kingdom.</w:t>
      </w:r>
    </w:p>
    <w:p w:rsidRPr="00BC05B7" w:rsidR="006C57B3" w:rsidRDefault="00BC05B7" w14:paraId="409DC1B1" w14:textId="775CCE53">
      <w:r w:rsidRPr="00BC05B7">
        <w:t>Corresponding author, Jennifer Koenig.</w:t>
      </w:r>
      <w:r w:rsidR="00EB576A">
        <w:t xml:space="preserve"> Jennifer.koenig@nottingham.ac.uk</w:t>
      </w:r>
    </w:p>
    <w:p w:rsidR="0037288E" w:rsidRDefault="0037288E" w14:paraId="2A3C7B11" w14:textId="77777777">
      <w:r w:rsidRPr="00EF1125">
        <w:rPr>
          <w:vertAlign w:val="superscript"/>
        </w:rPr>
        <w:t>3</w:t>
      </w:r>
      <w:r w:rsidRPr="00EF1125">
        <w:t xml:space="preserve"> present address </w:t>
      </w:r>
      <w:r>
        <w:t>Institute of Health Sciences Education, Faculty of Medicine and Dentistry, Queen Mary University of London.</w:t>
      </w:r>
    </w:p>
    <w:p w:rsidRPr="00BC05B7" w:rsidR="0028664B" w:rsidRDefault="0028664B" w14:paraId="1C8621CD" w14:textId="71C83F97">
      <w:r w:rsidRPr="00BC05B7">
        <w:t>Jennifer Koenig ORCID 0000-0002-2137-834X</w:t>
      </w:r>
    </w:p>
    <w:p w:rsidRPr="00BC05B7" w:rsidR="00C00362" w:rsidRDefault="00C00362" w14:paraId="0DB76B35" w14:textId="5DC9D809">
      <w:r w:rsidRPr="00BC05B7">
        <w:t>Olusola Olafuyi ORCID 0000-0002-0501-7413</w:t>
      </w:r>
    </w:p>
    <w:p w:rsidRPr="00BC05B7" w:rsidR="003006DF" w:rsidRDefault="00D709C3" w14:paraId="35831DAD" w14:textId="7CECFEFC">
      <w:r w:rsidRPr="00BC05B7">
        <w:t>Rakesh Patel</w:t>
      </w:r>
      <w:r w:rsidRPr="00BC05B7" w:rsidR="000D38BB">
        <w:t xml:space="preserve"> ORCID</w:t>
      </w:r>
      <w:r w:rsidRPr="00BC05B7">
        <w:t xml:space="preserve"> 0000-0002-5770-328X</w:t>
      </w:r>
    </w:p>
    <w:p w:rsidR="00D70513" w:rsidP="00D70513" w:rsidRDefault="00D70513" w14:paraId="52D5DE8C" w14:textId="77777777">
      <w:r w:rsidRPr="000D38BB">
        <w:rPr>
          <w:b/>
          <w:bCs/>
        </w:rPr>
        <w:t>Keywords</w:t>
      </w:r>
      <w:r>
        <w:t xml:space="preserve"> (4-6) pharmacokinetics, drug metabolism, race, ethnicity, genetic determinism.</w:t>
      </w:r>
    </w:p>
    <w:p w:rsidR="00D70513" w:rsidP="0037288E" w:rsidRDefault="00D70513" w14:paraId="74297989" w14:textId="4354F207">
      <w:r>
        <w:t>Word count</w:t>
      </w:r>
      <w:r w:rsidR="001D4E71">
        <w:t xml:space="preserve">, </w:t>
      </w:r>
      <w:r w:rsidR="00EE5EF4">
        <w:t>3600</w:t>
      </w:r>
    </w:p>
    <w:p w:rsidR="00D70513" w:rsidP="0037288E" w:rsidRDefault="00D70513" w14:paraId="565AD292" w14:textId="579BDABF">
      <w:r>
        <w:t>Table count</w:t>
      </w:r>
      <w:r w:rsidR="001D5566">
        <w:t>, 3</w:t>
      </w:r>
    </w:p>
    <w:p w:rsidR="00D70513" w:rsidP="0037288E" w:rsidRDefault="00D70513" w14:paraId="743348E9" w14:textId="019720DD">
      <w:r>
        <w:t>Figure count</w:t>
      </w:r>
      <w:r w:rsidR="001D4E71">
        <w:t>, 3</w:t>
      </w:r>
    </w:p>
    <w:p w:rsidR="002D23FC" w:rsidP="002D23FC" w:rsidRDefault="002D23FC" w14:paraId="1D8077BD" w14:textId="77777777">
      <w:pPr>
        <w:rPr>
          <w:b/>
          <w:bCs/>
          <w:sz w:val="24"/>
          <w:szCs w:val="24"/>
        </w:rPr>
      </w:pPr>
      <w:r w:rsidRPr="004562B5">
        <w:rPr>
          <w:b/>
          <w:bCs/>
          <w:sz w:val="24"/>
          <w:szCs w:val="24"/>
        </w:rPr>
        <w:t>Data availability</w:t>
      </w:r>
    </w:p>
    <w:p w:rsidRPr="00C347A8" w:rsidR="002D23FC" w:rsidP="002D23FC" w:rsidRDefault="002D23FC" w14:paraId="647E4E2C" w14:textId="7052D3AF">
      <w:pPr>
        <w:rPr>
          <w:color w:val="FF0000"/>
          <w:sz w:val="24"/>
          <w:szCs w:val="24"/>
        </w:rPr>
      </w:pPr>
      <w:r w:rsidRPr="029B53B0">
        <w:rPr>
          <w:sz w:val="24"/>
          <w:szCs w:val="24"/>
        </w:rPr>
        <w:t xml:space="preserve">The datasets generated during and/or analysed during the current study are available </w:t>
      </w:r>
      <w:r w:rsidRPr="029B53B0" w:rsidR="0EC6A6A3">
        <w:rPr>
          <w:sz w:val="24"/>
          <w:szCs w:val="24"/>
        </w:rPr>
        <w:t>on request.</w:t>
      </w:r>
    </w:p>
    <w:p w:rsidR="002D23FC" w:rsidP="002D23FC" w:rsidRDefault="002D23FC" w14:paraId="3143032E" w14:textId="77777777">
      <w:pPr>
        <w:rPr>
          <w:b/>
          <w:bCs/>
          <w:sz w:val="24"/>
          <w:szCs w:val="24"/>
        </w:rPr>
      </w:pPr>
      <w:r>
        <w:rPr>
          <w:b/>
          <w:bCs/>
          <w:sz w:val="24"/>
          <w:szCs w:val="24"/>
        </w:rPr>
        <w:t>Funding</w:t>
      </w:r>
    </w:p>
    <w:p w:rsidRPr="00123ADB" w:rsidR="002D23FC" w:rsidP="002D23FC" w:rsidRDefault="002D23FC" w14:paraId="72DDD2DA" w14:textId="77777777">
      <w:pPr>
        <w:rPr>
          <w:sz w:val="24"/>
          <w:szCs w:val="24"/>
        </w:rPr>
      </w:pPr>
      <w:r w:rsidRPr="00123ADB">
        <w:rPr>
          <w:sz w:val="24"/>
          <w:szCs w:val="24"/>
        </w:rPr>
        <w:t>Funding was obtained from the University of Nottingham.</w:t>
      </w:r>
    </w:p>
    <w:p w:rsidR="004B6212" w:rsidP="004B6212" w:rsidRDefault="004B6212" w14:paraId="50A4045C" w14:textId="5A797AE6">
      <w:pPr>
        <w:rPr>
          <w:b/>
          <w:bCs/>
          <w:sz w:val="24"/>
          <w:szCs w:val="24"/>
        </w:rPr>
      </w:pPr>
      <w:r>
        <w:rPr>
          <w:b/>
          <w:bCs/>
          <w:sz w:val="24"/>
          <w:szCs w:val="24"/>
        </w:rPr>
        <w:t>Conflict of interest disclosure</w:t>
      </w:r>
    </w:p>
    <w:p w:rsidRPr="00123ADB" w:rsidR="004B6212" w:rsidP="004B6212" w:rsidRDefault="004B6212" w14:paraId="3F482A38" w14:textId="3FD66CCC">
      <w:pPr>
        <w:rPr>
          <w:sz w:val="24"/>
          <w:szCs w:val="24"/>
        </w:rPr>
      </w:pPr>
      <w:r w:rsidRPr="00123ADB">
        <w:rPr>
          <w:sz w:val="24"/>
          <w:szCs w:val="24"/>
        </w:rPr>
        <w:t>Author</w:t>
      </w:r>
      <w:r w:rsidR="00660D06">
        <w:rPr>
          <w:sz w:val="24"/>
          <w:szCs w:val="24"/>
        </w:rPr>
        <w:t xml:space="preserve"> do not have any conflicting </w:t>
      </w:r>
      <w:r w:rsidRPr="00123ADB">
        <w:rPr>
          <w:sz w:val="24"/>
          <w:szCs w:val="24"/>
        </w:rPr>
        <w:t>financial or non-financial interests that are directly or indirectly related to th</w:t>
      </w:r>
      <w:r w:rsidR="00660D06">
        <w:rPr>
          <w:sz w:val="24"/>
          <w:szCs w:val="24"/>
        </w:rPr>
        <w:t>is</w:t>
      </w:r>
      <w:r w:rsidRPr="00123ADB">
        <w:rPr>
          <w:sz w:val="24"/>
          <w:szCs w:val="24"/>
        </w:rPr>
        <w:t xml:space="preserve"> work</w:t>
      </w:r>
      <w:r w:rsidR="00660D06">
        <w:rPr>
          <w:sz w:val="24"/>
          <w:szCs w:val="24"/>
        </w:rPr>
        <w:t>.</w:t>
      </w:r>
    </w:p>
    <w:p w:rsidR="00E324EA" w:rsidP="00E324EA" w:rsidRDefault="00E324EA" w14:paraId="4171A96A" w14:textId="77777777">
      <w:pPr>
        <w:rPr>
          <w:b/>
          <w:bCs/>
          <w:sz w:val="24"/>
          <w:szCs w:val="24"/>
        </w:rPr>
      </w:pPr>
      <w:r>
        <w:rPr>
          <w:b/>
          <w:bCs/>
          <w:sz w:val="24"/>
          <w:szCs w:val="24"/>
        </w:rPr>
        <w:t>Ethics approval</w:t>
      </w:r>
    </w:p>
    <w:p w:rsidR="00E324EA" w:rsidP="00E324EA" w:rsidRDefault="00E324EA" w14:paraId="407D1881" w14:textId="77777777">
      <w:pPr>
        <w:rPr>
          <w:sz w:val="24"/>
          <w:szCs w:val="24"/>
        </w:rPr>
      </w:pPr>
      <w:r w:rsidRPr="004E04E7">
        <w:rPr>
          <w:sz w:val="24"/>
          <w:szCs w:val="24"/>
        </w:rPr>
        <w:t>The questionnaire and methodology for this study was approved by the</w:t>
      </w:r>
      <w:r>
        <w:rPr>
          <w:sz w:val="24"/>
          <w:szCs w:val="24"/>
        </w:rPr>
        <w:t xml:space="preserve"> Faculty of Medicine and Health Sciences </w:t>
      </w:r>
      <w:r w:rsidRPr="004E04E7">
        <w:rPr>
          <w:sz w:val="24"/>
          <w:szCs w:val="24"/>
        </w:rPr>
        <w:t xml:space="preserve">Research Ethics committee of the University of </w:t>
      </w:r>
      <w:r>
        <w:rPr>
          <w:sz w:val="24"/>
          <w:szCs w:val="24"/>
        </w:rPr>
        <w:t>Nottingham</w:t>
      </w:r>
      <w:r w:rsidRPr="004E04E7">
        <w:rPr>
          <w:sz w:val="24"/>
          <w:szCs w:val="24"/>
        </w:rPr>
        <w:t xml:space="preserve"> (Ethics approval number: </w:t>
      </w:r>
      <w:r w:rsidRPr="00872466">
        <w:rPr>
          <w:sz w:val="24"/>
          <w:szCs w:val="24"/>
        </w:rPr>
        <w:t>FMHS 362-1021</w:t>
      </w:r>
      <w:r w:rsidRPr="004E04E7">
        <w:rPr>
          <w:sz w:val="24"/>
          <w:szCs w:val="24"/>
        </w:rPr>
        <w:t>).</w:t>
      </w:r>
    </w:p>
    <w:p w:rsidR="002D23FC" w:rsidP="002D23FC" w:rsidRDefault="002D23FC" w14:paraId="3E5BD2CB" w14:textId="77777777">
      <w:pPr>
        <w:rPr>
          <w:b/>
          <w:bCs/>
          <w:sz w:val="24"/>
          <w:szCs w:val="24"/>
        </w:rPr>
      </w:pPr>
      <w:r>
        <w:rPr>
          <w:b/>
          <w:bCs/>
          <w:sz w:val="24"/>
          <w:szCs w:val="24"/>
        </w:rPr>
        <w:t>Consent</w:t>
      </w:r>
    </w:p>
    <w:p w:rsidRPr="004562B5" w:rsidR="002D23FC" w:rsidP="002D23FC" w:rsidRDefault="002D23FC" w14:paraId="63B29BB9" w14:textId="70EBD217">
      <w:pPr>
        <w:rPr>
          <w:sz w:val="24"/>
          <w:szCs w:val="24"/>
        </w:rPr>
      </w:pPr>
      <w:r w:rsidRPr="004562B5">
        <w:rPr>
          <w:sz w:val="24"/>
          <w:szCs w:val="24"/>
        </w:rPr>
        <w:t>Informed consent was obtained from all individual participants included in the study</w:t>
      </w:r>
      <w:r w:rsidR="00DE7A0D">
        <w:rPr>
          <w:sz w:val="24"/>
          <w:szCs w:val="24"/>
        </w:rPr>
        <w:t>.</w:t>
      </w:r>
    </w:p>
    <w:p w:rsidR="00E324EA" w:rsidP="00E324EA" w:rsidRDefault="00E324EA" w14:paraId="3930AF86" w14:textId="77777777">
      <w:pPr>
        <w:rPr>
          <w:b/>
          <w:bCs/>
          <w:sz w:val="24"/>
          <w:szCs w:val="24"/>
        </w:rPr>
      </w:pPr>
      <w:r w:rsidRPr="00123ADB">
        <w:rPr>
          <w:b/>
          <w:bCs/>
          <w:sz w:val="24"/>
          <w:szCs w:val="24"/>
        </w:rPr>
        <w:t>Acknowledgments</w:t>
      </w:r>
    </w:p>
    <w:p w:rsidRPr="00123ADB" w:rsidR="00E324EA" w:rsidP="00E324EA" w:rsidRDefault="00E324EA" w14:paraId="1BCA74EF" w14:textId="77777777">
      <w:pPr>
        <w:rPr>
          <w:sz w:val="24"/>
          <w:szCs w:val="24"/>
        </w:rPr>
      </w:pPr>
      <w:r w:rsidRPr="00123ADB">
        <w:rPr>
          <w:sz w:val="24"/>
          <w:szCs w:val="24"/>
        </w:rPr>
        <w:t xml:space="preserve">JK would like to thank </w:t>
      </w:r>
      <w:r>
        <w:rPr>
          <w:sz w:val="24"/>
          <w:szCs w:val="24"/>
        </w:rPr>
        <w:t xml:space="preserve">Dr </w:t>
      </w:r>
      <w:r w:rsidRPr="00123ADB">
        <w:rPr>
          <w:sz w:val="24"/>
          <w:szCs w:val="24"/>
        </w:rPr>
        <w:t xml:space="preserve">Guy Norton and </w:t>
      </w:r>
      <w:r>
        <w:rPr>
          <w:sz w:val="24"/>
          <w:szCs w:val="24"/>
        </w:rPr>
        <w:t xml:space="preserve">Dr </w:t>
      </w:r>
      <w:r w:rsidRPr="00123ADB">
        <w:rPr>
          <w:sz w:val="24"/>
          <w:szCs w:val="24"/>
        </w:rPr>
        <w:t>Dawn Hawkins for helpful conversations.</w:t>
      </w:r>
    </w:p>
    <w:p w:rsidR="002D23FC" w:rsidP="002D23FC" w:rsidRDefault="002D23FC" w14:paraId="3FC3FA61" w14:textId="77777777">
      <w:pPr>
        <w:rPr>
          <w:b/>
          <w:bCs/>
          <w:sz w:val="24"/>
          <w:szCs w:val="24"/>
        </w:rPr>
      </w:pPr>
      <w:r w:rsidRPr="004562B5">
        <w:rPr>
          <w:b/>
          <w:bCs/>
          <w:sz w:val="24"/>
          <w:szCs w:val="24"/>
        </w:rPr>
        <w:t>Authors’ contribution statement</w:t>
      </w:r>
    </w:p>
    <w:p w:rsidRPr="00123ADB" w:rsidR="002D23FC" w:rsidP="002D23FC" w:rsidRDefault="002D23FC" w14:paraId="5C692BEF" w14:textId="1D1B170D">
      <w:pPr>
        <w:rPr>
          <w:sz w:val="24"/>
          <w:szCs w:val="24"/>
        </w:rPr>
      </w:pPr>
      <w:r w:rsidRPr="00123ADB">
        <w:rPr>
          <w:sz w:val="24"/>
          <w:szCs w:val="24"/>
        </w:rPr>
        <w:lastRenderedPageBreak/>
        <w:t>All authors contributed to the study conception and design.</w:t>
      </w:r>
      <w:r>
        <w:rPr>
          <w:sz w:val="24"/>
          <w:szCs w:val="24"/>
        </w:rPr>
        <w:t xml:space="preserve"> Olusola Olafuyi and Jennifer Koenig prepared and delivered the teaching sessions and </w:t>
      </w:r>
      <w:r w:rsidR="00DE7A0D">
        <w:rPr>
          <w:sz w:val="24"/>
          <w:szCs w:val="24"/>
        </w:rPr>
        <w:t>questionnaires,</w:t>
      </w:r>
      <w:r>
        <w:rPr>
          <w:sz w:val="24"/>
          <w:szCs w:val="24"/>
        </w:rPr>
        <w:t xml:space="preserve"> and the focus groups were led by Rakesh Patel.</w:t>
      </w:r>
      <w:r w:rsidRPr="00123ADB">
        <w:rPr>
          <w:sz w:val="24"/>
          <w:szCs w:val="24"/>
        </w:rPr>
        <w:t xml:space="preserve"> Data collection and analysis were performed by Jennifer Koenig. The first draft of the manuscript was written by Jennifer Koenig and all authors commented on previous versions of the manuscript. All authors read and approved the final manuscript.</w:t>
      </w:r>
    </w:p>
    <w:p w:rsidR="001D5566" w:rsidP="0037288E" w:rsidRDefault="001D5566" w14:paraId="3BA07911" w14:textId="77777777"/>
    <w:p w:rsidR="001D5566" w:rsidP="0037288E" w:rsidRDefault="001D5566" w14:paraId="47F2B316" w14:textId="77777777"/>
    <w:p w:rsidR="00A8202D" w:rsidRDefault="00A8202D" w14:paraId="78BB8B06" w14:textId="77777777">
      <w:pPr>
        <w:rPr>
          <w:rFonts w:asciiTheme="majorHAnsi" w:hAnsiTheme="majorHAnsi" w:eastAsiaTheme="majorEastAsia" w:cstheme="majorBidi"/>
          <w:b/>
          <w:sz w:val="24"/>
          <w:szCs w:val="24"/>
        </w:rPr>
      </w:pPr>
      <w:r>
        <w:br w:type="page"/>
      </w:r>
    </w:p>
    <w:p w:rsidR="00D1330A" w:rsidP="006A6BB3" w:rsidRDefault="00D1330A" w14:paraId="249F1339" w14:textId="5E442E92">
      <w:pPr>
        <w:pStyle w:val="Heading3"/>
      </w:pPr>
      <w:r>
        <w:lastRenderedPageBreak/>
        <w:t>What is already known about this subject</w:t>
      </w:r>
    </w:p>
    <w:p w:rsidR="00D1330A" w:rsidP="00035A9D" w:rsidRDefault="00E66851" w14:paraId="793C9E9D" w14:textId="6BF33D83">
      <w:pPr>
        <w:pStyle w:val="ListParagraph"/>
        <w:numPr>
          <w:ilvl w:val="0"/>
          <w:numId w:val="18"/>
        </w:numPr>
      </w:pPr>
      <w:r>
        <w:t>There are a wide range of factors that can result in inter-individual variation in pharmacokinetics however genetic mechanisms such as single nucleotide polymorphisms have received the most attention in research and in teaching.</w:t>
      </w:r>
    </w:p>
    <w:p w:rsidR="00D1330A" w:rsidP="0015041D" w:rsidRDefault="007A47E7" w14:paraId="334D5565" w14:textId="1066DA60">
      <w:pPr>
        <w:pStyle w:val="ListParagraph"/>
        <w:numPr>
          <w:ilvl w:val="0"/>
          <w:numId w:val="18"/>
        </w:numPr>
      </w:pPr>
      <w:r>
        <w:t>Studies in the USA have suggested that m</w:t>
      </w:r>
      <w:r w:rsidR="00035A9D">
        <w:t xml:space="preserve">isconceptions exist amongst students </w:t>
      </w:r>
      <w:r w:rsidR="001745D3">
        <w:t>regarding ethnicity and genetic similarity with students</w:t>
      </w:r>
      <w:r w:rsidR="002D23FC">
        <w:t xml:space="preserve"> </w:t>
      </w:r>
      <w:r w:rsidR="001745D3">
        <w:t>tending to erroneously over-estimate the</w:t>
      </w:r>
      <w:r w:rsidR="00B76852">
        <w:t xml:space="preserve"> genetic differences between ethnic groups.</w:t>
      </w:r>
    </w:p>
    <w:p w:rsidR="001D5566" w:rsidP="006A6BB3" w:rsidRDefault="00D1330A" w14:paraId="4C11CCB9" w14:textId="77777777">
      <w:pPr>
        <w:pStyle w:val="Heading3"/>
      </w:pPr>
      <w:r>
        <w:t>What this study adds</w:t>
      </w:r>
    </w:p>
    <w:p w:rsidR="001D5566" w:rsidP="00B76852" w:rsidRDefault="00B76852" w14:paraId="1052CF9D" w14:textId="7241AC8C">
      <w:pPr>
        <w:pStyle w:val="ListParagraph"/>
        <w:numPr>
          <w:ilvl w:val="0"/>
          <w:numId w:val="19"/>
        </w:numPr>
      </w:pPr>
      <w:r>
        <w:t xml:space="preserve">We </w:t>
      </w:r>
      <w:r w:rsidR="00E757C3">
        <w:t>outline the design of a teaching session to address inter-individual variation in pharmacokinetics and address the issue of potential misconceptions about ethnicity.</w:t>
      </w:r>
    </w:p>
    <w:p w:rsidR="00E757C3" w:rsidP="00B76852" w:rsidRDefault="00E757C3" w14:paraId="07972E2A" w14:textId="7BE35B27">
      <w:pPr>
        <w:pStyle w:val="ListParagraph"/>
        <w:numPr>
          <w:ilvl w:val="0"/>
          <w:numId w:val="19"/>
        </w:numPr>
      </w:pPr>
      <w:r>
        <w:t xml:space="preserve">We </w:t>
      </w:r>
      <w:r w:rsidR="00A8202D">
        <w:t xml:space="preserve">highlight the </w:t>
      </w:r>
      <w:r w:rsidR="001B61E3">
        <w:t>difference in use of the term ethnicity b</w:t>
      </w:r>
      <w:r w:rsidR="00513132">
        <w:t xml:space="preserve">y </w:t>
      </w:r>
      <w:r w:rsidR="001B61E3">
        <w:t>students</w:t>
      </w:r>
      <w:r w:rsidR="00513132">
        <w:t xml:space="preserve"> and in the pharmacological literature</w:t>
      </w:r>
      <w:r w:rsidR="00B119F2">
        <w:t xml:space="preserve">. </w:t>
      </w:r>
      <w:r w:rsidR="00513132">
        <w:t>Students</w:t>
      </w:r>
      <w:r w:rsidR="001B61E3">
        <w:t xml:space="preserve"> typically </w:t>
      </w:r>
      <w:r w:rsidR="00513132">
        <w:t xml:space="preserve">use ethnicity to </w:t>
      </w:r>
      <w:r w:rsidR="001B61E3">
        <w:t>refer to culture, tradition and place</w:t>
      </w:r>
      <w:r w:rsidR="00513132">
        <w:t xml:space="preserve"> whereas the pharmacological literature where ethnicity refers to large scale continental racial groups e.g. Black, white, Asian.</w:t>
      </w:r>
    </w:p>
    <w:p w:rsidR="00AA63C2" w:rsidP="00B76852" w:rsidRDefault="0002602E" w14:paraId="13663EDC" w14:textId="68D2D38E">
      <w:pPr>
        <w:pStyle w:val="ListParagraph"/>
        <w:numPr>
          <w:ilvl w:val="0"/>
          <w:numId w:val="19"/>
        </w:numPr>
      </w:pPr>
      <w:r>
        <w:t>We observed little evidence of genetic deterministic views</w:t>
      </w:r>
      <w:r w:rsidR="00447A57">
        <w:t xml:space="preserve"> but a considerable amount of confusion </w:t>
      </w:r>
      <w:r w:rsidR="00A86934">
        <w:t>about ethnicity and genetic similarity.</w:t>
      </w:r>
    </w:p>
    <w:p w:rsidR="003C0CA2" w:rsidP="00B76852" w:rsidRDefault="003C0CA2" w14:paraId="3CB135D4" w14:textId="0D24A1D5">
      <w:pPr>
        <w:pStyle w:val="ListParagraph"/>
        <w:numPr>
          <w:ilvl w:val="0"/>
          <w:numId w:val="19"/>
        </w:numPr>
      </w:pPr>
      <w:r>
        <w:t xml:space="preserve">Teaching about inter-individual variation in pharmacokinetics </w:t>
      </w:r>
      <w:r w:rsidR="00E83ED4">
        <w:t>reduced the tendency of students to propose a genetic mechanism for inter-ethnic differences in drug metabolism.</w:t>
      </w:r>
    </w:p>
    <w:p w:rsidRPr="00EF1125" w:rsidR="004728E1" w:rsidP="0037288E" w:rsidRDefault="004728E1" w14:paraId="097EC015" w14:textId="61E7AFDE">
      <w:r w:rsidRPr="00EF1125">
        <w:br w:type="page"/>
      </w:r>
    </w:p>
    <w:p w:rsidR="00915DFC" w:rsidP="006A6BB3" w:rsidRDefault="00915DFC" w14:paraId="11EF9AE2" w14:textId="6F69362F">
      <w:pPr>
        <w:pStyle w:val="Heading3"/>
      </w:pPr>
      <w:r>
        <w:lastRenderedPageBreak/>
        <w:t>Abstract (150-250 words)</w:t>
      </w:r>
      <w:r w:rsidR="00EC5ED9">
        <w:t xml:space="preserve"> </w:t>
      </w:r>
    </w:p>
    <w:p w:rsidR="00BD0E2B" w:rsidP="00BD0E2B" w:rsidRDefault="00BD0E2B" w14:paraId="49EF1A8A" w14:textId="74B8BB90">
      <w:r>
        <w:t xml:space="preserve">Aims: </w:t>
      </w:r>
      <w:r w:rsidRPr="00DE3912" w:rsidR="00DE3912">
        <w:rPr>
          <w:rStyle w:val="cf01"/>
          <w:rFonts w:asciiTheme="minorHAnsi" w:hAnsiTheme="minorHAnsi" w:cstheme="minorHAnsi"/>
          <w:sz w:val="22"/>
          <w:szCs w:val="22"/>
        </w:rPr>
        <w:t xml:space="preserve">To </w:t>
      </w:r>
      <w:r w:rsidRPr="00DE3912" w:rsidR="00284B29">
        <w:rPr>
          <w:rStyle w:val="cf01"/>
          <w:rFonts w:asciiTheme="minorHAnsi" w:hAnsiTheme="minorHAnsi" w:cstheme="minorHAnsi"/>
          <w:sz w:val="22"/>
          <w:szCs w:val="22"/>
        </w:rPr>
        <w:t>e</w:t>
      </w:r>
      <w:r w:rsidR="00284B29">
        <w:rPr>
          <w:rStyle w:val="cf01"/>
          <w:rFonts w:asciiTheme="minorHAnsi" w:hAnsiTheme="minorHAnsi" w:cstheme="minorHAnsi"/>
          <w:sz w:val="22"/>
          <w:szCs w:val="22"/>
        </w:rPr>
        <w:t>xplore</w:t>
      </w:r>
      <w:r w:rsidRPr="00DE3912" w:rsidR="00284B29">
        <w:rPr>
          <w:rStyle w:val="cf01"/>
          <w:rFonts w:asciiTheme="minorHAnsi" w:hAnsiTheme="minorHAnsi" w:cstheme="minorHAnsi"/>
          <w:sz w:val="22"/>
          <w:szCs w:val="22"/>
        </w:rPr>
        <w:t xml:space="preserve"> </w:t>
      </w:r>
      <w:r w:rsidRPr="00DE3912" w:rsidR="00DE3912">
        <w:rPr>
          <w:rStyle w:val="cf01"/>
          <w:rFonts w:asciiTheme="minorHAnsi" w:hAnsiTheme="minorHAnsi" w:cstheme="minorHAnsi"/>
          <w:sz w:val="22"/>
          <w:szCs w:val="22"/>
        </w:rPr>
        <w:t xml:space="preserve">the impact </w:t>
      </w:r>
      <w:r w:rsidR="009D536B">
        <w:rPr>
          <w:rStyle w:val="cf01"/>
          <w:rFonts w:asciiTheme="minorHAnsi" w:hAnsiTheme="minorHAnsi" w:cstheme="minorHAnsi"/>
          <w:sz w:val="22"/>
          <w:szCs w:val="22"/>
        </w:rPr>
        <w:t xml:space="preserve">of </w:t>
      </w:r>
      <w:r w:rsidRPr="00DE3912" w:rsidR="00DE3912">
        <w:rPr>
          <w:rStyle w:val="cf01"/>
          <w:rFonts w:asciiTheme="minorHAnsi" w:hAnsiTheme="minorHAnsi" w:cstheme="minorHAnsi"/>
          <w:sz w:val="22"/>
          <w:szCs w:val="22"/>
        </w:rPr>
        <w:t xml:space="preserve">a teaching resource on student's </w:t>
      </w:r>
      <w:r w:rsidR="00167F35">
        <w:rPr>
          <w:rStyle w:val="cf01"/>
          <w:rFonts w:asciiTheme="minorHAnsi" w:hAnsiTheme="minorHAnsi" w:cstheme="minorHAnsi"/>
          <w:sz w:val="22"/>
          <w:szCs w:val="22"/>
        </w:rPr>
        <w:t>understanding of</w:t>
      </w:r>
      <w:r w:rsidRPr="00DE3912" w:rsidR="00DE3912">
        <w:rPr>
          <w:rStyle w:val="cf01"/>
          <w:rFonts w:asciiTheme="minorHAnsi" w:hAnsiTheme="minorHAnsi" w:cstheme="minorHAnsi"/>
          <w:sz w:val="22"/>
          <w:szCs w:val="22"/>
        </w:rPr>
        <w:t xml:space="preserve"> variation in drug disposition between ethnic groups.</w:t>
      </w:r>
    </w:p>
    <w:p w:rsidR="002F61E1" w:rsidP="00BD0E2B" w:rsidRDefault="002F61E1" w14:paraId="20B319CB" w14:textId="08E64B76">
      <w:r w:rsidR="002F61E1">
        <w:rPr/>
        <w:t xml:space="preserve">Methods: A questionnaire was administered </w:t>
      </w:r>
      <w:r w:rsidR="00267E3A">
        <w:rPr/>
        <w:t xml:space="preserve">to students from medical and medical sciences undergraduate courses </w:t>
      </w:r>
      <w:r w:rsidR="002F61E1">
        <w:rPr/>
        <w:t>immediately</w:t>
      </w:r>
      <w:r w:rsidR="002F61E1">
        <w:rPr/>
        <w:t xml:space="preserve"> before and after </w:t>
      </w:r>
      <w:r w:rsidR="00267E3A">
        <w:rPr/>
        <w:t xml:space="preserve">a </w:t>
      </w:r>
      <w:r w:rsidR="00267E3A">
        <w:rPr/>
        <w:t xml:space="preserve">teaching session on inter-individual variation in </w:t>
      </w:r>
      <w:r w:rsidR="00AC6006">
        <w:rPr/>
        <w:t>pharmacokinetics. Their responses were analysed using</w:t>
      </w:r>
      <w:r w:rsidR="008E5EF9">
        <w:rPr/>
        <w:t xml:space="preserve"> a Wilcoxon signed rank test.</w:t>
      </w:r>
    </w:p>
    <w:p w:rsidR="00D8529B" w:rsidP="00BD0E2B" w:rsidRDefault="00D8529B" w14:paraId="045ED174" w14:textId="231A0CB4">
      <w:r w:rsidR="00D8529B">
        <w:rPr/>
        <w:t xml:space="preserve">Results: </w:t>
      </w:r>
      <w:r w:rsidR="00273099">
        <w:rPr/>
        <w:t xml:space="preserve">Students </w:t>
      </w:r>
      <w:r w:rsidR="00AC6006">
        <w:rPr/>
        <w:t xml:space="preserve">were </w:t>
      </w:r>
      <w:r w:rsidR="00273099">
        <w:rPr/>
        <w:t xml:space="preserve">most likely to define ethnicity in relation to culture, </w:t>
      </w:r>
      <w:r w:rsidR="008E5EF9">
        <w:rPr/>
        <w:t>traditions,</w:t>
      </w:r>
      <w:r w:rsidR="00273099">
        <w:rPr/>
        <w:t xml:space="preserve"> and place in contrast to use of the term in the pharmacokinetics literature where it refers to large-scale continental racial groups, </w:t>
      </w:r>
      <w:r w:rsidR="008E5EF9">
        <w:rPr/>
        <w:t>e.g</w:t>
      </w:r>
      <w:r w:rsidR="008E5EF9">
        <w:rPr/>
        <w:t>.,</w:t>
      </w:r>
      <w:r w:rsidR="00273099">
        <w:rPr/>
        <w:t xml:space="preserve"> Black, white, Asian.</w:t>
      </w:r>
      <w:r w:rsidR="00273099">
        <w:rPr/>
        <w:t xml:space="preserve"> </w:t>
      </w:r>
      <w:r w:rsidR="00D202DD">
        <w:rPr/>
        <w:t>T</w:t>
      </w:r>
      <w:r w:rsidR="005E6BDC">
        <w:rPr/>
        <w:t>here was a tendency</w:t>
      </w:r>
      <w:r w:rsidR="00D202DD">
        <w:rPr/>
        <w:t xml:space="preserve"> for students</w:t>
      </w:r>
      <w:r w:rsidR="005E6BDC">
        <w:rPr/>
        <w:t xml:space="preserve"> to assume a genetic mechanism for ethnic differences</w:t>
      </w:r>
      <w:r w:rsidR="00D202DD">
        <w:rPr/>
        <w:t xml:space="preserve"> and</w:t>
      </w:r>
      <w:r w:rsidR="00DE3912">
        <w:rPr/>
        <w:t xml:space="preserve"> </w:t>
      </w:r>
      <w:r w:rsidR="00DE3912">
        <w:rPr/>
        <w:t>there was a</w:t>
      </w:r>
      <w:r w:rsidR="00DE3912">
        <w:rPr/>
        <w:t xml:space="preserve"> change in this assumption after they </w:t>
      </w:r>
      <w:r w:rsidR="00DE3912">
        <w:rPr/>
        <w:t>participated</w:t>
      </w:r>
      <w:r w:rsidR="00DE3912">
        <w:rPr/>
        <w:t xml:space="preserve"> in the teaching session</w:t>
      </w:r>
      <w:r w:rsidR="00DE3912">
        <w:rPr/>
        <w:t>.</w:t>
      </w:r>
    </w:p>
    <w:p w:rsidR="00560989" w:rsidP="00BD0E2B" w:rsidRDefault="00560989" w14:paraId="131CBFA7" w14:textId="122129DA">
      <w:r>
        <w:t xml:space="preserve">Conclusions: </w:t>
      </w:r>
      <w:r w:rsidR="001D2EFD">
        <w:t xml:space="preserve">Confusion around the use of the term ethnicity may contribute towards </w:t>
      </w:r>
      <w:r w:rsidR="00E24898">
        <w:t xml:space="preserve">lack of clarity in teaching and in student understanding. </w:t>
      </w:r>
      <w:r w:rsidR="00935326">
        <w:t>Teaching about a range of mechanisms that can underly inter-individual variation in pharmacokinetic processes</w:t>
      </w:r>
      <w:r w:rsidR="00D65D7A">
        <w:t xml:space="preserve"> reduces the tendency of students to ascribe genetic mechanisms to differences in drug metabolism</w:t>
      </w:r>
      <w:r w:rsidR="006104FC">
        <w:t>,</w:t>
      </w:r>
      <w:r w:rsidR="00D952FA">
        <w:t xml:space="preserve"> clarifies</w:t>
      </w:r>
      <w:r w:rsidR="00AB226C">
        <w:t xml:space="preserve"> some of</w:t>
      </w:r>
      <w:r w:rsidR="00D952FA">
        <w:t xml:space="preserve"> the</w:t>
      </w:r>
      <w:r w:rsidR="00554ED2">
        <w:t xml:space="preserve"> ways in which </w:t>
      </w:r>
      <w:r w:rsidR="00C24003">
        <w:t>individuals can vary.</w:t>
      </w:r>
    </w:p>
    <w:p w:rsidR="00E9593A" w:rsidRDefault="00E9593A" w14:paraId="1AA0622E" w14:textId="77777777">
      <w:pPr>
        <w:rPr>
          <w:b/>
          <w:bCs/>
        </w:rPr>
      </w:pPr>
      <w:r>
        <w:rPr>
          <w:b/>
          <w:bCs/>
        </w:rPr>
        <w:br w:type="page"/>
      </w:r>
    </w:p>
    <w:p w:rsidRPr="002F2445" w:rsidR="00F36270" w:rsidP="002F2445" w:rsidRDefault="006C1526" w14:paraId="5E5787A5" w14:textId="5A40CF0A">
      <w:pPr>
        <w:pStyle w:val="Heading2"/>
      </w:pPr>
      <w:r w:rsidRPr="002F2445">
        <w:lastRenderedPageBreak/>
        <w:t>Introduction</w:t>
      </w:r>
    </w:p>
    <w:p w:rsidR="0043265E" w:rsidP="5211A523" w:rsidRDefault="0043265E" w14:paraId="7CD97C7A" w14:textId="047D890E"/>
    <w:p w:rsidR="00CE7641" w:rsidP="5211A523" w:rsidRDefault="00610A0D" w14:paraId="51192622" w14:textId="507B7F84">
      <w:r>
        <w:t>In clinical pharmacology</w:t>
      </w:r>
      <w:r w:rsidR="003E7B3B">
        <w:t xml:space="preserve"> t</w:t>
      </w:r>
      <w:r w:rsidR="5211A523">
        <w:t xml:space="preserve">here are several instances where race and/or ethnicity are noted, for </w:t>
      </w:r>
      <w:r w:rsidR="008A3740">
        <w:t>example</w:t>
      </w:r>
      <w:r w:rsidR="5211A523">
        <w:t>, the guidelines for the treatment of hypertension in the UK and heart failure in the USA recommend different drug classes as the first line treatment for those of Black African and Afro-Caribbean descent</w:t>
      </w:r>
      <w:r w:rsidR="00B81F36">
        <w:t xml:space="preserve"> </w:t>
      </w:r>
      <w:r>
        <w:fldChar w:fldCharType="begin"/>
      </w:r>
      <w:r>
        <w:instrText xml:space="preserve"> ADDIN ZOTERO_ITEM CSL_CITATION {"citationID":"khAnVJ9S","properties":{"formattedCitation":"[1], [2]","plainCitation":"[1], [2]","noteIndex":0},"citationItems":[{"id":88,"uris":["http://zotero.org/users/6704422/items/YGE3RGXK"],"itemData":{"id":88,"type":"article-journal","container-title":"Journal of the American College of Cardiology","DOI":"10.1016/j.jacc.2013.05.019","ISSN":"07351097","issue":"16","journalAbbreviation":"Journal of the American College of Cardiology","language":"en","page":"e147-e239","source":"DOI.org (Crossref)","title":"2013 ACCF/AHA Guideline for the Management of Heart Failure","volume":"62","author":[{"family":"Yancy","given":"Clyde W."},{"family":"Jessup","given":"Mariell"},{"family":"Bozkurt","given":"Biykem"},{"family":"Butler","given":"Javed"},{"family":"Casey","given":"Donald E."},{"family":"Drazner","given":"Mark H."},{"family":"Fonarow","given":"Gregg C."},{"family":"Geraci","given":"Stephen A."},{"family":"Horwich","given":"Tamara"},{"family":"Januzzi","given":"James L."},{"family":"Johnson","given":"Maryl R."},{"family":"Kasper","given":"Edward K."},{"family":"Levy","given":"Wayne C."},{"family":"Masoudi","given":"Frederick A."},{"family":"McBride","given":"Patrick E."},{"family":"McMurray","given":"John J.V."},{"family":"Mitchell","given":"Judith E."},{"family":"Peterson","given":"Pamela N."},{"family":"Riegel","given":"Barbara"},{"family":"Sam","given":"Flora"},{"family":"Stevenson","given":"Lynne W."},{"family":"Tang","given":"W.H. Wilson"},{"family":"Tsai","given":"Emily J."},{"family":"Wilkoff","given":"Bruce L."}],"issued":{"date-parts":[["2013",10]]}}},{"id":458,"uris":["http://zotero.org/users/6704422/items/HLQZKFAA"],"itemData":{"id":458,"type":"article-journal","container-title":"https://www.nice.org.uk/guidance/ng136/resources/hypertension-in-adults-diagnosis-and-management-pdf-66141722710213","language":"en","page":"47","source":"Zotero","title":"Hypertension in adults: diagnosis and management","author":[{"family":"National Institute for Health and Care Excellence","given":""}],"issued":{"date-parts":[["2019"]]}}}],"schema":"https://github.com/citation-style-language/schema/raw/master/csl-citation.json"} </w:instrText>
      </w:r>
      <w:r>
        <w:fldChar w:fldCharType="separate"/>
      </w:r>
      <w:r w:rsidRPr="029B53B0" w:rsidR="000127F7">
        <w:rPr>
          <w:rFonts w:ascii="Calibri" w:hAnsi="Calibri" w:cs="Calibri"/>
        </w:rPr>
        <w:t>[1], [2]</w:t>
      </w:r>
      <w:r>
        <w:fldChar w:fldCharType="end"/>
      </w:r>
      <w:r w:rsidR="5211A523">
        <w:t>.</w:t>
      </w:r>
      <w:r w:rsidR="000C78B1">
        <w:t xml:space="preserve"> </w:t>
      </w:r>
      <w:r w:rsidR="01B47FBD">
        <w:t>It has been proposed that dos</w:t>
      </w:r>
      <w:r w:rsidR="00CE5338">
        <w:t>e prediction</w:t>
      </w:r>
      <w:r w:rsidR="01B47FBD">
        <w:t xml:space="preserve"> algorithms could allow adjustment for ethnicity</w:t>
      </w:r>
      <w:r w:rsidR="00AC2C37">
        <w:t xml:space="preserve"> </w:t>
      </w:r>
      <w:r>
        <w:fldChar w:fldCharType="begin"/>
      </w:r>
      <w:r>
        <w:instrText xml:space="preserve"> ADDIN ZOTERO_ITEM CSL_CITATION {"citationID":"i6IQLf77","properties":{"formattedCitation":"[3]","plainCitation":"[3]","noteIndex":0},"citationItems":[{"id":456,"uris":["http://zotero.org/users/6704422/items/5EWC9CDH"],"itemData":{"id":456,"type":"article-journal","abstract":"Warfarin is the most commonly used oral anticoagulant in sub-Saharan Africa. Dosing is challenging due to a narrow therapeutic index and high inter-individual variability in dose requirements. To evaluate the genetic factors affecting warfarin dosing in Black-Africans, we performed a meta-analysis of 48 studies (2,336 patients). Significant predictors for CYP2C9 and stable dose included rs1799853 (CYP2C9*2), rs1057910 (CYP2C9*3), rs28371686 (CYP2C9*5), rs9332131 (CYP2C9*6), and rs28371685 (CYP2C9*11) reducing dose by 6.8, 12.5, 13.4, 8.1, and 5.3 mg/week respectively. VKORC1 variants rs9923231 (−1639G&gt;A), rs9934438 (1173C&gt;T), rs2359612 (2255C&gt;T), rs8050894 (1542G&gt;C), and rs2884737 (497T&gt;G) decreased dose by 18.1, 21.6, 17.3, 11.7, and 19.6 mg/week, respectively while rs7294 (3730G&gt;A) increased dose by 6.9 mg/week. Finally, rs12777823 (CYP2C gene cluster) was associated with a dose reduction of 12.7 mg/week. Few studies were conducted in Africa, and patient numbers were small, highlighting the need for further work in Black Africans to evaluate genetic factors determining warfarin response.","container-title":"Clinical Pharmacology &amp; Therapeutics","DOI":"10.1002/cpt.1755","ISSN":"0009-9236, 1532-6535","issue":"6","journalAbbreviation":"Clin. Pharmacol. Ther.","language":"en","page":"1420-1433","source":"DOI.org (Crossref)","title":"Genetic Factors Influencing Warfarin Dose in Black‐African Patients: A Systematic Review and Meta‐Analysis","title-short":"Genetic Factors Influencing Warfarin Dose in Black‐African Patients","volume":"107","author":[{"family":"Asiimwe","given":"Innocent G."},{"family":"Zhang","given":"Eunice J."},{"family":"Osanlou","given":"Rostam"},{"family":"Krause","given":"Amanda"},{"family":"Dillon","given":"Chrisly"},{"family":"Suarez‐Kurtz","given":"Guilherme"},{"family":"Zhang","given":"Honghong"},{"family":"Perini","given":"Jamila A."},{"family":"Renta","given":"Jessicca Y."},{"family":"Duconge","given":"Jorge"},{"family":"Cavallari","given":"Larisa H."},{"family":"Marcatto","given":"Leiliane R."},{"family":"Beasly","given":"Mark T."},{"family":"Perera","given":"Minoli A."},{"family":"Limdi","given":"Nita A."},{"family":"Santos","given":"Paulo C.J.L."},{"family":"Kimmel","given":"Stephen E."},{"family":"Lubitz","given":"Steven A."},{"family":"Scott","given":"Stuart A."},{"family":"Kawai","given":"Vivian K."},{"family":"Jorgensen","given":"Andrea L."},{"family":"Pirmohamed","given":"Munir"}],"issued":{"date-parts":[["2020",6]]}}}],"schema":"https://github.com/citation-style-language/schema/raw/master/csl-citation.json"} </w:instrText>
      </w:r>
      <w:r>
        <w:fldChar w:fldCharType="separate"/>
      </w:r>
      <w:r w:rsidRPr="029B53B0" w:rsidR="00AC2C37">
        <w:rPr>
          <w:rFonts w:ascii="Calibri" w:hAnsi="Calibri" w:cs="Calibri"/>
        </w:rPr>
        <w:t>[3]</w:t>
      </w:r>
      <w:r>
        <w:fldChar w:fldCharType="end"/>
      </w:r>
      <w:r w:rsidR="00AC2C37">
        <w:t xml:space="preserve">. </w:t>
      </w:r>
      <w:r w:rsidR="01B47FBD">
        <w:t>In our previous work, a</w:t>
      </w:r>
      <w:r w:rsidR="5211A523">
        <w:t xml:space="preserve"> scoping review investigating the relationship between ethnicity and pharmacokinetic processes</w:t>
      </w:r>
      <w:r w:rsidR="00B81F36">
        <w:t xml:space="preserve"> </w:t>
      </w:r>
      <w:r>
        <w:fldChar w:fldCharType="begin"/>
      </w:r>
      <w:r>
        <w:instrText xml:space="preserve"> ADDIN ZOTERO_ITEM CSL_CITATION {"citationID":"iY9pa6Xm","properties":{"formattedCitation":"[4]","plainCitation":"[4]","noteIndex":0},"citationItems":[{"id":281,"uris":["http://zotero.org/users/6704422/items/9GXESNTN"],"itemData":{"id":281,"type":"article-journal","abstract":"Inter-­ethnic variability in pharmacokinetics (PK) has been attributed to several factors ranging from genetic to environmental. It is not clear how current teaching in higher education (HE) reflects what published literature suggests on this subject. This study aims to gain insights into current knowledge about inter-­ethnic differences in PK based on reports from published literature and current teaching practices in HE. A systematic literature search was conducted on PubMed and Scopus to identify suitable literature to be reviewed. Insights into inter-­ethnic differences in PK teaching among educators in HE and industry were determined using a questionnaire. Thirty-­ one percent of the studies reviewed reported inter-­ethnic differences in PK, of these, 37% of authors suggested genetic polymorphism as possible explanation for the inter-­ethnic differences observed. Other factors authors proposed included diet and weight differences between ethnicities. Most respondents (80%) who taught inter-­ ethnic difference in PK attributed inter-­ethnic differences to genetic polymorphism. While genetic polymorphism is one source of variability in PK, the teaching of genetic polymorphism is better associated with interindividual variabilities rather than inter-­ ethnic differences in PK as there are no genes with PK implications specific to any one ethnic group. Nongenetic factors such as diet, weight, and environmental factors, should be highlighted as potential sources of interindividual variation in the PK of drugs.","container-title":"Pharmacology Research &amp; Perspectives","DOI":"10.1002/prp2.890","ISSN":"2052-1707, 2052-1707","issue":"6","journalAbbreviation":"Pharmacol Res Perspect","language":"en","source":"DOI.org (Crossref)","title":"Inter‐ethnic differences in pharmacokinetics—is there more that unites than divides?","URL":"https://onlinelibrary.wiley.com/doi/10.1002/prp2.890","volume":"9","author":[{"family":"Olafuyi","given":"Olusola"},{"family":"Parekh","given":"Nikita"},{"family":"Wright","given":"Jacob"},{"family":"Koenig","given":"Jennifer"}],"accessed":{"date-parts":[["2022",5,5]]},"issued":{"date-parts":[["2021",12]]}}}],"schema":"https://github.com/citation-style-language/schema/raw/master/csl-citation.json"} </w:instrText>
      </w:r>
      <w:r>
        <w:fldChar w:fldCharType="separate"/>
      </w:r>
      <w:r w:rsidRPr="029B53B0" w:rsidR="00AC2C37">
        <w:rPr>
          <w:rFonts w:ascii="Calibri" w:hAnsi="Calibri" w:cs="Calibri"/>
        </w:rPr>
        <w:t>[4]</w:t>
      </w:r>
      <w:r>
        <w:fldChar w:fldCharType="end"/>
      </w:r>
      <w:r w:rsidR="5B248E13">
        <w:t>, we</w:t>
      </w:r>
      <w:r w:rsidR="005568F9">
        <w:t xml:space="preserve"> </w:t>
      </w:r>
      <w:r w:rsidR="5211A523">
        <w:t xml:space="preserve">found that </w:t>
      </w:r>
      <w:bookmarkStart w:name="_Int_lCteNF1D" w:id="1"/>
      <w:r w:rsidR="5211A523">
        <w:t>the majority of</w:t>
      </w:r>
      <w:bookmarkEnd w:id="1"/>
      <w:r w:rsidR="5211A523">
        <w:t xml:space="preserve"> papers showed </w:t>
      </w:r>
      <w:r w:rsidR="000C78B1">
        <w:t xml:space="preserve">similarities rather than </w:t>
      </w:r>
      <w:r w:rsidR="5211A523">
        <w:t>differences</w:t>
      </w:r>
      <w:r w:rsidR="5DD14994">
        <w:t xml:space="preserve"> in pharmacokinetics</w:t>
      </w:r>
      <w:r w:rsidR="000C78B1">
        <w:t>. I</w:t>
      </w:r>
      <w:r w:rsidR="5211A523">
        <w:t>n those that did</w:t>
      </w:r>
      <w:r w:rsidR="000C78B1">
        <w:t xml:space="preserve"> show differences</w:t>
      </w:r>
      <w:r w:rsidR="5211A523">
        <w:t xml:space="preserve">, genetic mechanisms were most commonly proposed, and the prevalence of certain </w:t>
      </w:r>
      <w:r w:rsidR="009008E0">
        <w:t xml:space="preserve">single nucleotide polymorphisms </w:t>
      </w:r>
      <w:r w:rsidR="5211A523">
        <w:t>(</w:t>
      </w:r>
      <w:r w:rsidR="009008E0">
        <w:t>SNPs</w:t>
      </w:r>
      <w:r w:rsidR="5211A523">
        <w:t>) was suggested to underly differences in drug metabolism and distribution. Furthermore,</w:t>
      </w:r>
      <w:r w:rsidR="00DE3912">
        <w:t xml:space="preserve"> ethnic differences in pharmacokinetics were mostly attributed to</w:t>
      </w:r>
      <w:r w:rsidR="5211A523">
        <w:t xml:space="preserve"> genetic mechanisms </w:t>
      </w:r>
      <w:r w:rsidR="1821AAAC">
        <w:t>that pharmacology</w:t>
      </w:r>
      <w:r w:rsidR="5211A523">
        <w:t xml:space="preserve"> teaching</w:t>
      </w:r>
      <w:r w:rsidR="00B81F36">
        <w:t xml:space="preserve"> </w:t>
      </w:r>
      <w:r>
        <w:fldChar w:fldCharType="begin"/>
      </w:r>
      <w:r>
        <w:instrText xml:space="preserve"> ADDIN ZOTERO_ITEM CSL_CITATION {"citationID":"QWZR74ip","properties":{"formattedCitation":"[4]","plainCitation":"[4]","noteIndex":0},"citationItems":[{"id":281,"uris":["http://zotero.org/users/6704422/items/9GXESNTN"],"itemData":{"id":281,"type":"article-journal","abstract":"Inter-­ethnic variability in pharmacokinetics (PK) has been attributed to several factors ranging from genetic to environmental. It is not clear how current teaching in higher education (HE) reflects what published literature suggests on this subject. This study aims to gain insights into current knowledge about inter-­ethnic differences in PK based on reports from published literature and current teaching practices in HE. A systematic literature search was conducted on PubMed and Scopus to identify suitable literature to be reviewed. Insights into inter-­ethnic differences in PK teaching among educators in HE and industry were determined using a questionnaire. Thirty-­ one percent of the studies reviewed reported inter-­ethnic differences in PK, of these, 37% of authors suggested genetic polymorphism as possible explanation for the inter-­ethnic differences observed. Other factors authors proposed included diet and weight differences between ethnicities. Most respondents (80%) who taught inter-­ ethnic difference in PK attributed inter-­ethnic differences to genetic polymorphism. While genetic polymorphism is one source of variability in PK, the teaching of genetic polymorphism is better associated with interindividual variabilities rather than inter-­ ethnic differences in PK as there are no genes with PK implications specific to any one ethnic group. Nongenetic factors such as diet, weight, and environmental factors, should be highlighted as potential sources of interindividual variation in the PK of drugs.","container-title":"Pharmacology Research &amp; Perspectives","DOI":"10.1002/prp2.890","ISSN":"2052-1707, 2052-1707","issue":"6","journalAbbreviation":"Pharmacol Res Perspect","language":"en","source":"DOI.org (Crossref)","title":"Inter‐ethnic differences in pharmacokinetics—is there more that unites than divides?","URL":"https://onlinelibrary.wiley.com/doi/10.1002/prp2.890","volume":"9","author":[{"family":"Olafuyi","given":"Olusola"},{"family":"Parekh","given":"Nikita"},{"family":"Wright","given":"Jacob"},{"family":"Koenig","given":"Jennifer"}],"accessed":{"date-parts":[["2022",5,5]]},"issued":{"date-parts":[["2021",12]]}}}],"schema":"https://github.com/citation-style-language/schema/raw/master/csl-citation.json"} </w:instrText>
      </w:r>
      <w:r>
        <w:fldChar w:fldCharType="separate"/>
      </w:r>
      <w:r w:rsidRPr="029B53B0" w:rsidR="00AC2C37">
        <w:rPr>
          <w:rFonts w:ascii="Calibri" w:hAnsi="Calibri" w:cs="Calibri"/>
        </w:rPr>
        <w:t>[4]</w:t>
      </w:r>
      <w:r>
        <w:fldChar w:fldCharType="end"/>
      </w:r>
      <w:r w:rsidR="00E422D2">
        <w:t>.</w:t>
      </w:r>
      <w:r w:rsidR="5211A523">
        <w:t xml:space="preserve"> </w:t>
      </w:r>
      <w:r w:rsidR="00301E72">
        <w:t>There are</w:t>
      </w:r>
      <w:r w:rsidR="005568F9">
        <w:t>, however,</w:t>
      </w:r>
      <w:r w:rsidR="5211A523">
        <w:t xml:space="preserve"> many other factors that can account for inter-individual variation in pharmacokinetics</w:t>
      </w:r>
      <w:r w:rsidR="003F68AB">
        <w:t xml:space="preserve"> </w:t>
      </w:r>
      <w:r w:rsidR="00487A16">
        <w:t>as illustrated in figure 1</w:t>
      </w:r>
      <w:r w:rsidR="5211A523">
        <w:t>.</w:t>
      </w:r>
      <w:r w:rsidR="005568F9">
        <w:t xml:space="preserve"> </w:t>
      </w:r>
    </w:p>
    <w:p w:rsidR="00CE7641" w:rsidP="5211A523" w:rsidRDefault="00CE7641" w14:paraId="34BECD8A" w14:textId="77777777"/>
    <w:p w:rsidR="00F41D27" w:rsidP="5211A523" w:rsidRDefault="00F0502C" w14:paraId="25870F05" w14:textId="5C937277">
      <w:r w:rsidRPr="00F0502C">
        <w:rPr>
          <w:noProof/>
        </w:rPr>
        <w:drawing>
          <wp:anchor distT="0" distB="0" distL="114300" distR="114300" simplePos="0" relativeHeight="251658241" behindDoc="0" locked="0" layoutInCell="1" allowOverlap="1" wp14:anchorId="54BCBF4E" wp14:editId="726F3296">
            <wp:simplePos x="0" y="0"/>
            <wp:positionH relativeFrom="column">
              <wp:posOffset>2390775</wp:posOffset>
            </wp:positionH>
            <wp:positionV relativeFrom="paragraph">
              <wp:posOffset>1868805</wp:posOffset>
            </wp:positionV>
            <wp:extent cx="697230" cy="1258570"/>
            <wp:effectExtent l="0" t="0" r="7620" b="0"/>
            <wp:wrapNone/>
            <wp:docPr id="20" name="Picture 20" descr="A picture containing diagram&#10;&#10;Description automatically generated">
              <a:extLst xmlns:a="http://schemas.openxmlformats.org/drawingml/2006/main">
                <a:ext uri="{FF2B5EF4-FFF2-40B4-BE49-F238E27FC236}">
                  <a16:creationId xmlns:a16="http://schemas.microsoft.com/office/drawing/2014/main" id="{4700D1D5-7E87-388B-460A-ED13534FFB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A picture containing diagram&#10;&#10;Description automatically generated">
                      <a:extLst>
                        <a:ext uri="{FF2B5EF4-FFF2-40B4-BE49-F238E27FC236}">
                          <a16:creationId xmlns:a16="http://schemas.microsoft.com/office/drawing/2014/main" id="{4700D1D5-7E87-388B-460A-ED13534FFB01}"/>
                        </a:ext>
                      </a:extLst>
                    </pic:cNvPr>
                    <pic:cNvPicPr>
                      <a:picLocks noChangeAspect="1"/>
                    </pic:cNvPicPr>
                  </pic:nvPicPr>
                  <pic:blipFill rotWithShape="1">
                    <a:blip r:embed="rId10" cstate="print">
                      <a:duotone>
                        <a:schemeClr val="bg2">
                          <a:shade val="45000"/>
                          <a:satMod val="135000"/>
                        </a:schemeClr>
                        <a:prstClr val="white"/>
                      </a:duotone>
                      <a:extLst>
                        <a:ext uri="{28A0092B-C50C-407E-A947-70E740481C1C}">
                          <a14:useLocalDpi xmlns:a14="http://schemas.microsoft.com/office/drawing/2010/main" val="0"/>
                        </a:ext>
                      </a:extLst>
                    </a:blip>
                    <a:srcRect l="4549" r="3337" b="7727"/>
                    <a:stretch/>
                  </pic:blipFill>
                  <pic:spPr bwMode="auto">
                    <a:xfrm>
                      <a:off x="0" y="0"/>
                      <a:ext cx="697230" cy="1258570"/>
                    </a:xfrm>
                    <a:prstGeom prst="rect">
                      <a:avLst/>
                    </a:prstGeom>
                    <a:noFill/>
                    <a:ln>
                      <a:noFill/>
                    </a:ln>
                    <a:extLst>
                      <a:ext uri="{53640926-AAD7-44D8-BBD7-CCE9431645EC}">
                        <a14:shadowObscured xmlns:a14="http://schemas.microsoft.com/office/drawing/2010/main"/>
                      </a:ext>
                    </a:extLst>
                  </pic:spPr>
                </pic:pic>
              </a:graphicData>
            </a:graphic>
          </wp:anchor>
        </w:drawing>
      </w:r>
      <w:r w:rsidR="00B72C93">
        <w:rPr>
          <w:noProof/>
        </w:rPr>
        <w:drawing>
          <wp:inline distT="0" distB="0" distL="0" distR="0" wp14:anchorId="6AB6AB48" wp14:editId="7CF4D9A6">
            <wp:extent cx="5676900" cy="3200400"/>
            <wp:effectExtent l="0" t="38100" r="0" b="19050"/>
            <wp:docPr id="146512192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Pr="00CE7641" w:rsidR="00812815" w:rsidP="00812815" w:rsidRDefault="00812815" w14:paraId="42027698" w14:textId="77777777">
      <w:pPr>
        <w:rPr>
          <w:b/>
          <w:bCs/>
        </w:rPr>
      </w:pPr>
      <w:r w:rsidRPr="00CE7641">
        <w:rPr>
          <w:b/>
          <w:bCs/>
        </w:rPr>
        <w:t xml:space="preserve">Figure 1. Factors that can </w:t>
      </w:r>
      <w:r>
        <w:rPr>
          <w:b/>
          <w:bCs/>
        </w:rPr>
        <w:t>result in inter-individual variation in</w:t>
      </w:r>
      <w:r w:rsidRPr="00CE7641">
        <w:rPr>
          <w:b/>
          <w:bCs/>
        </w:rPr>
        <w:t xml:space="preserve"> pharmacokinetics processes</w:t>
      </w:r>
      <w:r>
        <w:rPr>
          <w:b/>
          <w:bCs/>
        </w:rPr>
        <w:t>.</w:t>
      </w:r>
    </w:p>
    <w:p w:rsidR="00367780" w:rsidP="5211A523" w:rsidRDefault="00367780" w14:paraId="49125E66" w14:textId="77777777"/>
    <w:p w:rsidRPr="003358B7" w:rsidR="5211A523" w:rsidP="5211A523" w:rsidRDefault="00DE3912" w14:paraId="6F01C3E8" w14:textId="2DD16E3F">
      <w:pPr>
        <w:spacing w:line="257" w:lineRule="auto"/>
        <w:rPr>
          <w:rFonts w:ascii="Calibri" w:hAnsi="Calibri" w:eastAsia="Calibri" w:cs="Calibri"/>
        </w:rPr>
      </w:pPr>
      <w:r>
        <w:t>S</w:t>
      </w:r>
      <w:r w:rsidR="00AD7256">
        <w:t xml:space="preserve">tudies in genetics education research </w:t>
      </w:r>
      <w:r w:rsidRPr="5211A523" w:rsidR="5211A523">
        <w:rPr>
          <w:rFonts w:ascii="Calibri" w:hAnsi="Calibri" w:eastAsia="Calibri" w:cs="Calibri"/>
        </w:rPr>
        <w:t>have shown that both high school and undergraduate students have significant misunderstandings</w:t>
      </w:r>
      <w:r w:rsidR="00AD7256">
        <w:rPr>
          <w:rFonts w:ascii="Calibri" w:hAnsi="Calibri" w:eastAsia="Calibri" w:cs="Calibri"/>
        </w:rPr>
        <w:t xml:space="preserve"> regarding ethnicity and genetics</w:t>
      </w:r>
      <w:r w:rsidRPr="5211A523" w:rsidR="5211A523">
        <w:rPr>
          <w:rFonts w:ascii="Calibri" w:hAnsi="Calibri" w:eastAsia="Calibri" w:cs="Calibri"/>
        </w:rPr>
        <w:t xml:space="preserve">: many </w:t>
      </w:r>
      <w:bookmarkStart w:name="_Int_1J8SxnZb" w:id="2"/>
      <w:r w:rsidRPr="5211A523" w:rsidR="5211A523">
        <w:rPr>
          <w:rFonts w:ascii="Calibri" w:hAnsi="Calibri" w:eastAsia="Calibri" w:cs="Calibri"/>
        </w:rPr>
        <w:t>think</w:t>
      </w:r>
      <w:bookmarkEnd w:id="2"/>
      <w:r w:rsidRPr="5211A523" w:rsidR="5211A523">
        <w:rPr>
          <w:rFonts w:ascii="Calibri" w:hAnsi="Calibri" w:eastAsia="Calibri" w:cs="Calibri"/>
        </w:rPr>
        <w:t>, erroneously, that there is more genetic variation between ethnic groups than within ethnic groups</w:t>
      </w:r>
      <w:r w:rsidR="006F3539">
        <w:rPr>
          <w:rFonts w:ascii="Calibri" w:hAnsi="Calibri" w:eastAsia="Calibri" w:cs="Calibri"/>
        </w:rPr>
        <w:t xml:space="preserve"> </w:t>
      </w:r>
      <w:r w:rsidR="00B81F36">
        <w:rPr>
          <w:rFonts w:ascii="Calibri" w:hAnsi="Calibri" w:eastAsia="Calibri" w:cs="Calibri"/>
        </w:rPr>
        <w:fldChar w:fldCharType="begin"/>
      </w:r>
      <w:r w:rsidR="00AC2C37">
        <w:rPr>
          <w:rFonts w:ascii="Calibri" w:hAnsi="Calibri" w:eastAsia="Calibri" w:cs="Calibri"/>
        </w:rPr>
        <w:instrText xml:space="preserve"> ADDIN ZOTERO_ITEM CSL_CITATION {"citationID":"VFsluqw9","properties":{"formattedCitation":"[5]\\uc0\\u8211{}[7]","plainCitation":"[5]–[7]","noteIndex":0},"citationItems":[{"id":177,"uris":["http://zotero.org/users/6704422/items/EFRTJ8CN"],"itemData":{"id":177,"type":"article-journal","abstract":"There is continued emphasis on increasing and improving genetics education for grades K–12, for medical professionals, and for the general public. Another critical audience is undergraduate students in introductory biology and genetics courses. To improve the learning of genetics, there is a need to ﬁrst assess students’ understanding of genetics concepts and their level of genetics literacy (i.e., genetics knowledge as it relates to, and affects, their lives). We have developed and evaluated a new instrument to assess the genetics literacy of undergraduate students taking introductory biology or genetics courses. The Genetics Literacy Assessment Instrument is a 31-item multiple-choice test that addresses 17 concepts identiﬁed as central to genetics literacy. The items were selected and modiﬁed on the basis of reviews by 25 genetics professionals and educators. The instrument underwent additional analysis in student focus groups and pilot testing. It has been evaluated using  400 students in eight introductory nonmajor biology and genetics courses. The content validity, discriminant validity, internal reliability, and stability of the instrument have been considered. This project directly enhances genetics education research by providing a valid and reliable instrument for assessing the genetics literacy of undergraduate students.","container-title":"Genetics","DOI":"10.1534/genetics.107.079533","ISSN":"1943-2631","issue":"1","language":"en","page":"15-22","source":"DOI.org (Crossref)","title":"Development and Evaluation of a Genetics Literacy Assessment Instrument for Undergraduates","volume":"178","author":[{"family":"Bowling","given":"Bethany Vice"},{"family":"Acra","given":"Erin E"},{"family":"Wang","given":"Lihshing"},{"family":"Myers","given":"Melanie F"},{"family":"Dean","given":"Gary E"},{"family":"Markle","given":"Glenn C"},{"family":"Moskalik","given":"Christine L"},{"family":"Huether","given":"Carl A"}],"issued":{"date-parts":[["2008",1,1]]}}},{"id":64,"uris":["http://zotero.org/users/6704422/items/RZAK9UFR"],"itemData":{"id":64,"type":"article-journal","container-title":"Journal of Research in Science Teaching","DOI":"10.1002/tea.21370","ISSN":"00224308","issue":"3","journalAbbreviation":"J Res Sci Teach","language":"en","page":"379-411","source":"DOI.org (Crossref)","title":"Learned inequality: Racial labels in the biology curriculum can affect the development of racial prejudice: LEARNED INEQUALITY","title-short":"Learned inequality","volume":"54","author":[{"family":"Donovan","given":"Brian M."}],"issued":{"date-parts":[["2017",3]]}}},{"id":59,"uris":["http://zotero.org/users/6704422/items/Q4GTSTIE"],"itemData":{"id":59,"type":"article-journal","container-title":"Science Education","DOI":"10.1002/sce.21506","ISSN":"0036-8326, 1098-237X","issue":"3","journalAbbreviation":"Sci. Ed.","language":"en","page":"529-560","source":"DOI.org (Crossref)","title":"Toward a more humane genetics education: Learning about the social and quantitative complexities of human genetic variation research could reduce racial bias in adolescent and adult populations","title-short":"Toward a more humane genetics education","volume":"103","author":[{"family":"Donovan","given":"Brian M."},{"family":"Semmens","given":"Rob"},{"family":"Keck","given":"Phillip"},{"family":"Brimhall","given":"Elizabeth"},{"family":"Busch","given":"K. C."},{"family":"Weindling","given":"Monica"},{"family":"Duncan","given":"Alex"},{"family":"Stuhlsatz","given":"Molly"},{"family":"Bracey","given":"Zoë Buck"},{"family":"Bloom","given":"Mark"},{"family":"Kowalski","given":"Susan"},{"family":"Salazar","given":"Brae"}],"issued":{"date-parts":[["2019",5]]}}}],"schema":"https://github.com/citation-style-language/schema/raw/master/csl-citation.json"} </w:instrText>
      </w:r>
      <w:r w:rsidR="00B81F36">
        <w:rPr>
          <w:rFonts w:ascii="Calibri" w:hAnsi="Calibri" w:eastAsia="Calibri" w:cs="Calibri"/>
        </w:rPr>
        <w:fldChar w:fldCharType="separate"/>
      </w:r>
      <w:r w:rsidRPr="00AC2C37" w:rsidR="00AC2C37">
        <w:rPr>
          <w:rFonts w:ascii="Calibri" w:hAnsi="Calibri" w:cs="Calibri"/>
          <w:szCs w:val="24"/>
        </w:rPr>
        <w:t>[5]–[7]</w:t>
      </w:r>
      <w:r w:rsidR="00B81F36">
        <w:rPr>
          <w:rFonts w:ascii="Calibri" w:hAnsi="Calibri" w:eastAsia="Calibri" w:cs="Calibri"/>
        </w:rPr>
        <w:fldChar w:fldCharType="end"/>
      </w:r>
      <w:r>
        <w:rPr>
          <w:rFonts w:ascii="Calibri" w:hAnsi="Calibri" w:eastAsia="Calibri" w:cs="Calibri"/>
        </w:rPr>
        <w:t xml:space="preserve">. This is important because it has been suggested that those who learn about racial differences in the prevalence of disease </w:t>
      </w:r>
      <w:r w:rsidRPr="5211A523">
        <w:rPr>
          <w:rFonts w:ascii="Calibri" w:hAnsi="Calibri" w:eastAsia="Calibri" w:cs="Calibri"/>
        </w:rPr>
        <w:t>are more likely to agree with a genetic argument for racial inequality</w:t>
      </w:r>
      <w:r>
        <w:rPr>
          <w:rFonts w:ascii="Calibri" w:hAnsi="Calibri" w:eastAsia="Calibri" w:cs="Calibri"/>
        </w:rPr>
        <w:t xml:space="preserve"> </w:t>
      </w:r>
      <w:r>
        <w:rPr>
          <w:rFonts w:ascii="Calibri" w:hAnsi="Calibri" w:eastAsia="Calibri" w:cs="Calibri"/>
        </w:rPr>
        <w:fldChar w:fldCharType="begin"/>
      </w:r>
      <w:r w:rsidR="00AC2C37">
        <w:rPr>
          <w:rFonts w:ascii="Calibri" w:hAnsi="Calibri" w:eastAsia="Calibri" w:cs="Calibri"/>
        </w:rPr>
        <w:instrText xml:space="preserve"> ADDIN ZOTERO_ITEM CSL_CITATION {"citationID":"tzldY3t0","properties":{"formattedCitation":"[6]","plainCitation":"[6]","noteIndex":0},"citationItems":[{"id":64,"uris":["http://zotero.org/users/6704422/items/RZAK9UFR"],"itemData":{"id":64,"type":"article-journal","container-title":"Journal of Research in Science Teaching","DOI":"10.1002/tea.21370","ISSN":"00224308","issue":"3","journalAbbreviation":"J Res Sci Teach","language":"en","page":"379-411","source":"DOI.org (Crossref)","title":"Learned inequality: Racial labels in the biology curriculum can affect the development of racial prejudice: LEARNED INEQUALITY","title-short":"Learned inequality","volume":"54","author":[{"family":"Donovan","given":"Brian M."}],"issued":{"date-parts":[["2017",3]]}}}],"schema":"https://github.com/citation-style-language/schema/raw/master/csl-citation.json"} </w:instrText>
      </w:r>
      <w:r>
        <w:rPr>
          <w:rFonts w:ascii="Calibri" w:hAnsi="Calibri" w:eastAsia="Calibri" w:cs="Calibri"/>
        </w:rPr>
        <w:fldChar w:fldCharType="separate"/>
      </w:r>
      <w:r w:rsidRPr="00AC2C37" w:rsidR="00AC2C37">
        <w:rPr>
          <w:rFonts w:ascii="Calibri" w:hAnsi="Calibri" w:cs="Calibri"/>
        </w:rPr>
        <w:t>[6]</w:t>
      </w:r>
      <w:r>
        <w:rPr>
          <w:rFonts w:ascii="Calibri" w:hAnsi="Calibri" w:eastAsia="Calibri" w:cs="Calibri"/>
        </w:rPr>
        <w:fldChar w:fldCharType="end"/>
      </w:r>
      <w:r>
        <w:rPr>
          <w:rFonts w:ascii="Calibri" w:hAnsi="Calibri" w:eastAsia="Calibri" w:cs="Calibri"/>
        </w:rPr>
        <w:t xml:space="preserve">. </w:t>
      </w:r>
      <w:r w:rsidRPr="5211A523" w:rsidR="5211A523">
        <w:rPr>
          <w:rFonts w:ascii="Calibri" w:hAnsi="Calibri" w:eastAsia="Calibri" w:cs="Calibri"/>
        </w:rPr>
        <w:t xml:space="preserve"> </w:t>
      </w:r>
      <w:r w:rsidR="008E1517">
        <w:rPr>
          <w:rFonts w:ascii="Calibri" w:hAnsi="Calibri" w:eastAsia="Calibri" w:cs="Calibri"/>
        </w:rPr>
        <w:t xml:space="preserve">Also, </w:t>
      </w:r>
      <w:r w:rsidRPr="5211A523" w:rsidR="5211A523">
        <w:rPr>
          <w:rFonts w:ascii="Calibri" w:hAnsi="Calibri" w:eastAsia="Calibri" w:cs="Calibri"/>
        </w:rPr>
        <w:t>genetic determinis</w:t>
      </w:r>
      <w:r w:rsidR="00584279">
        <w:rPr>
          <w:rFonts w:ascii="Calibri" w:hAnsi="Calibri" w:eastAsia="Calibri" w:cs="Calibri"/>
        </w:rPr>
        <w:t>m</w:t>
      </w:r>
      <w:r w:rsidR="00AA1034">
        <w:rPr>
          <w:rFonts w:ascii="Calibri" w:hAnsi="Calibri" w:eastAsia="Calibri" w:cs="Calibri"/>
        </w:rPr>
        <w:t xml:space="preserve">, </w:t>
      </w:r>
      <w:r w:rsidRPr="00584279" w:rsidR="00584279">
        <w:rPr>
          <w:rFonts w:ascii="Calibri" w:hAnsi="Calibri" w:eastAsia="Calibri" w:cs="Calibri"/>
        </w:rPr>
        <w:t>the belief that genetic factors are more important determinants of phenotype than environmental or behavioural factors</w:t>
      </w:r>
      <w:r w:rsidR="00B15F2B">
        <w:rPr>
          <w:rFonts w:ascii="Calibri" w:hAnsi="Calibri" w:eastAsia="Calibri" w:cs="Calibri"/>
        </w:rPr>
        <w:t>,</w:t>
      </w:r>
      <w:r w:rsidRPr="5211A523" w:rsidR="5211A523">
        <w:rPr>
          <w:rFonts w:ascii="Calibri" w:hAnsi="Calibri" w:eastAsia="Calibri" w:cs="Calibri"/>
        </w:rPr>
        <w:t xml:space="preserve"> </w:t>
      </w:r>
      <w:r w:rsidR="008E1517">
        <w:rPr>
          <w:rFonts w:ascii="Calibri" w:hAnsi="Calibri" w:eastAsia="Calibri" w:cs="Calibri"/>
        </w:rPr>
        <w:t>ha</w:t>
      </w:r>
      <w:r w:rsidR="00584279">
        <w:rPr>
          <w:rFonts w:ascii="Calibri" w:hAnsi="Calibri" w:eastAsia="Calibri" w:cs="Calibri"/>
        </w:rPr>
        <w:t>s</w:t>
      </w:r>
      <w:r w:rsidR="008E1517">
        <w:rPr>
          <w:rFonts w:ascii="Calibri" w:hAnsi="Calibri" w:eastAsia="Calibri" w:cs="Calibri"/>
        </w:rPr>
        <w:t xml:space="preserve"> been demonstrated</w:t>
      </w:r>
      <w:r w:rsidRPr="5211A523" w:rsidR="5211A523">
        <w:rPr>
          <w:rFonts w:ascii="Calibri" w:hAnsi="Calibri" w:eastAsia="Calibri" w:cs="Calibri"/>
        </w:rPr>
        <w:t xml:space="preserve"> in studies of genetic</w:t>
      </w:r>
      <w:r w:rsidR="00584279">
        <w:rPr>
          <w:rFonts w:ascii="Calibri" w:hAnsi="Calibri" w:eastAsia="Calibri" w:cs="Calibri"/>
        </w:rPr>
        <w:t>s</w:t>
      </w:r>
      <w:r w:rsidRPr="5211A523" w:rsidR="5211A523">
        <w:rPr>
          <w:rFonts w:ascii="Calibri" w:hAnsi="Calibri" w:eastAsia="Calibri" w:cs="Calibri"/>
        </w:rPr>
        <w:t xml:space="preserve"> understanding in the public</w:t>
      </w:r>
      <w:r w:rsidR="000127F7">
        <w:rPr>
          <w:rFonts w:ascii="Calibri" w:hAnsi="Calibri" w:eastAsia="Calibri" w:cs="Calibri"/>
        </w:rPr>
        <w:t xml:space="preserve"> </w:t>
      </w:r>
      <w:r w:rsidR="000127F7">
        <w:rPr>
          <w:rFonts w:ascii="Calibri" w:hAnsi="Calibri" w:eastAsia="Calibri" w:cs="Calibri"/>
        </w:rPr>
        <w:fldChar w:fldCharType="begin"/>
      </w:r>
      <w:r w:rsidR="00AC2C37">
        <w:rPr>
          <w:rFonts w:ascii="Calibri" w:hAnsi="Calibri" w:eastAsia="Calibri" w:cs="Calibri"/>
        </w:rPr>
        <w:instrText xml:space="preserve"> ADDIN ZOTERO_ITEM CSL_CITATION {"citationID":"lDo2ytb9","properties":{"formattedCitation":"[8]","plainCitation":"[8]","noteIndex":0},"citationItems":[{"id":200,"uris":["http://zotero.org/users/6704422/items/5PCB77TA"],"itemData":{"id":200,"type":"article-journal","container-title":"PLOS ONE","DOI":"10.1371/journal.pone.0169808","ISSN":"1932-6203","issue":"1","journalAbbreviation":"PLoS ONE","language":"en","page":"e0169808","source":"DOI.org (Crossref)","title":"Young Adults’ Belief in Genetic Determinism, and Knowledge and Attitudes towards Modern Genetics and Genomics: The PUGGS Questionnaire","title-short":"Young Adults’ Belief in Genetic Determinism, and Knowledge and Attitudes towards Modern Genetics and Genomics","volume":"12","author":[{"family":"Carver","given":"Rebecca Bruu"},{"family":"Castéra","given":"Jérémy"},{"family":"Gericke","given":"Niklas"},{"family":"Evangelista","given":"Neima Alice Menezes"},{"family":"El-Hani","given":"Charbel N."}],"editor":[{"family":"Li","given":"Dongmei"}],"issued":{"date-parts":[["2017",1,23]]}}}],"schema":"https://github.com/citation-style-language/schema/raw/master/csl-citation.json"} </w:instrText>
      </w:r>
      <w:r w:rsidR="000127F7">
        <w:rPr>
          <w:rFonts w:ascii="Calibri" w:hAnsi="Calibri" w:eastAsia="Calibri" w:cs="Calibri"/>
        </w:rPr>
        <w:fldChar w:fldCharType="separate"/>
      </w:r>
      <w:r w:rsidRPr="00AC2C37" w:rsidR="00AC2C37">
        <w:rPr>
          <w:rFonts w:ascii="Calibri" w:hAnsi="Calibri" w:cs="Calibri"/>
        </w:rPr>
        <w:t>[8]</w:t>
      </w:r>
      <w:r w:rsidR="000127F7">
        <w:rPr>
          <w:rFonts w:ascii="Calibri" w:hAnsi="Calibri" w:eastAsia="Calibri" w:cs="Calibri"/>
        </w:rPr>
        <w:fldChar w:fldCharType="end"/>
      </w:r>
      <w:r w:rsidR="001775BE">
        <w:rPr>
          <w:rFonts w:ascii="Calibri" w:hAnsi="Calibri" w:eastAsia="Calibri" w:cs="Calibri"/>
        </w:rPr>
        <w:t xml:space="preserve">. </w:t>
      </w:r>
      <w:r w:rsidRPr="5211A523" w:rsidR="5211A523">
        <w:rPr>
          <w:rFonts w:ascii="Calibri" w:hAnsi="Calibri" w:eastAsia="Calibri" w:cs="Calibri"/>
        </w:rPr>
        <w:t xml:space="preserve"> </w:t>
      </w:r>
      <w:r w:rsidR="006D34C8">
        <w:rPr>
          <w:rFonts w:ascii="Calibri" w:hAnsi="Calibri" w:eastAsia="Calibri" w:cs="Calibri"/>
        </w:rPr>
        <w:t xml:space="preserve">There </w:t>
      </w:r>
      <w:r w:rsidR="005D51C4">
        <w:rPr>
          <w:rFonts w:ascii="Calibri" w:hAnsi="Calibri" w:eastAsia="Calibri" w:cs="Calibri"/>
        </w:rPr>
        <w:t>is the</w:t>
      </w:r>
      <w:r w:rsidR="000F1574">
        <w:rPr>
          <w:rFonts w:ascii="Calibri" w:hAnsi="Calibri" w:eastAsia="Calibri" w:cs="Calibri"/>
        </w:rPr>
        <w:t>refore a</w:t>
      </w:r>
      <w:r w:rsidRPr="3CBD4E59" w:rsidR="5211A523">
        <w:rPr>
          <w:rFonts w:ascii="Calibri" w:hAnsi="Calibri" w:eastAsia="Calibri" w:cs="Calibri"/>
        </w:rPr>
        <w:t xml:space="preserve"> need to ensure that</w:t>
      </w:r>
      <w:r w:rsidR="000F1574">
        <w:rPr>
          <w:rFonts w:ascii="Calibri" w:hAnsi="Calibri" w:eastAsia="Calibri" w:cs="Calibri"/>
        </w:rPr>
        <w:t>, in teaching about pharmacokinetics</w:t>
      </w:r>
      <w:r w:rsidR="00326466">
        <w:rPr>
          <w:rFonts w:ascii="Calibri" w:hAnsi="Calibri" w:eastAsia="Calibri" w:cs="Calibri"/>
        </w:rPr>
        <w:t>,</w:t>
      </w:r>
      <w:r w:rsidRPr="3CBD4E59" w:rsidR="5211A523">
        <w:rPr>
          <w:rFonts w:ascii="Calibri" w:hAnsi="Calibri" w:eastAsia="Calibri" w:cs="Calibri"/>
        </w:rPr>
        <w:t xml:space="preserve"> these misconceptions</w:t>
      </w:r>
      <w:r w:rsidR="00326466">
        <w:rPr>
          <w:rFonts w:ascii="Calibri" w:hAnsi="Calibri" w:eastAsia="Calibri" w:cs="Calibri"/>
        </w:rPr>
        <w:t xml:space="preserve"> are not perpetuated</w:t>
      </w:r>
      <w:r w:rsidRPr="3CBD4E59" w:rsidR="5211A523">
        <w:rPr>
          <w:rFonts w:ascii="Calibri" w:hAnsi="Calibri" w:eastAsia="Calibri" w:cs="Calibri"/>
        </w:rPr>
        <w:t xml:space="preserve">. </w:t>
      </w:r>
    </w:p>
    <w:p w:rsidR="003358B7" w:rsidP="00880F99" w:rsidRDefault="0083601E" w14:paraId="10E4116B" w14:textId="38BC64C1">
      <w:pPr>
        <w:spacing w:line="257" w:lineRule="auto"/>
        <w:rPr>
          <w:rFonts w:ascii="Calibri" w:hAnsi="Calibri" w:eastAsia="Calibri" w:cs="Calibri"/>
        </w:rPr>
      </w:pPr>
      <w:r>
        <w:rPr>
          <w:rFonts w:ascii="Calibri" w:hAnsi="Calibri" w:eastAsia="Calibri" w:cs="Calibri"/>
        </w:rPr>
        <w:lastRenderedPageBreak/>
        <w:t>An</w:t>
      </w:r>
      <w:r w:rsidR="00AC3D96">
        <w:rPr>
          <w:rFonts w:ascii="Calibri" w:hAnsi="Calibri" w:eastAsia="Calibri" w:cs="Calibri"/>
        </w:rPr>
        <w:t>other cause of potential confusion could be the way in which students understand the terms ethnicity and race</w:t>
      </w:r>
      <w:r w:rsidR="006D60DA">
        <w:rPr>
          <w:rFonts w:ascii="Calibri" w:hAnsi="Calibri" w:eastAsia="Calibri" w:cs="Calibri"/>
        </w:rPr>
        <w:t xml:space="preserve"> since these terms </w:t>
      </w:r>
      <w:r w:rsidR="00E526AA">
        <w:rPr>
          <w:rFonts w:ascii="Calibri" w:hAnsi="Calibri" w:eastAsia="Calibri" w:cs="Calibri"/>
        </w:rPr>
        <w:t>can have subtly different meanings</w:t>
      </w:r>
      <w:r w:rsidR="00BB6758">
        <w:rPr>
          <w:rFonts w:ascii="Calibri" w:hAnsi="Calibri" w:eastAsia="Calibri" w:cs="Calibri"/>
        </w:rPr>
        <w:t xml:space="preserve"> in bioscience fields and in everyday use</w:t>
      </w:r>
      <w:r w:rsidR="009769D9">
        <w:rPr>
          <w:rFonts w:ascii="Calibri" w:hAnsi="Calibri" w:eastAsia="Calibri" w:cs="Calibri"/>
        </w:rPr>
        <w:t xml:space="preserve"> and which are changing over time</w:t>
      </w:r>
      <w:r w:rsidR="006F3539">
        <w:rPr>
          <w:rFonts w:ascii="Calibri" w:hAnsi="Calibri" w:eastAsia="Calibri" w:cs="Calibri"/>
        </w:rPr>
        <w:t xml:space="preserve"> </w:t>
      </w:r>
      <w:r w:rsidR="00B81F36">
        <w:rPr>
          <w:rFonts w:ascii="Calibri" w:hAnsi="Calibri" w:eastAsia="Calibri" w:cs="Calibri"/>
        </w:rPr>
        <w:fldChar w:fldCharType="begin"/>
      </w:r>
      <w:r w:rsidR="00AC2C37">
        <w:rPr>
          <w:rFonts w:ascii="Calibri" w:hAnsi="Calibri" w:eastAsia="Calibri" w:cs="Calibri"/>
        </w:rPr>
        <w:instrText xml:space="preserve"> ADDIN ZOTERO_ITEM CSL_CITATION {"citationID":"OYdyXsGw","properties":{"formattedCitation":"[9]\\uc0\\u8211{}[12]","plainCitation":"[9]–[12]","noteIndex":0},"citationItems":[{"id":149,"uris":["http://zotero.org/users/6704422/items/MPHIGSCM"],"itemData":{"id":149,"type":"article-journal","abstract":"The language commonly used in human genetics can inadvertently pose problems for multiple reasons. Terms like ‘ancestry’, ‘ethnicity’, and other ways of grouping people can have complex, often poorly understood, or multiple meanings within the various fields of genetics, between different domains of biological sciences and medicine, and between scientists and the general public. Furthermore, some categories in frequently used datasets carry scientifically misleading, outmoded or even racist perspectives derived from the history of science. Here, we discuss examples of problematic lexicon in genetics, and how commonly used statistical practices to control for the non-genetic environment may exacerbate difficulties in our terminology, and therefore understanding. Our intention is to stimulate a much-needed discussion about the language of genetics, to begin a process to clarify existing terminology, and in some cases adopt a new lexicon that both serves scientific insight, and cuts us loose from various aspects of a pernicious past.","language":"en","page":"14","source":"Zotero","title":"The Language of Race 180621","author":[{"family":"Birney","given":"Ewan"},{"family":"Inouye","given":"Michael"},{"family":"Raff","given":"Jennifer"},{"family":"Rutherford","given":"Adam"},{"family":"Scally","given":"Aylwyn"}]}},{"id":290,"uris":["http://zotero.org/users/6704422/items/9I3SRVV3"],"itemData":{"id":290,"type":"article-journal","abstract":"Although the term “ethnic group” (EG) is often used in social studies, its definition differs among researchers. Moreover, little is known about ordinary people’s subjective understanding of this term, even though it is often used in social discourse. We examined this issue in a cross-sectional study of 273 American, British, Mexican, and Polish students using an open-ended questions approach. Results revealed cultural differences in patterns of “ethnic group” definitions across the four countries. U.S. respondents predominantly connected EG to “race”; British participants frequently related it to “race,” but more often to “common culture” and “customs/traditions.” Both latter categories were overwhelmingly dominant in Mexico and Poland. However, “nation,” “shared history,” “religion,” “language,” and “territory” were also very popular as EG understandings in Poland. Although most participants used the newer definition of EG (referring to all groups in a society, including minority and majority groups), a few in each country used the term only to refer to minorities and people different from themselves (an older, “minus one” definition). Unexpected definitions of EG also appeared (e.g., people having similar hobbies, having similar work goals, or living in the same city). The results also indicate that for the United States, the United Kingdom, and Mexico, “ethnic group” was more a subgroup within a nation, whereas in Poland, they represented the same level of categorization. The theoretical and practical implications of our findings are discussed.","container-title":"Cross-Cultural Research","DOI":"10.1177/1069397118816939","ISSN":"1069-3971, 1552-3578","issue":"1","journalAbbreviation":"Cross-Cultural Research","language":"en","page":"28-72","source":"DOI.org (Crossref)","title":"What Is an “Ethnic Group” in Ordinary People’s Eyes? Different Ways of Understanding It Among American, British, Mexican, and Polish Respondents","title-short":"What Is an “Ethnic Group” in Ordinary People’s Eyes?","volume":"54","author":[{"family":"Hamer","given":"Katarzyna"},{"family":"McFarland","given":"Sam"},{"family":"Czarnecka","given":"Barbara"},{"family":"Golińska","given":"Agnieszka"},{"family":"Cadena","given":"Liliana Manrique"},{"family":"Łużniak-Piecha","given":"Magdalena"},{"family":"Jułkowski","given":"Tomasz"}],"issued":{"date-parts":[["2020",2]]}}},{"id":252,"uris":["http://zotero.org/users/6704422/items/462L3PBS"],"itemData":{"id":252,"type":"article-journal","abstract":"As the search for human genetic variation has become a priority for biomedical science, debates have resurfaced about the use of race and ethnicity as scientific classifications. In this paper we consider the relationship between race, ethnicity and genetics, using insights from science and technology studies (STS) about processes of classification and standardization. We examine how leading biomedical science journals attempted to standardize the classifications of race and ethnicity, and analyse how a sample of UK genetic scientists used the concepts in their research. Our content analysis of 11 editorials and related guidelines reveals variations in the guidance on offer, and it appears that there has been a shift from defining the concepts to prescribing methodological processes for classification. In qualitative interviews with 17 scientists, the majority reported that they had adopted sociopolitical classification schemes from state bureaucracy (for example, the UK Census) for practical reasons, although some scientists used alternative classifications that they justified on apparently methodological grounds. The different responses evident in the editorials and interviews can be understood as reflecting the balance of flexibility and stability that motivate standardization processes. We argue that, although a genetic concept of race and ethnicity is unlikely to wholly supplant a socio-political one, the adoption of census classifications into biomedical research is an alignment of state bureaucracy and science that could have significant consequences.","container-title":"Social Studies of Science","DOI":"10.1177/0306312707083759","ISSN":"0306-3127, 1460-3659","issue":"3","journalAbbreviation":"Soc Stud Sci","language":"en","page":"407-423","source":"DOI.org (Crossref)","title":"The Standardization of Race and Ethnicity in Biomedical Science Editorials and UK Biobanks","volume":"38","author":[{"family":"Smart","given":"Andrew"},{"family":"Tutton","given":"Richard"},{"family":"Martin","given":"Paul"},{"family":"Ellison","given":"George T.H."},{"family":"Ashcroft","given":"Richard"}],"issued":{"date-parts":[["2008",6]]}}},{"id":254,"uris":["http://zotero.org/users/6704422/items/HUIM65DA"],"itemData":{"id":254,"type":"article-journal","abstract":"The AMA Manual of Style committee welcomes review and comments that will improve the goal of this guidance to encourage fairness, equity, consistency, and clarity in use and reporting of race and ethnicity in the medical and science literature. Continual review of the language used to describe race and ethnicity is critically important as societal norms change. We invite feedback through April 12, 2021, by sending comments to stylemanual@jamanetwork.org.","container-title":"JAMA","DOI":"10.1001/jama.2021.2104","ISSN":"0098-7484","issue":"11","journalAbbreviation":"JAMA","language":"en","page":"1049","source":"DOI.org (Crossref)","title":"The Reporting of Race and Ethnicity in Medical and Science Journals: Comments Invited","title-short":"The Reporting of Race and Ethnicity in Medical and Science Journals","volume":"325","author":[{"family":"Flanagin","given":"Annette"},{"family":"Frey","given":"Tracy"},{"family":"Christiansen","given":"Stacy L."},{"family":"Bauchner","given":"Howard"}],"issued":{"date-parts":[["2021",3,16]]}}}],"schema":"https://github.com/citation-style-language/schema/raw/master/csl-citation.json"} </w:instrText>
      </w:r>
      <w:r w:rsidR="00B81F36">
        <w:rPr>
          <w:rFonts w:ascii="Calibri" w:hAnsi="Calibri" w:eastAsia="Calibri" w:cs="Calibri"/>
        </w:rPr>
        <w:fldChar w:fldCharType="separate"/>
      </w:r>
      <w:r w:rsidRPr="00AC2C37" w:rsidR="00AC2C37">
        <w:rPr>
          <w:rFonts w:ascii="Calibri" w:hAnsi="Calibri" w:cs="Calibri"/>
          <w:szCs w:val="24"/>
        </w:rPr>
        <w:t>[9]–[12]</w:t>
      </w:r>
      <w:r w:rsidR="00B81F36">
        <w:rPr>
          <w:rFonts w:ascii="Calibri" w:hAnsi="Calibri" w:eastAsia="Calibri" w:cs="Calibri"/>
        </w:rPr>
        <w:fldChar w:fldCharType="end"/>
      </w:r>
      <w:r w:rsidR="009769D9">
        <w:rPr>
          <w:rFonts w:ascii="Calibri" w:hAnsi="Calibri" w:eastAsia="Calibri" w:cs="Calibri"/>
        </w:rPr>
        <w:t>.</w:t>
      </w:r>
      <w:r w:rsidR="00407F4B">
        <w:rPr>
          <w:rFonts w:ascii="Calibri" w:hAnsi="Calibri" w:eastAsia="Calibri" w:cs="Calibri"/>
        </w:rPr>
        <w:t xml:space="preserve"> </w:t>
      </w:r>
      <w:r w:rsidR="00965E6D">
        <w:rPr>
          <w:rFonts w:ascii="Calibri" w:hAnsi="Calibri" w:eastAsia="Calibri" w:cs="Calibri"/>
        </w:rPr>
        <w:t xml:space="preserve">How </w:t>
      </w:r>
      <w:r w:rsidR="005F0B1F">
        <w:rPr>
          <w:rFonts w:ascii="Calibri" w:hAnsi="Calibri" w:eastAsia="Calibri" w:cs="Calibri"/>
        </w:rPr>
        <w:t>future doctors and scientists understand ethnicity matters</w:t>
      </w:r>
      <w:r w:rsidRPr="5211A523" w:rsidR="003358B7">
        <w:rPr>
          <w:rFonts w:ascii="Calibri" w:hAnsi="Calibri" w:eastAsia="Calibri" w:cs="Calibri"/>
        </w:rPr>
        <w:t xml:space="preserve"> because it has been proposed that the attribution of the prevalence of certain illnesses or conditions, e.g., cystic fibrosis, sickle cell anaemia and osteoporosis, more to a particular ethnic group can lead to the unintended consequence of underdiagnosis in other ethnic groups</w:t>
      </w:r>
      <w:r w:rsidR="003358B7">
        <w:rPr>
          <w:rFonts w:ascii="Calibri" w:hAnsi="Calibri" w:eastAsia="Calibri" w:cs="Calibri"/>
        </w:rPr>
        <w:t xml:space="preserve"> </w:t>
      </w:r>
      <w:r w:rsidR="003358B7">
        <w:rPr>
          <w:rFonts w:ascii="Calibri" w:hAnsi="Calibri" w:eastAsia="Calibri" w:cs="Calibri"/>
        </w:rPr>
        <w:fldChar w:fldCharType="begin"/>
      </w:r>
      <w:r w:rsidR="00AC2C37">
        <w:rPr>
          <w:rFonts w:ascii="Calibri" w:hAnsi="Calibri" w:eastAsia="Calibri" w:cs="Calibri"/>
        </w:rPr>
        <w:instrText xml:space="preserve"> ADDIN ZOTERO_ITEM CSL_CITATION {"citationID":"zId5wPuE","properties":{"formattedCitation":"[13], [14]","plainCitation":"[13], [14]","noteIndex":0},"citationItems":[{"id":184,"uris":["http://zotero.org/users/6704422/items/3JPFFNLZ"],"itemData":{"id":184,"type":"article-journal","container-title":"Science","issue":"6273","page":"564-565","title":"Taking race out of human genetics","volume":"351","author":[{"family":"Yudell","given":"Michael"},{"family":"Roberts","given":"Dorothy"},{"family":"DeSalle","given":"Rob"},{"family":"Tishkoff","given":"Sarah"}],"issued":{"date-parts":[["2016"]]}}},{"id":187,"uris":["http://zotero.org/users/6704422/items/DAI7YD49"],"itemData":{"id":187,"type":"article-magazine","container-title":"www.sapiens.org","title":"Race Is Real, But It’s Not Genetic","URL":"https://www.sapiens.org/biology/is-race-real/","author":[{"family":"Goodman","given":"Alan"}],"accessed":{"date-parts":[["2021",6,8]]},"issued":{"date-parts":[["2020",3,13]]}}}],"schema":"https://github.com/citation-style-language/schema/raw/master/csl-citation.json"} </w:instrText>
      </w:r>
      <w:r w:rsidR="003358B7">
        <w:rPr>
          <w:rFonts w:ascii="Calibri" w:hAnsi="Calibri" w:eastAsia="Calibri" w:cs="Calibri"/>
        </w:rPr>
        <w:fldChar w:fldCharType="separate"/>
      </w:r>
      <w:r w:rsidRPr="00AC2C37" w:rsidR="00AC2C37">
        <w:rPr>
          <w:rFonts w:ascii="Calibri" w:hAnsi="Calibri" w:cs="Calibri"/>
        </w:rPr>
        <w:t>[13], [14]</w:t>
      </w:r>
      <w:r w:rsidR="003358B7">
        <w:rPr>
          <w:rFonts w:ascii="Calibri" w:hAnsi="Calibri" w:eastAsia="Calibri" w:cs="Calibri"/>
        </w:rPr>
        <w:fldChar w:fldCharType="end"/>
      </w:r>
      <w:r w:rsidRPr="5211A523" w:rsidR="003358B7">
        <w:rPr>
          <w:rFonts w:ascii="Calibri" w:hAnsi="Calibri" w:eastAsia="Calibri" w:cs="Calibri"/>
        </w:rPr>
        <w:t>.</w:t>
      </w:r>
    </w:p>
    <w:p w:rsidR="00506635" w:rsidP="5211A523" w:rsidRDefault="005223EF" w14:paraId="444AB5F0" w14:textId="0B1BDF72">
      <w:pPr>
        <w:spacing w:line="257" w:lineRule="auto"/>
        <w:rPr>
          <w:rFonts w:ascii="Calibri" w:hAnsi="Calibri" w:eastAsia="Calibri" w:cs="Calibri"/>
        </w:rPr>
      </w:pPr>
      <w:r w:rsidRPr="005223EF">
        <w:rPr>
          <w:rFonts w:ascii="Calibri" w:hAnsi="Calibri" w:eastAsia="Calibri" w:cs="Calibri"/>
        </w:rPr>
        <w:t>In this paper we</w:t>
      </w:r>
      <w:r w:rsidR="0044156B">
        <w:rPr>
          <w:rFonts w:ascii="Calibri" w:hAnsi="Calibri" w:eastAsia="Calibri" w:cs="Calibri"/>
        </w:rPr>
        <w:t xml:space="preserve"> </w:t>
      </w:r>
      <w:r w:rsidRPr="005223EF" w:rsidR="0044156B">
        <w:rPr>
          <w:rFonts w:ascii="Calibri" w:hAnsi="Calibri" w:eastAsia="Calibri" w:cs="Calibri"/>
        </w:rPr>
        <w:t>investigate</w:t>
      </w:r>
      <w:r w:rsidR="00A20074">
        <w:rPr>
          <w:rFonts w:ascii="Calibri" w:hAnsi="Calibri" w:eastAsia="Calibri" w:cs="Calibri"/>
        </w:rPr>
        <w:t>d</w:t>
      </w:r>
      <w:r w:rsidRPr="005223EF" w:rsidR="0044156B">
        <w:rPr>
          <w:rFonts w:ascii="Calibri" w:hAnsi="Calibri" w:eastAsia="Calibri" w:cs="Calibri"/>
        </w:rPr>
        <w:t xml:space="preserve"> how </w:t>
      </w:r>
      <w:r w:rsidR="0086686F">
        <w:rPr>
          <w:rFonts w:ascii="Calibri" w:hAnsi="Calibri" w:eastAsia="Calibri" w:cs="Calibri"/>
        </w:rPr>
        <w:t xml:space="preserve">students </w:t>
      </w:r>
      <w:r w:rsidRPr="006B7DDF" w:rsidR="0044156B">
        <w:rPr>
          <w:rFonts w:ascii="Calibri" w:hAnsi="Calibri" w:eastAsia="Calibri" w:cs="Calibri"/>
        </w:rPr>
        <w:t>understand ethnicity, whether they demonstrate gaps in understanding about genetics and/or hold genetic deterministic views or misconceptions about ethnicity and genetic similarity</w:t>
      </w:r>
      <w:r w:rsidRPr="006B7DDF" w:rsidR="00334F9E">
        <w:rPr>
          <w:rFonts w:ascii="Calibri" w:hAnsi="Calibri" w:eastAsia="Calibri" w:cs="Calibri"/>
        </w:rPr>
        <w:t xml:space="preserve">. </w:t>
      </w:r>
      <w:r w:rsidRPr="006B7DDF" w:rsidR="00085639">
        <w:rPr>
          <w:rFonts w:ascii="Calibri" w:hAnsi="Calibri" w:eastAsia="Calibri" w:cs="Calibri"/>
        </w:rPr>
        <w:t>We</w:t>
      </w:r>
      <w:r w:rsidRPr="006B7DDF">
        <w:rPr>
          <w:rFonts w:ascii="Calibri" w:hAnsi="Calibri" w:eastAsia="Calibri" w:cs="Calibri"/>
        </w:rPr>
        <w:t xml:space="preserve"> </w:t>
      </w:r>
      <w:r w:rsidRPr="006B7DDF" w:rsidR="0044156B">
        <w:rPr>
          <w:rFonts w:ascii="Calibri" w:hAnsi="Calibri" w:eastAsia="Calibri" w:cs="Calibri"/>
        </w:rPr>
        <w:t xml:space="preserve">describe the design of a teaching </w:t>
      </w:r>
      <w:r w:rsidRPr="006B7DDF" w:rsidR="00B8621F">
        <w:rPr>
          <w:rFonts w:ascii="Calibri" w:hAnsi="Calibri" w:eastAsia="Calibri" w:cs="Calibri"/>
        </w:rPr>
        <w:t>session about inter-individual variation in pharmacokinetics and evaluate this to determine whether students understanding of ethnicity</w:t>
      </w:r>
      <w:r w:rsidRPr="006B7DDF" w:rsidR="00230EA2">
        <w:rPr>
          <w:rFonts w:ascii="Calibri" w:hAnsi="Calibri" w:eastAsia="Calibri" w:cs="Calibri"/>
        </w:rPr>
        <w:t xml:space="preserve"> </w:t>
      </w:r>
      <w:r w:rsidRPr="006B7DDF" w:rsidR="00850A47">
        <w:rPr>
          <w:rFonts w:ascii="Calibri" w:hAnsi="Calibri" w:eastAsia="Calibri" w:cs="Calibri"/>
        </w:rPr>
        <w:t xml:space="preserve">and </w:t>
      </w:r>
      <w:r w:rsidRPr="006B7DDF" w:rsidR="00AE3118">
        <w:rPr>
          <w:rFonts w:ascii="Calibri" w:hAnsi="Calibri" w:eastAsia="Calibri" w:cs="Calibri"/>
        </w:rPr>
        <w:t xml:space="preserve">any misconceptions </w:t>
      </w:r>
      <w:r w:rsidRPr="006B7DDF" w:rsidR="00230EA2">
        <w:rPr>
          <w:rFonts w:ascii="Calibri" w:hAnsi="Calibri" w:eastAsia="Calibri" w:cs="Calibri"/>
        </w:rPr>
        <w:t>were</w:t>
      </w:r>
      <w:r w:rsidRPr="006B7DDF" w:rsidR="00850A47">
        <w:rPr>
          <w:rFonts w:ascii="Calibri" w:hAnsi="Calibri" w:eastAsia="Calibri" w:cs="Calibri"/>
        </w:rPr>
        <w:t xml:space="preserve"> influenced by our teaching session.</w:t>
      </w:r>
    </w:p>
    <w:p w:rsidRPr="002F2445" w:rsidR="004133D5" w:rsidP="002F2445" w:rsidRDefault="004133D5" w14:paraId="17DFFDD6" w14:textId="5227D17D">
      <w:pPr>
        <w:pStyle w:val="Heading2"/>
        <w:rPr>
          <w:rFonts w:eastAsia="Calibri"/>
        </w:rPr>
      </w:pPr>
      <w:r w:rsidRPr="002F2445">
        <w:rPr>
          <w:rFonts w:eastAsia="Calibri"/>
        </w:rPr>
        <w:t>Methods</w:t>
      </w:r>
    </w:p>
    <w:p w:rsidRPr="006A4192" w:rsidR="006A4192" w:rsidP="006A4192" w:rsidRDefault="006A4192" w14:paraId="3D7ECE9F" w14:textId="77777777">
      <w:pPr>
        <w:pStyle w:val="Heading3"/>
        <w:rPr>
          <w:rFonts w:eastAsia="Calibri"/>
        </w:rPr>
      </w:pPr>
      <w:r w:rsidRPr="006A4192">
        <w:rPr>
          <w:rFonts w:eastAsia="Calibri"/>
        </w:rPr>
        <w:t>Study design</w:t>
      </w:r>
    </w:p>
    <w:p w:rsidR="00155EDE" w:rsidP="00EC0E27" w:rsidRDefault="00BB4BB0" w14:paraId="002EA4A7" w14:textId="542CD4DF">
      <w:pPr>
        <w:spacing w:line="257" w:lineRule="auto"/>
        <w:rPr>
          <w:rFonts w:ascii="Calibri" w:hAnsi="Calibri" w:eastAsia="Calibri" w:cs="Calibri"/>
        </w:rPr>
      </w:pPr>
      <w:r w:rsidRPr="7A02BE1E" w:rsidR="00BB4BB0">
        <w:rPr>
          <w:rFonts w:ascii="Calibri" w:hAnsi="Calibri" w:eastAsia="Calibri" w:cs="Calibri"/>
        </w:rPr>
        <w:t>The study design is summarised in Figure 2: a</w:t>
      </w:r>
      <w:r w:rsidRPr="7A02BE1E" w:rsidR="00814A7D">
        <w:rPr>
          <w:rFonts w:ascii="Calibri" w:hAnsi="Calibri" w:eastAsia="Calibri" w:cs="Calibri"/>
        </w:rPr>
        <w:t xml:space="preserve"> pre-ques</w:t>
      </w:r>
      <w:r w:rsidRPr="7A02BE1E" w:rsidR="003E3AD9">
        <w:rPr>
          <w:rFonts w:ascii="Calibri" w:hAnsi="Calibri" w:eastAsia="Calibri" w:cs="Calibri"/>
        </w:rPr>
        <w:t>t</w:t>
      </w:r>
      <w:r w:rsidRPr="7A02BE1E" w:rsidR="00814A7D">
        <w:rPr>
          <w:rFonts w:ascii="Calibri" w:hAnsi="Calibri" w:eastAsia="Calibri" w:cs="Calibri"/>
        </w:rPr>
        <w:t>ionnaire was</w:t>
      </w:r>
      <w:r w:rsidRPr="7A02BE1E" w:rsidR="00A20074">
        <w:rPr>
          <w:rFonts w:ascii="Calibri" w:hAnsi="Calibri" w:eastAsia="Calibri" w:cs="Calibri"/>
        </w:rPr>
        <w:t xml:space="preserve"> prepared by adapting </w:t>
      </w:r>
      <w:r w:rsidRPr="7A02BE1E" w:rsidR="003E6574">
        <w:rPr>
          <w:rFonts w:ascii="Calibri" w:hAnsi="Calibri" w:eastAsia="Calibri" w:cs="Calibri"/>
        </w:rPr>
        <w:t>a questionnaire by Jamieson and Radick [14]</w:t>
      </w:r>
      <w:r w:rsidRPr="7A02BE1E" w:rsidR="00CB7C07">
        <w:rPr>
          <w:rFonts w:ascii="Calibri" w:hAnsi="Calibri" w:eastAsia="Calibri" w:cs="Calibri"/>
        </w:rPr>
        <w:t xml:space="preserve"> see Supplementary Material S1 for the questionnaire</w:t>
      </w:r>
      <w:r w:rsidRPr="7A02BE1E" w:rsidR="003E6574">
        <w:rPr>
          <w:rFonts w:ascii="Calibri" w:hAnsi="Calibri" w:eastAsia="Calibri" w:cs="Calibri"/>
        </w:rPr>
        <w:t xml:space="preserve">. </w:t>
      </w:r>
      <w:r w:rsidRPr="7A02BE1E" w:rsidR="00A20074">
        <w:rPr>
          <w:rFonts w:ascii="Calibri" w:hAnsi="Calibri" w:eastAsia="Calibri" w:cs="Calibri"/>
        </w:rPr>
        <w:t>This was then</w:t>
      </w:r>
      <w:r w:rsidRPr="7A02BE1E" w:rsidR="00814A7D">
        <w:rPr>
          <w:rFonts w:ascii="Calibri" w:hAnsi="Calibri" w:eastAsia="Calibri" w:cs="Calibri"/>
        </w:rPr>
        <w:t xml:space="preserve"> administered</w:t>
      </w:r>
      <w:r w:rsidRPr="7A02BE1E" w:rsidR="00A20074">
        <w:rPr>
          <w:rFonts w:ascii="Calibri" w:hAnsi="Calibri" w:eastAsia="Calibri" w:cs="Calibri"/>
        </w:rPr>
        <w:t xml:space="preserve"> to a range of university students </w:t>
      </w:r>
      <w:r w:rsidRPr="7A02BE1E" w:rsidR="009E7DAD">
        <w:rPr>
          <w:rFonts w:ascii="Calibri" w:hAnsi="Calibri" w:eastAsia="Calibri" w:cs="Calibri"/>
        </w:rPr>
        <w:t xml:space="preserve">and </w:t>
      </w:r>
      <w:r w:rsidRPr="7A02BE1E" w:rsidR="00814A7D">
        <w:rPr>
          <w:rFonts w:ascii="Calibri" w:hAnsi="Calibri" w:eastAsia="Calibri" w:cs="Calibri"/>
        </w:rPr>
        <w:t xml:space="preserve">followed </w:t>
      </w:r>
      <w:r w:rsidRPr="7A02BE1E" w:rsidR="00814A7D">
        <w:rPr>
          <w:rFonts w:ascii="Calibri" w:hAnsi="Calibri" w:eastAsia="Calibri" w:cs="Calibri"/>
        </w:rPr>
        <w:t>immediately</w:t>
      </w:r>
      <w:r w:rsidRPr="7A02BE1E" w:rsidR="00814A7D">
        <w:rPr>
          <w:rFonts w:ascii="Calibri" w:hAnsi="Calibri" w:eastAsia="Calibri" w:cs="Calibri"/>
        </w:rPr>
        <w:t xml:space="preserve"> by a teaching </w:t>
      </w:r>
      <w:r w:rsidRPr="7A02BE1E" w:rsidR="009E7DAD">
        <w:rPr>
          <w:rFonts w:ascii="Calibri" w:hAnsi="Calibri" w:eastAsia="Calibri" w:cs="Calibri"/>
        </w:rPr>
        <w:t>session about</w:t>
      </w:r>
      <w:r w:rsidRPr="7A02BE1E" w:rsidR="00814A7D">
        <w:rPr>
          <w:rFonts w:ascii="Calibri" w:hAnsi="Calibri" w:eastAsia="Calibri" w:cs="Calibri"/>
        </w:rPr>
        <w:t xml:space="preserve"> </w:t>
      </w:r>
      <w:r w:rsidRPr="7A02BE1E" w:rsidR="000D0510">
        <w:rPr>
          <w:rFonts w:ascii="Calibri" w:hAnsi="Calibri" w:eastAsia="Calibri" w:cs="Calibri"/>
        </w:rPr>
        <w:t xml:space="preserve">inter-individual variation in </w:t>
      </w:r>
      <w:r w:rsidRPr="7A02BE1E" w:rsidR="00814A7D">
        <w:rPr>
          <w:rFonts w:ascii="Calibri" w:hAnsi="Calibri" w:eastAsia="Calibri" w:cs="Calibri"/>
        </w:rPr>
        <w:t>pharmacokinetics</w:t>
      </w:r>
      <w:r w:rsidRPr="7A02BE1E" w:rsidR="009E7DAD">
        <w:rPr>
          <w:rFonts w:ascii="Calibri" w:hAnsi="Calibri" w:eastAsia="Calibri" w:cs="Calibri"/>
        </w:rPr>
        <w:t>. A</w:t>
      </w:r>
      <w:r w:rsidRPr="7A02BE1E" w:rsidR="00814A7D">
        <w:rPr>
          <w:rFonts w:ascii="Calibri" w:hAnsi="Calibri" w:eastAsia="Calibri" w:cs="Calibri"/>
        </w:rPr>
        <w:t xml:space="preserve"> post-questionnaire</w:t>
      </w:r>
      <w:r w:rsidRPr="7A02BE1E" w:rsidR="009E7DAD">
        <w:rPr>
          <w:rFonts w:ascii="Calibri" w:hAnsi="Calibri" w:eastAsia="Calibri" w:cs="Calibri"/>
        </w:rPr>
        <w:t xml:space="preserve"> was then administered </w:t>
      </w:r>
      <w:r w:rsidRPr="7A02BE1E" w:rsidR="009E7DAD">
        <w:rPr>
          <w:rFonts w:ascii="Calibri" w:hAnsi="Calibri" w:eastAsia="Calibri" w:cs="Calibri"/>
        </w:rPr>
        <w:t>immediately</w:t>
      </w:r>
      <w:r w:rsidRPr="7A02BE1E" w:rsidR="009E7DAD">
        <w:rPr>
          <w:rFonts w:ascii="Calibri" w:hAnsi="Calibri" w:eastAsia="Calibri" w:cs="Calibri"/>
        </w:rPr>
        <w:t xml:space="preserve"> after the teaching session.</w:t>
      </w:r>
      <w:r w:rsidRPr="7A02BE1E" w:rsidR="003E3AD9">
        <w:rPr>
          <w:rFonts w:ascii="Calibri" w:hAnsi="Calibri" w:eastAsia="Calibri" w:cs="Calibri"/>
        </w:rPr>
        <w:t xml:space="preserve"> </w:t>
      </w:r>
      <w:r w:rsidRPr="7A02BE1E" w:rsidR="00AC3AA7">
        <w:rPr>
          <w:rFonts w:ascii="Calibri" w:hAnsi="Calibri" w:eastAsia="Calibri" w:cs="Calibri"/>
        </w:rPr>
        <w:t>P</w:t>
      </w:r>
      <w:r w:rsidRPr="7A02BE1E" w:rsidR="0001127C">
        <w:rPr>
          <w:rFonts w:ascii="Calibri" w:hAnsi="Calibri" w:eastAsia="Calibri" w:cs="Calibri"/>
        </w:rPr>
        <w:t>articipation</w:t>
      </w:r>
      <w:r w:rsidRPr="7A02BE1E" w:rsidR="0001127C">
        <w:rPr>
          <w:rFonts w:ascii="Calibri" w:hAnsi="Calibri" w:eastAsia="Calibri" w:cs="Calibri"/>
        </w:rPr>
        <w:t xml:space="preserve"> </w:t>
      </w:r>
      <w:r w:rsidRPr="7A02BE1E" w:rsidR="00AC3AA7">
        <w:rPr>
          <w:rFonts w:ascii="Calibri" w:hAnsi="Calibri" w:eastAsia="Calibri" w:cs="Calibri"/>
        </w:rPr>
        <w:t xml:space="preserve">in questionnaires </w:t>
      </w:r>
      <w:r w:rsidRPr="7A02BE1E" w:rsidR="000C3644">
        <w:rPr>
          <w:rFonts w:ascii="Calibri" w:hAnsi="Calibri" w:eastAsia="Calibri" w:cs="Calibri"/>
        </w:rPr>
        <w:t>was voluntary</w:t>
      </w:r>
      <w:r w:rsidRPr="7A02BE1E" w:rsidR="00AC3AA7">
        <w:rPr>
          <w:rFonts w:ascii="Calibri" w:hAnsi="Calibri" w:eastAsia="Calibri" w:cs="Calibri"/>
        </w:rPr>
        <w:t xml:space="preserve"> whilst the teaching session was a normal timetabled part of the courses</w:t>
      </w:r>
      <w:r w:rsidRPr="7A02BE1E" w:rsidR="00AC3AA7">
        <w:rPr>
          <w:rFonts w:ascii="Calibri" w:hAnsi="Calibri" w:eastAsia="Calibri" w:cs="Calibri"/>
        </w:rPr>
        <w:t xml:space="preserve">. </w:t>
      </w:r>
      <w:r w:rsidRPr="7A02BE1E" w:rsidR="000C3644">
        <w:rPr>
          <w:rFonts w:ascii="Calibri" w:hAnsi="Calibri" w:eastAsia="Calibri" w:cs="Calibri"/>
        </w:rPr>
        <w:t xml:space="preserve"> </w:t>
      </w:r>
      <w:r w:rsidRPr="7A02BE1E" w:rsidR="00DD68F8">
        <w:rPr>
          <w:rFonts w:ascii="Calibri" w:hAnsi="Calibri" w:eastAsia="Calibri" w:cs="Calibri"/>
        </w:rPr>
        <w:t>The study was</w:t>
      </w:r>
      <w:r w:rsidRPr="7A02BE1E" w:rsidR="000C3644">
        <w:rPr>
          <w:rFonts w:ascii="Calibri" w:hAnsi="Calibri" w:eastAsia="Calibri" w:cs="Calibri"/>
        </w:rPr>
        <w:t xml:space="preserve"> approved by </w:t>
      </w:r>
      <w:r w:rsidRPr="7A02BE1E" w:rsidR="000C3644">
        <w:rPr>
          <w:rFonts w:ascii="Calibri" w:hAnsi="Calibri" w:eastAsia="Calibri" w:cs="Calibri"/>
        </w:rPr>
        <w:t>the Faculty of Medicine and Health Sciences Research Ethics committee of the University of Nottingham (Ethics approval number: FMHS 362-1021).</w:t>
      </w:r>
      <w:r w:rsidRPr="7A02BE1E" w:rsidR="00532E42">
        <w:rPr>
          <w:rFonts w:ascii="Calibri" w:hAnsi="Calibri" w:eastAsia="Calibri" w:cs="Calibri"/>
        </w:rPr>
        <w:t xml:space="preserve"> Respondents gave informed consent </w:t>
      </w:r>
      <w:r w:rsidRPr="7A02BE1E" w:rsidR="00532E42">
        <w:rPr>
          <w:rFonts w:ascii="Calibri" w:hAnsi="Calibri" w:eastAsia="Calibri" w:cs="Calibri"/>
        </w:rPr>
        <w:t>in accordance with</w:t>
      </w:r>
      <w:r w:rsidRPr="7A02BE1E" w:rsidR="00532E42">
        <w:rPr>
          <w:rFonts w:ascii="Calibri" w:hAnsi="Calibri" w:eastAsia="Calibri" w:cs="Calibri"/>
        </w:rPr>
        <w:t xml:space="preserve"> the ethics approval.</w:t>
      </w:r>
      <w:r w:rsidRPr="7A02BE1E" w:rsidR="007E678D">
        <w:rPr>
          <w:rFonts w:ascii="Calibri" w:hAnsi="Calibri" w:eastAsia="Calibri" w:cs="Calibri"/>
        </w:rPr>
        <w:t xml:space="preserve"> </w:t>
      </w:r>
    </w:p>
    <w:p w:rsidR="00155EDE" w:rsidP="00EC0E27" w:rsidRDefault="00155EDE" w14:paraId="08E08C9E" w14:textId="12B0BF25">
      <w:pPr>
        <w:spacing w:line="257" w:lineRule="auto"/>
        <w:rPr>
          <w:rFonts w:ascii="Calibri" w:hAnsi="Calibri" w:eastAsia="Calibri" w:cs="Calibri"/>
        </w:rPr>
      </w:pPr>
      <w:r>
        <w:rPr>
          <w:rFonts w:ascii="Calibri" w:hAnsi="Calibri" w:eastAsia="Calibri" w:cs="Calibri"/>
          <w:noProof/>
        </w:rPr>
        <w:drawing>
          <wp:inline distT="0" distB="0" distL="0" distR="0" wp14:anchorId="21A1994D" wp14:editId="3B48CD4D">
            <wp:extent cx="5486400" cy="1543050"/>
            <wp:effectExtent l="38100" t="0" r="57150" b="0"/>
            <wp:docPr id="1073473641"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Pr="00C458BD" w:rsidR="00352DF3" w:rsidP="00352DF3" w:rsidRDefault="00352DF3" w14:paraId="6F2C7BEA" w14:textId="77777777">
      <w:pPr>
        <w:spacing w:line="257" w:lineRule="auto"/>
        <w:rPr>
          <w:rFonts w:ascii="Calibri" w:hAnsi="Calibri" w:eastAsia="Calibri" w:cs="Calibri"/>
          <w:b/>
          <w:bCs/>
        </w:rPr>
      </w:pPr>
      <w:r w:rsidRPr="00C458BD">
        <w:rPr>
          <w:rFonts w:ascii="Calibri" w:hAnsi="Calibri" w:eastAsia="Calibri" w:cs="Calibri"/>
          <w:b/>
          <w:bCs/>
        </w:rPr>
        <w:t>Figure 2. Study design.</w:t>
      </w:r>
    </w:p>
    <w:p w:rsidR="00352DF3" w:rsidP="00EC0E27" w:rsidRDefault="00352DF3" w14:paraId="6B46F596" w14:textId="77777777">
      <w:pPr>
        <w:spacing w:line="257" w:lineRule="auto"/>
        <w:rPr>
          <w:rFonts w:ascii="Calibri" w:hAnsi="Calibri" w:eastAsia="Calibri" w:cs="Calibri"/>
        </w:rPr>
      </w:pPr>
    </w:p>
    <w:p w:rsidRPr="00C26225" w:rsidR="008E3CAD" w:rsidP="00700BBD" w:rsidRDefault="008E3CAD" w14:paraId="79F7DB40" w14:textId="2327669D">
      <w:pPr>
        <w:pStyle w:val="Heading3"/>
        <w:rPr>
          <w:rFonts w:eastAsia="Calibri"/>
        </w:rPr>
      </w:pPr>
      <w:r w:rsidRPr="00C26225">
        <w:rPr>
          <w:rFonts w:eastAsia="Calibri"/>
        </w:rPr>
        <w:t>Context</w:t>
      </w:r>
      <w:r w:rsidR="00833C50">
        <w:rPr>
          <w:rFonts w:eastAsia="Calibri"/>
        </w:rPr>
        <w:t xml:space="preserve"> and </w:t>
      </w:r>
      <w:r w:rsidRPr="00700BBD" w:rsidR="00833C50">
        <w:t>Population</w:t>
      </w:r>
    </w:p>
    <w:p w:rsidR="00515B80" w:rsidP="5211A523" w:rsidRDefault="006D290A" w14:paraId="44CF4C19" w14:textId="02502B7B">
      <w:pPr>
        <w:spacing w:line="257" w:lineRule="auto"/>
        <w:rPr>
          <w:rFonts w:ascii="Calibri" w:hAnsi="Calibri" w:eastAsia="Calibri" w:cs="Calibri"/>
        </w:rPr>
      </w:pPr>
      <w:r>
        <w:rPr>
          <w:rFonts w:ascii="Calibri" w:hAnsi="Calibri" w:eastAsia="Calibri" w:cs="Calibri"/>
        </w:rPr>
        <w:t>Students were drawn from courses in Graduate Entry Medicine, MSc Drug Discovery and BSc courses in Medical Physiology and Therapeutics and Pharmacology</w:t>
      </w:r>
      <w:r w:rsidR="002F6E72">
        <w:rPr>
          <w:rFonts w:ascii="Calibri" w:hAnsi="Calibri" w:eastAsia="Calibri" w:cs="Calibri"/>
        </w:rPr>
        <w:t xml:space="preserve"> in a large research-intensive University in central England.</w:t>
      </w:r>
    </w:p>
    <w:p w:rsidRPr="00700BBD" w:rsidR="00A90DF6" w:rsidP="00700BBD" w:rsidRDefault="002A36D0" w14:paraId="1C70970C" w14:textId="698D4358">
      <w:pPr>
        <w:pStyle w:val="Heading3"/>
      </w:pPr>
      <w:r w:rsidRPr="00700BBD">
        <w:t>Questionnaire</w:t>
      </w:r>
      <w:r w:rsidR="00EC6ED7">
        <w:t xml:space="preserve"> design</w:t>
      </w:r>
    </w:p>
    <w:p w:rsidR="00FC4EB8" w:rsidP="5211A523" w:rsidRDefault="00B72533" w14:paraId="1052C0E3" w14:textId="4A11B4E9">
      <w:pPr>
        <w:spacing w:line="257" w:lineRule="auto"/>
        <w:rPr>
          <w:rFonts w:ascii="Calibri" w:hAnsi="Calibri" w:eastAsia="Calibri" w:cs="Calibri"/>
        </w:rPr>
      </w:pPr>
      <w:r>
        <w:rPr>
          <w:rFonts w:ascii="Calibri" w:hAnsi="Calibri" w:eastAsia="Calibri" w:cs="Calibri"/>
        </w:rPr>
        <w:t xml:space="preserve">The pre-questionnaire </w:t>
      </w:r>
      <w:r w:rsidR="00390244">
        <w:rPr>
          <w:rFonts w:ascii="Calibri" w:hAnsi="Calibri" w:eastAsia="Calibri" w:cs="Calibri"/>
        </w:rPr>
        <w:t>(see Supplementary Material</w:t>
      </w:r>
      <w:r w:rsidR="006C5E69">
        <w:rPr>
          <w:rFonts w:ascii="Calibri" w:hAnsi="Calibri" w:eastAsia="Calibri" w:cs="Calibri"/>
        </w:rPr>
        <w:t xml:space="preserve"> S1</w:t>
      </w:r>
      <w:r w:rsidR="00390244">
        <w:rPr>
          <w:rFonts w:ascii="Calibri" w:hAnsi="Calibri" w:eastAsia="Calibri" w:cs="Calibri"/>
        </w:rPr>
        <w:t xml:space="preserve">) </w:t>
      </w:r>
      <w:r>
        <w:rPr>
          <w:rFonts w:ascii="Calibri" w:hAnsi="Calibri" w:eastAsia="Calibri" w:cs="Calibri"/>
        </w:rPr>
        <w:t>included three sections</w:t>
      </w:r>
      <w:r w:rsidR="00FC4EB8">
        <w:rPr>
          <w:rFonts w:ascii="Calibri" w:hAnsi="Calibri" w:eastAsia="Calibri" w:cs="Calibri"/>
        </w:rPr>
        <w:t>:</w:t>
      </w:r>
    </w:p>
    <w:p w:rsidRPr="003D3700" w:rsidR="003D3700" w:rsidP="00F030E1" w:rsidRDefault="00FB7D20" w14:paraId="17AF2996" w14:textId="2EDAB774">
      <w:pPr>
        <w:pStyle w:val="ListParagraph"/>
        <w:numPr>
          <w:ilvl w:val="0"/>
          <w:numId w:val="10"/>
        </w:numPr>
        <w:spacing w:line="257" w:lineRule="auto"/>
        <w:rPr>
          <w:rFonts w:ascii="Calibri" w:hAnsi="Calibri" w:eastAsia="Calibri" w:cs="Calibri"/>
        </w:rPr>
      </w:pPr>
      <w:r w:rsidRPr="00FB7D20">
        <w:rPr>
          <w:rFonts w:ascii="Calibri" w:hAnsi="Calibri" w:eastAsia="Calibri" w:cs="Calibri"/>
          <w:b/>
          <w:bCs/>
        </w:rPr>
        <w:t>“</w:t>
      </w:r>
      <w:r w:rsidRPr="00FB7D20" w:rsidR="003D3700">
        <w:rPr>
          <w:rFonts w:ascii="Calibri" w:hAnsi="Calibri" w:eastAsia="Calibri" w:cs="Calibri"/>
          <w:b/>
          <w:bCs/>
        </w:rPr>
        <w:t>Background information</w:t>
      </w:r>
      <w:r w:rsidRPr="00FB7D20">
        <w:rPr>
          <w:rFonts w:ascii="Calibri" w:hAnsi="Calibri" w:eastAsia="Calibri" w:cs="Calibri"/>
          <w:b/>
          <w:bCs/>
        </w:rPr>
        <w:t>”</w:t>
      </w:r>
      <w:r>
        <w:rPr>
          <w:rFonts w:ascii="Calibri" w:hAnsi="Calibri" w:eastAsia="Calibri" w:cs="Calibri"/>
        </w:rPr>
        <w:t xml:space="preserve"> </w:t>
      </w:r>
      <w:r w:rsidRPr="003D3700" w:rsidR="00F43855">
        <w:rPr>
          <w:rFonts w:ascii="Calibri" w:hAnsi="Calibri" w:eastAsia="Calibri" w:cs="Calibri"/>
        </w:rPr>
        <w:t>asked about</w:t>
      </w:r>
      <w:r w:rsidRPr="003D3700" w:rsidR="00B72533">
        <w:rPr>
          <w:rFonts w:ascii="Calibri" w:hAnsi="Calibri" w:eastAsia="Calibri" w:cs="Calibri"/>
        </w:rPr>
        <w:t xml:space="preserve"> prior study of biology and genetics</w:t>
      </w:r>
      <w:r>
        <w:rPr>
          <w:rFonts w:ascii="Calibri" w:hAnsi="Calibri" w:eastAsia="Calibri" w:cs="Calibri"/>
        </w:rPr>
        <w:t>.</w:t>
      </w:r>
    </w:p>
    <w:p w:rsidR="003D3700" w:rsidP="00F030E1" w:rsidRDefault="003D3700" w14:paraId="6BFB5679" w14:textId="27A04342">
      <w:pPr>
        <w:pStyle w:val="ListParagraph"/>
        <w:numPr>
          <w:ilvl w:val="0"/>
          <w:numId w:val="10"/>
        </w:numPr>
        <w:spacing w:line="257" w:lineRule="auto"/>
        <w:rPr>
          <w:rFonts w:ascii="Calibri" w:hAnsi="Calibri" w:eastAsia="Calibri" w:cs="Calibri"/>
        </w:rPr>
      </w:pPr>
      <w:r w:rsidRPr="003D3700">
        <w:rPr>
          <w:rFonts w:ascii="Calibri" w:hAnsi="Calibri" w:eastAsia="Calibri" w:cs="Calibri"/>
          <w:b/>
          <w:bCs/>
        </w:rPr>
        <w:t>“Your knowledge”</w:t>
      </w:r>
      <w:r w:rsidRPr="003D3700">
        <w:rPr>
          <w:rFonts w:ascii="Calibri" w:hAnsi="Calibri" w:eastAsia="Calibri" w:cs="Calibri"/>
        </w:rPr>
        <w:t xml:space="preserve"> </w:t>
      </w:r>
      <w:r w:rsidR="00FB7D20">
        <w:rPr>
          <w:rFonts w:ascii="Calibri" w:hAnsi="Calibri" w:eastAsia="Calibri" w:cs="Calibri"/>
        </w:rPr>
        <w:t xml:space="preserve">contained </w:t>
      </w:r>
      <w:r w:rsidRPr="003D3700" w:rsidR="00B72533">
        <w:rPr>
          <w:rFonts w:ascii="Calibri" w:hAnsi="Calibri" w:eastAsia="Calibri" w:cs="Calibri"/>
        </w:rPr>
        <w:t>a short true-false genetics knowledge quiz</w:t>
      </w:r>
      <w:r w:rsidRPr="003D3700" w:rsidR="00FC4EB8">
        <w:rPr>
          <w:rFonts w:ascii="Calibri" w:hAnsi="Calibri" w:eastAsia="Calibri" w:cs="Calibri"/>
        </w:rPr>
        <w:t xml:space="preserve"> adapted from Jamieson and Radick </w:t>
      </w:r>
      <w:r w:rsidRPr="003D3700" w:rsidR="00FC4EB8">
        <w:rPr>
          <w:rFonts w:ascii="Calibri" w:hAnsi="Calibri" w:eastAsia="Calibri" w:cs="Calibri"/>
        </w:rPr>
        <w:fldChar w:fldCharType="begin"/>
      </w:r>
      <w:r w:rsidR="00AC2C37">
        <w:rPr>
          <w:rFonts w:ascii="Calibri" w:hAnsi="Calibri" w:eastAsia="Calibri" w:cs="Calibri"/>
        </w:rPr>
        <w:instrText xml:space="preserve"> ADDIN ZOTERO_ITEM CSL_CITATION {"citationID":"vtcfbx0P","properties":{"formattedCitation":"[15]","plainCitation":"[15]","noteIndex":0},"citationItems":[{"id":216,"uris":["http://zotero.org/users/6704422/items/HLG6DCNG"],"itemData":{"id":216,"type":"article-journal","abstract":"Twenty-first-century biology rejects genetic determinism, yet an exaggerated view of the power of genes in the making of bodies and minds remains a problem. What accounts for such tenacity? This article reports an exploratory study suggesting that the common reliance on Mendelian examples and concepts at the start of teaching in basic genetics is an eliminable source of support for determinism. Undergraduate students who attended a standard ‘Mendelian approach’ university course in introductory genetics on average showed no change in their determinist views about genes. By contrast, students who attended an alternative course which, inspired by the work of a critic of early Mendelism, W. F. R. Weldon (1860–1906), replaced an emphasis on Mendel’s peas with an emphasis on developmental contexts and their role in bringing about phenotypic variability, were less determinist about genes by the end of teaching. Improvements in both the new Weldonian curriculum and the study design are in view for the future.","container-title":"Science &amp; Education","DOI":"10.1007/s11191-017-9900-8","ISSN":"0926-7220, 1573-1901","issue":"10","journalAbbreviation":"Sci &amp; Educ","language":"en","page":"1261-1290","source":"DOI.org (Crossref)","title":"Genetic Determinism in the Genetics Curriculum: An Exploratory Study of the Effects of Mendelian and Weldonian Emphases","title-short":"Genetic Determinism in the Genetics Curriculum","volume":"26","author":[{"family":"Jamieson","given":"Annie"},{"family":"Radick","given":"Gregory"}],"issued":{"date-parts":[["2017",12]]}}}],"schema":"https://github.com/citation-style-language/schema/raw/master/csl-citation.json"} </w:instrText>
      </w:r>
      <w:r w:rsidRPr="003D3700" w:rsidR="00FC4EB8">
        <w:rPr>
          <w:rFonts w:ascii="Calibri" w:hAnsi="Calibri" w:eastAsia="Calibri" w:cs="Calibri"/>
        </w:rPr>
        <w:fldChar w:fldCharType="separate"/>
      </w:r>
      <w:r w:rsidRPr="00AC2C37" w:rsidR="00AC2C37">
        <w:rPr>
          <w:rFonts w:ascii="Calibri" w:hAnsi="Calibri" w:cs="Calibri"/>
        </w:rPr>
        <w:t>[15]</w:t>
      </w:r>
      <w:r w:rsidRPr="003D3700" w:rsidR="00FC4EB8">
        <w:rPr>
          <w:rFonts w:ascii="Calibri" w:hAnsi="Calibri" w:eastAsia="Calibri" w:cs="Calibri"/>
        </w:rPr>
        <w:fldChar w:fldCharType="end"/>
      </w:r>
      <w:r w:rsidRPr="003D3700" w:rsidR="00B72533">
        <w:rPr>
          <w:rFonts w:ascii="Calibri" w:hAnsi="Calibri" w:eastAsia="Calibri" w:cs="Calibri"/>
        </w:rPr>
        <w:t xml:space="preserve">, </w:t>
      </w:r>
    </w:p>
    <w:p w:rsidRPr="003D3700" w:rsidR="00FC4EB8" w:rsidP="00F030E1" w:rsidRDefault="005F4FBE" w14:paraId="4A6EDEB1" w14:textId="1D15F275">
      <w:pPr>
        <w:pStyle w:val="ListParagraph"/>
        <w:numPr>
          <w:ilvl w:val="0"/>
          <w:numId w:val="10"/>
        </w:numPr>
        <w:spacing w:line="257" w:lineRule="auto"/>
        <w:rPr>
          <w:rFonts w:ascii="Calibri" w:hAnsi="Calibri" w:eastAsia="Calibri" w:cs="Calibri"/>
        </w:rPr>
      </w:pPr>
      <w:r w:rsidRPr="003D3700">
        <w:rPr>
          <w:rFonts w:ascii="Calibri" w:hAnsi="Calibri" w:eastAsia="Calibri" w:cs="Calibri"/>
          <w:b/>
          <w:bCs/>
        </w:rPr>
        <w:lastRenderedPageBreak/>
        <w:t xml:space="preserve">“Your opinions” </w:t>
      </w:r>
      <w:r w:rsidRPr="003D3700">
        <w:rPr>
          <w:rFonts w:ascii="Calibri" w:hAnsi="Calibri" w:eastAsia="Calibri" w:cs="Calibri"/>
        </w:rPr>
        <w:t xml:space="preserve">included </w:t>
      </w:r>
      <w:r w:rsidRPr="003D3700" w:rsidR="001A0BD8">
        <w:rPr>
          <w:rFonts w:ascii="Calibri" w:hAnsi="Calibri" w:eastAsia="Calibri" w:cs="Calibri"/>
        </w:rPr>
        <w:t xml:space="preserve">questions asking students how they understand the term ethnicity, and </w:t>
      </w:r>
      <w:r w:rsidRPr="003D3700" w:rsidR="00B72533">
        <w:rPr>
          <w:rFonts w:ascii="Calibri" w:hAnsi="Calibri" w:eastAsia="Calibri" w:cs="Calibri"/>
        </w:rPr>
        <w:t>statements about</w:t>
      </w:r>
      <w:r w:rsidRPr="003D3700" w:rsidR="00F43855">
        <w:rPr>
          <w:rFonts w:ascii="Calibri" w:hAnsi="Calibri" w:eastAsia="Calibri" w:cs="Calibri"/>
        </w:rPr>
        <w:t xml:space="preserve"> genes, disease,</w:t>
      </w:r>
      <w:r w:rsidRPr="003D3700" w:rsidR="00B72533">
        <w:rPr>
          <w:rFonts w:ascii="Calibri" w:hAnsi="Calibri" w:eastAsia="Calibri" w:cs="Calibri"/>
        </w:rPr>
        <w:t xml:space="preserve"> inheritance and ethnicity</w:t>
      </w:r>
      <w:r w:rsidR="009661CD">
        <w:rPr>
          <w:rFonts w:ascii="Calibri" w:hAnsi="Calibri" w:eastAsia="Calibri" w:cs="Calibri"/>
        </w:rPr>
        <w:t>,</w:t>
      </w:r>
      <w:r w:rsidRPr="003D3700" w:rsidR="00B72533">
        <w:rPr>
          <w:rFonts w:ascii="Calibri" w:hAnsi="Calibri" w:eastAsia="Calibri" w:cs="Calibri"/>
        </w:rPr>
        <w:t xml:space="preserve"> </w:t>
      </w:r>
      <w:r w:rsidRPr="003D3700" w:rsidR="009661CD">
        <w:rPr>
          <w:rFonts w:ascii="Calibri" w:hAnsi="Calibri" w:eastAsia="Calibri" w:cs="Calibri"/>
        </w:rPr>
        <w:t xml:space="preserve">adapted from Jamieson and Radick </w:t>
      </w:r>
      <w:r w:rsidRPr="003D3700" w:rsidR="009661CD">
        <w:rPr>
          <w:rFonts w:ascii="Calibri" w:hAnsi="Calibri" w:eastAsia="Calibri" w:cs="Calibri"/>
        </w:rPr>
        <w:fldChar w:fldCharType="begin"/>
      </w:r>
      <w:r w:rsidR="00AC2C37">
        <w:rPr>
          <w:rFonts w:ascii="Calibri" w:hAnsi="Calibri" w:eastAsia="Calibri" w:cs="Calibri"/>
        </w:rPr>
        <w:instrText xml:space="preserve"> ADDIN ZOTERO_ITEM CSL_CITATION {"citationID":"fs0xVcKM","properties":{"formattedCitation":"[15]","plainCitation":"[15]","noteIndex":0},"citationItems":[{"id":216,"uris":["http://zotero.org/users/6704422/items/HLG6DCNG"],"itemData":{"id":216,"type":"article-journal","abstract":"Twenty-first-century biology rejects genetic determinism, yet an exaggerated view of the power of genes in the making of bodies and minds remains a problem. What accounts for such tenacity? This article reports an exploratory study suggesting that the common reliance on Mendelian examples and concepts at the start of teaching in basic genetics is an eliminable source of support for determinism. Undergraduate students who attended a standard ‘Mendelian approach’ university course in introductory genetics on average showed no change in their determinist views about genes. By contrast, students who attended an alternative course which, inspired by the work of a critic of early Mendelism, W. F. R. Weldon (1860–1906), replaced an emphasis on Mendel’s peas with an emphasis on developmental contexts and their role in bringing about phenotypic variability, were less determinist about genes by the end of teaching. Improvements in both the new Weldonian curriculum and the study design are in view for the future.","container-title":"Science &amp; Education","DOI":"10.1007/s11191-017-9900-8","ISSN":"0926-7220, 1573-1901","issue":"10","journalAbbreviation":"Sci &amp; Educ","language":"en","page":"1261-1290","source":"DOI.org (Crossref)","title":"Genetic Determinism in the Genetics Curriculum: An Exploratory Study of the Effects of Mendelian and Weldonian Emphases","title-short":"Genetic Determinism in the Genetics Curriculum","volume":"26","author":[{"family":"Jamieson","given":"Annie"},{"family":"Radick","given":"Gregory"}],"issued":{"date-parts":[["2017",12]]}}}],"schema":"https://github.com/citation-style-language/schema/raw/master/csl-citation.json"} </w:instrText>
      </w:r>
      <w:r w:rsidRPr="003D3700" w:rsidR="009661CD">
        <w:rPr>
          <w:rFonts w:ascii="Calibri" w:hAnsi="Calibri" w:eastAsia="Calibri" w:cs="Calibri"/>
        </w:rPr>
        <w:fldChar w:fldCharType="separate"/>
      </w:r>
      <w:r w:rsidRPr="00AC2C37" w:rsidR="00AC2C37">
        <w:rPr>
          <w:rFonts w:ascii="Calibri" w:hAnsi="Calibri" w:cs="Calibri"/>
        </w:rPr>
        <w:t>[15]</w:t>
      </w:r>
      <w:r w:rsidRPr="003D3700" w:rsidR="009661CD">
        <w:rPr>
          <w:rFonts w:ascii="Calibri" w:hAnsi="Calibri" w:eastAsia="Calibri" w:cs="Calibri"/>
        </w:rPr>
        <w:fldChar w:fldCharType="end"/>
      </w:r>
      <w:r w:rsidR="009661CD">
        <w:rPr>
          <w:rFonts w:ascii="Calibri" w:hAnsi="Calibri" w:eastAsia="Calibri" w:cs="Calibri"/>
        </w:rPr>
        <w:t>,</w:t>
      </w:r>
      <w:r w:rsidRPr="003D3700" w:rsidR="009661CD">
        <w:rPr>
          <w:rFonts w:ascii="Calibri" w:hAnsi="Calibri" w:eastAsia="Calibri" w:cs="Calibri"/>
        </w:rPr>
        <w:t xml:space="preserve"> </w:t>
      </w:r>
      <w:r w:rsidRPr="003D3700" w:rsidR="00B72533">
        <w:rPr>
          <w:rFonts w:ascii="Calibri" w:hAnsi="Calibri" w:eastAsia="Calibri" w:cs="Calibri"/>
        </w:rPr>
        <w:t xml:space="preserve">with 5-point </w:t>
      </w:r>
      <w:r w:rsidRPr="003D3700" w:rsidR="001C4F86">
        <w:rPr>
          <w:rFonts w:ascii="Calibri" w:hAnsi="Calibri" w:eastAsia="Calibri" w:cs="Calibri"/>
        </w:rPr>
        <w:t>Likert</w:t>
      </w:r>
      <w:r w:rsidRPr="003D3700" w:rsidR="00B72533">
        <w:rPr>
          <w:rFonts w:ascii="Calibri" w:hAnsi="Calibri" w:eastAsia="Calibri" w:cs="Calibri"/>
        </w:rPr>
        <w:t>-scale responses indicating level of agreement</w:t>
      </w:r>
      <w:r w:rsidRPr="003D3700" w:rsidR="00C75D41">
        <w:rPr>
          <w:rFonts w:ascii="Calibri" w:hAnsi="Calibri" w:eastAsia="Calibri" w:cs="Calibri"/>
        </w:rPr>
        <w:t xml:space="preserve">. </w:t>
      </w:r>
      <w:r w:rsidR="00F030E1">
        <w:rPr>
          <w:rFonts w:ascii="Calibri" w:hAnsi="Calibri" w:eastAsia="Calibri" w:cs="Calibri"/>
        </w:rPr>
        <w:t>Finally,</w:t>
      </w:r>
      <w:r w:rsidR="009661CD">
        <w:rPr>
          <w:rFonts w:ascii="Calibri" w:hAnsi="Calibri" w:eastAsia="Calibri" w:cs="Calibri"/>
        </w:rPr>
        <w:t xml:space="preserve"> there were</w:t>
      </w:r>
      <w:r w:rsidRPr="003D3700" w:rsidR="005A7912">
        <w:rPr>
          <w:rFonts w:ascii="Calibri" w:hAnsi="Calibri" w:eastAsia="Calibri" w:cs="Calibri"/>
        </w:rPr>
        <w:t xml:space="preserve"> two additional questions </w:t>
      </w:r>
      <w:r w:rsidRPr="003D3700" w:rsidR="003073BF">
        <w:rPr>
          <w:rFonts w:ascii="Calibri" w:hAnsi="Calibri" w:eastAsia="Calibri" w:cs="Calibri"/>
        </w:rPr>
        <w:t>about the genetic and/or environmental aspects of drug action.</w:t>
      </w:r>
      <w:r w:rsidRPr="003D3700" w:rsidR="001A0BD8">
        <w:rPr>
          <w:rFonts w:ascii="Calibri" w:hAnsi="Calibri" w:eastAsia="Calibri" w:cs="Calibri"/>
        </w:rPr>
        <w:t xml:space="preserve"> </w:t>
      </w:r>
    </w:p>
    <w:p w:rsidR="006570EF" w:rsidP="00FC4EB8" w:rsidRDefault="00B72533" w14:paraId="23D0959C" w14:textId="21571010">
      <w:pPr>
        <w:spacing w:line="257" w:lineRule="auto"/>
        <w:rPr>
          <w:rFonts w:ascii="Calibri" w:hAnsi="Calibri" w:eastAsia="Calibri" w:cs="Calibri"/>
        </w:rPr>
      </w:pPr>
      <w:r>
        <w:rPr>
          <w:rFonts w:ascii="Calibri" w:hAnsi="Calibri" w:eastAsia="Calibri" w:cs="Calibri"/>
        </w:rPr>
        <w:t>The post-questionnaire included section</w:t>
      </w:r>
      <w:r w:rsidR="00F030E1">
        <w:rPr>
          <w:rFonts w:ascii="Calibri" w:hAnsi="Calibri" w:eastAsia="Calibri" w:cs="Calibri"/>
        </w:rPr>
        <w:t xml:space="preserve"> </w:t>
      </w:r>
      <w:r>
        <w:rPr>
          <w:rFonts w:ascii="Calibri" w:hAnsi="Calibri" w:eastAsia="Calibri" w:cs="Calibri"/>
        </w:rPr>
        <w:t>3</w:t>
      </w:r>
      <w:r w:rsidR="00390244">
        <w:rPr>
          <w:rFonts w:ascii="Calibri" w:hAnsi="Calibri" w:eastAsia="Calibri" w:cs="Calibri"/>
        </w:rPr>
        <w:t xml:space="preserve"> only</w:t>
      </w:r>
      <w:r>
        <w:rPr>
          <w:rFonts w:ascii="Calibri" w:hAnsi="Calibri" w:eastAsia="Calibri" w:cs="Calibri"/>
        </w:rPr>
        <w:t xml:space="preserve">. </w:t>
      </w:r>
      <w:r w:rsidR="006570EF">
        <w:rPr>
          <w:rFonts w:ascii="Calibri" w:hAnsi="Calibri" w:eastAsia="Calibri" w:cs="Calibri"/>
        </w:rPr>
        <w:t>Questionnaires were delivered through JISC Online Surveys</w:t>
      </w:r>
      <w:r w:rsidR="000E75D3">
        <w:rPr>
          <w:rFonts w:ascii="Calibri" w:hAnsi="Calibri" w:eastAsia="Calibri" w:cs="Calibri"/>
        </w:rPr>
        <w:t xml:space="preserve"> </w:t>
      </w:r>
      <w:r w:rsidR="006570EF">
        <w:rPr>
          <w:rFonts w:ascii="Calibri" w:hAnsi="Calibri" w:eastAsia="Calibri" w:cs="Calibri"/>
        </w:rPr>
        <w:t>(</w:t>
      </w:r>
      <w:hyperlink w:history="1" r:id="rId21">
        <w:r w:rsidRPr="00E00380" w:rsidR="005272E8">
          <w:rPr>
            <w:rStyle w:val="Hyperlink"/>
            <w:rFonts w:ascii="Calibri" w:hAnsi="Calibri" w:eastAsia="Calibri" w:cs="Calibri"/>
          </w:rPr>
          <w:t>www.onlinesurveys.ac.uk</w:t>
        </w:r>
      </w:hyperlink>
      <w:r w:rsidR="006570EF">
        <w:rPr>
          <w:rFonts w:ascii="Calibri" w:hAnsi="Calibri" w:eastAsia="Calibri" w:cs="Calibri"/>
        </w:rPr>
        <w:t>)</w:t>
      </w:r>
      <w:r w:rsidR="006C4059">
        <w:rPr>
          <w:rFonts w:ascii="Calibri" w:hAnsi="Calibri" w:eastAsia="Calibri" w:cs="Calibri"/>
        </w:rPr>
        <w:t xml:space="preserve"> and responses were anonymous</w:t>
      </w:r>
      <w:r w:rsidR="006570EF">
        <w:rPr>
          <w:rFonts w:ascii="Calibri" w:hAnsi="Calibri" w:eastAsia="Calibri" w:cs="Calibri"/>
        </w:rPr>
        <w:t>.</w:t>
      </w:r>
      <w:r w:rsidR="000E75D3">
        <w:rPr>
          <w:rFonts w:ascii="Calibri" w:hAnsi="Calibri" w:eastAsia="Calibri" w:cs="Calibri"/>
        </w:rPr>
        <w:t xml:space="preserve"> </w:t>
      </w:r>
      <w:r w:rsidR="00402954">
        <w:rPr>
          <w:rFonts w:ascii="Calibri" w:hAnsi="Calibri" w:eastAsia="Calibri" w:cs="Calibri"/>
        </w:rPr>
        <w:t>Resp</w:t>
      </w:r>
      <w:r w:rsidR="006C4059">
        <w:rPr>
          <w:rFonts w:ascii="Calibri" w:hAnsi="Calibri" w:eastAsia="Calibri" w:cs="Calibri"/>
        </w:rPr>
        <w:t xml:space="preserve">onses </w:t>
      </w:r>
      <w:r w:rsidR="00402954">
        <w:rPr>
          <w:rFonts w:ascii="Calibri" w:hAnsi="Calibri" w:eastAsia="Calibri" w:cs="Calibri"/>
        </w:rPr>
        <w:t>to t</w:t>
      </w:r>
      <w:r w:rsidR="000E75D3">
        <w:rPr>
          <w:rFonts w:ascii="Calibri" w:hAnsi="Calibri" w:eastAsia="Calibri" w:cs="Calibri"/>
        </w:rPr>
        <w:t xml:space="preserve">he pre- and post-questionnaires </w:t>
      </w:r>
      <w:r w:rsidR="004A54FA">
        <w:rPr>
          <w:rFonts w:ascii="Calibri" w:hAnsi="Calibri" w:eastAsia="Calibri" w:cs="Calibri"/>
        </w:rPr>
        <w:t>were</w:t>
      </w:r>
      <w:r w:rsidR="005D2E1B">
        <w:rPr>
          <w:rFonts w:ascii="Calibri" w:hAnsi="Calibri" w:eastAsia="Calibri" w:cs="Calibri"/>
        </w:rPr>
        <w:t xml:space="preserve"> matched</w:t>
      </w:r>
      <w:r w:rsidR="000E75D3">
        <w:rPr>
          <w:rFonts w:ascii="Calibri" w:hAnsi="Calibri" w:eastAsia="Calibri" w:cs="Calibri"/>
        </w:rPr>
        <w:t xml:space="preserve"> for subsequent analysis.</w:t>
      </w:r>
    </w:p>
    <w:p w:rsidRPr="00A372F1" w:rsidR="00A94AC4" w:rsidP="00FC4EB8" w:rsidRDefault="00A94AC4" w14:paraId="49CA3A9E" w14:textId="6C0A45CD">
      <w:pPr>
        <w:spacing w:line="257" w:lineRule="auto"/>
        <w:rPr>
          <w:rFonts w:ascii="Calibri" w:hAnsi="Calibri" w:eastAsia="Calibri" w:cs="Calibri"/>
          <w:sz w:val="20"/>
          <w:szCs w:val="20"/>
        </w:rPr>
      </w:pPr>
      <w:r w:rsidRPr="00A372F1">
        <w:rPr>
          <w:rFonts w:ascii="Calibri" w:hAnsi="Calibri" w:cs="Calibri"/>
        </w:rPr>
        <w:t>In the questionnaire</w:t>
      </w:r>
      <w:r w:rsidR="00D55290">
        <w:rPr>
          <w:rFonts w:ascii="Calibri" w:hAnsi="Calibri" w:cs="Calibri"/>
        </w:rPr>
        <w:t xml:space="preserve"> results</w:t>
      </w:r>
      <w:r w:rsidRPr="00A372F1">
        <w:rPr>
          <w:rFonts w:ascii="Calibri" w:hAnsi="Calibri" w:cs="Calibri"/>
        </w:rPr>
        <w:t xml:space="preserve"> the summary response is given agree if the number of agree plus strongly agree responses was greater than the sum of strongly disagree, disagree and neutral. Similarly, the summary response for disagree was given if the sum of strongly disagree and disagree was greater than the sum of neutral, agree and strongly agree. Otherwise, the summary was given as inconclusive.</w:t>
      </w:r>
    </w:p>
    <w:p w:rsidR="003B5A45" w:rsidP="00FC4EB8" w:rsidRDefault="003B5A45" w14:paraId="69046FBC" w14:textId="4DA1CC16">
      <w:pPr>
        <w:spacing w:line="257" w:lineRule="auto"/>
        <w:rPr>
          <w:rFonts w:ascii="Calibri" w:hAnsi="Calibri" w:eastAsia="Calibri" w:cs="Calibri"/>
        </w:rPr>
      </w:pPr>
      <w:r>
        <w:rPr>
          <w:rFonts w:ascii="Calibri" w:hAnsi="Calibri" w:eastAsia="Calibri" w:cs="Calibri"/>
        </w:rPr>
        <w:t>Free text responses to the question “What do you understand by the term “ethnic group”</w:t>
      </w:r>
      <w:r w:rsidR="003840FE">
        <w:rPr>
          <w:rFonts w:ascii="Calibri" w:hAnsi="Calibri" w:eastAsia="Calibri" w:cs="Calibri"/>
        </w:rPr>
        <w:t>?”</w:t>
      </w:r>
      <w:r>
        <w:rPr>
          <w:rFonts w:ascii="Calibri" w:hAnsi="Calibri" w:eastAsia="Calibri" w:cs="Calibri"/>
        </w:rPr>
        <w:t xml:space="preserve"> were </w:t>
      </w:r>
      <w:r w:rsidR="00212E4F">
        <w:rPr>
          <w:rFonts w:ascii="Calibri" w:hAnsi="Calibri" w:eastAsia="Calibri" w:cs="Calibri"/>
        </w:rPr>
        <w:t>sorted</w:t>
      </w:r>
      <w:r w:rsidR="00DE7BBA">
        <w:rPr>
          <w:rFonts w:ascii="Calibri" w:hAnsi="Calibri" w:eastAsia="Calibri" w:cs="Calibri"/>
        </w:rPr>
        <w:t xml:space="preserve"> </w:t>
      </w:r>
      <w:r w:rsidR="00141C52">
        <w:rPr>
          <w:rFonts w:ascii="Calibri" w:hAnsi="Calibri" w:eastAsia="Calibri" w:cs="Calibri"/>
        </w:rPr>
        <w:t xml:space="preserve">according to whether they mentioned the following terms: ancestry, </w:t>
      </w:r>
      <w:r w:rsidR="00051DA7">
        <w:rPr>
          <w:rFonts w:ascii="Calibri" w:hAnsi="Calibri" w:eastAsia="Calibri" w:cs="Calibri"/>
        </w:rPr>
        <w:t>genetics</w:t>
      </w:r>
      <w:r w:rsidR="00037246">
        <w:rPr>
          <w:rFonts w:ascii="Calibri" w:hAnsi="Calibri" w:eastAsia="Calibri" w:cs="Calibri"/>
        </w:rPr>
        <w:t xml:space="preserve">, </w:t>
      </w:r>
      <w:r w:rsidR="00141C52">
        <w:rPr>
          <w:rFonts w:ascii="Calibri" w:hAnsi="Calibri" w:eastAsia="Calibri" w:cs="Calibri"/>
        </w:rPr>
        <w:t>culture, place of origin, appearance</w:t>
      </w:r>
      <w:r w:rsidR="00037246">
        <w:rPr>
          <w:rFonts w:ascii="Calibri" w:hAnsi="Calibri" w:eastAsia="Calibri" w:cs="Calibri"/>
        </w:rPr>
        <w:t>, race</w:t>
      </w:r>
      <w:r w:rsidR="003840FE">
        <w:rPr>
          <w:rFonts w:ascii="Calibri" w:hAnsi="Calibri" w:eastAsia="Calibri" w:cs="Calibri"/>
        </w:rPr>
        <w:t>.</w:t>
      </w:r>
      <w:r w:rsidR="0078251D">
        <w:rPr>
          <w:rFonts w:ascii="Calibri" w:hAnsi="Calibri" w:eastAsia="Calibri" w:cs="Calibri"/>
        </w:rPr>
        <w:t xml:space="preserve"> </w:t>
      </w:r>
      <w:r w:rsidR="00833DE9">
        <w:rPr>
          <w:rFonts w:ascii="Calibri" w:hAnsi="Calibri" w:eastAsia="Calibri" w:cs="Calibri"/>
        </w:rPr>
        <w:t>Words such as skin tone</w:t>
      </w:r>
      <w:r w:rsidR="00570D77">
        <w:rPr>
          <w:rFonts w:ascii="Calibri" w:hAnsi="Calibri" w:eastAsia="Calibri" w:cs="Calibri"/>
        </w:rPr>
        <w:t>, physical attributes</w:t>
      </w:r>
      <w:r w:rsidR="00833DE9">
        <w:rPr>
          <w:rFonts w:ascii="Calibri" w:hAnsi="Calibri" w:eastAsia="Calibri" w:cs="Calibri"/>
        </w:rPr>
        <w:t xml:space="preserve"> or colour were </w:t>
      </w:r>
      <w:r w:rsidR="00CA5DA0">
        <w:rPr>
          <w:rFonts w:ascii="Calibri" w:hAnsi="Calibri" w:eastAsia="Calibri" w:cs="Calibri"/>
        </w:rPr>
        <w:t>categorised with</w:t>
      </w:r>
      <w:r w:rsidR="00833DE9">
        <w:rPr>
          <w:rFonts w:ascii="Calibri" w:hAnsi="Calibri" w:eastAsia="Calibri" w:cs="Calibri"/>
        </w:rPr>
        <w:t xml:space="preserve"> appearance.</w:t>
      </w:r>
      <w:r w:rsidR="00570D77">
        <w:rPr>
          <w:rFonts w:ascii="Calibri" w:hAnsi="Calibri" w:eastAsia="Calibri" w:cs="Calibri"/>
        </w:rPr>
        <w:t xml:space="preserve"> Hereditary was c</w:t>
      </w:r>
      <w:r w:rsidR="00CA5DA0">
        <w:rPr>
          <w:rFonts w:ascii="Calibri" w:hAnsi="Calibri" w:eastAsia="Calibri" w:cs="Calibri"/>
        </w:rPr>
        <w:t>ategorised with</w:t>
      </w:r>
      <w:r w:rsidR="00570D77">
        <w:rPr>
          <w:rFonts w:ascii="Calibri" w:hAnsi="Calibri" w:eastAsia="Calibri" w:cs="Calibri"/>
        </w:rPr>
        <w:t xml:space="preserve"> genetics.</w:t>
      </w:r>
      <w:r w:rsidR="00FC4B38">
        <w:rPr>
          <w:rFonts w:ascii="Calibri" w:hAnsi="Calibri" w:eastAsia="Calibri" w:cs="Calibri"/>
        </w:rPr>
        <w:t xml:space="preserve"> </w:t>
      </w:r>
    </w:p>
    <w:p w:rsidRPr="00700BBD" w:rsidR="005272E8" w:rsidP="00700BBD" w:rsidRDefault="00461A53" w14:paraId="1236517F" w14:textId="0049961D">
      <w:pPr>
        <w:pStyle w:val="Heading3"/>
      </w:pPr>
      <w:r>
        <w:t xml:space="preserve">Design of the </w:t>
      </w:r>
      <w:r w:rsidRPr="00700BBD" w:rsidR="00A025B7">
        <w:t>Teaching Session</w:t>
      </w:r>
    </w:p>
    <w:p w:rsidR="00C7531D" w:rsidP="26DF513F" w:rsidRDefault="00C7531D" w14:paraId="32F7AAEB" w14:textId="34A17BF4">
      <w:pPr>
        <w:spacing w:line="257" w:lineRule="auto"/>
      </w:pPr>
      <w:r w:rsidRPr="26DF513F">
        <w:rPr>
          <w:rFonts w:ascii="Calibri" w:hAnsi="Calibri" w:eastAsia="Calibri" w:cs="Calibri"/>
        </w:rPr>
        <w:t xml:space="preserve">We designed a teaching presentation based on the work from our scoping review </w:t>
      </w:r>
      <w:r w:rsidRPr="26DF513F">
        <w:rPr>
          <w:rFonts w:ascii="Calibri" w:hAnsi="Calibri" w:eastAsia="Calibri" w:cs="Calibri"/>
        </w:rPr>
        <w:fldChar w:fldCharType="begin"/>
      </w:r>
      <w:r w:rsidR="00AC2C37">
        <w:rPr>
          <w:rFonts w:ascii="Calibri" w:hAnsi="Calibri" w:eastAsia="Calibri" w:cs="Calibri"/>
        </w:rPr>
        <w:instrText xml:space="preserve"> ADDIN ZOTERO_ITEM CSL_CITATION {"citationID":"CQnn6Mgt","properties":{"formattedCitation":"[4]","plainCitation":"[4]","noteIndex":0},"citationItems":[{"id":281,"uris":["http://zotero.org/users/6704422/items/9GXESNTN"],"itemData":{"id":281,"type":"article-journal","abstract":"Inter-­ethnic variability in pharmacokinetics (PK) has been attributed to several factors ranging from genetic to environmental. It is not clear how current teaching in higher education (HE) reflects what published literature suggests on this subject. This study aims to gain insights into current knowledge about inter-­ethnic differences in PK based on reports from published literature and current teaching practices in HE. A systematic literature search was conducted on PubMed and Scopus to identify suitable literature to be reviewed. Insights into inter-­ethnic differences in PK teaching among educators in HE and industry were determined using a questionnaire. Thirty-­ one percent of the studies reviewed reported inter-­ethnic differences in PK, of these, 37% of authors suggested genetic polymorphism as possible explanation for the inter-­ethnic differences observed. Other factors authors proposed included diet and weight differences between ethnicities. Most respondents (80%) who taught inter-­ ethnic difference in PK attributed inter-­ethnic differences to genetic polymorphism. While genetic polymorphism is one source of variability in PK, the teaching of genetic polymorphism is better associated with interindividual variabilities rather than inter-­ ethnic differences in PK as there are no genes with PK implications specific to any one ethnic group. Nongenetic factors such as diet, weight, and environmental factors, should be highlighted as potential sources of interindividual variation in the PK of drugs.","container-title":"Pharmacology Research &amp; Perspectives","DOI":"10.1002/prp2.890","ISSN":"2052-1707, 2052-1707","issue":"6","journalAbbreviation":"Pharmacol Res Perspect","language":"en","source":"DOI.org (Crossref)","title":"Inter‐ethnic differences in pharmacokinetics—is there more that unites than divides?","URL":"https://onlinelibrary.wiley.com/doi/10.1002/prp2.890","volume":"9","author":[{"family":"Olafuyi","given":"Olusola"},{"family":"Parekh","given":"Nikita"},{"family":"Wright","given":"Jacob"},{"family":"Koenig","given":"Jennifer"}],"accessed":{"date-parts":[["2022",5,5]]},"issued":{"date-parts":[["2021",12]]}}}],"schema":"https://github.com/citation-style-language/schema/raw/master/csl-citation.json"} </w:instrText>
      </w:r>
      <w:r w:rsidRPr="26DF513F">
        <w:rPr>
          <w:rFonts w:ascii="Calibri" w:hAnsi="Calibri" w:eastAsia="Calibri" w:cs="Calibri"/>
        </w:rPr>
        <w:fldChar w:fldCharType="separate"/>
      </w:r>
      <w:r w:rsidRPr="00AC2C37" w:rsidR="00AC2C37">
        <w:rPr>
          <w:rFonts w:ascii="Calibri" w:hAnsi="Calibri" w:cs="Calibri"/>
        </w:rPr>
        <w:t>[4]</w:t>
      </w:r>
      <w:r w:rsidRPr="26DF513F">
        <w:rPr>
          <w:rFonts w:ascii="Calibri" w:hAnsi="Calibri" w:eastAsia="Calibri" w:cs="Calibri"/>
        </w:rPr>
        <w:fldChar w:fldCharType="end"/>
      </w:r>
      <w:r w:rsidRPr="26DF513F">
        <w:rPr>
          <w:rFonts w:ascii="Calibri" w:hAnsi="Calibri" w:eastAsia="Calibri" w:cs="Calibri"/>
        </w:rPr>
        <w:t xml:space="preserve"> that highlighted a range of factors</w:t>
      </w:r>
      <w:r w:rsidRPr="26DF513F" w:rsidR="00282367">
        <w:rPr>
          <w:rFonts w:ascii="Calibri" w:hAnsi="Calibri" w:eastAsia="Calibri" w:cs="Calibri"/>
        </w:rPr>
        <w:t>, including diet, smoking, alcohol, age, sex, pregnancy, presence of drug-metabolising enzyme or transporter variants and isoforms,</w:t>
      </w:r>
      <w:r w:rsidRPr="26DF513F">
        <w:rPr>
          <w:rFonts w:ascii="Calibri" w:hAnsi="Calibri" w:eastAsia="Calibri" w:cs="Calibri"/>
        </w:rPr>
        <w:t xml:space="preserve"> that can influence inter-individual variability</w:t>
      </w:r>
      <w:r w:rsidRPr="26DF513F" w:rsidR="149D5EED">
        <w:rPr>
          <w:rFonts w:ascii="Calibri" w:hAnsi="Calibri" w:eastAsia="Calibri" w:cs="Calibri"/>
        </w:rPr>
        <w:t xml:space="preserve">. We were concerned about inadvertently giving race or ethnicity a biological basis and made sure to </w:t>
      </w:r>
      <w:r w:rsidRPr="26DF513F" w:rsidR="7A5667E9">
        <w:rPr>
          <w:rFonts w:ascii="Calibri" w:hAnsi="Calibri" w:eastAsia="Calibri" w:cs="Calibri"/>
        </w:rPr>
        <w:t>emphasise</w:t>
      </w:r>
      <w:r w:rsidRPr="26DF513F" w:rsidR="2CB25275">
        <w:rPr>
          <w:rFonts w:ascii="Calibri" w:hAnsi="Calibri" w:eastAsia="Calibri" w:cs="Calibri"/>
        </w:rPr>
        <w:t xml:space="preserve"> </w:t>
      </w:r>
      <w:r w:rsidRPr="26DF513F" w:rsidR="149D5EED">
        <w:rPr>
          <w:rFonts w:ascii="Calibri" w:hAnsi="Calibri" w:eastAsia="Calibri" w:cs="Calibri"/>
        </w:rPr>
        <w:t xml:space="preserve">the following key points: </w:t>
      </w:r>
    </w:p>
    <w:p w:rsidR="00495200" w:rsidP="00495200" w:rsidRDefault="0EBAFAAB" w14:paraId="2544374F" w14:textId="325E6C93">
      <w:pPr>
        <w:pStyle w:val="ListParagraph"/>
        <w:numPr>
          <w:ilvl w:val="0"/>
          <w:numId w:val="1"/>
        </w:numPr>
        <w:spacing w:line="257" w:lineRule="auto"/>
        <w:rPr>
          <w:rFonts w:ascii="Calibri" w:hAnsi="Calibri" w:eastAsia="Calibri" w:cs="Calibri"/>
        </w:rPr>
      </w:pPr>
      <w:r w:rsidRPr="26DF513F">
        <w:rPr>
          <w:rFonts w:ascii="Calibri" w:hAnsi="Calibri" w:eastAsia="Calibri" w:cs="Calibri"/>
        </w:rPr>
        <w:t xml:space="preserve">individuals vary </w:t>
      </w:r>
      <w:r w:rsidRPr="26DF513F" w:rsidR="264BBC11">
        <w:rPr>
          <w:rFonts w:ascii="Calibri" w:hAnsi="Calibri" w:eastAsia="Calibri" w:cs="Calibri"/>
        </w:rPr>
        <w:t xml:space="preserve">due to a variety of factors </w:t>
      </w:r>
      <w:r w:rsidR="00495200">
        <w:rPr>
          <w:rFonts w:ascii="Calibri" w:hAnsi="Calibri" w:eastAsia="Calibri" w:cs="Calibri"/>
        </w:rPr>
        <w:t>both genetic and non-</w:t>
      </w:r>
      <w:r w:rsidR="00B23596">
        <w:rPr>
          <w:rFonts w:ascii="Calibri" w:hAnsi="Calibri" w:eastAsia="Calibri" w:cs="Calibri"/>
        </w:rPr>
        <w:t>genetic.</w:t>
      </w:r>
    </w:p>
    <w:p w:rsidRPr="00495200" w:rsidR="0EBAFAAB" w:rsidP="00495200" w:rsidRDefault="00495200" w14:paraId="6F6ABC41" w14:textId="17C5B3D2">
      <w:pPr>
        <w:pStyle w:val="ListParagraph"/>
        <w:numPr>
          <w:ilvl w:val="0"/>
          <w:numId w:val="1"/>
        </w:numPr>
        <w:spacing w:line="257" w:lineRule="auto"/>
        <w:rPr>
          <w:rFonts w:ascii="Calibri" w:hAnsi="Calibri" w:eastAsia="Calibri" w:cs="Calibri"/>
        </w:rPr>
      </w:pPr>
      <w:r>
        <w:rPr>
          <w:rFonts w:ascii="Calibri" w:hAnsi="Calibri" w:eastAsia="Calibri" w:cs="Calibri"/>
        </w:rPr>
        <w:t xml:space="preserve">we </w:t>
      </w:r>
      <w:r w:rsidRPr="00495200" w:rsidR="00C7531D">
        <w:rPr>
          <w:rFonts w:ascii="Calibri" w:hAnsi="Calibri" w:eastAsia="Calibri" w:cs="Calibri"/>
        </w:rPr>
        <w:t xml:space="preserve">did not foreground one mechanism over any </w:t>
      </w:r>
      <w:r w:rsidRPr="00495200" w:rsidR="00B23596">
        <w:rPr>
          <w:rFonts w:ascii="Calibri" w:hAnsi="Calibri" w:eastAsia="Calibri" w:cs="Calibri"/>
        </w:rPr>
        <w:t>other.</w:t>
      </w:r>
      <w:r w:rsidRPr="00495200" w:rsidR="006F365B">
        <w:rPr>
          <w:rFonts w:ascii="Calibri" w:hAnsi="Calibri" w:eastAsia="Calibri" w:cs="Calibri"/>
        </w:rPr>
        <w:t xml:space="preserve"> </w:t>
      </w:r>
    </w:p>
    <w:p w:rsidR="00826D60" w:rsidP="26DF513F" w:rsidRDefault="00826D60" w14:paraId="4C0EAFB0" w14:textId="1D95C9E0">
      <w:pPr>
        <w:pStyle w:val="ListParagraph"/>
        <w:numPr>
          <w:ilvl w:val="0"/>
          <w:numId w:val="1"/>
        </w:numPr>
        <w:spacing w:line="257" w:lineRule="auto"/>
        <w:rPr>
          <w:rFonts w:ascii="Calibri" w:hAnsi="Calibri" w:eastAsia="Calibri" w:cs="Calibri"/>
        </w:rPr>
      </w:pPr>
      <w:r w:rsidRPr="26DF513F">
        <w:rPr>
          <w:rFonts w:ascii="Calibri" w:hAnsi="Calibri" w:eastAsia="Calibri" w:cs="Calibri"/>
        </w:rPr>
        <w:t>allele prevalence is not exclusive to a particular ethnic group</w:t>
      </w:r>
      <w:r w:rsidRPr="26DF513F" w:rsidR="002B2540">
        <w:rPr>
          <w:rFonts w:ascii="Calibri" w:hAnsi="Calibri" w:eastAsia="Calibri" w:cs="Calibri"/>
        </w:rPr>
        <w:t xml:space="preserve"> e.g. the organic amine transporter OATP1B1 variants </w:t>
      </w:r>
      <w:r w:rsidRPr="26DF513F">
        <w:rPr>
          <w:rFonts w:ascii="Calibri" w:hAnsi="Calibri" w:eastAsia="Calibri" w:cs="Calibri"/>
        </w:rPr>
        <w:fldChar w:fldCharType="begin"/>
      </w:r>
      <w:r w:rsidR="00AC2C37">
        <w:rPr>
          <w:rFonts w:ascii="Calibri" w:hAnsi="Calibri" w:eastAsia="Calibri" w:cs="Calibri"/>
        </w:rPr>
        <w:instrText xml:space="preserve"> ADDIN ZOTERO_ITEM CSL_CITATION {"citationID":"wbXSNGzQ","properties":{"formattedCitation":"[16], [17]","plainCitation":"[16], [17]","noteIndex":0},"citationItems":[{"id":465,"uris":["http://zotero.org/users/6704422/items/L6IVCZ4S"],"itemData":{"id":465,"type":"article-journal","container-title":"British Journal of Pharmacology","DOI":"10.1111/j.1476-5381.2009.00430.x","ISSN":"00071188","issue":"3","language":"en","page":"693-705","source":"DOI.org (Crossref)","title":"Impact of OATP transporters on pharmacokinetics: OATP transporters and pharmacokinetics","title-short":"Impact of OATP transporters on pharmacokinetics","volume":"158","author":[{"family":"Kalliokoski","given":"A"},{"family":"Niemi","given":"M"}],"issued":{"date-parts":[["2009",10]]}}},{"id":466,"uris":["http://zotero.org/users/6704422/items/2IYS6YHP"],"itemData":{"id":466,"type":"article-journal","container-title":"PLoS Curr.","DOI":"10.1371/currents.eogt.d21e7f0c58463571bb0d9d3a19b82203","page":"ecurrents.eogt.d21e7f0c58463571bb0d9d3a19b82203","title":"SLCO1B1 Polymorphisms and Statin-Induced Myopathy","volume":"Dec 4;5","author":[{"family":"Stewart","given":"Alison"}],"issued":{"date-parts":[["2013"]]}}}],"schema":"https://github.com/citation-style-language/schema/raw/master/csl-citation.json"} </w:instrText>
      </w:r>
      <w:r w:rsidRPr="26DF513F">
        <w:rPr>
          <w:rFonts w:ascii="Calibri" w:hAnsi="Calibri" w:eastAsia="Calibri" w:cs="Calibri"/>
        </w:rPr>
        <w:fldChar w:fldCharType="separate"/>
      </w:r>
      <w:r w:rsidRPr="00AC2C37" w:rsidR="00AC2C37">
        <w:rPr>
          <w:rFonts w:ascii="Calibri" w:hAnsi="Calibri" w:cs="Calibri"/>
        </w:rPr>
        <w:t>[16], [17]</w:t>
      </w:r>
      <w:r w:rsidRPr="26DF513F">
        <w:rPr>
          <w:rFonts w:ascii="Calibri" w:hAnsi="Calibri" w:eastAsia="Calibri" w:cs="Calibri"/>
        </w:rPr>
        <w:fldChar w:fldCharType="end"/>
      </w:r>
      <w:r w:rsidRPr="26DF513F">
        <w:rPr>
          <w:rFonts w:ascii="Calibri" w:hAnsi="Calibri" w:eastAsia="Calibri" w:cs="Calibri"/>
        </w:rPr>
        <w:t xml:space="preserve"> </w:t>
      </w:r>
      <w:r w:rsidR="003A25CE">
        <w:rPr>
          <w:rFonts w:ascii="Calibri" w:hAnsi="Calibri" w:eastAsia="Calibri" w:cs="Calibri"/>
        </w:rPr>
        <w:t xml:space="preserve">and therefore </w:t>
      </w:r>
      <w:r w:rsidR="003228B7">
        <w:rPr>
          <w:rFonts w:ascii="Calibri" w:hAnsi="Calibri" w:eastAsia="Calibri" w:cs="Calibri"/>
        </w:rPr>
        <w:t>ethnicity should not be used as a proxy for genetics</w:t>
      </w:r>
    </w:p>
    <w:p w:rsidR="00826D60" w:rsidP="26DF513F" w:rsidRDefault="00826D60" w14:paraId="2DF920AB" w14:textId="2FAA8308">
      <w:pPr>
        <w:pStyle w:val="ListParagraph"/>
        <w:numPr>
          <w:ilvl w:val="0"/>
          <w:numId w:val="1"/>
        </w:numPr>
        <w:spacing w:line="257" w:lineRule="auto"/>
        <w:rPr>
          <w:rFonts w:ascii="Calibri" w:hAnsi="Calibri" w:eastAsia="Calibri" w:cs="Calibri"/>
        </w:rPr>
      </w:pPr>
      <w:r w:rsidRPr="26DF513F">
        <w:rPr>
          <w:rFonts w:ascii="Calibri" w:hAnsi="Calibri" w:eastAsia="Calibri" w:cs="Calibri"/>
        </w:rPr>
        <w:t xml:space="preserve">there is as much </w:t>
      </w:r>
      <w:r w:rsidRPr="26DF513F" w:rsidR="1D5675F6">
        <w:rPr>
          <w:rFonts w:ascii="Calibri" w:hAnsi="Calibri" w:eastAsia="Calibri" w:cs="Calibri"/>
        </w:rPr>
        <w:t xml:space="preserve">genetic </w:t>
      </w:r>
      <w:r w:rsidRPr="26DF513F">
        <w:rPr>
          <w:rFonts w:ascii="Calibri" w:hAnsi="Calibri" w:eastAsia="Calibri" w:cs="Calibri"/>
        </w:rPr>
        <w:t xml:space="preserve">diversity within ethnic groups as between </w:t>
      </w:r>
      <w:r w:rsidRPr="26DF513F" w:rsidR="00B02929">
        <w:rPr>
          <w:rFonts w:ascii="Calibri" w:hAnsi="Calibri" w:eastAsia="Calibri" w:cs="Calibri"/>
        </w:rPr>
        <w:t>them.</w:t>
      </w:r>
    </w:p>
    <w:p w:rsidRPr="00700BBD" w:rsidR="00801CE7" w:rsidP="00700BBD" w:rsidRDefault="00801CE7" w14:paraId="0AC79986" w14:textId="2A831DEF">
      <w:pPr>
        <w:pStyle w:val="Heading3"/>
      </w:pPr>
      <w:r w:rsidRPr="00700BBD">
        <w:t>Statistical Analysis</w:t>
      </w:r>
    </w:p>
    <w:p w:rsidR="00700BBD" w:rsidP="0083182B" w:rsidRDefault="00700BBD" w14:paraId="6876B7EC" w14:textId="0F1003E3">
      <w:r>
        <w:t>A priori estimate of sample size</w:t>
      </w:r>
      <w:r w:rsidR="00F36AE0">
        <w:t xml:space="preserve"> (performed using GPower 3.1)</w:t>
      </w:r>
      <w:r>
        <w:t xml:space="preserve"> using effect size of 0.3 (medium), </w:t>
      </w:r>
      <w:r>
        <w:rPr>
          <w:rFonts w:cstheme="minorHAnsi"/>
        </w:rPr>
        <w:t>α</w:t>
      </w:r>
      <w:r w:rsidR="00F36AE0">
        <w:rPr>
          <w:rFonts w:cstheme="minorHAnsi"/>
        </w:rPr>
        <w:t xml:space="preserve"> </w:t>
      </w:r>
      <w:r>
        <w:t>=</w:t>
      </w:r>
      <w:r w:rsidR="00F36AE0">
        <w:t xml:space="preserve"> </w:t>
      </w:r>
      <w:r>
        <w:t xml:space="preserve">0.05 gave a required sample size of 64 for a statistical power of 0.8 and 111 for a statistical power of 0.95. </w:t>
      </w:r>
    </w:p>
    <w:p w:rsidRPr="00CE7641" w:rsidR="00261130" w:rsidP="00CE7641" w:rsidRDefault="00DE201C" w14:paraId="1648109A" w14:textId="5B8F9311">
      <w:r>
        <w:t xml:space="preserve">The Likert scale data in the pre- and post-questionnaire responses were converted to numerical form, </w:t>
      </w:r>
      <w:r w:rsidR="00E758F6">
        <w:t>strongly</w:t>
      </w:r>
      <w:r>
        <w:t xml:space="preserve"> disagree = 1, disagree = 2, neutral = 3, agree = 4 and strongly agree = 5 and the pre- and post-questionnaire responses were </w:t>
      </w:r>
      <w:r w:rsidR="00F67516">
        <w:t>matched</w:t>
      </w:r>
      <w:r>
        <w:t xml:space="preserve"> using the identification number. </w:t>
      </w:r>
      <w:r w:rsidR="0083182B">
        <w:t xml:space="preserve">Similarly, in the questions about drug treatment, only environmental = 1, mostly environmental = 2, both genetic and environmental = 3, mostly genetic = 4 and only genetic = 5. </w:t>
      </w:r>
      <w:r>
        <w:t>A</w:t>
      </w:r>
      <w:r w:rsidRPr="00261130" w:rsidR="00261130">
        <w:t>nalys</w:t>
      </w:r>
      <w:r>
        <w:t>is was performed</w:t>
      </w:r>
      <w:r w:rsidRPr="00261130" w:rsidR="00261130">
        <w:t xml:space="preserve"> with GraphPad Prism</w:t>
      </w:r>
      <w:r>
        <w:t xml:space="preserve"> 9</w:t>
      </w:r>
      <w:r w:rsidRPr="00261130" w:rsidR="00261130">
        <w:t xml:space="preserve"> using a Wilcoxon </w:t>
      </w:r>
      <w:r w:rsidR="00FE18DE">
        <w:t xml:space="preserve">Paired </w:t>
      </w:r>
      <w:r w:rsidRPr="00261130" w:rsidR="00261130">
        <w:t xml:space="preserve">Signed Rank test to determine statistical significance </w:t>
      </w:r>
      <w:r w:rsidR="00E33836">
        <w:t>(</w:t>
      </w:r>
      <w:r w:rsidRPr="00261130" w:rsidR="00261130">
        <w:t>p &lt; 0.05</w:t>
      </w:r>
      <w:r w:rsidR="00E33836">
        <w:t>)</w:t>
      </w:r>
      <w:r w:rsidRPr="00261130" w:rsidR="00261130">
        <w:t xml:space="preserve">. </w:t>
      </w:r>
    </w:p>
    <w:p w:rsidR="00A90DF6" w:rsidP="00A90DF6" w:rsidRDefault="00A90DF6" w14:paraId="7BD83105" w14:textId="6753040A">
      <w:pPr>
        <w:pStyle w:val="Heading2"/>
        <w:rPr>
          <w:rFonts w:eastAsia="Calibri"/>
        </w:rPr>
      </w:pPr>
      <w:r w:rsidRPr="00A90DF6">
        <w:rPr>
          <w:rFonts w:eastAsia="Calibri"/>
        </w:rPr>
        <w:lastRenderedPageBreak/>
        <w:t>Results</w:t>
      </w:r>
    </w:p>
    <w:p w:rsidRPr="00607A89" w:rsidR="00036B85" w:rsidP="00036B85" w:rsidRDefault="00036B85" w14:paraId="76CEEF7C" w14:textId="68A1549D">
      <w:r>
        <w:rPr>
          <w:rFonts w:ascii="Calibri" w:hAnsi="Calibri" w:eastAsia="Calibri" w:cs="Calibri"/>
        </w:rPr>
        <w:t xml:space="preserve">Our sample included 112 participants taken from four courses at </w:t>
      </w:r>
      <w:r w:rsidR="00C25DA1">
        <w:rPr>
          <w:rFonts w:ascii="Calibri" w:hAnsi="Calibri" w:eastAsia="Calibri" w:cs="Calibri"/>
        </w:rPr>
        <w:t>a U.K.</w:t>
      </w:r>
      <w:r>
        <w:rPr>
          <w:rFonts w:ascii="Calibri" w:hAnsi="Calibri" w:eastAsia="Calibri" w:cs="Calibri"/>
        </w:rPr>
        <w:t xml:space="preserve"> University: Graduate Entry Medicine, year 1, Medical Physiology and Therapeutics BSc year 2, Pharmacology BSc year 2, and Drug Discovery MSc</w:t>
      </w:r>
      <w:r w:rsidR="0017300B">
        <w:rPr>
          <w:rFonts w:ascii="Calibri" w:hAnsi="Calibri" w:eastAsia="Calibri" w:cs="Calibri"/>
        </w:rPr>
        <w:t>.</w:t>
      </w:r>
    </w:p>
    <w:p w:rsidRPr="00281000" w:rsidR="00281000" w:rsidP="00281000" w:rsidRDefault="00281000" w14:paraId="56ABFB18" w14:textId="1C96AB9B">
      <w:pPr>
        <w:pStyle w:val="Heading3"/>
        <w:rPr>
          <w:rFonts w:eastAsia="Calibri"/>
          <w:sz w:val="22"/>
          <w:szCs w:val="22"/>
        </w:rPr>
      </w:pPr>
      <w:r w:rsidRPr="00281000">
        <w:rPr>
          <w:rFonts w:eastAsia="Calibri"/>
          <w:sz w:val="22"/>
          <w:szCs w:val="22"/>
        </w:rPr>
        <w:t>Prior study and general knowledge of genetics and biology</w:t>
      </w:r>
    </w:p>
    <w:p w:rsidR="00A90DF6" w:rsidP="5211A523" w:rsidRDefault="009975F3" w14:paraId="3D6856BB" w14:textId="58ECD2B5">
      <w:pPr>
        <w:spacing w:line="257" w:lineRule="auto"/>
      </w:pPr>
      <w:r>
        <w:rPr>
          <w:rFonts w:ascii="Calibri" w:hAnsi="Calibri" w:eastAsia="Calibri" w:cs="Calibri"/>
        </w:rPr>
        <w:t>Most</w:t>
      </w:r>
      <w:r w:rsidR="00923780">
        <w:rPr>
          <w:rFonts w:ascii="Calibri" w:hAnsi="Calibri" w:eastAsia="Calibri" w:cs="Calibri"/>
        </w:rPr>
        <w:t xml:space="preserve"> participants </w:t>
      </w:r>
      <w:r w:rsidR="00DB7C50">
        <w:rPr>
          <w:rFonts w:ascii="Calibri" w:hAnsi="Calibri" w:eastAsia="Calibri" w:cs="Calibri"/>
        </w:rPr>
        <w:t xml:space="preserve">(81%) </w:t>
      </w:r>
      <w:r w:rsidR="00923780">
        <w:rPr>
          <w:rFonts w:ascii="Calibri" w:hAnsi="Calibri" w:eastAsia="Calibri" w:cs="Calibri"/>
        </w:rPr>
        <w:t xml:space="preserve">had studied biology </w:t>
      </w:r>
      <w:r w:rsidR="00DB7C50">
        <w:rPr>
          <w:rFonts w:ascii="Calibri" w:hAnsi="Calibri" w:eastAsia="Calibri" w:cs="Calibri"/>
        </w:rPr>
        <w:t xml:space="preserve">to age 18 (final year of </w:t>
      </w:r>
      <w:r w:rsidR="00923780">
        <w:rPr>
          <w:rFonts w:ascii="Calibri" w:hAnsi="Calibri" w:eastAsia="Calibri" w:cs="Calibri"/>
        </w:rPr>
        <w:t>secondary (high) school</w:t>
      </w:r>
      <w:r w:rsidR="00DB7C50">
        <w:rPr>
          <w:rFonts w:ascii="Calibri" w:hAnsi="Calibri" w:eastAsia="Calibri" w:cs="Calibri"/>
        </w:rPr>
        <w:t>)</w:t>
      </w:r>
      <w:r w:rsidR="00C06767">
        <w:rPr>
          <w:rFonts w:ascii="Calibri" w:hAnsi="Calibri" w:eastAsia="Calibri" w:cs="Calibri"/>
        </w:rPr>
        <w:t xml:space="preserve"> and </w:t>
      </w:r>
      <w:r w:rsidR="00B64316">
        <w:rPr>
          <w:rFonts w:ascii="Calibri" w:hAnsi="Calibri" w:eastAsia="Calibri" w:cs="Calibri"/>
        </w:rPr>
        <w:t>43% had previously studied biology and 37% had previously studied genetics in an undergraduate University degree.</w:t>
      </w:r>
      <w:r w:rsidR="0031621F">
        <w:rPr>
          <w:rFonts w:ascii="Calibri" w:hAnsi="Calibri" w:eastAsia="Calibri" w:cs="Calibri"/>
        </w:rPr>
        <w:t xml:space="preserve"> </w:t>
      </w:r>
      <w:r w:rsidR="000F129D">
        <w:rPr>
          <w:rFonts w:ascii="Calibri" w:hAnsi="Calibri" w:eastAsia="Calibri" w:cs="Calibri"/>
        </w:rPr>
        <w:t xml:space="preserve">Overall students </w:t>
      </w:r>
      <w:r w:rsidR="00D76473">
        <w:rPr>
          <w:rFonts w:ascii="Calibri" w:hAnsi="Calibri" w:eastAsia="Calibri" w:cs="Calibri"/>
        </w:rPr>
        <w:t>have a generally good knowledge about genetics with a median test score of 8</w:t>
      </w:r>
      <w:r w:rsidR="00400100">
        <w:rPr>
          <w:rFonts w:ascii="Calibri" w:hAnsi="Calibri" w:eastAsia="Calibri" w:cs="Calibri"/>
        </w:rPr>
        <w:t xml:space="preserve">3%, </w:t>
      </w:r>
      <w:r w:rsidR="00D76473">
        <w:rPr>
          <w:rFonts w:ascii="Calibri" w:hAnsi="Calibri" w:eastAsia="Calibri" w:cs="Calibri"/>
        </w:rPr>
        <w:t>(interquartile range 67%, 92</w:t>
      </w:r>
      <w:r w:rsidR="0031621F">
        <w:rPr>
          <w:rFonts w:ascii="Calibri" w:hAnsi="Calibri" w:eastAsia="Calibri" w:cs="Calibri"/>
        </w:rPr>
        <w:t>%)</w:t>
      </w:r>
      <w:r w:rsidR="00D56355">
        <w:rPr>
          <w:rFonts w:ascii="Calibri" w:hAnsi="Calibri" w:eastAsia="Calibri" w:cs="Calibri"/>
        </w:rPr>
        <w:t xml:space="preserve">. Question level analysis is shown in </w:t>
      </w:r>
      <w:r w:rsidR="00036B85">
        <w:rPr>
          <w:rFonts w:ascii="Calibri" w:hAnsi="Calibri" w:eastAsia="Calibri" w:cs="Calibri"/>
        </w:rPr>
        <w:t>Table 1</w:t>
      </w:r>
      <w:r w:rsidR="00DF6FEC">
        <w:rPr>
          <w:rFonts w:ascii="Calibri" w:hAnsi="Calibri" w:eastAsia="Calibri" w:cs="Calibri"/>
        </w:rPr>
        <w:t xml:space="preserve"> and</w:t>
      </w:r>
      <w:r w:rsidR="00036B85">
        <w:rPr>
          <w:rFonts w:ascii="Calibri" w:hAnsi="Calibri" w:eastAsia="Calibri" w:cs="Calibri"/>
        </w:rPr>
        <w:t xml:space="preserve"> </w:t>
      </w:r>
      <w:r w:rsidR="00D56355">
        <w:rPr>
          <w:rFonts w:ascii="Calibri" w:hAnsi="Calibri" w:eastAsia="Calibri" w:cs="Calibri"/>
        </w:rPr>
        <w:t>reveal</w:t>
      </w:r>
      <w:r w:rsidR="00DF6FEC">
        <w:rPr>
          <w:rFonts w:ascii="Calibri" w:hAnsi="Calibri" w:eastAsia="Calibri" w:cs="Calibri"/>
        </w:rPr>
        <w:t>ed</w:t>
      </w:r>
      <w:r w:rsidR="00D56355">
        <w:rPr>
          <w:rFonts w:ascii="Calibri" w:hAnsi="Calibri" w:eastAsia="Calibri" w:cs="Calibri"/>
        </w:rPr>
        <w:t xml:space="preserve"> </w:t>
      </w:r>
      <w:r w:rsidR="0065390D">
        <w:rPr>
          <w:rFonts w:ascii="Calibri" w:hAnsi="Calibri" w:eastAsia="Calibri" w:cs="Calibri"/>
        </w:rPr>
        <w:t>that students were least likely to correctly answer about the relationship between gene(s) and disease or gene(s) and traits</w:t>
      </w:r>
      <w:r w:rsidR="0081227F">
        <w:rPr>
          <w:rFonts w:ascii="Calibri" w:hAnsi="Calibri" w:eastAsia="Calibri" w:cs="Calibri"/>
        </w:rPr>
        <w:t xml:space="preserve"> as a</w:t>
      </w:r>
      <w:r w:rsidR="00D76473">
        <w:t>lmost half of the students chose the incorrect answer for: “</w:t>
      </w:r>
      <w:r w:rsidRPr="00486412" w:rsidR="00D76473">
        <w:t>Human diseases caused by a single gene are more common than those caused by a combination of many genes</w:t>
      </w:r>
      <w:r w:rsidR="00D76473">
        <w:t xml:space="preserve">”. </w:t>
      </w:r>
    </w:p>
    <w:tbl>
      <w:tblPr>
        <w:tblStyle w:val="TableGrid"/>
        <w:tblW w:w="9067" w:type="dxa"/>
        <w:tblLook w:val="04A0" w:firstRow="1" w:lastRow="0" w:firstColumn="1" w:lastColumn="0" w:noHBand="0" w:noVBand="1"/>
      </w:tblPr>
      <w:tblGrid>
        <w:gridCol w:w="7933"/>
        <w:gridCol w:w="1134"/>
      </w:tblGrid>
      <w:tr w:rsidRPr="00515B80" w:rsidR="00607A89" w:rsidTr="00607A89" w14:paraId="15EB6DD7" w14:textId="77777777">
        <w:trPr>
          <w:trHeight w:val="600"/>
        </w:trPr>
        <w:tc>
          <w:tcPr>
            <w:tcW w:w="9067" w:type="dxa"/>
            <w:gridSpan w:val="2"/>
            <w:tcBorders>
              <w:top w:val="nil"/>
              <w:left w:val="nil"/>
              <w:bottom w:val="single" w:color="auto" w:sz="4" w:space="0"/>
              <w:right w:val="nil"/>
            </w:tcBorders>
            <w:noWrap/>
          </w:tcPr>
          <w:p w:rsidRPr="00515B80" w:rsidR="00607A89" w:rsidP="00940607" w:rsidRDefault="00607A89" w14:paraId="3BF4D359" w14:textId="66879949">
            <w:pPr>
              <w:spacing w:line="257" w:lineRule="auto"/>
              <w:rPr>
                <w:rFonts w:ascii="Calibri" w:hAnsi="Calibri" w:eastAsia="Calibri" w:cs="Calibri"/>
                <w:b/>
                <w:bCs/>
              </w:rPr>
            </w:pPr>
            <w:r w:rsidRPr="00692E6F">
              <w:rPr>
                <w:rFonts w:ascii="Calibri" w:hAnsi="Calibri" w:eastAsia="Calibri" w:cs="Calibri"/>
                <w:b/>
                <w:bCs/>
              </w:rPr>
              <w:t xml:space="preserve">Table </w:t>
            </w:r>
            <w:r>
              <w:rPr>
                <w:rFonts w:ascii="Calibri" w:hAnsi="Calibri" w:eastAsia="Calibri" w:cs="Calibri"/>
                <w:b/>
                <w:bCs/>
              </w:rPr>
              <w:t>1</w:t>
            </w:r>
            <w:r w:rsidRPr="00692E6F">
              <w:rPr>
                <w:rFonts w:ascii="Calibri" w:hAnsi="Calibri" w:eastAsia="Calibri" w:cs="Calibri"/>
                <w:b/>
                <w:bCs/>
              </w:rPr>
              <w:t>. Student responses to a basic genetics quiz showing 12 statements, the correct answer and the percentage of students who entered the correct answer</w:t>
            </w:r>
            <w:r w:rsidR="00352DF3">
              <w:rPr>
                <w:rFonts w:ascii="Calibri" w:hAnsi="Calibri" w:eastAsia="Calibri" w:cs="Calibri"/>
                <w:b/>
                <w:bCs/>
              </w:rPr>
              <w:t xml:space="preserve"> (n=112)</w:t>
            </w:r>
            <w:r w:rsidRPr="00692E6F">
              <w:rPr>
                <w:rFonts w:ascii="Calibri" w:hAnsi="Calibri" w:eastAsia="Calibri" w:cs="Calibri"/>
                <w:b/>
                <w:bCs/>
              </w:rPr>
              <w:t>.</w:t>
            </w:r>
          </w:p>
        </w:tc>
      </w:tr>
      <w:tr w:rsidRPr="00515B80" w:rsidR="00607A89" w:rsidTr="00607A89" w14:paraId="41623F26" w14:textId="77777777">
        <w:trPr>
          <w:trHeight w:val="600"/>
        </w:trPr>
        <w:tc>
          <w:tcPr>
            <w:tcW w:w="7933" w:type="dxa"/>
            <w:tcBorders>
              <w:top w:val="single" w:color="auto" w:sz="4" w:space="0"/>
            </w:tcBorders>
            <w:noWrap/>
          </w:tcPr>
          <w:p w:rsidRPr="00515B80" w:rsidR="00607A89" w:rsidP="00607A89" w:rsidRDefault="00607A89" w14:paraId="7C4410E5" w14:textId="50BAD2F2">
            <w:pPr>
              <w:spacing w:line="257" w:lineRule="auto"/>
              <w:rPr>
                <w:rFonts w:ascii="Calibri" w:hAnsi="Calibri" w:eastAsia="Calibri" w:cs="Calibri"/>
                <w:b/>
                <w:bCs/>
              </w:rPr>
            </w:pPr>
            <w:r w:rsidRPr="00515B80">
              <w:rPr>
                <w:rFonts w:ascii="Calibri" w:hAnsi="Calibri" w:eastAsia="Calibri" w:cs="Calibri"/>
                <w:b/>
                <w:bCs/>
              </w:rPr>
              <w:t>Statement</w:t>
            </w:r>
          </w:p>
        </w:tc>
        <w:tc>
          <w:tcPr>
            <w:tcW w:w="1134" w:type="dxa"/>
            <w:tcBorders>
              <w:top w:val="single" w:color="auto" w:sz="4" w:space="0"/>
            </w:tcBorders>
            <w:noWrap/>
          </w:tcPr>
          <w:p w:rsidRPr="00515B80" w:rsidR="00607A89" w:rsidP="00607A89" w:rsidRDefault="00607A89" w14:paraId="5A491973" w14:textId="2A3B5DF0">
            <w:pPr>
              <w:spacing w:line="257" w:lineRule="auto"/>
              <w:jc w:val="center"/>
              <w:rPr>
                <w:rFonts w:ascii="Calibri" w:hAnsi="Calibri" w:eastAsia="Calibri" w:cs="Calibri"/>
                <w:b/>
                <w:bCs/>
              </w:rPr>
            </w:pPr>
            <w:r w:rsidRPr="00515B80">
              <w:rPr>
                <w:rFonts w:ascii="Calibri" w:hAnsi="Calibri" w:eastAsia="Calibri" w:cs="Calibri"/>
                <w:b/>
                <w:bCs/>
              </w:rPr>
              <w:t>% Correct</w:t>
            </w:r>
          </w:p>
        </w:tc>
      </w:tr>
      <w:tr w:rsidRPr="00515B80" w:rsidR="00607A89" w:rsidTr="00607A89" w14:paraId="6ADEEA61" w14:textId="77777777">
        <w:trPr>
          <w:trHeight w:val="600"/>
        </w:trPr>
        <w:tc>
          <w:tcPr>
            <w:tcW w:w="7933" w:type="dxa"/>
            <w:hideMark/>
          </w:tcPr>
          <w:p w:rsidRPr="00515B80" w:rsidR="00607A89" w:rsidP="00607A89" w:rsidRDefault="00607A89" w14:paraId="03E19C30" w14:textId="77777777">
            <w:pPr>
              <w:spacing w:line="257" w:lineRule="auto"/>
              <w:rPr>
                <w:rFonts w:ascii="Calibri" w:hAnsi="Calibri" w:eastAsia="Calibri" w:cs="Calibri"/>
              </w:rPr>
            </w:pPr>
            <w:r w:rsidRPr="00515B80">
              <w:rPr>
                <w:rFonts w:ascii="Calibri" w:hAnsi="Calibri" w:eastAsia="Calibri" w:cs="Calibri"/>
              </w:rPr>
              <w:t>Human diseases caused by a single gene are more common than those caused by a combination of many genes</w:t>
            </w:r>
          </w:p>
        </w:tc>
        <w:tc>
          <w:tcPr>
            <w:tcW w:w="1134" w:type="dxa"/>
            <w:noWrap/>
            <w:hideMark/>
          </w:tcPr>
          <w:p w:rsidRPr="00515B80" w:rsidR="00607A89" w:rsidP="00607A89" w:rsidRDefault="00607A89" w14:paraId="01319111" w14:textId="77777777">
            <w:pPr>
              <w:spacing w:line="257" w:lineRule="auto"/>
              <w:jc w:val="center"/>
              <w:rPr>
                <w:rFonts w:ascii="Calibri" w:hAnsi="Calibri" w:eastAsia="Calibri" w:cs="Calibri"/>
              </w:rPr>
            </w:pPr>
            <w:r w:rsidRPr="00515B80">
              <w:rPr>
                <w:rFonts w:ascii="Calibri" w:hAnsi="Calibri" w:eastAsia="Calibri" w:cs="Calibri"/>
              </w:rPr>
              <w:t>55</w:t>
            </w:r>
          </w:p>
        </w:tc>
      </w:tr>
      <w:tr w:rsidRPr="00515B80" w:rsidR="00607A89" w:rsidTr="00607A89" w14:paraId="2E062852" w14:textId="77777777">
        <w:trPr>
          <w:trHeight w:val="600"/>
        </w:trPr>
        <w:tc>
          <w:tcPr>
            <w:tcW w:w="7933" w:type="dxa"/>
            <w:hideMark/>
          </w:tcPr>
          <w:p w:rsidRPr="00515B80" w:rsidR="00607A89" w:rsidP="00607A89" w:rsidRDefault="00607A89" w14:paraId="04D28C0B" w14:textId="77777777">
            <w:pPr>
              <w:spacing w:line="257" w:lineRule="auto"/>
              <w:rPr>
                <w:rFonts w:ascii="Calibri" w:hAnsi="Calibri" w:eastAsia="Calibri" w:cs="Calibri"/>
              </w:rPr>
            </w:pPr>
            <w:r w:rsidRPr="00515B80">
              <w:rPr>
                <w:rFonts w:ascii="Calibri" w:hAnsi="Calibri" w:eastAsia="Calibri" w:cs="Calibri"/>
              </w:rPr>
              <w:t>Cells of different types (e.g. nerve cells, liver cells) in the same person contain different genetic information</w:t>
            </w:r>
          </w:p>
        </w:tc>
        <w:tc>
          <w:tcPr>
            <w:tcW w:w="1134" w:type="dxa"/>
            <w:noWrap/>
            <w:hideMark/>
          </w:tcPr>
          <w:p w:rsidRPr="00515B80" w:rsidR="00607A89" w:rsidP="00607A89" w:rsidRDefault="00607A89" w14:paraId="1C533EC4" w14:textId="77777777">
            <w:pPr>
              <w:spacing w:line="257" w:lineRule="auto"/>
              <w:jc w:val="center"/>
              <w:rPr>
                <w:rFonts w:ascii="Calibri" w:hAnsi="Calibri" w:eastAsia="Calibri" w:cs="Calibri"/>
              </w:rPr>
            </w:pPr>
            <w:r w:rsidRPr="00515B80">
              <w:rPr>
                <w:rFonts w:ascii="Calibri" w:hAnsi="Calibri" w:eastAsia="Calibri" w:cs="Calibri"/>
              </w:rPr>
              <w:t>63</w:t>
            </w:r>
          </w:p>
        </w:tc>
      </w:tr>
      <w:tr w:rsidRPr="00515B80" w:rsidR="00607A89" w:rsidTr="00607A89" w14:paraId="5D4FA437" w14:textId="77777777">
        <w:trPr>
          <w:trHeight w:val="300"/>
        </w:trPr>
        <w:tc>
          <w:tcPr>
            <w:tcW w:w="7933" w:type="dxa"/>
            <w:hideMark/>
          </w:tcPr>
          <w:p w:rsidRPr="00515B80" w:rsidR="00607A89" w:rsidP="00607A89" w:rsidRDefault="00607A89" w14:paraId="3D45A81B" w14:textId="77777777">
            <w:pPr>
              <w:spacing w:line="257" w:lineRule="auto"/>
              <w:rPr>
                <w:rFonts w:ascii="Calibri" w:hAnsi="Calibri" w:eastAsia="Calibri" w:cs="Calibri"/>
              </w:rPr>
            </w:pPr>
            <w:r w:rsidRPr="00515B80">
              <w:rPr>
                <w:rFonts w:ascii="Calibri" w:hAnsi="Calibri" w:eastAsia="Calibri" w:cs="Calibri"/>
              </w:rPr>
              <w:t>There is a separate gene for each characteristic of a human being</w:t>
            </w:r>
          </w:p>
        </w:tc>
        <w:tc>
          <w:tcPr>
            <w:tcW w:w="1134" w:type="dxa"/>
            <w:noWrap/>
            <w:hideMark/>
          </w:tcPr>
          <w:p w:rsidRPr="00515B80" w:rsidR="00607A89" w:rsidP="00607A89" w:rsidRDefault="00607A89" w14:paraId="344EF73D" w14:textId="77777777">
            <w:pPr>
              <w:spacing w:line="257" w:lineRule="auto"/>
              <w:jc w:val="center"/>
              <w:rPr>
                <w:rFonts w:ascii="Calibri" w:hAnsi="Calibri" w:eastAsia="Calibri" w:cs="Calibri"/>
              </w:rPr>
            </w:pPr>
            <w:r w:rsidRPr="00515B80">
              <w:rPr>
                <w:rFonts w:ascii="Calibri" w:hAnsi="Calibri" w:eastAsia="Calibri" w:cs="Calibri"/>
              </w:rPr>
              <w:t>66</w:t>
            </w:r>
          </w:p>
        </w:tc>
      </w:tr>
      <w:tr w:rsidRPr="00515B80" w:rsidR="00607A89" w:rsidTr="00607A89" w14:paraId="323D3161" w14:textId="77777777">
        <w:trPr>
          <w:trHeight w:val="600"/>
        </w:trPr>
        <w:tc>
          <w:tcPr>
            <w:tcW w:w="7933" w:type="dxa"/>
            <w:hideMark/>
          </w:tcPr>
          <w:p w:rsidRPr="00515B80" w:rsidR="00607A89" w:rsidP="00607A89" w:rsidRDefault="00607A89" w14:paraId="535BA9CC" w14:textId="77777777">
            <w:pPr>
              <w:spacing w:line="257" w:lineRule="auto"/>
              <w:rPr>
                <w:rFonts w:ascii="Calibri" w:hAnsi="Calibri" w:eastAsia="Calibri" w:cs="Calibri"/>
              </w:rPr>
            </w:pPr>
            <w:r w:rsidRPr="00515B80">
              <w:rPr>
                <w:rFonts w:ascii="Calibri" w:hAnsi="Calibri" w:eastAsia="Calibri" w:cs="Calibri"/>
              </w:rPr>
              <w:t>Cells of the same type (e.g. brain cells) in different people contain the same genetic information</w:t>
            </w:r>
          </w:p>
        </w:tc>
        <w:tc>
          <w:tcPr>
            <w:tcW w:w="1134" w:type="dxa"/>
            <w:noWrap/>
            <w:hideMark/>
          </w:tcPr>
          <w:p w:rsidRPr="00515B80" w:rsidR="00607A89" w:rsidP="00607A89" w:rsidRDefault="00607A89" w14:paraId="7E8DCC73" w14:textId="77777777">
            <w:pPr>
              <w:spacing w:line="257" w:lineRule="auto"/>
              <w:jc w:val="center"/>
              <w:rPr>
                <w:rFonts w:ascii="Calibri" w:hAnsi="Calibri" w:eastAsia="Calibri" w:cs="Calibri"/>
              </w:rPr>
            </w:pPr>
            <w:r w:rsidRPr="00515B80">
              <w:rPr>
                <w:rFonts w:ascii="Calibri" w:hAnsi="Calibri" w:eastAsia="Calibri" w:cs="Calibri"/>
              </w:rPr>
              <w:t>68</w:t>
            </w:r>
          </w:p>
        </w:tc>
      </w:tr>
      <w:tr w:rsidRPr="00515B80" w:rsidR="00607A89" w:rsidTr="00607A89" w14:paraId="28186552" w14:textId="77777777">
        <w:trPr>
          <w:trHeight w:val="900"/>
        </w:trPr>
        <w:tc>
          <w:tcPr>
            <w:tcW w:w="7933" w:type="dxa"/>
            <w:hideMark/>
          </w:tcPr>
          <w:p w:rsidRPr="00515B80" w:rsidR="00607A89" w:rsidP="00607A89" w:rsidRDefault="00607A89" w14:paraId="709C1BEB" w14:textId="77777777">
            <w:pPr>
              <w:spacing w:line="257" w:lineRule="auto"/>
              <w:rPr>
                <w:rFonts w:ascii="Calibri" w:hAnsi="Calibri" w:eastAsia="Calibri" w:cs="Calibri"/>
              </w:rPr>
            </w:pPr>
            <w:r w:rsidRPr="00515B80">
              <w:rPr>
                <w:rFonts w:ascii="Calibri" w:hAnsi="Calibri" w:eastAsia="Calibri" w:cs="Calibri"/>
              </w:rPr>
              <w:t>Two parents are carriers for the recessive disorder, cystic fibrosis, therefore there is a 1 in 4 chance that a child they have will have the disease. If the couple already have 3 unaffected children, a 4th child would be more at risk than the 1st child</w:t>
            </w:r>
          </w:p>
        </w:tc>
        <w:tc>
          <w:tcPr>
            <w:tcW w:w="1134" w:type="dxa"/>
            <w:noWrap/>
            <w:hideMark/>
          </w:tcPr>
          <w:p w:rsidRPr="00515B80" w:rsidR="00607A89" w:rsidP="00607A89" w:rsidRDefault="00607A89" w14:paraId="2FE803BA" w14:textId="77777777">
            <w:pPr>
              <w:spacing w:line="257" w:lineRule="auto"/>
              <w:jc w:val="center"/>
              <w:rPr>
                <w:rFonts w:ascii="Calibri" w:hAnsi="Calibri" w:eastAsia="Calibri" w:cs="Calibri"/>
              </w:rPr>
            </w:pPr>
            <w:r w:rsidRPr="00515B80">
              <w:rPr>
                <w:rFonts w:ascii="Calibri" w:hAnsi="Calibri" w:eastAsia="Calibri" w:cs="Calibri"/>
              </w:rPr>
              <w:t>73</w:t>
            </w:r>
          </w:p>
        </w:tc>
      </w:tr>
      <w:tr w:rsidRPr="00515B80" w:rsidR="00607A89" w:rsidTr="00607A89" w14:paraId="7083D9A3" w14:textId="77777777">
        <w:trPr>
          <w:trHeight w:val="600"/>
        </w:trPr>
        <w:tc>
          <w:tcPr>
            <w:tcW w:w="7933" w:type="dxa"/>
            <w:hideMark/>
          </w:tcPr>
          <w:p w:rsidRPr="00515B80" w:rsidR="00607A89" w:rsidP="00607A89" w:rsidRDefault="00607A89" w14:paraId="4AF3B6A8" w14:textId="77777777">
            <w:pPr>
              <w:spacing w:line="257" w:lineRule="auto"/>
              <w:rPr>
                <w:rFonts w:ascii="Calibri" w:hAnsi="Calibri" w:eastAsia="Calibri" w:cs="Calibri"/>
              </w:rPr>
            </w:pPr>
            <w:r w:rsidRPr="00515B80">
              <w:rPr>
                <w:rFonts w:ascii="Calibri" w:hAnsi="Calibri" w:eastAsia="Calibri" w:cs="Calibri"/>
              </w:rPr>
              <w:t>If a woman is identified as having a BRCA1 mutation, she will develop breast cancer at some point in her life</w:t>
            </w:r>
          </w:p>
        </w:tc>
        <w:tc>
          <w:tcPr>
            <w:tcW w:w="1134" w:type="dxa"/>
            <w:noWrap/>
            <w:hideMark/>
          </w:tcPr>
          <w:p w:rsidRPr="00515B80" w:rsidR="00607A89" w:rsidP="00607A89" w:rsidRDefault="00607A89" w14:paraId="02B329E5" w14:textId="77777777">
            <w:pPr>
              <w:spacing w:line="257" w:lineRule="auto"/>
              <w:jc w:val="center"/>
              <w:rPr>
                <w:rFonts w:ascii="Calibri" w:hAnsi="Calibri" w:eastAsia="Calibri" w:cs="Calibri"/>
              </w:rPr>
            </w:pPr>
            <w:r w:rsidRPr="00515B80">
              <w:rPr>
                <w:rFonts w:ascii="Calibri" w:hAnsi="Calibri" w:eastAsia="Calibri" w:cs="Calibri"/>
              </w:rPr>
              <w:t>80</w:t>
            </w:r>
          </w:p>
        </w:tc>
      </w:tr>
      <w:tr w:rsidRPr="00515B80" w:rsidR="00607A89" w:rsidTr="00607A89" w14:paraId="60A11E67" w14:textId="77777777">
        <w:trPr>
          <w:trHeight w:val="300"/>
        </w:trPr>
        <w:tc>
          <w:tcPr>
            <w:tcW w:w="7933" w:type="dxa"/>
            <w:hideMark/>
          </w:tcPr>
          <w:p w:rsidRPr="00515B80" w:rsidR="00607A89" w:rsidP="00607A89" w:rsidRDefault="00607A89" w14:paraId="0D41408C" w14:textId="77777777">
            <w:pPr>
              <w:spacing w:line="257" w:lineRule="auto"/>
              <w:rPr>
                <w:rFonts w:ascii="Calibri" w:hAnsi="Calibri" w:eastAsia="Calibri" w:cs="Calibri"/>
              </w:rPr>
            </w:pPr>
            <w:r w:rsidRPr="00515B80">
              <w:rPr>
                <w:rFonts w:ascii="Calibri" w:hAnsi="Calibri" w:eastAsia="Calibri" w:cs="Calibri"/>
              </w:rPr>
              <w:t>The variety we see in humans can be completely explained by genetic differences</w:t>
            </w:r>
          </w:p>
        </w:tc>
        <w:tc>
          <w:tcPr>
            <w:tcW w:w="1134" w:type="dxa"/>
            <w:noWrap/>
            <w:hideMark/>
          </w:tcPr>
          <w:p w:rsidRPr="00515B80" w:rsidR="00607A89" w:rsidP="00607A89" w:rsidRDefault="00607A89" w14:paraId="1B55F7EE" w14:textId="77777777">
            <w:pPr>
              <w:spacing w:line="257" w:lineRule="auto"/>
              <w:jc w:val="center"/>
              <w:rPr>
                <w:rFonts w:ascii="Calibri" w:hAnsi="Calibri" w:eastAsia="Calibri" w:cs="Calibri"/>
              </w:rPr>
            </w:pPr>
            <w:r w:rsidRPr="00515B80">
              <w:rPr>
                <w:rFonts w:ascii="Calibri" w:hAnsi="Calibri" w:eastAsia="Calibri" w:cs="Calibri"/>
              </w:rPr>
              <w:t>83</w:t>
            </w:r>
          </w:p>
        </w:tc>
      </w:tr>
      <w:tr w:rsidRPr="00515B80" w:rsidR="00607A89" w:rsidTr="00607A89" w14:paraId="0DEB426B" w14:textId="77777777">
        <w:trPr>
          <w:trHeight w:val="600"/>
        </w:trPr>
        <w:tc>
          <w:tcPr>
            <w:tcW w:w="7933" w:type="dxa"/>
            <w:hideMark/>
          </w:tcPr>
          <w:p w:rsidRPr="00515B80" w:rsidR="00607A89" w:rsidP="00607A89" w:rsidRDefault="00607A89" w14:paraId="20182D3C" w14:textId="77777777">
            <w:pPr>
              <w:spacing w:line="257" w:lineRule="auto"/>
              <w:rPr>
                <w:rFonts w:ascii="Calibri" w:hAnsi="Calibri" w:eastAsia="Calibri" w:cs="Calibri"/>
              </w:rPr>
            </w:pPr>
            <w:r w:rsidRPr="00515B80">
              <w:rPr>
                <w:rFonts w:ascii="Calibri" w:hAnsi="Calibri" w:eastAsia="Calibri" w:cs="Calibri"/>
              </w:rPr>
              <w:t>Overall, more human disease is caused by environmental factors (such as diet, lifestyle, exposure to bacteria, viruses or chemicals) than by genetic factors</w:t>
            </w:r>
          </w:p>
        </w:tc>
        <w:tc>
          <w:tcPr>
            <w:tcW w:w="1134" w:type="dxa"/>
            <w:noWrap/>
            <w:hideMark/>
          </w:tcPr>
          <w:p w:rsidRPr="00515B80" w:rsidR="00607A89" w:rsidP="00607A89" w:rsidRDefault="00607A89" w14:paraId="5A8C2C24" w14:textId="77777777">
            <w:pPr>
              <w:spacing w:line="257" w:lineRule="auto"/>
              <w:jc w:val="center"/>
              <w:rPr>
                <w:rFonts w:ascii="Calibri" w:hAnsi="Calibri" w:eastAsia="Calibri" w:cs="Calibri"/>
              </w:rPr>
            </w:pPr>
            <w:r w:rsidRPr="00515B80">
              <w:rPr>
                <w:rFonts w:ascii="Calibri" w:hAnsi="Calibri" w:eastAsia="Calibri" w:cs="Calibri"/>
              </w:rPr>
              <w:t>84</w:t>
            </w:r>
          </w:p>
        </w:tc>
      </w:tr>
      <w:tr w:rsidRPr="00515B80" w:rsidR="00607A89" w:rsidTr="00607A89" w14:paraId="3ADA2EE6" w14:textId="77777777">
        <w:trPr>
          <w:trHeight w:val="600"/>
        </w:trPr>
        <w:tc>
          <w:tcPr>
            <w:tcW w:w="7933" w:type="dxa"/>
            <w:hideMark/>
          </w:tcPr>
          <w:p w:rsidRPr="00515B80" w:rsidR="00607A89" w:rsidP="00607A89" w:rsidRDefault="00607A89" w14:paraId="155FBA9F" w14:textId="77777777">
            <w:pPr>
              <w:spacing w:line="257" w:lineRule="auto"/>
              <w:rPr>
                <w:rFonts w:ascii="Calibri" w:hAnsi="Calibri" w:eastAsia="Calibri" w:cs="Calibri"/>
              </w:rPr>
            </w:pPr>
            <w:r w:rsidRPr="00515B80">
              <w:rPr>
                <w:rFonts w:ascii="Calibri" w:hAnsi="Calibri" w:eastAsia="Calibri" w:cs="Calibri"/>
              </w:rPr>
              <w:t>The environment has no effect on the way in which our genes influence our characteristics</w:t>
            </w:r>
          </w:p>
        </w:tc>
        <w:tc>
          <w:tcPr>
            <w:tcW w:w="1134" w:type="dxa"/>
            <w:noWrap/>
            <w:hideMark/>
          </w:tcPr>
          <w:p w:rsidRPr="00515B80" w:rsidR="00607A89" w:rsidP="00607A89" w:rsidRDefault="00607A89" w14:paraId="14871EA3" w14:textId="77777777">
            <w:pPr>
              <w:spacing w:line="257" w:lineRule="auto"/>
              <w:jc w:val="center"/>
              <w:rPr>
                <w:rFonts w:ascii="Calibri" w:hAnsi="Calibri" w:eastAsia="Calibri" w:cs="Calibri"/>
              </w:rPr>
            </w:pPr>
            <w:r w:rsidRPr="00515B80">
              <w:rPr>
                <w:rFonts w:ascii="Calibri" w:hAnsi="Calibri" w:eastAsia="Calibri" w:cs="Calibri"/>
              </w:rPr>
              <w:t>89</w:t>
            </w:r>
          </w:p>
        </w:tc>
      </w:tr>
      <w:tr w:rsidRPr="00515B80" w:rsidR="00607A89" w:rsidTr="00607A89" w14:paraId="480D1A53" w14:textId="77777777">
        <w:trPr>
          <w:trHeight w:val="600"/>
        </w:trPr>
        <w:tc>
          <w:tcPr>
            <w:tcW w:w="7933" w:type="dxa"/>
            <w:hideMark/>
          </w:tcPr>
          <w:p w:rsidRPr="00515B80" w:rsidR="00607A89" w:rsidP="00607A89" w:rsidRDefault="00607A89" w14:paraId="5F45F064" w14:textId="77777777">
            <w:pPr>
              <w:spacing w:line="257" w:lineRule="auto"/>
              <w:rPr>
                <w:rFonts w:ascii="Calibri" w:hAnsi="Calibri" w:eastAsia="Calibri" w:cs="Calibri"/>
              </w:rPr>
            </w:pPr>
            <w:r w:rsidRPr="00515B80">
              <w:rPr>
                <w:rFonts w:ascii="Calibri" w:hAnsi="Calibri" w:eastAsia="Calibri" w:cs="Calibri"/>
              </w:rPr>
              <w:t>Many genes code for proteins which have important physiological functions in the body, such as haemoglobin in the blood, or insulin, which controls blood sugar levels</w:t>
            </w:r>
          </w:p>
        </w:tc>
        <w:tc>
          <w:tcPr>
            <w:tcW w:w="1134" w:type="dxa"/>
            <w:noWrap/>
            <w:hideMark/>
          </w:tcPr>
          <w:p w:rsidRPr="00515B80" w:rsidR="00607A89" w:rsidP="00607A89" w:rsidRDefault="00607A89" w14:paraId="19240712" w14:textId="77777777">
            <w:pPr>
              <w:spacing w:line="257" w:lineRule="auto"/>
              <w:jc w:val="center"/>
              <w:rPr>
                <w:rFonts w:ascii="Calibri" w:hAnsi="Calibri" w:eastAsia="Calibri" w:cs="Calibri"/>
              </w:rPr>
            </w:pPr>
            <w:r w:rsidRPr="00515B80">
              <w:rPr>
                <w:rFonts w:ascii="Calibri" w:hAnsi="Calibri" w:eastAsia="Calibri" w:cs="Calibri"/>
              </w:rPr>
              <w:t>93</w:t>
            </w:r>
          </w:p>
        </w:tc>
      </w:tr>
      <w:tr w:rsidRPr="00515B80" w:rsidR="00607A89" w:rsidTr="00607A89" w14:paraId="22AA944D" w14:textId="77777777">
        <w:trPr>
          <w:trHeight w:val="600"/>
        </w:trPr>
        <w:tc>
          <w:tcPr>
            <w:tcW w:w="7933" w:type="dxa"/>
            <w:hideMark/>
          </w:tcPr>
          <w:p w:rsidRPr="00515B80" w:rsidR="00607A89" w:rsidP="00607A89" w:rsidRDefault="00607A89" w14:paraId="39B7B4E0" w14:textId="77777777">
            <w:pPr>
              <w:spacing w:line="257" w:lineRule="auto"/>
              <w:rPr>
                <w:rFonts w:ascii="Calibri" w:hAnsi="Calibri" w:eastAsia="Calibri" w:cs="Calibri"/>
              </w:rPr>
            </w:pPr>
            <w:r w:rsidRPr="00515B80">
              <w:rPr>
                <w:rFonts w:ascii="Calibri" w:hAnsi="Calibri" w:eastAsia="Calibri" w:cs="Calibri"/>
              </w:rPr>
              <w:t>The genetic information is organized into separate units (genes) which influence different aspects of our development</w:t>
            </w:r>
          </w:p>
        </w:tc>
        <w:tc>
          <w:tcPr>
            <w:tcW w:w="1134" w:type="dxa"/>
            <w:noWrap/>
            <w:hideMark/>
          </w:tcPr>
          <w:p w:rsidRPr="00515B80" w:rsidR="00607A89" w:rsidP="00607A89" w:rsidRDefault="00607A89" w14:paraId="57A2BD3B" w14:textId="77777777">
            <w:pPr>
              <w:spacing w:line="257" w:lineRule="auto"/>
              <w:jc w:val="center"/>
              <w:rPr>
                <w:rFonts w:ascii="Calibri" w:hAnsi="Calibri" w:eastAsia="Calibri" w:cs="Calibri"/>
              </w:rPr>
            </w:pPr>
            <w:r w:rsidRPr="00515B80">
              <w:rPr>
                <w:rFonts w:ascii="Calibri" w:hAnsi="Calibri" w:eastAsia="Calibri" w:cs="Calibri"/>
              </w:rPr>
              <w:t>95</w:t>
            </w:r>
          </w:p>
        </w:tc>
      </w:tr>
      <w:tr w:rsidRPr="00515B80" w:rsidR="00607A89" w:rsidTr="00607A89" w14:paraId="1B34CF8D" w14:textId="77777777">
        <w:trPr>
          <w:trHeight w:val="300"/>
        </w:trPr>
        <w:tc>
          <w:tcPr>
            <w:tcW w:w="7933" w:type="dxa"/>
            <w:noWrap/>
            <w:hideMark/>
          </w:tcPr>
          <w:p w:rsidRPr="00515B80" w:rsidR="00607A89" w:rsidP="00607A89" w:rsidRDefault="00607A89" w14:paraId="05080F04" w14:textId="77777777">
            <w:pPr>
              <w:spacing w:line="257" w:lineRule="auto"/>
              <w:rPr>
                <w:rFonts w:ascii="Calibri" w:hAnsi="Calibri" w:eastAsia="Calibri" w:cs="Calibri"/>
              </w:rPr>
            </w:pPr>
            <w:r w:rsidRPr="00515B80">
              <w:rPr>
                <w:rFonts w:ascii="Calibri" w:hAnsi="Calibri" w:eastAsia="Calibri" w:cs="Calibri"/>
              </w:rPr>
              <w:t>Mutations in the DNA always lead to diseases/disorders</w:t>
            </w:r>
          </w:p>
        </w:tc>
        <w:tc>
          <w:tcPr>
            <w:tcW w:w="1134" w:type="dxa"/>
            <w:noWrap/>
            <w:hideMark/>
          </w:tcPr>
          <w:p w:rsidRPr="00515B80" w:rsidR="00607A89" w:rsidP="00607A89" w:rsidRDefault="00607A89" w14:paraId="2134B30B" w14:textId="77777777">
            <w:pPr>
              <w:spacing w:line="257" w:lineRule="auto"/>
              <w:jc w:val="center"/>
              <w:rPr>
                <w:rFonts w:ascii="Calibri" w:hAnsi="Calibri" w:eastAsia="Calibri" w:cs="Calibri"/>
              </w:rPr>
            </w:pPr>
            <w:r w:rsidRPr="00515B80">
              <w:rPr>
                <w:rFonts w:ascii="Calibri" w:hAnsi="Calibri" w:eastAsia="Calibri" w:cs="Calibri"/>
              </w:rPr>
              <w:t>95</w:t>
            </w:r>
          </w:p>
        </w:tc>
      </w:tr>
    </w:tbl>
    <w:p w:rsidR="00FE0641" w:rsidP="5211A523" w:rsidRDefault="00FE0641" w14:paraId="536E6E89" w14:textId="77777777">
      <w:pPr>
        <w:spacing w:line="257" w:lineRule="auto"/>
        <w:rPr>
          <w:rFonts w:ascii="Calibri" w:hAnsi="Calibri" w:eastAsia="Calibri" w:cs="Calibri"/>
        </w:rPr>
      </w:pPr>
    </w:p>
    <w:p w:rsidRPr="00FE0641" w:rsidR="00FE0641" w:rsidP="00FE0641" w:rsidRDefault="00FE0641" w14:paraId="2AD51B1F" w14:textId="77777777">
      <w:pPr>
        <w:pStyle w:val="Heading3"/>
        <w:rPr>
          <w:rFonts w:eastAsia="Calibri"/>
          <w:sz w:val="22"/>
          <w:szCs w:val="22"/>
        </w:rPr>
      </w:pPr>
      <w:r w:rsidRPr="00FE0641">
        <w:rPr>
          <w:rFonts w:eastAsia="Calibri"/>
          <w:sz w:val="22"/>
          <w:szCs w:val="22"/>
        </w:rPr>
        <w:t xml:space="preserve">How do students understand ethnicity? </w:t>
      </w:r>
    </w:p>
    <w:p w:rsidRPr="003A0ACA" w:rsidR="007A3F82" w:rsidP="00763CCF" w:rsidRDefault="003B0190" w14:paraId="21B7A5B0" w14:textId="53B9561A">
      <w:pPr>
        <w:spacing w:line="257" w:lineRule="auto"/>
        <w:rPr>
          <w:rFonts w:ascii="Calibri" w:hAnsi="Calibri" w:eastAsia="Calibri" w:cs="Calibri"/>
        </w:rPr>
      </w:pPr>
      <w:r>
        <w:rPr>
          <w:rFonts w:ascii="Calibri" w:hAnsi="Calibri" w:eastAsia="Calibri" w:cs="Calibri"/>
        </w:rPr>
        <w:t xml:space="preserve">In response to a simple </w:t>
      </w:r>
      <w:r w:rsidR="00016B70">
        <w:rPr>
          <w:rFonts w:ascii="Calibri" w:hAnsi="Calibri" w:eastAsia="Calibri" w:cs="Calibri"/>
        </w:rPr>
        <w:t>question asking for a free text response, s</w:t>
      </w:r>
      <w:r w:rsidR="00127981">
        <w:rPr>
          <w:rFonts w:ascii="Calibri" w:hAnsi="Calibri" w:eastAsia="Calibri" w:cs="Calibri"/>
        </w:rPr>
        <w:t xml:space="preserve">tudents overwhelmingly defined ethnicity </w:t>
      </w:r>
      <w:r>
        <w:rPr>
          <w:rFonts w:ascii="Calibri" w:hAnsi="Calibri" w:eastAsia="Calibri" w:cs="Calibri"/>
        </w:rPr>
        <w:t xml:space="preserve">in </w:t>
      </w:r>
      <w:r w:rsidR="00127981">
        <w:rPr>
          <w:rFonts w:ascii="Calibri" w:hAnsi="Calibri" w:eastAsia="Calibri" w:cs="Calibri"/>
        </w:rPr>
        <w:t>relation to culture</w:t>
      </w:r>
      <w:r w:rsidR="00BF0C1A">
        <w:rPr>
          <w:rFonts w:ascii="Calibri" w:hAnsi="Calibri" w:eastAsia="Calibri" w:cs="Calibri"/>
        </w:rPr>
        <w:t xml:space="preserve">, place of origin and physical appearance </w:t>
      </w:r>
      <w:r w:rsidR="00B023A1">
        <w:rPr>
          <w:rFonts w:ascii="Calibri" w:hAnsi="Calibri" w:eastAsia="Calibri" w:cs="Calibri"/>
        </w:rPr>
        <w:t>(</w:t>
      </w:r>
      <w:r w:rsidR="005F1673">
        <w:rPr>
          <w:rFonts w:ascii="Calibri" w:hAnsi="Calibri" w:eastAsia="Calibri" w:cs="Calibri"/>
        </w:rPr>
        <w:t>F</w:t>
      </w:r>
      <w:r w:rsidR="00B023A1">
        <w:rPr>
          <w:rFonts w:ascii="Calibri" w:hAnsi="Calibri" w:eastAsia="Calibri" w:cs="Calibri"/>
        </w:rPr>
        <w:t xml:space="preserve">igure </w:t>
      </w:r>
      <w:r w:rsidR="005663E1">
        <w:rPr>
          <w:rFonts w:ascii="Calibri" w:hAnsi="Calibri" w:eastAsia="Calibri" w:cs="Calibri"/>
        </w:rPr>
        <w:t>3</w:t>
      </w:r>
      <w:r w:rsidR="00451438">
        <w:rPr>
          <w:rFonts w:ascii="Calibri" w:hAnsi="Calibri" w:eastAsia="Calibri" w:cs="Calibri"/>
        </w:rPr>
        <w:t>a</w:t>
      </w:r>
      <w:r w:rsidR="00B023A1">
        <w:rPr>
          <w:rFonts w:ascii="Calibri" w:hAnsi="Calibri" w:eastAsia="Calibri" w:cs="Calibri"/>
        </w:rPr>
        <w:t>)</w:t>
      </w:r>
      <w:r w:rsidR="00A76A83">
        <w:rPr>
          <w:rFonts w:ascii="Calibri" w:hAnsi="Calibri" w:eastAsia="Calibri" w:cs="Calibri"/>
        </w:rPr>
        <w:t>. J</w:t>
      </w:r>
      <w:r w:rsidRPr="00FE0641" w:rsidR="00FE0641">
        <w:rPr>
          <w:rFonts w:ascii="Calibri" w:hAnsi="Calibri" w:eastAsia="Calibri" w:cs="Calibri"/>
        </w:rPr>
        <w:t>ust over half of the students (5</w:t>
      </w:r>
      <w:r w:rsidR="00544C4B">
        <w:rPr>
          <w:rFonts w:ascii="Calibri" w:hAnsi="Calibri" w:eastAsia="Calibri" w:cs="Calibri"/>
        </w:rPr>
        <w:t>7</w:t>
      </w:r>
      <w:r w:rsidRPr="00FE0641" w:rsidR="00FE0641">
        <w:rPr>
          <w:rFonts w:ascii="Calibri" w:hAnsi="Calibri" w:eastAsia="Calibri" w:cs="Calibri"/>
        </w:rPr>
        <w:t xml:space="preserve">%) included </w:t>
      </w:r>
      <w:r w:rsidR="001D14A2">
        <w:rPr>
          <w:rFonts w:ascii="Calibri" w:hAnsi="Calibri" w:eastAsia="Calibri" w:cs="Calibri"/>
        </w:rPr>
        <w:t xml:space="preserve">only </w:t>
      </w:r>
      <w:r w:rsidRPr="00FE0641" w:rsidR="00FE0641">
        <w:rPr>
          <w:rFonts w:ascii="Calibri" w:hAnsi="Calibri" w:eastAsia="Calibri" w:cs="Calibri"/>
        </w:rPr>
        <w:t xml:space="preserve">words </w:t>
      </w:r>
      <w:r w:rsidR="003B696B">
        <w:rPr>
          <w:rFonts w:ascii="Calibri" w:hAnsi="Calibri" w:eastAsia="Calibri" w:cs="Calibri"/>
        </w:rPr>
        <w:t xml:space="preserve">indicating non-genetic mechanisms, i.e. those </w:t>
      </w:r>
      <w:r w:rsidR="00B90598">
        <w:rPr>
          <w:rFonts w:ascii="Calibri" w:hAnsi="Calibri" w:eastAsia="Calibri" w:cs="Calibri"/>
        </w:rPr>
        <w:t>synonymous with</w:t>
      </w:r>
      <w:r w:rsidRPr="00FE0641" w:rsidR="00FE0641">
        <w:rPr>
          <w:rFonts w:ascii="Calibri" w:hAnsi="Calibri" w:eastAsia="Calibri" w:cs="Calibri"/>
        </w:rPr>
        <w:t xml:space="preserve"> culture, place and appearance and did not use words relating to genetics</w:t>
      </w:r>
      <w:r w:rsidR="00B90598">
        <w:rPr>
          <w:rFonts w:ascii="Calibri" w:hAnsi="Calibri" w:eastAsia="Calibri" w:cs="Calibri"/>
        </w:rPr>
        <w:t xml:space="preserve"> or ancestry</w:t>
      </w:r>
      <w:r w:rsidR="00FF6E22">
        <w:rPr>
          <w:rFonts w:ascii="Calibri" w:hAnsi="Calibri" w:eastAsia="Calibri" w:cs="Calibri"/>
        </w:rPr>
        <w:t xml:space="preserve"> (Figure </w:t>
      </w:r>
      <w:r w:rsidR="005663E1">
        <w:rPr>
          <w:rFonts w:ascii="Calibri" w:hAnsi="Calibri" w:eastAsia="Calibri" w:cs="Calibri"/>
        </w:rPr>
        <w:lastRenderedPageBreak/>
        <w:t>3</w:t>
      </w:r>
      <w:r w:rsidR="00FF6E22">
        <w:rPr>
          <w:rFonts w:ascii="Calibri" w:hAnsi="Calibri" w:eastAsia="Calibri" w:cs="Calibri"/>
        </w:rPr>
        <w:t>b)</w:t>
      </w:r>
      <w:r w:rsidR="008A62B8">
        <w:rPr>
          <w:rFonts w:ascii="Calibri" w:hAnsi="Calibri" w:eastAsia="Calibri" w:cs="Calibri"/>
        </w:rPr>
        <w:t>. A</w:t>
      </w:r>
      <w:r w:rsidRPr="00FE0641" w:rsidR="00FE0641">
        <w:rPr>
          <w:rFonts w:ascii="Calibri" w:hAnsi="Calibri" w:eastAsia="Calibri" w:cs="Calibri"/>
        </w:rPr>
        <w:t xml:space="preserve"> </w:t>
      </w:r>
      <w:r w:rsidR="00544C4B">
        <w:rPr>
          <w:rFonts w:ascii="Calibri" w:hAnsi="Calibri" w:eastAsia="Calibri" w:cs="Calibri"/>
        </w:rPr>
        <w:t>fifth</w:t>
      </w:r>
      <w:r w:rsidRPr="00FE0641" w:rsidR="00FE0641">
        <w:rPr>
          <w:rFonts w:ascii="Calibri" w:hAnsi="Calibri" w:eastAsia="Calibri" w:cs="Calibri"/>
        </w:rPr>
        <w:t xml:space="preserve"> (2</w:t>
      </w:r>
      <w:r w:rsidR="00544C4B">
        <w:rPr>
          <w:rFonts w:ascii="Calibri" w:hAnsi="Calibri" w:eastAsia="Calibri" w:cs="Calibri"/>
        </w:rPr>
        <w:t>0</w:t>
      </w:r>
      <w:r w:rsidRPr="00FE0641" w:rsidR="00FE0641">
        <w:rPr>
          <w:rFonts w:ascii="Calibri" w:hAnsi="Calibri" w:eastAsia="Calibri" w:cs="Calibri"/>
        </w:rPr>
        <w:t>%) used words relating to both genetic and non-genetic mechanisms</w:t>
      </w:r>
      <w:r w:rsidR="00B023A1">
        <w:rPr>
          <w:rFonts w:ascii="Calibri" w:hAnsi="Calibri" w:eastAsia="Calibri" w:cs="Calibri"/>
        </w:rPr>
        <w:t xml:space="preserve">. </w:t>
      </w:r>
      <w:r w:rsidR="007A0D3E">
        <w:rPr>
          <w:rFonts w:ascii="Calibri" w:hAnsi="Calibri" w:eastAsia="Calibri" w:cs="Calibri"/>
        </w:rPr>
        <w:t xml:space="preserve">Ethnicity was defined </w:t>
      </w:r>
      <w:r w:rsidR="00E57180">
        <w:rPr>
          <w:rFonts w:ascii="Calibri" w:hAnsi="Calibri" w:eastAsia="Calibri" w:cs="Calibri"/>
        </w:rPr>
        <w:t>in terms of race</w:t>
      </w:r>
      <w:r w:rsidR="007A0D3E">
        <w:rPr>
          <w:rFonts w:ascii="Calibri" w:hAnsi="Calibri" w:eastAsia="Calibri" w:cs="Calibri"/>
        </w:rPr>
        <w:t xml:space="preserve"> by </w:t>
      </w:r>
      <w:r w:rsidR="0025553F">
        <w:rPr>
          <w:rFonts w:ascii="Calibri" w:hAnsi="Calibri" w:eastAsia="Calibri" w:cs="Calibri"/>
        </w:rPr>
        <w:t>8</w:t>
      </w:r>
      <w:r w:rsidR="007A0D3E">
        <w:rPr>
          <w:rFonts w:ascii="Calibri" w:hAnsi="Calibri" w:eastAsia="Calibri" w:cs="Calibri"/>
        </w:rPr>
        <w:t>% of students</w:t>
      </w:r>
      <w:r w:rsidR="00FC64BE">
        <w:rPr>
          <w:rFonts w:ascii="Calibri" w:hAnsi="Calibri" w:eastAsia="Calibri" w:cs="Calibri"/>
        </w:rPr>
        <w:t xml:space="preserve"> whilst</w:t>
      </w:r>
      <w:r w:rsidR="00E57180">
        <w:rPr>
          <w:rFonts w:ascii="Calibri" w:hAnsi="Calibri" w:eastAsia="Calibri" w:cs="Calibri"/>
        </w:rPr>
        <w:t xml:space="preserve"> </w:t>
      </w:r>
      <w:r w:rsidR="0025553F">
        <w:rPr>
          <w:rFonts w:ascii="Calibri" w:hAnsi="Calibri" w:eastAsia="Calibri" w:cs="Calibri"/>
        </w:rPr>
        <w:t>15</w:t>
      </w:r>
      <w:r w:rsidRPr="00FE0641" w:rsidR="00FE0641">
        <w:rPr>
          <w:rFonts w:ascii="Calibri" w:hAnsi="Calibri" w:eastAsia="Calibri" w:cs="Calibri"/>
        </w:rPr>
        <w:t>% used words that reflected only genetic</w:t>
      </w:r>
      <w:r w:rsidR="00E57180">
        <w:rPr>
          <w:rFonts w:ascii="Calibri" w:hAnsi="Calibri" w:eastAsia="Calibri" w:cs="Calibri"/>
        </w:rPr>
        <w:t>s or ancestry.</w:t>
      </w:r>
      <w:r w:rsidR="00FD54CD">
        <w:rPr>
          <w:rFonts w:ascii="Calibri" w:hAnsi="Calibri" w:eastAsia="Calibri" w:cs="Calibri"/>
        </w:rPr>
        <w:t xml:space="preserve"> </w:t>
      </w:r>
      <w:r w:rsidR="00416060">
        <w:rPr>
          <w:rFonts w:ascii="Calibri" w:hAnsi="Calibri" w:eastAsia="Calibri" w:cs="Calibri"/>
        </w:rPr>
        <w:t>Overall s</w:t>
      </w:r>
      <w:r w:rsidRPr="003A0ACA" w:rsidR="00CA5323">
        <w:rPr>
          <w:rFonts w:ascii="Calibri" w:hAnsi="Calibri" w:eastAsia="Calibri" w:cs="Calibri"/>
        </w:rPr>
        <w:t xml:space="preserve">tudents’ understanding of </w:t>
      </w:r>
      <w:r w:rsidRPr="003A0ACA" w:rsidR="007279B4">
        <w:rPr>
          <w:rFonts w:ascii="Calibri" w:hAnsi="Calibri" w:eastAsia="Calibri" w:cs="Calibri"/>
        </w:rPr>
        <w:t xml:space="preserve">the meaning of the term </w:t>
      </w:r>
      <w:r w:rsidRPr="003A0ACA" w:rsidR="00CA5323">
        <w:rPr>
          <w:rFonts w:ascii="Calibri" w:hAnsi="Calibri" w:eastAsia="Calibri" w:cs="Calibri"/>
        </w:rPr>
        <w:t xml:space="preserve">ethnicity </w:t>
      </w:r>
      <w:r w:rsidRPr="003A0ACA" w:rsidR="007279B4">
        <w:rPr>
          <w:rFonts w:ascii="Calibri" w:hAnsi="Calibri" w:eastAsia="Calibri" w:cs="Calibri"/>
        </w:rPr>
        <w:t>did not change after</w:t>
      </w:r>
      <w:r w:rsidRPr="003A0ACA" w:rsidR="00CA5323">
        <w:rPr>
          <w:rFonts w:ascii="Calibri" w:hAnsi="Calibri" w:eastAsia="Calibri" w:cs="Calibri"/>
        </w:rPr>
        <w:t xml:space="preserve"> the teaching session.</w:t>
      </w:r>
    </w:p>
    <w:p w:rsidR="00AA7331" w:rsidP="00AA7331" w:rsidRDefault="00AA7331" w14:paraId="10842C53" w14:textId="572ECDAF">
      <w:pPr>
        <w:pStyle w:val="Heading3"/>
        <w:rPr>
          <w:rFonts w:eastAsia="Calibri"/>
          <w:sz w:val="22"/>
          <w:szCs w:val="22"/>
        </w:rPr>
      </w:pPr>
      <w:r w:rsidRPr="00EF511E">
        <w:rPr>
          <w:rFonts w:eastAsia="Calibri"/>
          <w:sz w:val="22"/>
          <w:szCs w:val="22"/>
        </w:rPr>
        <w:t>Do students display genetic deterministic beliefs? </w:t>
      </w:r>
    </w:p>
    <w:p w:rsidR="00AA7331" w:rsidP="00AA7331" w:rsidRDefault="00AA7331" w14:paraId="39A52BC4" w14:textId="50854E4D">
      <w:r>
        <w:t>Students did not respond in a manner that was consistent with showing genetic deterministic beliefs (Table 2). In 4 out of 6 statements, (Table 2 (b), (c), (d), (f)) most students chose a response that did not indicate genetic deterministic beliefs. In the remaining t</w:t>
      </w:r>
      <w:r w:rsidR="0090305D">
        <w:t>wo</w:t>
      </w:r>
      <w:r>
        <w:t xml:space="preserve"> statements, there was either a bimodal distribution (Table 2 (a)) or a large proportion of neutral responses (Table 2 (e)). </w:t>
      </w:r>
    </w:p>
    <w:p w:rsidRPr="00CE7641" w:rsidR="00704594" w:rsidP="00AA7331" w:rsidRDefault="00AA6EE9" w14:paraId="7B70A531" w14:textId="163BEF4F">
      <w:pPr>
        <w:rPr>
          <w:rFonts w:ascii="Calibri" w:hAnsi="Calibri" w:cs="Calibri"/>
          <w:color w:val="000000"/>
          <w:shd w:val="clear" w:color="auto" w:fill="FFFFFF"/>
        </w:rPr>
      </w:pPr>
      <w:r>
        <w:rPr>
          <w:rFonts w:ascii="Calibri" w:hAnsi="Calibri" w:cs="Calibri"/>
          <w:color w:val="000000"/>
          <w:shd w:val="clear" w:color="auto" w:fill="FFFFFF"/>
        </w:rPr>
        <w:t xml:space="preserve">After the teaching session, </w:t>
      </w:r>
      <w:r w:rsidR="009242FB">
        <w:rPr>
          <w:rFonts w:ascii="Calibri" w:hAnsi="Calibri" w:cs="Calibri"/>
          <w:color w:val="000000"/>
          <w:shd w:val="clear" w:color="auto" w:fill="FFFFFF"/>
        </w:rPr>
        <w:t>f</w:t>
      </w:r>
      <w:r>
        <w:rPr>
          <w:rFonts w:ascii="Calibri" w:hAnsi="Calibri" w:cs="Calibri"/>
          <w:color w:val="000000"/>
          <w:shd w:val="clear" w:color="auto" w:fill="FFFFFF"/>
        </w:rPr>
        <w:t>or two statements where genes are related to traits and disease and the pre-questionnaire responses were inconclusive, there was a statistically significant shift after the teaching away from the genetic deterministic view (Table 2, these statements were (a) “</w:t>
      </w:r>
      <w:r w:rsidRPr="00DB5650">
        <w:rPr>
          <w:rFonts w:ascii="Calibri" w:hAnsi="Calibri" w:cs="Calibri"/>
          <w:color w:val="000000"/>
          <w:shd w:val="clear" w:color="auto" w:fill="FFFFFF"/>
        </w:rPr>
        <w:t>Cloning can produce a copy of an animal identical in all respects with the original— so you could recreate a much-loved pet for example</w:t>
      </w:r>
      <w:r>
        <w:rPr>
          <w:rFonts w:ascii="Calibri" w:hAnsi="Calibri" w:cs="Calibri"/>
          <w:color w:val="000000"/>
          <w:shd w:val="clear" w:color="auto" w:fill="FFFFFF"/>
        </w:rPr>
        <w:t>” and (e) “</w:t>
      </w:r>
      <w:r w:rsidRPr="00DB5650">
        <w:rPr>
          <w:rFonts w:ascii="Calibri" w:hAnsi="Calibri" w:cs="Calibri"/>
          <w:color w:val="000000"/>
          <w:shd w:val="clear" w:color="auto" w:fill="FFFFFF"/>
        </w:rPr>
        <w:t>Genes have a greater role in most human disease than environmental factors do</w:t>
      </w:r>
      <w:r>
        <w:rPr>
          <w:rFonts w:ascii="Calibri" w:hAnsi="Calibri" w:cs="Calibri"/>
          <w:color w:val="000000"/>
          <w:shd w:val="clear" w:color="auto" w:fill="FFFFFF"/>
        </w:rPr>
        <w:t xml:space="preserve">”). </w:t>
      </w:r>
    </w:p>
    <w:p w:rsidRPr="00704594" w:rsidR="00704594" w:rsidP="00AA7331" w:rsidRDefault="00704594" w14:paraId="25C6887E" w14:textId="2120A695">
      <w:pPr>
        <w:rPr>
          <w:b/>
          <w:bCs/>
        </w:rPr>
      </w:pPr>
      <w:r w:rsidRPr="00704594">
        <w:rPr>
          <w:b/>
          <w:bCs/>
        </w:rPr>
        <w:t>Do students tend to propose a genetic or environmental mechanism for proposed ethnic differences in pharmac</w:t>
      </w:r>
      <w:r>
        <w:rPr>
          <w:b/>
          <w:bCs/>
        </w:rPr>
        <w:t>ology</w:t>
      </w:r>
      <w:r w:rsidRPr="00704594">
        <w:rPr>
          <w:b/>
          <w:bCs/>
        </w:rPr>
        <w:t>?</w:t>
      </w:r>
    </w:p>
    <w:p w:rsidR="00B56E9B" w:rsidP="00AA7331" w:rsidRDefault="00A3486C" w14:paraId="743EF8B7" w14:textId="77777777">
      <w:pPr>
        <w:rPr>
          <w:rFonts w:ascii="Calibri" w:hAnsi="Calibri" w:cs="Calibri"/>
          <w:color w:val="000000"/>
          <w:shd w:val="clear" w:color="auto" w:fill="FFFFFF"/>
        </w:rPr>
      </w:pPr>
      <w:r>
        <w:rPr>
          <w:rFonts w:ascii="Calibri" w:hAnsi="Calibri" w:cs="Calibri"/>
          <w:color w:val="000000"/>
          <w:shd w:val="clear" w:color="auto" w:fill="FFFFFF"/>
        </w:rPr>
        <w:t xml:space="preserve">In questions regarding pharmacological mechanisms, </w:t>
      </w:r>
      <w:r w:rsidR="00C82029">
        <w:rPr>
          <w:rFonts w:ascii="Calibri" w:hAnsi="Calibri" w:cs="Calibri"/>
          <w:color w:val="000000"/>
          <w:shd w:val="clear" w:color="auto" w:fill="FFFFFF"/>
        </w:rPr>
        <w:t xml:space="preserve">the largest proportion of </w:t>
      </w:r>
      <w:r>
        <w:rPr>
          <w:rFonts w:ascii="Calibri" w:hAnsi="Calibri" w:cs="Calibri"/>
          <w:color w:val="000000"/>
          <w:shd w:val="clear" w:color="auto" w:fill="FFFFFF"/>
        </w:rPr>
        <w:t>students propose</w:t>
      </w:r>
      <w:r w:rsidR="00C45FEE">
        <w:rPr>
          <w:rFonts w:ascii="Calibri" w:hAnsi="Calibri" w:cs="Calibri"/>
          <w:color w:val="000000"/>
          <w:shd w:val="clear" w:color="auto" w:fill="FFFFFF"/>
        </w:rPr>
        <w:t>d</w:t>
      </w:r>
      <w:r>
        <w:rPr>
          <w:rFonts w:ascii="Calibri" w:hAnsi="Calibri" w:cs="Calibri"/>
          <w:color w:val="000000"/>
          <w:shd w:val="clear" w:color="auto" w:fill="FFFFFF"/>
        </w:rPr>
        <w:t xml:space="preserve"> </w:t>
      </w:r>
      <w:r w:rsidR="00C45FEE">
        <w:rPr>
          <w:rFonts w:ascii="Calibri" w:hAnsi="Calibri" w:cs="Calibri"/>
          <w:color w:val="000000"/>
          <w:shd w:val="clear" w:color="auto" w:fill="FFFFFF"/>
        </w:rPr>
        <w:t>both genetic and environmental</w:t>
      </w:r>
      <w:r>
        <w:rPr>
          <w:rFonts w:ascii="Calibri" w:hAnsi="Calibri" w:cs="Calibri"/>
          <w:color w:val="000000"/>
          <w:shd w:val="clear" w:color="auto" w:fill="FFFFFF"/>
        </w:rPr>
        <w:t xml:space="preserve"> mechanism</w:t>
      </w:r>
      <w:r w:rsidR="006A20B4">
        <w:rPr>
          <w:rFonts w:ascii="Calibri" w:hAnsi="Calibri" w:cs="Calibri"/>
          <w:color w:val="000000"/>
          <w:shd w:val="clear" w:color="auto" w:fill="FFFFFF"/>
        </w:rPr>
        <w:t>s</w:t>
      </w:r>
      <w:r>
        <w:rPr>
          <w:rFonts w:ascii="Calibri" w:hAnsi="Calibri" w:cs="Calibri"/>
          <w:color w:val="000000"/>
          <w:shd w:val="clear" w:color="auto" w:fill="FFFFFF"/>
        </w:rPr>
        <w:t xml:space="preserve"> underlying ethnic differences in pharmacological treatment of hypertension (Table 3a) between </w:t>
      </w:r>
      <w:r w:rsidR="00C45FEE">
        <w:rPr>
          <w:rFonts w:ascii="Calibri" w:hAnsi="Calibri" w:cs="Calibri"/>
          <w:color w:val="000000"/>
          <w:shd w:val="clear" w:color="auto" w:fill="FFFFFF"/>
        </w:rPr>
        <w:t>Black and non-Black patients</w:t>
      </w:r>
      <w:r w:rsidR="00603446">
        <w:rPr>
          <w:rFonts w:ascii="Calibri" w:hAnsi="Calibri" w:cs="Calibri"/>
          <w:color w:val="000000"/>
          <w:shd w:val="clear" w:color="auto" w:fill="FFFFFF"/>
        </w:rPr>
        <w:t xml:space="preserve"> although there was a significant minority suggesting a genetic mechanism. </w:t>
      </w:r>
      <w:r w:rsidR="00892BA0">
        <w:rPr>
          <w:rFonts w:ascii="Calibri" w:hAnsi="Calibri" w:cs="Calibri"/>
          <w:color w:val="000000"/>
          <w:shd w:val="clear" w:color="auto" w:fill="FFFFFF"/>
        </w:rPr>
        <w:t>The teaching session had no effect</w:t>
      </w:r>
      <w:r w:rsidR="00B56E9B">
        <w:rPr>
          <w:rFonts w:ascii="Calibri" w:hAnsi="Calibri" w:cs="Calibri"/>
          <w:color w:val="000000"/>
          <w:shd w:val="clear" w:color="auto" w:fill="FFFFFF"/>
        </w:rPr>
        <w:t>.</w:t>
      </w:r>
    </w:p>
    <w:p w:rsidR="0071628D" w:rsidRDefault="00603446" w14:paraId="5DACC4E7" w14:textId="19CC9ED6">
      <w:pPr>
        <w:rPr>
          <w:rFonts w:ascii="Calibri" w:hAnsi="Calibri" w:cs="Calibri"/>
          <w:color w:val="000000"/>
          <w:shd w:val="clear" w:color="auto" w:fill="FFFFFF"/>
        </w:rPr>
      </w:pPr>
      <w:r>
        <w:rPr>
          <w:rFonts w:ascii="Calibri" w:hAnsi="Calibri" w:cs="Calibri"/>
          <w:color w:val="000000"/>
          <w:shd w:val="clear" w:color="auto" w:fill="FFFFFF"/>
        </w:rPr>
        <w:t>In contrast when asked to propose a mechanism for differences in drug metabolism prior to the teaching session</w:t>
      </w:r>
      <w:r w:rsidR="0066218A">
        <w:rPr>
          <w:rFonts w:ascii="Calibri" w:hAnsi="Calibri" w:cs="Calibri"/>
          <w:color w:val="000000"/>
          <w:shd w:val="clear" w:color="auto" w:fill="FFFFFF"/>
        </w:rPr>
        <w:t>, the majority of students proposed a genetic mechanism.</w:t>
      </w:r>
      <w:r w:rsidR="00B56E9B">
        <w:rPr>
          <w:rFonts w:ascii="Calibri" w:hAnsi="Calibri" w:cs="Calibri"/>
          <w:color w:val="000000"/>
          <w:shd w:val="clear" w:color="auto" w:fill="FFFFFF"/>
        </w:rPr>
        <w:t xml:space="preserve"> </w:t>
      </w:r>
      <w:r w:rsidR="00AA6EE9">
        <w:t xml:space="preserve">After the teaching session </w:t>
      </w:r>
      <w:r w:rsidR="006A3B63">
        <w:rPr>
          <w:rFonts w:ascii="Calibri" w:hAnsi="Calibri" w:cs="Calibri"/>
          <w:color w:val="000000"/>
          <w:shd w:val="clear" w:color="auto" w:fill="FFFFFF"/>
        </w:rPr>
        <w:t>there was a statistically significant shift away from a genetic mechanism towards environmental or both environmental and genetic (table 3b)</w:t>
      </w:r>
      <w:r w:rsidR="008D0D3A">
        <w:rPr>
          <w:rFonts w:ascii="Calibri" w:hAnsi="Calibri" w:cs="Calibri"/>
          <w:color w:val="000000"/>
          <w:shd w:val="clear" w:color="auto" w:fill="FFFFFF"/>
        </w:rPr>
        <w:t xml:space="preserve"> reflecting the key messages contained in the teaching.</w:t>
      </w:r>
    </w:p>
    <w:p w:rsidRPr="00762B97" w:rsidR="00762B97" w:rsidP="00762B97" w:rsidRDefault="00762B97" w14:paraId="5DF88833" w14:textId="43FB7AE7">
      <w:pPr>
        <w:spacing w:after="0" w:line="240" w:lineRule="auto"/>
        <w:rPr>
          <w:rFonts w:ascii="Times New Roman" w:hAnsi="Times New Roman" w:eastAsia="Times New Roman" w:cs="Times New Roman"/>
          <w:sz w:val="24"/>
          <w:szCs w:val="24"/>
          <w:lang w:eastAsia="en-GB"/>
        </w:rPr>
      </w:pPr>
    </w:p>
    <w:p w:rsidR="002C143E" w:rsidRDefault="002C143E" w14:paraId="0E0BD5FD" w14:textId="77777777">
      <w:pPr>
        <w:rPr>
          <w:rFonts w:eastAsia="Calibri"/>
        </w:rPr>
      </w:pPr>
    </w:p>
    <w:p w:rsidR="00E83406" w:rsidRDefault="00940607" w14:paraId="072675A6" w14:textId="2D10620F">
      <w:pPr>
        <w:rPr>
          <w:rFonts w:eastAsia="Calibri"/>
        </w:rPr>
      </w:pPr>
      <w:r>
        <w:rPr>
          <w:noProof/>
        </w:rPr>
        <w:lastRenderedPageBreak/>
        <mc:AlternateContent>
          <mc:Choice Requires="wps">
            <w:drawing>
              <wp:anchor distT="0" distB="0" distL="114300" distR="114300" simplePos="0" relativeHeight="251658243" behindDoc="0" locked="0" layoutInCell="1" allowOverlap="1" wp14:anchorId="0DE5D69D" wp14:editId="306B2E43">
                <wp:simplePos x="0" y="0"/>
                <wp:positionH relativeFrom="margin">
                  <wp:align>left</wp:align>
                </wp:positionH>
                <wp:positionV relativeFrom="paragraph">
                  <wp:posOffset>106680</wp:posOffset>
                </wp:positionV>
                <wp:extent cx="5848350" cy="6315710"/>
                <wp:effectExtent l="0" t="0" r="19050" b="27940"/>
                <wp:wrapNone/>
                <wp:docPr id="1686186942" name="Rectangle 1686186942"/>
                <wp:cNvGraphicFramePr/>
                <a:graphic xmlns:a="http://schemas.openxmlformats.org/drawingml/2006/main">
                  <a:graphicData uri="http://schemas.microsoft.com/office/word/2010/wordprocessingShape">
                    <wps:wsp>
                      <wps:cNvSpPr/>
                      <wps:spPr>
                        <a:xfrm>
                          <a:off x="0" y="0"/>
                          <a:ext cx="5848350" cy="631571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dgm="http://schemas.openxmlformats.org/drawingml/2006/diagram" xmlns:a14="http://schemas.microsoft.com/office/drawing/2010/main" xmlns:pic="http://schemas.openxmlformats.org/drawingml/2006/picture" xmlns:a16="http://schemas.microsoft.com/office/drawing/2014/main" xmlns:a="http://schemas.openxmlformats.org/drawingml/2006/main">
            <w:pict w14:anchorId="1ADA47A1">
              <v:rect id="Rectangle 1686186942" style="position:absolute;margin-left:0;margin-top:8.4pt;width:460.5pt;height:497.3pt;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a5a5a5 [2092]" strokeweight="1pt" w14:anchorId="62C0CD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">
                <w10:wrap anchorx="margin"/>
              </v:rect>
            </w:pict>
          </mc:Fallback>
        </mc:AlternateContent>
      </w:r>
      <w:r w:rsidR="002C143E">
        <w:rPr>
          <w:noProof/>
        </w:rPr>
        <mc:AlternateContent>
          <mc:Choice Requires="wps">
            <w:drawing>
              <wp:anchor distT="0" distB="0" distL="114300" distR="114300" simplePos="0" relativeHeight="251658240" behindDoc="0" locked="0" layoutInCell="1" allowOverlap="1" wp14:anchorId="6AC3FB18" wp14:editId="0A0E018F">
                <wp:simplePos x="0" y="0"/>
                <wp:positionH relativeFrom="margin">
                  <wp:align>left</wp:align>
                </wp:positionH>
                <wp:positionV relativeFrom="page">
                  <wp:posOffset>972820</wp:posOffset>
                </wp:positionV>
                <wp:extent cx="314325" cy="1151890"/>
                <wp:effectExtent l="0" t="0" r="9525" b="0"/>
                <wp:wrapTopAndBottom/>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151890"/>
                        </a:xfrm>
                        <a:prstGeom prst="rect">
                          <a:avLst/>
                        </a:prstGeom>
                        <a:solidFill>
                          <a:srgbClr val="FFFFFF"/>
                        </a:solidFill>
                        <a:ln w="9525">
                          <a:noFill/>
                          <a:miter lim="800000"/>
                          <a:headEnd/>
                          <a:tailEnd/>
                        </a:ln>
                      </wps:spPr>
                      <wps:txbx>
                        <w:txbxContent>
                          <w:p w:rsidRPr="004C7E37" w:rsidR="00934BB5" w:rsidP="004C7E37" w:rsidRDefault="002C143E" w14:paraId="12F50056" w14:textId="610E3D4C">
                            <w:pPr>
                              <w:spacing w:after="0" w:line="240" w:lineRule="auto"/>
                              <w:rPr>
                                <w:rFonts w:ascii="Times New Roman" w:hAnsi="Times New Roman" w:eastAsia="Times New Roman" w:cs="Times New Roman"/>
                                <w:sz w:val="24"/>
                                <w:szCs w:val="24"/>
                                <w:lang w:eastAsia="en-GB"/>
                              </w:rPr>
                            </w:pPr>
                            <w:r>
                              <w:rPr>
                                <w:b/>
                                <w:bCs/>
                                <w:sz w:val="24"/>
                                <w:szCs w:val="24"/>
                              </w:rPr>
                              <w:t>A</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w14:anchorId="553F0D2F">
              <v:shapetype id="_x0000_t202" coordsize="21600,21600" o:spt="202" path="m,l,21600r21600,l21600,xe" w14:anchorId="6AC3FB18">
                <v:stroke joinstyle="miter"/>
                <v:path gradientshapeok="t" o:connecttype="rect"/>
              </v:shapetype>
              <v:shape id="Text Box 217" style="position:absolute;margin-left:0;margin-top:76.6pt;width:24.75pt;height:90.7pt;z-index:251658240;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">
                <v:textbox style="mso-fit-shape-to-text:t">
                  <w:txbxContent>
                    <w:p w:rsidRPr="004C7E37" w:rsidR="00934BB5" w:rsidP="004C7E37" w:rsidRDefault="002C143E" w14:paraId="5316D17B" w14:textId="610E3D4C">
                      <w:pPr>
                        <w:spacing w:after="0" w:line="240" w:lineRule="auto"/>
                        <w:rPr>
                          <w:rFonts w:ascii="Times New Roman" w:hAnsi="Times New Roman" w:eastAsia="Times New Roman" w:cs="Times New Roman"/>
                          <w:sz w:val="24"/>
                          <w:szCs w:val="24"/>
                          <w:lang w:eastAsia="en-GB"/>
                        </w:rPr>
                      </w:pPr>
                      <w:r>
                        <w:rPr>
                          <w:b/>
                          <w:bCs/>
                          <w:sz w:val="24"/>
                          <w:szCs w:val="24"/>
                        </w:rPr>
                        <w:t>A</w:t>
                      </w:r>
                    </w:p>
                  </w:txbxContent>
                </v:textbox>
                <w10:wrap type="topAndBottom" anchorx="margin" anchory="page"/>
              </v:shape>
            </w:pict>
          </mc:Fallback>
        </mc:AlternateContent>
      </w:r>
      <w:r w:rsidR="002C143E">
        <w:rPr>
          <w:noProof/>
        </w:rPr>
        <w:drawing>
          <wp:inline distT="0" distB="0" distL="0" distR="0" wp14:anchorId="2D5528BA" wp14:editId="5329B75A">
            <wp:extent cx="5731510" cy="2862414"/>
            <wp:effectExtent l="0" t="0" r="2540" b="0"/>
            <wp:docPr id="1239877321" name="Picture 123987732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823798" name="Picture 1" descr="Chart&#10;&#10;Description automatically generated with medium confidence"/>
                    <pic:cNvPicPr/>
                  </pic:nvPicPr>
                  <pic:blipFill>
                    <a:blip r:embed="rId22"/>
                    <a:stretch>
                      <a:fillRect/>
                    </a:stretch>
                  </pic:blipFill>
                  <pic:spPr>
                    <a:xfrm>
                      <a:off x="0" y="0"/>
                      <a:ext cx="5731510" cy="2862414"/>
                    </a:xfrm>
                    <a:prstGeom prst="rect">
                      <a:avLst/>
                    </a:prstGeom>
                  </pic:spPr>
                </pic:pic>
              </a:graphicData>
            </a:graphic>
          </wp:inline>
        </w:drawing>
      </w:r>
    </w:p>
    <w:p w:rsidR="00E83406" w:rsidP="00E83406" w:rsidRDefault="00E83406" w14:paraId="1168BF70" w14:textId="77777777">
      <w:pPr>
        <w:jc w:val="center"/>
        <w:rPr>
          <w:rFonts w:eastAsia="Calibri"/>
        </w:rPr>
      </w:pPr>
      <w:r>
        <w:rPr>
          <w:noProof/>
        </w:rPr>
        <w:drawing>
          <wp:inline distT="0" distB="0" distL="0" distR="0" wp14:anchorId="7FBEBA87" wp14:editId="71D75E50">
            <wp:extent cx="3487420" cy="2581910"/>
            <wp:effectExtent l="0" t="0" r="0" b="8890"/>
            <wp:docPr id="2087531685" name="Picture 2087531685"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272118" name="Picture 1" descr="Chart, pie char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3487420" cy="2581910"/>
                    </a:xfrm>
                    <a:prstGeom prst="rect">
                      <a:avLst/>
                    </a:prstGeom>
                  </pic:spPr>
                </pic:pic>
              </a:graphicData>
            </a:graphic>
          </wp:inline>
        </w:drawing>
      </w:r>
      <w:r w:rsidR="00940607">
        <w:rPr>
          <w:noProof/>
        </w:rPr>
        <mc:AlternateContent>
          <mc:Choice Requires="wps">
            <w:drawing>
              <wp:anchor distT="0" distB="0" distL="114300" distR="114300" simplePos="0" relativeHeight="251658242" behindDoc="0" locked="0" layoutInCell="1" allowOverlap="1" wp14:anchorId="36FC3710" wp14:editId="14D09FD5">
                <wp:simplePos x="0" y="0"/>
                <wp:positionH relativeFrom="margin">
                  <wp:align>left</wp:align>
                </wp:positionH>
                <wp:positionV relativeFrom="page">
                  <wp:posOffset>4466590</wp:posOffset>
                </wp:positionV>
                <wp:extent cx="314325" cy="1151890"/>
                <wp:effectExtent l="0" t="0" r="9525" b="0"/>
                <wp:wrapTopAndBottom/>
                <wp:docPr id="736110104" name="Text Box 736110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151890"/>
                        </a:xfrm>
                        <a:prstGeom prst="rect">
                          <a:avLst/>
                        </a:prstGeom>
                        <a:solidFill>
                          <a:srgbClr val="FFFFFF"/>
                        </a:solidFill>
                        <a:ln w="9525">
                          <a:noFill/>
                          <a:miter lim="800000"/>
                          <a:headEnd/>
                          <a:tailEnd/>
                        </a:ln>
                      </wps:spPr>
                      <wps:txbx>
                        <w:txbxContent>
                          <w:p w:rsidRPr="004C7E37" w:rsidR="002C143E" w:rsidP="002C143E" w:rsidRDefault="002C143E" w14:paraId="315D7D3E" w14:textId="0B6D5F11">
                            <w:pPr>
                              <w:spacing w:after="0" w:line="240" w:lineRule="auto"/>
                              <w:rPr>
                                <w:rFonts w:ascii="Times New Roman" w:hAnsi="Times New Roman" w:eastAsia="Times New Roman" w:cs="Times New Roman"/>
                                <w:sz w:val="24"/>
                                <w:szCs w:val="24"/>
                                <w:lang w:eastAsia="en-GB"/>
                              </w:rPr>
                            </w:pPr>
                            <w:r>
                              <w:rPr>
                                <w:b/>
                                <w:bCs/>
                                <w:sz w:val="24"/>
                                <w:szCs w:val="24"/>
                              </w:rPr>
                              <w:t>B</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w14:anchorId="6789322E">
              <v:shape id="Text Box 736110104" style="position:absolute;left:0;text-align:left;margin-left:0;margin-top:351.7pt;width:24.75pt;height:90.7pt;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" w14:anchorId="36FC3710">
                <v:textbox style="mso-fit-shape-to-text:t">
                  <w:txbxContent>
                    <w:p w:rsidRPr="004C7E37" w:rsidR="002C143E" w:rsidP="002C143E" w:rsidRDefault="002C143E" w14:paraId="61ED4E73" w14:textId="0B6D5F11">
                      <w:pPr>
                        <w:spacing w:after="0" w:line="240" w:lineRule="auto"/>
                        <w:rPr>
                          <w:rFonts w:ascii="Times New Roman" w:hAnsi="Times New Roman" w:eastAsia="Times New Roman" w:cs="Times New Roman"/>
                          <w:sz w:val="24"/>
                          <w:szCs w:val="24"/>
                          <w:lang w:eastAsia="en-GB"/>
                        </w:rPr>
                      </w:pPr>
                      <w:r>
                        <w:rPr>
                          <w:b/>
                          <w:bCs/>
                          <w:sz w:val="24"/>
                          <w:szCs w:val="24"/>
                        </w:rPr>
                        <w:t>B</w:t>
                      </w:r>
                    </w:p>
                  </w:txbxContent>
                </v:textbox>
                <w10:wrap type="topAndBottom" anchorx="margin" anchory="page"/>
              </v:shape>
            </w:pict>
          </mc:Fallback>
        </mc:AlternateContent>
      </w:r>
    </w:p>
    <w:p w:rsidRPr="00ED3639" w:rsidR="002C143E" w:rsidP="00E83406" w:rsidRDefault="002C143E" w14:paraId="6FA96355" w14:textId="57DE978C">
      <w:pPr>
        <w:rPr>
          <w:rFonts w:eastAsia="Calibri"/>
        </w:rPr>
      </w:pPr>
      <w:r>
        <w:rPr>
          <w:b/>
          <w:bCs/>
          <w:sz w:val="24"/>
          <w:szCs w:val="24"/>
        </w:rPr>
        <w:t>Figure 3. Students’ definition of ethnicity in a free text response.</w:t>
      </w:r>
    </w:p>
    <w:p w:rsidRPr="006054E1" w:rsidR="002C143E" w:rsidP="002C143E" w:rsidRDefault="002C143E" w14:paraId="07A72375" w14:textId="77777777">
      <w:pPr>
        <w:spacing w:line="257" w:lineRule="auto"/>
      </w:pPr>
      <w:r>
        <w:t xml:space="preserve">(a) </w:t>
      </w:r>
      <w:r w:rsidRPr="00D90DA2">
        <w:t xml:space="preserve">Responses were categorised into six groups </w:t>
      </w:r>
      <w:r>
        <w:t>based on the free text responses.</w:t>
      </w:r>
      <w:r w:rsidRPr="00D90DA2">
        <w:t xml:space="preserve"> </w:t>
      </w:r>
      <w:r>
        <w:t xml:space="preserve">There were 87 individuals who answered this question in both the pre- and post-questionnaire. Some individuals used words from more than one category. </w:t>
      </w:r>
    </w:p>
    <w:p w:rsidR="002C143E" w:rsidP="002C143E" w:rsidRDefault="002C143E" w14:paraId="114DAA0E" w14:textId="27BD2E2B">
      <w:pPr>
        <w:spacing w:line="257" w:lineRule="auto"/>
      </w:pPr>
      <w:r>
        <w:t xml:space="preserve">(b) In the pre-questionnaire, </w:t>
      </w:r>
      <w:r w:rsidR="007F0CF4">
        <w:t>most</w:t>
      </w:r>
      <w:r w:rsidRPr="007A3F82">
        <w:t xml:space="preserve"> students (5</w:t>
      </w:r>
      <w:r>
        <w:t>7</w:t>
      </w:r>
      <w:r w:rsidRPr="007A3F82">
        <w:t>%) defined ethnicity as relating to culture</w:t>
      </w:r>
      <w:r>
        <w:t xml:space="preserve"> and/or</w:t>
      </w:r>
      <w:r w:rsidRPr="007A3F82">
        <w:t xml:space="preserve"> place of origin and/or physical appearance</w:t>
      </w:r>
      <w:r>
        <w:t xml:space="preserve"> whilst 15% used words relating to genetics and/or ancestry</w:t>
      </w:r>
      <w:r w:rsidRPr="007A3F82">
        <w:t xml:space="preserve">. </w:t>
      </w:r>
      <w:r>
        <w:t>One fifth used words relating to both of the above groupings. Words used in f</w:t>
      </w:r>
      <w:r w:rsidRPr="007A3F82">
        <w:t xml:space="preserve">ree text responses were </w:t>
      </w:r>
      <w:r>
        <w:t xml:space="preserve">categorised as shown in (a) then grouped as shown. Responses are shown from 87 individuals who gave responses in both the pre-and post-questionnaires and there was no significant difference (p=0.3, Chi square test) between the pre-and post-questionnaire responses. </w:t>
      </w:r>
    </w:p>
    <w:tbl>
      <w:tblPr>
        <w:tblStyle w:val="TableGrid"/>
        <w:tblW w:w="0" w:type="auto"/>
        <w:tblLook w:val="04A0" w:firstRow="1" w:lastRow="0" w:firstColumn="1" w:lastColumn="0" w:noHBand="0" w:noVBand="1"/>
      </w:tblPr>
      <w:tblGrid>
        <w:gridCol w:w="3742"/>
        <w:gridCol w:w="1640"/>
        <w:gridCol w:w="1746"/>
        <w:gridCol w:w="1888"/>
      </w:tblGrid>
      <w:tr w:rsidR="00B93E60" w:rsidTr="00797DBE" w14:paraId="55C7F67C" w14:textId="77777777">
        <w:tc>
          <w:tcPr>
            <w:tcW w:w="9016" w:type="dxa"/>
            <w:gridSpan w:val="4"/>
            <w:tcBorders>
              <w:top w:val="nil"/>
              <w:left w:val="nil"/>
              <w:right w:val="nil"/>
            </w:tcBorders>
          </w:tcPr>
          <w:p w:rsidR="00B93E60" w:rsidP="00D56EC8" w:rsidRDefault="00B93E60" w14:paraId="781842CF" w14:textId="4B5EB4A9">
            <w:pPr>
              <w:rPr>
                <w:b/>
                <w:bCs/>
                <w:sz w:val="24"/>
                <w:szCs w:val="24"/>
              </w:rPr>
            </w:pPr>
            <w:r>
              <w:rPr>
                <w:b/>
                <w:bCs/>
                <w:sz w:val="24"/>
                <w:szCs w:val="24"/>
              </w:rPr>
              <w:lastRenderedPageBreak/>
              <w:t>Table 2</w:t>
            </w:r>
            <w:r w:rsidRPr="00FE18DE">
              <w:rPr>
                <w:b/>
                <w:bCs/>
                <w:sz w:val="24"/>
                <w:szCs w:val="24"/>
              </w:rPr>
              <w:t xml:space="preserve">. </w:t>
            </w:r>
            <w:r>
              <w:rPr>
                <w:b/>
                <w:bCs/>
                <w:sz w:val="24"/>
                <w:szCs w:val="24"/>
              </w:rPr>
              <w:t xml:space="preserve">Summary of student responses to questionnaire statements </w:t>
            </w:r>
            <w:r w:rsidR="00250F07">
              <w:rPr>
                <w:b/>
                <w:bCs/>
                <w:sz w:val="24"/>
                <w:szCs w:val="24"/>
              </w:rPr>
              <w:t xml:space="preserve">about genes, traits and disease </w:t>
            </w:r>
            <w:r>
              <w:rPr>
                <w:b/>
                <w:bCs/>
                <w:sz w:val="24"/>
                <w:szCs w:val="24"/>
              </w:rPr>
              <w:t xml:space="preserve">and change after the teaching session. </w:t>
            </w:r>
            <w:r>
              <w:rPr>
                <w:sz w:val="24"/>
                <w:szCs w:val="24"/>
              </w:rPr>
              <w:t>Difference between the pre- and post-questionnaires was assessed using a Wilcoxon Paired Signed Rank Test performed with GraphPad Prism 9.</w:t>
            </w:r>
          </w:p>
        </w:tc>
      </w:tr>
      <w:tr w:rsidR="00697CA9" w:rsidTr="00D56EC8" w14:paraId="631C4F68" w14:textId="77777777">
        <w:tc>
          <w:tcPr>
            <w:tcW w:w="3742" w:type="dxa"/>
          </w:tcPr>
          <w:p w:rsidR="00697CA9" w:rsidP="00D56EC8" w:rsidRDefault="00697CA9" w14:paraId="3F3E90BD" w14:textId="77777777">
            <w:pPr>
              <w:rPr>
                <w:b/>
                <w:bCs/>
                <w:sz w:val="24"/>
                <w:szCs w:val="24"/>
              </w:rPr>
            </w:pPr>
            <w:r>
              <w:rPr>
                <w:b/>
                <w:bCs/>
                <w:sz w:val="24"/>
                <w:szCs w:val="24"/>
              </w:rPr>
              <w:t>Statement</w:t>
            </w:r>
          </w:p>
        </w:tc>
        <w:tc>
          <w:tcPr>
            <w:tcW w:w="1640" w:type="dxa"/>
          </w:tcPr>
          <w:p w:rsidR="00697CA9" w:rsidP="00D56EC8" w:rsidRDefault="00697CA9" w14:paraId="5E438A49" w14:textId="77777777">
            <w:pPr>
              <w:rPr>
                <w:b/>
                <w:bCs/>
                <w:sz w:val="24"/>
                <w:szCs w:val="24"/>
              </w:rPr>
            </w:pPr>
            <w:r>
              <w:rPr>
                <w:b/>
                <w:bCs/>
                <w:sz w:val="24"/>
                <w:szCs w:val="24"/>
              </w:rPr>
              <w:t>Prediction if genetic deterministic beliefs</w:t>
            </w:r>
          </w:p>
        </w:tc>
        <w:tc>
          <w:tcPr>
            <w:tcW w:w="1746" w:type="dxa"/>
          </w:tcPr>
          <w:p w:rsidR="00697CA9" w:rsidP="00D56EC8" w:rsidRDefault="00697CA9" w14:paraId="601CF460" w14:textId="77777777">
            <w:pPr>
              <w:rPr>
                <w:b/>
                <w:bCs/>
                <w:sz w:val="24"/>
                <w:szCs w:val="24"/>
              </w:rPr>
            </w:pPr>
            <w:r>
              <w:rPr>
                <w:b/>
                <w:bCs/>
                <w:sz w:val="24"/>
                <w:szCs w:val="24"/>
              </w:rPr>
              <w:t>Pre-questionnaire</w:t>
            </w:r>
          </w:p>
        </w:tc>
        <w:tc>
          <w:tcPr>
            <w:tcW w:w="1888" w:type="dxa"/>
          </w:tcPr>
          <w:p w:rsidR="00697CA9" w:rsidP="00D56EC8" w:rsidRDefault="00697CA9" w14:paraId="51D7E941" w14:textId="77777777">
            <w:pPr>
              <w:rPr>
                <w:b/>
                <w:bCs/>
                <w:sz w:val="24"/>
                <w:szCs w:val="24"/>
              </w:rPr>
            </w:pPr>
            <w:r>
              <w:rPr>
                <w:b/>
                <w:bCs/>
                <w:sz w:val="24"/>
                <w:szCs w:val="24"/>
              </w:rPr>
              <w:t>Post-questionnaire</w:t>
            </w:r>
          </w:p>
        </w:tc>
      </w:tr>
      <w:tr w:rsidRPr="00CB4A10" w:rsidR="00697CA9" w:rsidTr="00D56EC8" w14:paraId="72CD3BB9" w14:textId="77777777">
        <w:tc>
          <w:tcPr>
            <w:tcW w:w="3742" w:type="dxa"/>
          </w:tcPr>
          <w:p w:rsidRPr="00CB4A10" w:rsidR="00697CA9" w:rsidP="00D56EC8" w:rsidRDefault="00697CA9" w14:paraId="501F3F18" w14:textId="77777777">
            <w:r w:rsidRPr="00CB4A10">
              <w:t>(a) Cloning can produce a copy of an animal identical in all respects with the original— so you could recreate a much-loved pet for example.</w:t>
            </w:r>
            <w:r w:rsidRPr="00CB4A10">
              <w:tab/>
            </w:r>
          </w:p>
        </w:tc>
        <w:tc>
          <w:tcPr>
            <w:tcW w:w="1640" w:type="dxa"/>
          </w:tcPr>
          <w:p w:rsidRPr="00CB4A10" w:rsidR="00697CA9" w:rsidP="00D56EC8" w:rsidRDefault="00697CA9" w14:paraId="59C44E4A" w14:textId="77777777">
            <w:r w:rsidRPr="00CB4A10">
              <w:t>Agree</w:t>
            </w:r>
          </w:p>
        </w:tc>
        <w:tc>
          <w:tcPr>
            <w:tcW w:w="1746" w:type="dxa"/>
          </w:tcPr>
          <w:p w:rsidRPr="00CB4A10" w:rsidR="000D771A" w:rsidP="00D56EC8" w:rsidRDefault="00697CA9" w14:paraId="1F47A261" w14:textId="77777777">
            <w:r w:rsidRPr="00CB4A10">
              <w:t xml:space="preserve">Inconclusive </w:t>
            </w:r>
          </w:p>
          <w:p w:rsidRPr="00CB4A10" w:rsidR="000D771A" w:rsidP="00D56EC8" w:rsidRDefault="000D771A" w14:paraId="5048AB15" w14:textId="77777777"/>
          <w:p w:rsidRPr="00CB4A10" w:rsidR="00697CA9" w:rsidP="00D56EC8" w:rsidRDefault="004A64E0" w14:paraId="3D33BDCC" w14:textId="1A2D209B">
            <w:r w:rsidRPr="00CB4A10">
              <w:t>d</w:t>
            </w:r>
            <w:r w:rsidRPr="00CB4A10" w:rsidR="00A83746">
              <w:t>isagree</w:t>
            </w:r>
            <w:r w:rsidRPr="00CB4A10">
              <w:t xml:space="preserve"> 42%</w:t>
            </w:r>
          </w:p>
          <w:p w:rsidRPr="00CB4A10" w:rsidR="004A64E0" w:rsidP="00D56EC8" w:rsidRDefault="004A64E0" w14:paraId="4ECB4C19" w14:textId="6F9CE561">
            <w:r w:rsidRPr="00CB4A10">
              <w:t>neutral 16%</w:t>
            </w:r>
          </w:p>
          <w:p w:rsidRPr="00CB4A10" w:rsidR="004A64E0" w:rsidP="00D56EC8" w:rsidRDefault="004A64E0" w14:paraId="5AFC4D2A" w14:textId="580F4856">
            <w:r w:rsidRPr="00CB4A10">
              <w:t>agree 42%</w:t>
            </w:r>
          </w:p>
        </w:tc>
        <w:tc>
          <w:tcPr>
            <w:tcW w:w="1888" w:type="dxa"/>
          </w:tcPr>
          <w:p w:rsidRPr="00CB4A10" w:rsidR="00697CA9" w:rsidP="00D56EC8" w:rsidRDefault="00697CA9" w14:paraId="1C292DC2" w14:textId="77777777">
            <w:r w:rsidRPr="00CB4A10">
              <w:t>Significant shift (p=0.0005) towards disagree</w:t>
            </w:r>
          </w:p>
        </w:tc>
      </w:tr>
      <w:tr w:rsidRPr="00CB4A10" w:rsidR="00697CA9" w:rsidTr="00D56EC8" w14:paraId="65D1C95F" w14:textId="77777777">
        <w:tc>
          <w:tcPr>
            <w:tcW w:w="3742" w:type="dxa"/>
          </w:tcPr>
          <w:p w:rsidRPr="00CB4A10" w:rsidR="00697CA9" w:rsidP="00D56EC8" w:rsidRDefault="00697CA9" w14:paraId="467916A7" w14:textId="77777777">
            <w:r w:rsidRPr="00CB4A10">
              <w:t xml:space="preserve">(b) Cloning could never produce a completely identical copy of a human being because our development is determined by much more than just our genes </w:t>
            </w:r>
          </w:p>
        </w:tc>
        <w:tc>
          <w:tcPr>
            <w:tcW w:w="1640" w:type="dxa"/>
          </w:tcPr>
          <w:p w:rsidRPr="00CB4A10" w:rsidR="00697CA9" w:rsidP="00D56EC8" w:rsidRDefault="00697CA9" w14:paraId="2E66D49E" w14:textId="77777777">
            <w:r w:rsidRPr="00CB4A10">
              <w:t>Disagree</w:t>
            </w:r>
          </w:p>
        </w:tc>
        <w:tc>
          <w:tcPr>
            <w:tcW w:w="1746" w:type="dxa"/>
          </w:tcPr>
          <w:p w:rsidRPr="00CB4A10" w:rsidR="00697CA9" w:rsidP="00D56EC8" w:rsidRDefault="00697CA9" w14:paraId="5E6BEB77" w14:textId="06E2845A">
            <w:r w:rsidRPr="00CB4A10">
              <w:t>Agree 89%</w:t>
            </w:r>
          </w:p>
          <w:p w:rsidRPr="00CB4A10" w:rsidR="00847925" w:rsidP="00D56EC8" w:rsidRDefault="00847925" w14:paraId="4744DA4C" w14:textId="77777777"/>
          <w:p w:rsidRPr="00CB4A10" w:rsidR="000A1230" w:rsidP="00D56EC8" w:rsidRDefault="00847925" w14:paraId="24BFDC6B" w14:textId="5E64665D">
            <w:r w:rsidRPr="00CB4A10">
              <w:t>neutral</w:t>
            </w:r>
            <w:r w:rsidRPr="00CB4A10" w:rsidR="000A1230">
              <w:t xml:space="preserve"> </w:t>
            </w:r>
            <w:r w:rsidRPr="00CB4A10">
              <w:t>7</w:t>
            </w:r>
            <w:r w:rsidRPr="00CB4A10" w:rsidR="000A1230">
              <w:t>%</w:t>
            </w:r>
          </w:p>
          <w:p w:rsidRPr="00CB4A10" w:rsidR="000A1230" w:rsidP="00D56EC8" w:rsidRDefault="00847925" w14:paraId="39F783F8" w14:textId="46F9E2B7">
            <w:r w:rsidRPr="00CB4A10">
              <w:t>disagree</w:t>
            </w:r>
            <w:r w:rsidRPr="00CB4A10" w:rsidR="000A1230">
              <w:t xml:space="preserve"> </w:t>
            </w:r>
            <w:r w:rsidRPr="00CB4A10">
              <w:t>4%</w:t>
            </w:r>
          </w:p>
        </w:tc>
        <w:tc>
          <w:tcPr>
            <w:tcW w:w="1888" w:type="dxa"/>
          </w:tcPr>
          <w:p w:rsidRPr="00CB4A10" w:rsidR="00697CA9" w:rsidP="00D56EC8" w:rsidRDefault="00697CA9" w14:paraId="678EA160" w14:textId="77777777">
            <w:r w:rsidRPr="00CB4A10">
              <w:t>No change</w:t>
            </w:r>
          </w:p>
        </w:tc>
      </w:tr>
      <w:tr w:rsidRPr="00CB4A10" w:rsidR="00697CA9" w:rsidTr="00D56EC8" w14:paraId="71C5E6DE" w14:textId="77777777">
        <w:tc>
          <w:tcPr>
            <w:tcW w:w="3742" w:type="dxa"/>
          </w:tcPr>
          <w:p w:rsidRPr="00CB4A10" w:rsidR="00697CA9" w:rsidP="00D56EC8" w:rsidRDefault="00697CA9" w14:paraId="3C273820" w14:textId="77777777">
            <w:r w:rsidRPr="00CB4A10">
              <w:t>(c) The children of musicians are more likely to become musicians themselves not because they inherit musical talent but because they follow their parents’ example</w:t>
            </w:r>
          </w:p>
        </w:tc>
        <w:tc>
          <w:tcPr>
            <w:tcW w:w="1640" w:type="dxa"/>
          </w:tcPr>
          <w:p w:rsidRPr="00CB4A10" w:rsidR="00697CA9" w:rsidP="00D56EC8" w:rsidRDefault="00697CA9" w14:paraId="47A0EBB5" w14:textId="77777777">
            <w:r w:rsidRPr="00CB4A10">
              <w:t>Disagree</w:t>
            </w:r>
          </w:p>
        </w:tc>
        <w:tc>
          <w:tcPr>
            <w:tcW w:w="1746" w:type="dxa"/>
          </w:tcPr>
          <w:p w:rsidRPr="00CB4A10" w:rsidR="00697CA9" w:rsidP="00D56EC8" w:rsidRDefault="00697CA9" w14:paraId="21F1035B" w14:textId="77777777">
            <w:r w:rsidRPr="00CB4A10">
              <w:t>Agree 70%</w:t>
            </w:r>
          </w:p>
          <w:p w:rsidRPr="00CB4A10" w:rsidR="00847925" w:rsidP="00D56EC8" w:rsidRDefault="00847925" w14:paraId="3302233D" w14:textId="77777777"/>
          <w:p w:rsidRPr="00CB4A10" w:rsidR="00847925" w:rsidP="00D56EC8" w:rsidRDefault="002C4BBD" w14:paraId="43619BEB" w14:textId="20B1AB29">
            <w:r w:rsidRPr="00CB4A10">
              <w:t>neutral 18%</w:t>
            </w:r>
          </w:p>
          <w:p w:rsidRPr="00CB4A10" w:rsidR="002C4BBD" w:rsidP="00D56EC8" w:rsidRDefault="002C4BBD" w14:paraId="037F4E8E" w14:textId="2990BFE0">
            <w:r w:rsidRPr="00CB4A10">
              <w:t>disagree 13%</w:t>
            </w:r>
          </w:p>
        </w:tc>
        <w:tc>
          <w:tcPr>
            <w:tcW w:w="1888" w:type="dxa"/>
          </w:tcPr>
          <w:p w:rsidRPr="00CB4A10" w:rsidR="00697CA9" w:rsidP="00D56EC8" w:rsidRDefault="00697CA9" w14:paraId="45F56238" w14:textId="77777777">
            <w:r w:rsidRPr="00CB4A10">
              <w:t>Significant shift (p&lt;0.0001) towards disagree</w:t>
            </w:r>
          </w:p>
        </w:tc>
      </w:tr>
      <w:tr w:rsidRPr="00CB4A10" w:rsidR="00264CCA" w:rsidTr="00D56EC8" w14:paraId="0B7B9EDB" w14:textId="77777777">
        <w:tc>
          <w:tcPr>
            <w:tcW w:w="3742" w:type="dxa"/>
          </w:tcPr>
          <w:p w:rsidRPr="00CB4A10" w:rsidR="00264CCA" w:rsidP="00264CCA" w:rsidRDefault="00264CCA" w14:paraId="0F64D997" w14:textId="00062996">
            <w:r w:rsidRPr="00CB4A10">
              <w:t>(</w:t>
            </w:r>
            <w:r w:rsidRPr="00CB4A10" w:rsidR="00797DBE">
              <w:t>d</w:t>
            </w:r>
            <w:r w:rsidRPr="00CB4A10">
              <w:t>) Apart from changes that take place after birth and throughout their lifetime (such as accidental scars, hair style, clothing, tattoos, etc.) it is not possible to tell identical twins physically apart</w:t>
            </w:r>
          </w:p>
        </w:tc>
        <w:tc>
          <w:tcPr>
            <w:tcW w:w="1640" w:type="dxa"/>
          </w:tcPr>
          <w:p w:rsidRPr="00CB4A10" w:rsidR="00264CCA" w:rsidP="00264CCA" w:rsidRDefault="00264CCA" w14:paraId="2AFC33E6" w14:textId="0FA38FCC">
            <w:r w:rsidRPr="00CB4A10">
              <w:t>Agree</w:t>
            </w:r>
          </w:p>
        </w:tc>
        <w:tc>
          <w:tcPr>
            <w:tcW w:w="1746" w:type="dxa"/>
          </w:tcPr>
          <w:p w:rsidRPr="00CB4A10" w:rsidR="00264CCA" w:rsidP="00264CCA" w:rsidRDefault="00264CCA" w14:paraId="5B32D70E" w14:textId="521F898A">
            <w:r w:rsidRPr="00CB4A10">
              <w:t>Disagree 63</w:t>
            </w:r>
            <w:r w:rsidRPr="00CB4A10" w:rsidR="00FB6B05">
              <w:t>%</w:t>
            </w:r>
          </w:p>
          <w:p w:rsidRPr="00CB4A10" w:rsidR="002C4BBD" w:rsidP="00264CCA" w:rsidRDefault="002C4BBD" w14:paraId="34528D38" w14:textId="77777777"/>
          <w:p w:rsidRPr="00CB4A10" w:rsidR="002C4BBD" w:rsidP="002C4BBD" w:rsidRDefault="002C4BBD" w14:paraId="32892C99" w14:textId="09CE9993">
            <w:r w:rsidRPr="00CB4A10">
              <w:t>neutral 1</w:t>
            </w:r>
            <w:r w:rsidRPr="00CB4A10" w:rsidR="00FB6B05">
              <w:t>0</w:t>
            </w:r>
            <w:r w:rsidRPr="00CB4A10">
              <w:t>%</w:t>
            </w:r>
          </w:p>
          <w:p w:rsidRPr="00CB4A10" w:rsidR="002C4BBD" w:rsidP="002C4BBD" w:rsidRDefault="002C4BBD" w14:paraId="285FC151" w14:textId="674E3066">
            <w:r w:rsidRPr="00CB4A10">
              <w:t xml:space="preserve">agree </w:t>
            </w:r>
            <w:r w:rsidRPr="00CB4A10" w:rsidR="00FB6B05">
              <w:t>27</w:t>
            </w:r>
            <w:r w:rsidRPr="00CB4A10">
              <w:t>%</w:t>
            </w:r>
          </w:p>
        </w:tc>
        <w:tc>
          <w:tcPr>
            <w:tcW w:w="1888" w:type="dxa"/>
          </w:tcPr>
          <w:p w:rsidRPr="00CB4A10" w:rsidR="00264CCA" w:rsidP="00264CCA" w:rsidRDefault="00264CCA" w14:paraId="7C881431" w14:textId="1E9EE999">
            <w:r w:rsidRPr="00CB4A10">
              <w:t>No change</w:t>
            </w:r>
          </w:p>
        </w:tc>
      </w:tr>
      <w:tr w:rsidRPr="00CB4A10" w:rsidR="00264CCA" w:rsidTr="00D56EC8" w14:paraId="501D7695" w14:textId="77777777">
        <w:tc>
          <w:tcPr>
            <w:tcW w:w="3742" w:type="dxa"/>
          </w:tcPr>
          <w:p w:rsidRPr="00CB4A10" w:rsidR="00264CCA" w:rsidP="00264CCA" w:rsidRDefault="00264CCA" w14:paraId="5036BB66" w14:textId="6CE1BDB8">
            <w:r w:rsidRPr="00CB4A10">
              <w:t>(</w:t>
            </w:r>
            <w:r w:rsidRPr="00CB4A10" w:rsidR="00797DBE">
              <w:t>e</w:t>
            </w:r>
            <w:r w:rsidRPr="00CB4A10">
              <w:t>) Genes have a greater role in most human disease than environmental factors do</w:t>
            </w:r>
          </w:p>
        </w:tc>
        <w:tc>
          <w:tcPr>
            <w:tcW w:w="1640" w:type="dxa"/>
          </w:tcPr>
          <w:p w:rsidRPr="00CB4A10" w:rsidR="00264CCA" w:rsidP="00264CCA" w:rsidRDefault="00264CCA" w14:paraId="5EC00F7F" w14:textId="77777777">
            <w:r w:rsidRPr="00CB4A10">
              <w:t>Agree</w:t>
            </w:r>
          </w:p>
        </w:tc>
        <w:tc>
          <w:tcPr>
            <w:tcW w:w="1746" w:type="dxa"/>
          </w:tcPr>
          <w:p w:rsidRPr="00CB4A10" w:rsidR="009563E9" w:rsidP="004A64E0" w:rsidRDefault="009435CC" w14:paraId="1A345224" w14:textId="658F3911">
            <w:r w:rsidRPr="00CB4A10">
              <w:t>Inconclusive</w:t>
            </w:r>
          </w:p>
          <w:p w:rsidRPr="00CB4A10" w:rsidR="009563E9" w:rsidP="004A64E0" w:rsidRDefault="009563E9" w14:paraId="064440D3" w14:textId="77777777"/>
          <w:p w:rsidRPr="00CB4A10" w:rsidR="004A64E0" w:rsidP="004A64E0" w:rsidRDefault="004A64E0" w14:paraId="7AE9477A" w14:textId="643FFFC6">
            <w:r w:rsidRPr="00CB4A10">
              <w:t xml:space="preserve">disagree </w:t>
            </w:r>
            <w:r w:rsidRPr="00CB4A10" w:rsidR="00775839">
              <w:t>36</w:t>
            </w:r>
            <w:r w:rsidRPr="00CB4A10">
              <w:t>%</w:t>
            </w:r>
          </w:p>
          <w:p w:rsidRPr="00CB4A10" w:rsidR="004A64E0" w:rsidP="004A64E0" w:rsidRDefault="004A64E0" w14:paraId="62681E76" w14:textId="357DE57E">
            <w:r w:rsidRPr="00CB4A10">
              <w:t xml:space="preserve">neutral </w:t>
            </w:r>
            <w:r w:rsidRPr="00CB4A10" w:rsidR="00775839">
              <w:t>37</w:t>
            </w:r>
            <w:r w:rsidRPr="00CB4A10">
              <w:t>%</w:t>
            </w:r>
          </w:p>
          <w:p w:rsidRPr="00CB4A10" w:rsidR="00264CCA" w:rsidP="004A64E0" w:rsidRDefault="004A64E0" w14:paraId="091F5401" w14:textId="7C01B0D7">
            <w:r w:rsidRPr="00CB4A10">
              <w:t xml:space="preserve">agree </w:t>
            </w:r>
            <w:r w:rsidRPr="00CB4A10" w:rsidR="00775839">
              <w:t>28</w:t>
            </w:r>
            <w:r w:rsidRPr="00CB4A10">
              <w:t>%</w:t>
            </w:r>
          </w:p>
        </w:tc>
        <w:tc>
          <w:tcPr>
            <w:tcW w:w="1888" w:type="dxa"/>
          </w:tcPr>
          <w:p w:rsidRPr="00CB4A10" w:rsidR="00264CCA" w:rsidP="00264CCA" w:rsidRDefault="00264CCA" w14:paraId="11E66E2D" w14:textId="77777777">
            <w:r w:rsidRPr="00CB4A10">
              <w:t>Significant shift (p&lt;0.0001) towards disagree</w:t>
            </w:r>
          </w:p>
        </w:tc>
      </w:tr>
      <w:tr w:rsidRPr="00CB4A10" w:rsidR="00264CCA" w:rsidTr="00D56EC8" w14:paraId="7BEF83E9" w14:textId="77777777">
        <w:tc>
          <w:tcPr>
            <w:tcW w:w="3742" w:type="dxa"/>
          </w:tcPr>
          <w:p w:rsidRPr="00CB4A10" w:rsidR="00264CCA" w:rsidP="00264CCA" w:rsidRDefault="00264CCA" w14:paraId="155B21DA" w14:textId="5CB7B38A">
            <w:r w:rsidRPr="00CB4A10">
              <w:t>(</w:t>
            </w:r>
            <w:r w:rsidRPr="00CB4A10" w:rsidR="00797DBE">
              <w:t>f</w:t>
            </w:r>
            <w:r w:rsidRPr="00CB4A10">
              <w:t>) Changes in lifestyle (diet, exercise and so on) can never override a person’s genetic risk factors</w:t>
            </w:r>
          </w:p>
        </w:tc>
        <w:tc>
          <w:tcPr>
            <w:tcW w:w="1640" w:type="dxa"/>
          </w:tcPr>
          <w:p w:rsidRPr="00CB4A10" w:rsidR="00264CCA" w:rsidP="00264CCA" w:rsidRDefault="00264CCA" w14:paraId="642E5500" w14:textId="77777777">
            <w:r w:rsidRPr="00CB4A10">
              <w:t>Agree</w:t>
            </w:r>
          </w:p>
        </w:tc>
        <w:tc>
          <w:tcPr>
            <w:tcW w:w="1746" w:type="dxa"/>
          </w:tcPr>
          <w:p w:rsidRPr="00CB4A10" w:rsidR="00264CCA" w:rsidP="00264CCA" w:rsidRDefault="00264CCA" w14:paraId="6D2EE7FA" w14:textId="77777777">
            <w:r w:rsidRPr="00CB4A10">
              <w:t>Disagree 56%</w:t>
            </w:r>
          </w:p>
          <w:p w:rsidRPr="00CB4A10" w:rsidR="009563E9" w:rsidP="00264CCA" w:rsidRDefault="009563E9" w14:paraId="28F90524" w14:textId="77777777"/>
          <w:p w:rsidRPr="00CB4A10" w:rsidR="009563E9" w:rsidP="009563E9" w:rsidRDefault="009563E9" w14:paraId="574954D9" w14:textId="04BF4C84">
            <w:r w:rsidRPr="00CB4A10">
              <w:t>neutral 19%</w:t>
            </w:r>
          </w:p>
          <w:p w:rsidRPr="00CB4A10" w:rsidR="009563E9" w:rsidP="009563E9" w:rsidRDefault="009563E9" w14:paraId="607FD2AA" w14:textId="70AE91D0">
            <w:r w:rsidRPr="00CB4A10">
              <w:t>agree 25%</w:t>
            </w:r>
          </w:p>
        </w:tc>
        <w:tc>
          <w:tcPr>
            <w:tcW w:w="1888" w:type="dxa"/>
          </w:tcPr>
          <w:p w:rsidRPr="00CB4A10" w:rsidR="00264CCA" w:rsidP="00264CCA" w:rsidRDefault="00264CCA" w14:paraId="22C1B2A7" w14:textId="77777777">
            <w:r w:rsidRPr="00CB4A10">
              <w:t>No change</w:t>
            </w:r>
          </w:p>
        </w:tc>
      </w:tr>
    </w:tbl>
    <w:p w:rsidR="00DC733F" w:rsidP="00EF511E" w:rsidRDefault="00DC733F" w14:paraId="51C7B2FD" w14:textId="77777777">
      <w:pPr>
        <w:rPr>
          <w:rStyle w:val="eop"/>
          <w:rFonts w:ascii="Calibri" w:hAnsi="Calibri" w:cs="Calibri"/>
          <w:color w:val="000000"/>
          <w:shd w:val="clear" w:color="auto" w:fill="FFFFFF"/>
        </w:rPr>
      </w:pPr>
    </w:p>
    <w:p w:rsidR="00D91D4C" w:rsidP="00EF511E" w:rsidRDefault="00D91D4C" w14:paraId="30D10B4C" w14:textId="77777777">
      <w:pPr>
        <w:rPr>
          <w:rStyle w:val="eop"/>
          <w:rFonts w:ascii="Calibri" w:hAnsi="Calibri" w:cs="Calibri"/>
          <w:color w:val="000000"/>
          <w:shd w:val="clear" w:color="auto" w:fill="FFFFFF"/>
        </w:rPr>
      </w:pPr>
    </w:p>
    <w:p w:rsidR="00CB4A10" w:rsidRDefault="00CB4A10" w14:paraId="68D9495B" w14:textId="531D00C7">
      <w:pPr>
        <w:rPr>
          <w:rStyle w:val="eop"/>
          <w:rFonts w:ascii="Calibri" w:hAnsi="Calibri" w:cs="Calibri"/>
          <w:color w:val="000000"/>
          <w:shd w:val="clear" w:color="auto" w:fill="FFFFFF"/>
        </w:rPr>
      </w:pPr>
      <w:r>
        <w:rPr>
          <w:rStyle w:val="eop"/>
          <w:rFonts w:ascii="Calibri" w:hAnsi="Calibri" w:cs="Calibri"/>
          <w:color w:val="000000"/>
          <w:shd w:val="clear" w:color="auto" w:fill="FFFFFF"/>
        </w:rPr>
        <w:br w:type="page"/>
      </w:r>
    </w:p>
    <w:tbl>
      <w:tblPr>
        <w:tblStyle w:val="TableGrid"/>
        <w:tblW w:w="0" w:type="auto"/>
        <w:tblLook w:val="04A0" w:firstRow="1" w:lastRow="0" w:firstColumn="1" w:lastColumn="0" w:noHBand="0" w:noVBand="1"/>
      </w:tblPr>
      <w:tblGrid>
        <w:gridCol w:w="3434"/>
        <w:gridCol w:w="1536"/>
        <w:gridCol w:w="2208"/>
        <w:gridCol w:w="1848"/>
      </w:tblGrid>
      <w:tr w:rsidRPr="005D5663" w:rsidR="00923828" w:rsidTr="00CB4A10" w14:paraId="45045EC6" w14:textId="77777777">
        <w:tc>
          <w:tcPr>
            <w:tcW w:w="9026" w:type="dxa"/>
            <w:gridSpan w:val="4"/>
            <w:tcBorders>
              <w:top w:val="nil"/>
              <w:left w:val="nil"/>
              <w:right w:val="nil"/>
            </w:tcBorders>
          </w:tcPr>
          <w:p w:rsidR="00923828" w:rsidP="00770809" w:rsidRDefault="00923828" w14:paraId="29413113" w14:textId="65CF408B">
            <w:pPr>
              <w:rPr>
                <w:sz w:val="24"/>
                <w:szCs w:val="24"/>
              </w:rPr>
            </w:pPr>
            <w:r w:rsidRPr="00923828">
              <w:rPr>
                <w:b/>
                <w:bCs/>
                <w:sz w:val="24"/>
                <w:szCs w:val="24"/>
              </w:rPr>
              <w:lastRenderedPageBreak/>
              <w:t>Table 3. Summary of student responses to pre-questionnaire statements about pharmacological mechanisms and change after the teaching session.</w:t>
            </w:r>
            <w:r w:rsidRPr="00923828">
              <w:rPr>
                <w:sz w:val="24"/>
                <w:szCs w:val="24"/>
              </w:rPr>
              <w:t xml:space="preserve"> Difference between the pre- and post-questionnaires was assessed using a Wilcoxon Paired Signed Rank Test performed with GraphPad Prism 9.</w:t>
            </w:r>
          </w:p>
        </w:tc>
      </w:tr>
      <w:tr w:rsidRPr="005D5663" w:rsidR="00C82B15" w:rsidTr="00CB4A10" w14:paraId="4D0CA8EB" w14:textId="77777777">
        <w:tc>
          <w:tcPr>
            <w:tcW w:w="3434" w:type="dxa"/>
            <w:tcBorders>
              <w:top w:val="single" w:color="auto" w:sz="4" w:space="0"/>
            </w:tcBorders>
          </w:tcPr>
          <w:p w:rsidR="00C82B15" w:rsidP="00C82B15" w:rsidRDefault="00C82B15" w14:paraId="1F79F2C5" w14:textId="4655134D">
            <w:pPr>
              <w:rPr>
                <w:sz w:val="24"/>
                <w:szCs w:val="24"/>
              </w:rPr>
            </w:pPr>
            <w:r>
              <w:rPr>
                <w:b/>
                <w:bCs/>
                <w:sz w:val="24"/>
                <w:szCs w:val="24"/>
              </w:rPr>
              <w:t>Statement</w:t>
            </w:r>
          </w:p>
        </w:tc>
        <w:tc>
          <w:tcPr>
            <w:tcW w:w="1536" w:type="dxa"/>
            <w:tcBorders>
              <w:top w:val="single" w:color="auto" w:sz="4" w:space="0"/>
            </w:tcBorders>
          </w:tcPr>
          <w:p w:rsidR="00C82B15" w:rsidP="00C82B15" w:rsidRDefault="00C82B15" w14:paraId="24632B36" w14:textId="48D24138">
            <w:pPr>
              <w:rPr>
                <w:sz w:val="24"/>
                <w:szCs w:val="24"/>
              </w:rPr>
            </w:pPr>
            <w:r>
              <w:rPr>
                <w:b/>
                <w:bCs/>
                <w:sz w:val="24"/>
                <w:szCs w:val="24"/>
              </w:rPr>
              <w:t>Prediction if genetic deterministic beliefs</w:t>
            </w:r>
          </w:p>
        </w:tc>
        <w:tc>
          <w:tcPr>
            <w:tcW w:w="2208" w:type="dxa"/>
            <w:tcBorders>
              <w:top w:val="single" w:color="auto" w:sz="4" w:space="0"/>
            </w:tcBorders>
          </w:tcPr>
          <w:p w:rsidR="00C82B15" w:rsidP="00C82B15" w:rsidRDefault="00C82B15" w14:paraId="0B7D8093" w14:textId="451CEFCA">
            <w:pPr>
              <w:rPr>
                <w:sz w:val="24"/>
                <w:szCs w:val="24"/>
              </w:rPr>
            </w:pPr>
            <w:r>
              <w:rPr>
                <w:b/>
                <w:bCs/>
                <w:sz w:val="24"/>
                <w:szCs w:val="24"/>
              </w:rPr>
              <w:t>Pre-questionnaire</w:t>
            </w:r>
          </w:p>
        </w:tc>
        <w:tc>
          <w:tcPr>
            <w:tcW w:w="1848" w:type="dxa"/>
            <w:tcBorders>
              <w:top w:val="single" w:color="auto" w:sz="4" w:space="0"/>
            </w:tcBorders>
          </w:tcPr>
          <w:p w:rsidR="00C82B15" w:rsidP="00C82B15" w:rsidRDefault="00C82B15" w14:paraId="68BA4597" w14:textId="0227E82F">
            <w:pPr>
              <w:rPr>
                <w:sz w:val="24"/>
                <w:szCs w:val="24"/>
              </w:rPr>
            </w:pPr>
            <w:r>
              <w:rPr>
                <w:b/>
                <w:bCs/>
                <w:sz w:val="24"/>
                <w:szCs w:val="24"/>
              </w:rPr>
              <w:t>Post-questionnaire</w:t>
            </w:r>
          </w:p>
        </w:tc>
      </w:tr>
      <w:tr w:rsidRPr="00CB4A10" w:rsidR="00C82B15" w:rsidTr="00CB4A10" w14:paraId="1AC9E6FF" w14:textId="77777777">
        <w:tc>
          <w:tcPr>
            <w:tcW w:w="3434" w:type="dxa"/>
            <w:tcBorders>
              <w:top w:val="single" w:color="auto" w:sz="4" w:space="0"/>
            </w:tcBorders>
          </w:tcPr>
          <w:p w:rsidRPr="00CB4A10" w:rsidR="00C82B15" w:rsidP="00B95318" w:rsidRDefault="00C82B15" w14:paraId="0CABBA78" w14:textId="77777777">
            <w:r w:rsidRPr="00CB4A10">
              <w:t>(a) The guidelines for treating high blood pressure/heart failure recommend treating one ethnic group with a different class of drugs to that used for all other ethnic groups. Which of the following mechanisms do you think might underly this difference?</w:t>
            </w:r>
          </w:p>
        </w:tc>
        <w:tc>
          <w:tcPr>
            <w:tcW w:w="1536" w:type="dxa"/>
            <w:tcBorders>
              <w:top w:val="single" w:color="auto" w:sz="4" w:space="0"/>
            </w:tcBorders>
          </w:tcPr>
          <w:p w:rsidRPr="00CB4A10" w:rsidR="00C82B15" w:rsidP="00B95318" w:rsidRDefault="00C82B15" w14:paraId="331D5287" w14:textId="77777777">
            <w:r w:rsidRPr="00CB4A10">
              <w:t>Genetic</w:t>
            </w:r>
          </w:p>
        </w:tc>
        <w:tc>
          <w:tcPr>
            <w:tcW w:w="2208" w:type="dxa"/>
            <w:tcBorders>
              <w:top w:val="single" w:color="auto" w:sz="4" w:space="0"/>
            </w:tcBorders>
          </w:tcPr>
          <w:p w:rsidRPr="00CB4A10" w:rsidR="00C82B15" w:rsidP="00B95318" w:rsidRDefault="00C82B15" w14:paraId="06F3E315" w14:textId="77777777">
            <w:r w:rsidRPr="00CB4A10">
              <w:t>Both genetic and environmental (57%)</w:t>
            </w:r>
          </w:p>
          <w:p w:rsidRPr="00CB4A10" w:rsidR="00C82B15" w:rsidP="00B95318" w:rsidRDefault="00C82B15" w14:paraId="555B4E88" w14:textId="77777777"/>
          <w:p w:rsidRPr="00CB4A10" w:rsidR="00C82B15" w:rsidP="00B95318" w:rsidRDefault="00C82B15" w14:paraId="2AE09033" w14:textId="77777777">
            <w:r w:rsidRPr="00CB4A10">
              <w:t>Genetic 39%</w:t>
            </w:r>
          </w:p>
          <w:p w:rsidRPr="00CB4A10" w:rsidR="00C82B15" w:rsidP="00B95318" w:rsidRDefault="00C82B15" w14:paraId="0408B160" w14:textId="77777777">
            <w:r w:rsidRPr="00CB4A10">
              <w:t>Environmental 4%</w:t>
            </w:r>
          </w:p>
        </w:tc>
        <w:tc>
          <w:tcPr>
            <w:tcW w:w="1848" w:type="dxa"/>
            <w:tcBorders>
              <w:top w:val="single" w:color="auto" w:sz="4" w:space="0"/>
            </w:tcBorders>
          </w:tcPr>
          <w:p w:rsidRPr="00CB4A10" w:rsidR="00C82B15" w:rsidP="00B95318" w:rsidRDefault="00C82B15" w14:paraId="5C894FDE" w14:textId="77777777">
            <w:r w:rsidRPr="00CB4A10">
              <w:t>No change</w:t>
            </w:r>
          </w:p>
        </w:tc>
      </w:tr>
      <w:tr w:rsidRPr="00CB4A10" w:rsidR="00923828" w:rsidTr="00CB4A10" w14:paraId="4FDC82AC" w14:textId="77777777">
        <w:tc>
          <w:tcPr>
            <w:tcW w:w="3434" w:type="dxa"/>
            <w:tcBorders>
              <w:bottom w:val="single" w:color="auto" w:sz="4" w:space="0"/>
            </w:tcBorders>
          </w:tcPr>
          <w:p w:rsidRPr="00CB4A10" w:rsidR="00923828" w:rsidP="00770809" w:rsidRDefault="00923828" w14:paraId="24FE92B2" w14:textId="494A9994">
            <w:r w:rsidRPr="00CB4A10">
              <w:t>(b) Drug metabolism in the liver is the main mechanism for terminating its effect. A study has shown that some ethnic groups differ in the rate at which they break down the drug. Which of the following mechanisms do you think might underly this difference in treatment between these two groups?</w:t>
            </w:r>
          </w:p>
        </w:tc>
        <w:tc>
          <w:tcPr>
            <w:tcW w:w="1536" w:type="dxa"/>
            <w:tcBorders>
              <w:bottom w:val="single" w:color="auto" w:sz="4" w:space="0"/>
            </w:tcBorders>
          </w:tcPr>
          <w:p w:rsidRPr="00CB4A10" w:rsidR="00923828" w:rsidP="00770809" w:rsidRDefault="00923828" w14:paraId="554E8F3A" w14:textId="77777777">
            <w:r w:rsidRPr="00CB4A10">
              <w:t>Genetic</w:t>
            </w:r>
          </w:p>
        </w:tc>
        <w:tc>
          <w:tcPr>
            <w:tcW w:w="2208" w:type="dxa"/>
            <w:tcBorders>
              <w:bottom w:val="single" w:color="auto" w:sz="4" w:space="0"/>
            </w:tcBorders>
          </w:tcPr>
          <w:p w:rsidRPr="00CB4A10" w:rsidR="00923828" w:rsidP="00770809" w:rsidRDefault="00923828" w14:paraId="0CC0ECB3" w14:textId="77777777">
            <w:r w:rsidRPr="00CB4A10">
              <w:t>Mainly or only genetic (58%)</w:t>
            </w:r>
          </w:p>
          <w:p w:rsidRPr="00CB4A10" w:rsidR="00B43A9A" w:rsidP="00770809" w:rsidRDefault="00B43A9A" w14:paraId="75B21C48" w14:textId="77777777"/>
          <w:p w:rsidRPr="00CB4A10" w:rsidR="00B43A9A" w:rsidP="00770809" w:rsidRDefault="00B43A9A" w14:paraId="5845DFEA" w14:textId="77777777">
            <w:r w:rsidRPr="00CB4A10">
              <w:t>Both genetic and environmental 41%</w:t>
            </w:r>
          </w:p>
          <w:p w:rsidRPr="00CB4A10" w:rsidR="00B43A9A" w:rsidP="00770809" w:rsidRDefault="00B43A9A" w14:paraId="41D998BC" w14:textId="3C895E98">
            <w:r w:rsidRPr="00CB4A10">
              <w:t>Environmental</w:t>
            </w:r>
            <w:r w:rsidRPr="00CB4A10" w:rsidR="00F2540F">
              <w:t xml:space="preserve"> 1%</w:t>
            </w:r>
          </w:p>
        </w:tc>
        <w:tc>
          <w:tcPr>
            <w:tcW w:w="1848" w:type="dxa"/>
            <w:tcBorders>
              <w:bottom w:val="single" w:color="auto" w:sz="4" w:space="0"/>
            </w:tcBorders>
          </w:tcPr>
          <w:p w:rsidRPr="00CB4A10" w:rsidR="00923828" w:rsidP="00770809" w:rsidRDefault="00923828" w14:paraId="53C53704" w14:textId="77777777">
            <w:r w:rsidRPr="00CB4A10">
              <w:t>Significant shift (p&lt;0.0001) towards environmental</w:t>
            </w:r>
          </w:p>
        </w:tc>
      </w:tr>
    </w:tbl>
    <w:p w:rsidR="00D91D4C" w:rsidP="00EF511E" w:rsidRDefault="00D91D4C" w14:paraId="17DDB8E9" w14:textId="77777777">
      <w:pPr>
        <w:rPr>
          <w:rStyle w:val="eop"/>
          <w:rFonts w:ascii="Calibri" w:hAnsi="Calibri" w:cs="Calibri"/>
          <w:color w:val="000000"/>
          <w:shd w:val="clear" w:color="auto" w:fill="FFFFFF"/>
        </w:rPr>
      </w:pPr>
    </w:p>
    <w:p w:rsidR="00683213" w:rsidP="00700BBD" w:rsidRDefault="00683213" w14:paraId="5C34824E" w14:textId="77777777">
      <w:pPr>
        <w:pStyle w:val="Heading2"/>
        <w:rPr>
          <w:rFonts w:ascii="Calibri" w:hAnsi="Calibri" w:cs="Calibri" w:eastAsiaTheme="minorHAnsi"/>
          <w:b w:val="0"/>
          <w:color w:val="000000"/>
          <w:sz w:val="22"/>
          <w:szCs w:val="22"/>
          <w:shd w:val="clear" w:color="auto" w:fill="FFFFFF"/>
        </w:rPr>
      </w:pPr>
    </w:p>
    <w:p w:rsidR="00CB4A10" w:rsidRDefault="00CB4A10" w14:paraId="10D73D94" w14:textId="77777777">
      <w:pPr>
        <w:rPr>
          <w:rFonts w:eastAsia="Calibri" w:asciiTheme="majorHAnsi" w:hAnsiTheme="majorHAnsi" w:cstheme="majorBidi"/>
          <w:b/>
          <w:sz w:val="26"/>
          <w:szCs w:val="26"/>
        </w:rPr>
      </w:pPr>
      <w:r>
        <w:rPr>
          <w:rFonts w:eastAsia="Calibri"/>
        </w:rPr>
        <w:br w:type="page"/>
      </w:r>
    </w:p>
    <w:p w:rsidR="009E4559" w:rsidP="00700BBD" w:rsidRDefault="00644A3E" w14:paraId="27BE962F" w14:textId="6D20728B">
      <w:pPr>
        <w:pStyle w:val="Heading2"/>
        <w:rPr>
          <w:rFonts w:eastAsia="Calibri"/>
        </w:rPr>
      </w:pPr>
      <w:r w:rsidRPr="00644A3E">
        <w:rPr>
          <w:rFonts w:eastAsia="Calibri"/>
        </w:rPr>
        <w:lastRenderedPageBreak/>
        <w:t>Discussio</w:t>
      </w:r>
      <w:r w:rsidR="009E4559">
        <w:rPr>
          <w:rFonts w:eastAsia="Calibri"/>
        </w:rPr>
        <w:t xml:space="preserve">n </w:t>
      </w:r>
    </w:p>
    <w:p w:rsidR="00E905CD" w:rsidP="00CB5B14" w:rsidRDefault="007F1EB0" w14:paraId="642EE4E8" w14:textId="308FF42E">
      <w:r>
        <w:t>Traditionally</w:t>
      </w:r>
      <w:r w:rsidR="006E4FF7">
        <w:t>, inter-ethnic differences in pharmacokinetics teaching have focussed on genetic mechanisms</w:t>
      </w:r>
      <w:r w:rsidR="00AC1F9F">
        <w:t>, usually single nucleotide polymorphisms. In this study</w:t>
      </w:r>
      <w:r w:rsidR="00A92F3E">
        <w:t xml:space="preserve"> we redesigned our teaching to focus on inter-individual variation</w:t>
      </w:r>
      <w:r w:rsidR="00B723D2">
        <w:t xml:space="preserve"> and addressed</w:t>
      </w:r>
      <w:r w:rsidR="008D19D8">
        <w:t xml:space="preserve"> some issues identified in the genetics education literature that highlight misconceptions around ethnicity and genetics</w:t>
      </w:r>
      <w:r w:rsidR="00566BF6">
        <w:t>. W</w:t>
      </w:r>
      <w:r w:rsidR="00465A4B">
        <w:t xml:space="preserve">e </w:t>
      </w:r>
      <w:r w:rsidR="00FF3F9F">
        <w:t>also</w:t>
      </w:r>
      <w:r w:rsidR="003D1EB0">
        <w:t xml:space="preserve"> </w:t>
      </w:r>
      <w:r w:rsidR="00800965">
        <w:t>investigated</w:t>
      </w:r>
      <w:r w:rsidR="00AC0B72">
        <w:t xml:space="preserve"> our students understanding of ethnicity</w:t>
      </w:r>
      <w:r w:rsidR="00566BF6">
        <w:t xml:space="preserve"> and genetics misconceptions and e</w:t>
      </w:r>
      <w:r w:rsidR="001E61D8">
        <w:t>xplor</w:t>
      </w:r>
      <w:r w:rsidR="00566BF6">
        <w:t xml:space="preserve">ed the effect of our </w:t>
      </w:r>
      <w:r w:rsidR="001E61D8">
        <w:t xml:space="preserve">redesigned </w:t>
      </w:r>
      <w:r w:rsidR="00566BF6">
        <w:t>teaching</w:t>
      </w:r>
      <w:r w:rsidR="00800965">
        <w:t>.</w:t>
      </w:r>
    </w:p>
    <w:p w:rsidRPr="00672F9E" w:rsidR="00E905CD" w:rsidP="00672F9E" w:rsidRDefault="00E905CD" w14:paraId="704A3D2E" w14:textId="01421E92">
      <w:pPr>
        <w:pStyle w:val="Heading3"/>
        <w:rPr>
          <w:sz w:val="22"/>
          <w:szCs w:val="22"/>
        </w:rPr>
      </w:pPr>
      <w:r w:rsidRPr="00672F9E">
        <w:rPr>
          <w:sz w:val="22"/>
          <w:szCs w:val="22"/>
        </w:rPr>
        <w:t>How do student</w:t>
      </w:r>
      <w:r w:rsidRPr="00672F9E" w:rsidR="00672F9E">
        <w:rPr>
          <w:sz w:val="22"/>
          <w:szCs w:val="22"/>
        </w:rPr>
        <w:t>s</w:t>
      </w:r>
      <w:r w:rsidRPr="00672F9E">
        <w:rPr>
          <w:sz w:val="22"/>
          <w:szCs w:val="22"/>
        </w:rPr>
        <w:t xml:space="preserve"> understand ethnicity?</w:t>
      </w:r>
    </w:p>
    <w:p w:rsidR="00307D4A" w:rsidP="00CB5B14" w:rsidRDefault="007B2C86" w14:paraId="1A399316" w14:textId="1882B210">
      <w:r>
        <w:t>Students</w:t>
      </w:r>
      <w:r w:rsidR="00307D4A">
        <w:t xml:space="preserve"> </w:t>
      </w:r>
      <w:r>
        <w:t xml:space="preserve">defined ethnicity </w:t>
      </w:r>
      <w:r w:rsidR="00FE2214">
        <w:t>mostly as a social construct</w:t>
      </w:r>
      <w:r w:rsidR="0011204A">
        <w:t xml:space="preserve"> with over half </w:t>
      </w:r>
      <w:r w:rsidR="00302E03">
        <w:t>of the cohort using words relating to</w:t>
      </w:r>
      <w:r w:rsidR="00FE2214">
        <w:t xml:space="preserve"> culture, place</w:t>
      </w:r>
      <w:r w:rsidR="00C15EAB">
        <w:t xml:space="preserve"> of origin</w:t>
      </w:r>
      <w:r w:rsidR="00FE2214">
        <w:t xml:space="preserve"> and appearance</w:t>
      </w:r>
      <w:r w:rsidR="002C2AA9">
        <w:t xml:space="preserve"> </w:t>
      </w:r>
      <w:r w:rsidR="00302E03">
        <w:t xml:space="preserve">and not words relating to genetics or ancestry </w:t>
      </w:r>
      <w:r w:rsidR="002C2AA9">
        <w:t xml:space="preserve">(Figure </w:t>
      </w:r>
      <w:r w:rsidR="003C1B1B">
        <w:t>3)</w:t>
      </w:r>
      <w:r w:rsidR="00FE2214">
        <w:t xml:space="preserve">. </w:t>
      </w:r>
      <w:r w:rsidR="008F3D73">
        <w:t xml:space="preserve">In everyday language the definition of ethnicity has changed over time and varies between countries </w:t>
      </w:r>
      <w:r w:rsidR="0066694C">
        <w:fldChar w:fldCharType="begin"/>
      </w:r>
      <w:r w:rsidR="00AC2C37">
        <w:instrText xml:space="preserve"> ADDIN ZOTERO_ITEM CSL_CITATION {"citationID":"GIgxwkSf","properties":{"formattedCitation":"[10]","plainCitation":"[10]","noteIndex":0},"citationItems":[{"id":290,"uris":["http://zotero.org/users/6704422/items/9I3SRVV3"],"itemData":{"id":290,"type":"article-journal","abstract":"Although the term “ethnic group” (EG) is often used in social studies, its definition differs among researchers. Moreover, little is known about ordinary people’s subjective understanding of this term, even though it is often used in social discourse. We examined this issue in a cross-sectional study of 273 American, British, Mexican, and Polish students using an open-ended questions approach. Results revealed cultural differences in patterns of “ethnic group” definitions across the four countries. U.S. respondents predominantly connected EG to “race”; British participants frequently related it to “race,” but more often to “common culture” and “customs/traditions.” Both latter categories were overwhelmingly dominant in Mexico and Poland. However, “nation,” “shared history,” “religion,” “language,” and “territory” were also very popular as EG understandings in Poland. Although most participants used the newer definition of EG (referring to all groups in a society, including minority and majority groups), a few in each country used the term only to refer to minorities and people different from themselves (an older, “minus one” definition). Unexpected definitions of EG also appeared (e.g., people having similar hobbies, having similar work goals, or living in the same city). The results also indicate that for the United States, the United Kingdom, and Mexico, “ethnic group” was more a subgroup within a nation, whereas in Poland, they represented the same level of categorization. The theoretical and practical implications of our findings are discussed.","container-title":"Cross-Cultural Research","DOI":"10.1177/1069397118816939","ISSN":"1069-3971, 1552-3578","issue":"1","journalAbbreviation":"Cross-Cultural Research","language":"en","page":"28-72","source":"DOI.org (Crossref)","title":"What Is an “Ethnic Group” in Ordinary People’s Eyes? Different Ways of Understanding It Among American, British, Mexican, and Polish Respondents","title-short":"What Is an “Ethnic Group” in Ordinary People’s Eyes?","volume":"54","author":[{"family":"Hamer","given":"Katarzyna"},{"family":"McFarland","given":"Sam"},{"family":"Czarnecka","given":"Barbara"},{"family":"Golińska","given":"Agnieszka"},{"family":"Cadena","given":"Liliana Manrique"},{"family":"Łużniak-Piecha","given":"Magdalena"},{"family":"Jułkowski","given":"Tomasz"}],"issued":{"date-parts":[["2020",2]]}}}],"schema":"https://github.com/citation-style-language/schema/raw/master/csl-citation.json"} </w:instrText>
      </w:r>
      <w:r w:rsidR="0066694C">
        <w:fldChar w:fldCharType="separate"/>
      </w:r>
      <w:r w:rsidRPr="00AC2C37" w:rsidR="00AC2C37">
        <w:rPr>
          <w:rFonts w:ascii="Calibri" w:hAnsi="Calibri" w:cs="Calibri"/>
        </w:rPr>
        <w:t>[10]</w:t>
      </w:r>
      <w:r w:rsidR="0066694C">
        <w:fldChar w:fldCharType="end"/>
      </w:r>
      <w:r w:rsidR="0066694C">
        <w:t xml:space="preserve">. </w:t>
      </w:r>
      <w:r w:rsidR="00F3049E">
        <w:t xml:space="preserve">Hamer et al </w:t>
      </w:r>
      <w:r w:rsidR="00F3049E">
        <w:fldChar w:fldCharType="begin"/>
      </w:r>
      <w:r w:rsidR="00AC2C37">
        <w:instrText xml:space="preserve"> ADDIN ZOTERO_ITEM CSL_CITATION {"citationID":"gkr8u1S0","properties":{"formattedCitation":"[10]","plainCitation":"[10]","noteIndex":0},"citationItems":[{"id":290,"uris":["http://zotero.org/users/6704422/items/9I3SRVV3"],"itemData":{"id":290,"type":"article-journal","abstract":"Although the term “ethnic group” (EG) is often used in social studies, its definition differs among researchers. Moreover, little is known about ordinary people’s subjective understanding of this term, even though it is often used in social discourse. We examined this issue in a cross-sectional study of 273 American, British, Mexican, and Polish students using an open-ended questions approach. Results revealed cultural differences in patterns of “ethnic group” definitions across the four countries. U.S. respondents predominantly connected EG to “race”; British participants frequently related it to “race,” but more often to “common culture” and “customs/traditions.” Both latter categories were overwhelmingly dominant in Mexico and Poland. However, “nation,” “shared history,” “religion,” “language,” and “territory” were also very popular as EG understandings in Poland. Although most participants used the newer definition of EG (referring to all groups in a society, including minority and majority groups), a few in each country used the term only to refer to minorities and people different from themselves (an older, “minus one” definition). Unexpected definitions of EG also appeared (e.g., people having similar hobbies, having similar work goals, or living in the same city). The results also indicate that for the United States, the United Kingdom, and Mexico, “ethnic group” was more a subgroup within a nation, whereas in Poland, they represented the same level of categorization. The theoretical and practical implications of our findings are discussed.","container-title":"Cross-Cultural Research","DOI":"10.1177/1069397118816939","ISSN":"1069-3971, 1552-3578","issue":"1","journalAbbreviation":"Cross-Cultural Research","language":"en","page":"28-72","source":"DOI.org (Crossref)","title":"What Is an “Ethnic Group” in Ordinary People’s Eyes? Different Ways of Understanding It Among American, British, Mexican, and Polish Respondents","title-short":"What Is an “Ethnic Group” in Ordinary People’s Eyes?","volume":"54","author":[{"family":"Hamer","given":"Katarzyna"},{"family":"McFarland","given":"Sam"},{"family":"Czarnecka","given":"Barbara"},{"family":"Golińska","given":"Agnieszka"},{"family":"Cadena","given":"Liliana Manrique"},{"family":"Łużniak-Piecha","given":"Magdalena"},{"family":"Jułkowski","given":"Tomasz"}],"issued":{"date-parts":[["2020",2]]}}}],"schema":"https://github.com/citation-style-language/schema/raw/master/csl-citation.json"} </w:instrText>
      </w:r>
      <w:r w:rsidR="00F3049E">
        <w:fldChar w:fldCharType="separate"/>
      </w:r>
      <w:r w:rsidRPr="00AC2C37" w:rsidR="00AC2C37">
        <w:rPr>
          <w:rFonts w:ascii="Calibri" w:hAnsi="Calibri" w:cs="Calibri"/>
        </w:rPr>
        <w:t>[10]</w:t>
      </w:r>
      <w:r w:rsidR="00F3049E">
        <w:fldChar w:fldCharType="end"/>
      </w:r>
      <w:r w:rsidR="00F3049E">
        <w:t xml:space="preserve"> found that British participant</w:t>
      </w:r>
      <w:r w:rsidR="000E5651">
        <w:t>s</w:t>
      </w:r>
      <w:r w:rsidR="00DF5F92">
        <w:t xml:space="preserve"> most often related </w:t>
      </w:r>
      <w:r w:rsidR="000E5651">
        <w:t>ethnicity</w:t>
      </w:r>
      <w:r w:rsidR="00DF5F92">
        <w:t xml:space="preserve"> to culture and traditions</w:t>
      </w:r>
      <w:r w:rsidR="0035453F">
        <w:t xml:space="preserve"> which was reflected in our participants’ view</w:t>
      </w:r>
      <w:r w:rsidR="000E5651">
        <w:t xml:space="preserve"> </w:t>
      </w:r>
      <w:r w:rsidR="000D2A4E">
        <w:t xml:space="preserve">whereas US respondents related ethnicity to race. </w:t>
      </w:r>
      <w:r w:rsidR="00966E9B">
        <w:t>In the pharmacokinetics literature</w:t>
      </w:r>
      <w:r w:rsidR="003C379A">
        <w:t xml:space="preserve"> the terms used for ethnic groups are those of the continental racial categories </w:t>
      </w:r>
      <w:r w:rsidR="003C1B1B">
        <w:t>i.e.,</w:t>
      </w:r>
      <w:r w:rsidR="003C379A">
        <w:t xml:space="preserve"> Black, Asian, white</w:t>
      </w:r>
      <w:r w:rsidR="00370B78">
        <w:t xml:space="preserve"> </w:t>
      </w:r>
      <w:r w:rsidR="00200176">
        <w:t xml:space="preserve">which is clearly inconsistent with the </w:t>
      </w:r>
      <w:r w:rsidR="004E0E69">
        <w:t xml:space="preserve">students’ </w:t>
      </w:r>
      <w:r w:rsidR="00200176">
        <w:t xml:space="preserve">view of ethnicity as shared cultures and traditions. </w:t>
      </w:r>
      <w:r w:rsidR="00313403">
        <w:t xml:space="preserve">Human geneticists have called for </w:t>
      </w:r>
      <w:r w:rsidR="0066694C">
        <w:t xml:space="preserve">use of ethnic group terms </w:t>
      </w:r>
      <w:r w:rsidR="008D4321">
        <w:t>such as</w:t>
      </w:r>
      <w:r w:rsidR="0066694C">
        <w:t xml:space="preserve"> </w:t>
      </w:r>
      <w:r w:rsidR="009C22A0">
        <w:t>White British, Black African</w:t>
      </w:r>
      <w:r w:rsidR="00591C0B">
        <w:t xml:space="preserve"> to stop</w:t>
      </w:r>
      <w:r w:rsidR="00AF3F60">
        <w:t xml:space="preserve"> </w:t>
      </w:r>
      <w:r w:rsidR="00482835">
        <w:t>since these terms, which</w:t>
      </w:r>
      <w:r w:rsidR="00D917DE">
        <w:t xml:space="preserve"> were introduced centuries ago</w:t>
      </w:r>
      <w:r w:rsidR="00CB2804">
        <w:t>,</w:t>
      </w:r>
      <w:r w:rsidR="00D917DE">
        <w:t xml:space="preserve"> are not </w:t>
      </w:r>
      <w:r w:rsidR="00971912">
        <w:t xml:space="preserve">relevant for understanding population genetics </w:t>
      </w:r>
      <w:r w:rsidR="00971912">
        <w:fldChar w:fldCharType="begin"/>
      </w:r>
      <w:r w:rsidR="00AC2C37">
        <w:instrText xml:space="preserve"> ADDIN ZOTERO_ITEM CSL_CITATION {"citationID":"A0j5Dy37","properties":{"formattedCitation":"[9]","plainCitation":"[9]","noteIndex":0},"citationItems":[{"id":149,"uris":["http://zotero.org/users/6704422/items/MPHIGSCM"],"itemData":{"id":149,"type":"article-journal","abstract":"The language commonly used in human genetics can inadvertently pose problems for multiple reasons. Terms like ‘ancestry’, ‘ethnicity’, and other ways of grouping people can have complex, often poorly understood, or multiple meanings within the various fields of genetics, between different domains of biological sciences and medicine, and between scientists and the general public. Furthermore, some categories in frequently used datasets carry scientifically misleading, outmoded or even racist perspectives derived from the history of science. Here, we discuss examples of problematic lexicon in genetics, and how commonly used statistical practices to control for the non-genetic environment may exacerbate difficulties in our terminology, and therefore understanding. Our intention is to stimulate a much-needed discussion about the language of genetics, to begin a process to clarify existing terminology, and in some cases adopt a new lexicon that both serves scientific insight, and cuts us loose from various aspects of a pernicious past.","language":"en","page":"14","source":"Zotero","title":"The Language of Race 180621","author":[{"family":"Birney","given":"Ewan"},{"family":"Inouye","given":"Michael"},{"family":"Raff","given":"Jennifer"},{"family":"Rutherford","given":"Adam"},{"family":"Scally","given":"Aylwyn"}]}}],"schema":"https://github.com/citation-style-language/schema/raw/master/csl-citation.json"} </w:instrText>
      </w:r>
      <w:r w:rsidR="00971912">
        <w:fldChar w:fldCharType="separate"/>
      </w:r>
      <w:r w:rsidRPr="00AC2C37" w:rsidR="00AC2C37">
        <w:rPr>
          <w:rFonts w:ascii="Calibri" w:hAnsi="Calibri" w:cs="Calibri"/>
        </w:rPr>
        <w:t>[9]</w:t>
      </w:r>
      <w:r w:rsidR="00971912">
        <w:fldChar w:fldCharType="end"/>
      </w:r>
      <w:r w:rsidR="00971912">
        <w:t>.</w:t>
      </w:r>
      <w:r w:rsidR="00002F55">
        <w:t xml:space="preserve"> Likewise, Bhopal and Donaldson </w:t>
      </w:r>
      <w:r w:rsidR="00002F55">
        <w:fldChar w:fldCharType="begin"/>
      </w:r>
      <w:r w:rsidR="00AC2C37">
        <w:instrText xml:space="preserve"> ADDIN ZOTERO_ITEM CSL_CITATION {"citationID":"rcqhyTU6","properties":{"formattedCitation":"[18]","plainCitation":"[18]","noteIndex":0},"citationItems":[{"id":250,"uris":["http://zotero.org/users/6704422/items/P37B363H"],"itemData":{"id":250,"type":"article-journal","container-title":"American Journal of Public Health","DOI":"10.2105/AJPH.88.9.1303","ISSN":"0090-0036, 1541-0048","issue":"9","journalAbbreviation":"Am J Public Health","language":"en","page":"1303-1307","source":"DOI.org (Crossref)","title":"White, European, Western, Caucasian, or what? Inappropriate labeling in research on race, ethnicity, and health.","title-short":"White, European, Western, Caucasian, or what?","volume":"88","author":[{"family":"Bhopal","given":"R"},{"family":"Donaldson","given":"L"}],"issued":{"date-parts":[["1998",9]]}}}],"schema":"https://github.com/citation-style-language/schema/raw/master/csl-citation.json"} </w:instrText>
      </w:r>
      <w:r w:rsidR="00002F55">
        <w:fldChar w:fldCharType="separate"/>
      </w:r>
      <w:r w:rsidRPr="00AC2C37" w:rsidR="00AC2C37">
        <w:rPr>
          <w:rFonts w:ascii="Calibri" w:hAnsi="Calibri" w:cs="Calibri"/>
        </w:rPr>
        <w:t>[18]</w:t>
      </w:r>
      <w:r w:rsidR="00002F55">
        <w:fldChar w:fldCharType="end"/>
      </w:r>
      <w:r w:rsidR="00134484">
        <w:t xml:space="preserve"> argue that use of these racial terms </w:t>
      </w:r>
      <w:r w:rsidR="00F67845">
        <w:t>encourages “division of society by skin color, reinforcing racial stereotyping, and hides a remarkable heterogeneity of cultures.”</w:t>
      </w:r>
      <w:r w:rsidR="00922368">
        <w:t xml:space="preserve"> Following this line of argument, it is logical to suggest that use of these terms in the pharmacology classroom </w:t>
      </w:r>
      <w:r w:rsidR="00D74B68">
        <w:t xml:space="preserve">in the context of biological variation </w:t>
      </w:r>
      <w:r w:rsidR="00922368">
        <w:t xml:space="preserve">should </w:t>
      </w:r>
      <w:r w:rsidR="006D34C8">
        <w:t>be carefully considered.</w:t>
      </w:r>
      <w:r w:rsidR="00D74B68">
        <w:t xml:space="preserve"> </w:t>
      </w:r>
    </w:p>
    <w:p w:rsidR="0021044C" w:rsidP="0021044C" w:rsidRDefault="0021044C" w14:paraId="3952170F" w14:textId="3FC03724">
      <w:r>
        <w:t xml:space="preserve">During our teaching sessions we began to become aware of problems with terminology and that we and our students were not always completely clear about how certain words were best used. Many students used the term ancestry in their </w:t>
      </w:r>
      <w:r w:rsidR="00E905CD">
        <w:t>responses,</w:t>
      </w:r>
      <w:r>
        <w:t xml:space="preserve"> and we included the term in a list of words students could choose from to indicate their understanding of ethnicity. As with many terms, it has an everyday meaning – a general connection to people or things in the past  – and a more specific meaning in genetics i.e. the information about your ancestors and their genetic relationship to you </w:t>
      </w:r>
      <w:r>
        <w:fldChar w:fldCharType="begin"/>
      </w:r>
      <w:r w:rsidR="00AC2C37">
        <w:instrText xml:space="preserve"> ADDIN ZOTERO_ITEM CSL_CITATION {"citationID":"LZjCyuwC","properties":{"formattedCitation":"[19]","plainCitation":"[19]","noteIndex":0},"citationItems":[{"id":289,"uris":["http://zotero.org/users/6704422/items/EYS8GI2D"],"itemData":{"id":289,"type":"article-journal","container-title":"PLOS Genetics","DOI":"10.1371/journal.pgen.1008624","ISSN":"1553-7404","issue":"3","journalAbbreviation":"PLoS Genet","language":"en","page":"e1008624","source":"DOI.org (Crossref)","title":"What is ancestry?","volume":"16","author":[{"family":"Mathieson","given":"Iain"},{"family":"Scally","given":"Aylwyn"}],"editor":[{"family":"Flint","given":"Jonathan"}],"issued":{"date-parts":[["2020",3,9]]}}}],"schema":"https://github.com/citation-style-language/schema/raw/master/csl-citation.json"} </w:instrText>
      </w:r>
      <w:r>
        <w:fldChar w:fldCharType="separate"/>
      </w:r>
      <w:r w:rsidRPr="00AC2C37" w:rsidR="00AC2C37">
        <w:rPr>
          <w:rFonts w:ascii="Calibri" w:hAnsi="Calibri" w:cs="Calibri"/>
        </w:rPr>
        <w:t>[19]</w:t>
      </w:r>
      <w:r>
        <w:fldChar w:fldCharType="end"/>
      </w:r>
      <w:r>
        <w:t xml:space="preserve">. On reflection, we decided to </w:t>
      </w:r>
      <w:r w:rsidR="00F730D8">
        <w:t xml:space="preserve">assume that students were using the term ancestry to describe genetic relationship to ancestors and therefore grouped responses that included the terms genetics and ancestry. </w:t>
      </w:r>
      <w:r w:rsidR="009D2D63">
        <w:t xml:space="preserve"> I</w:t>
      </w:r>
      <w:r>
        <w:t>t is possible that students ascribed subtly different meanings to the term</w:t>
      </w:r>
      <w:r w:rsidR="009D2D63">
        <w:t xml:space="preserve"> ancestry</w:t>
      </w:r>
      <w:r>
        <w:t>.</w:t>
      </w:r>
    </w:p>
    <w:p w:rsidRPr="001F4C49" w:rsidR="00AF6EBD" w:rsidP="00AF6EBD" w:rsidRDefault="00AF6EBD" w14:paraId="715A6581" w14:textId="77777777">
      <w:pPr>
        <w:pStyle w:val="Heading3"/>
        <w:rPr>
          <w:sz w:val="22"/>
          <w:szCs w:val="22"/>
        </w:rPr>
      </w:pPr>
      <w:r w:rsidRPr="001F4C49">
        <w:rPr>
          <w:sz w:val="22"/>
          <w:szCs w:val="22"/>
        </w:rPr>
        <w:t>Did our students demonstrate genetic determinism</w:t>
      </w:r>
      <w:r>
        <w:rPr>
          <w:sz w:val="22"/>
          <w:szCs w:val="22"/>
        </w:rPr>
        <w:t xml:space="preserve"> or lack of understanding</w:t>
      </w:r>
      <w:r w:rsidRPr="001F4C49">
        <w:rPr>
          <w:sz w:val="22"/>
          <w:szCs w:val="22"/>
        </w:rPr>
        <w:t>?</w:t>
      </w:r>
    </w:p>
    <w:p w:rsidR="009F69FE" w:rsidP="001379B1" w:rsidRDefault="009129F7" w14:paraId="65DC2D44" w14:textId="7D9E2085">
      <w:r>
        <w:t xml:space="preserve">Genetic determinism is </w:t>
      </w:r>
      <w:r w:rsidR="004C05D4">
        <w:t xml:space="preserve">typically measured with the use of a questionnaire </w:t>
      </w:r>
      <w:r>
        <w:t xml:space="preserve">designed for use in genetics teaching and so contain considerable detail about genetic mechanisms or encompassed aspects of genetics and genomics technologies all of which were outside the scope of our subject teaching  </w:t>
      </w:r>
      <w:r>
        <w:fldChar w:fldCharType="begin"/>
      </w:r>
      <w:r w:rsidR="00AC2C37">
        <w:instrText xml:space="preserve"> ADDIN ZOTERO_ITEM CSL_CITATION {"citationID":"AXH3b1iS","properties":{"formattedCitation":"[20]","plainCitation":"[20]","noteIndex":0},"citationItems":[{"id":198,"uris":["http://zotero.org/users/6704422/items/5HDE9D6Z"],"itemData":{"id":198,"type":"article-journal","abstract":"In this article, we describe the main phases in the development and validation of a questionnaire measuring secondary students’ teleology and essentialism conceptions in the context of genetics. The validation process involved 714 Swiss and French secondary school students from 14 diﬀerent schools. The process included interviews, several pilot studies, experts’ feedback, and lasted from January 2017 to May 2018. The ﬁnal version of the test consists of 20 items based on an ordinal scale, which measure teleology and essentialism conceptions in the context of genetics. Exploratory factor analysis showed a structure with three factors and Cronbach’s alpha values indicated a good internal consistency of the items. We also report ﬁndings on students’ genetic determinism conceptions, even though the respective items were not included in the ﬁnal questionnaire because their psychometric properties were not as good as those for genetic teleology and genetic essentialism. Implications for science education are discussed.","container-title":"International Journal of Science Education","DOI":"10.1080/09500693.2019.1707905","ISSN":"0950-0693, 1464-5289","issue":"2","journalAbbreviation":"International Journal of Science Education","language":"en","page":"218-252","source":"DOI.org (Crossref)","title":"Development and validation of a questionnaire measuring secondary students’ genetic essentialism and teleology (GET) conceptions","volume":"42","author":[{"family":"Stern","given":"Florian"},{"family":"Kampourakis","given":"Kostas"},{"family":"Delaval","given":"Marine"},{"family":"Müller","given":"Andreas"}],"issued":{"date-parts":[["2020",1,22]]}}}],"schema":"https://github.com/citation-style-language/schema/raw/master/csl-citation.json"} </w:instrText>
      </w:r>
      <w:r>
        <w:fldChar w:fldCharType="separate"/>
      </w:r>
      <w:r w:rsidRPr="00AC2C37" w:rsidR="00AC2C37">
        <w:rPr>
          <w:rFonts w:ascii="Calibri" w:hAnsi="Calibri" w:cs="Calibri"/>
        </w:rPr>
        <w:t>[20]</w:t>
      </w:r>
      <w:r>
        <w:fldChar w:fldCharType="end"/>
      </w:r>
      <w:r>
        <w:t xml:space="preserve">, </w:t>
      </w:r>
      <w:r>
        <w:fldChar w:fldCharType="begin"/>
      </w:r>
      <w:r w:rsidR="00AC2C37">
        <w:instrText xml:space="preserve"> ADDIN ZOTERO_ITEM CSL_CITATION {"citationID":"i8fQF1P7","properties":{"formattedCitation":"[5], [8], [21], [22]","plainCitation":"[5], [8], [21], [22]","noteIndex":0},"citationItems":[{"id":177,"uris":["http://zotero.org/users/6704422/items/EFRTJ8CN"],"itemData":{"id":177,"type":"article-journal","abstract":"There is continued emphasis on increasing and improving genetics education for grades K–12, for medical professionals, and for the general public. Another critical audience is undergraduate students in introductory biology and genetics courses. To improve the learning of genetics, there is a need to ﬁrst assess students’ understanding of genetics concepts and their level of genetics literacy (i.e., genetics knowledge as it relates to, and affects, their lives). We have developed and evaluated a new instrument to assess the genetics literacy of undergraduate students taking introductory biology or genetics courses. The Genetics Literacy Assessment Instrument is a 31-item multiple-choice test that addresses 17 concepts identiﬁed as central to genetics literacy. The items were selected and modiﬁed on the basis of reviews by 25 genetics professionals and educators. The instrument underwent additional analysis in student focus groups and pilot testing. It has been evaluated using  400 students in eight introductory nonmajor biology and genetics courses. The content validity, discriminant validity, internal reliability, and stability of the instrument have been considered. This project directly enhances genetics education research by providing a valid and reliable instrument for assessing the genetics literacy of undergraduate students.","container-title":"Genetics","DOI":"10.1534/genetics.107.079533","ISSN":"1943-2631","issue":"1","language":"en","page":"15-22","source":"DOI.org (Crossref)","title":"Development and Evaluation of a Genetics Literacy Assessment Instrument for Undergraduates","volume":"178","author":[{"family":"Bowling","given":"Bethany Vice"},{"family":"Acra","given":"Erin E"},{"family":"Wang","given":"Lihshing"},{"family":"Myers","given":"Melanie F"},{"family":"Dean","given":"Gary E"},{"family":"Markle","given":"Glenn C"},{"family":"Moskalik","given":"Christine L"},{"family":"Huether","given":"Carl A"}],"issued":{"date-parts":[["2008",1,1]]}}},{"id":200,"uris":["http://zotero.org/users/6704422/items/5PCB77TA"],"itemData":{"id":200,"type":"article-journal","container-title":"PLOS ONE","DOI":"10.1371/journal.pone.0169808","ISSN":"1932-6203","issue":"1","journalAbbreviation":"PLoS ONE","language":"en","page":"e0169808","source":"DOI.org (Crossref)","title":"Young Adults’ Belief in Genetic Determinism, and Knowledge and Attitudes towards Modern Genetics and Genomics: The PUGGS Questionnaire","title-short":"Young Adults’ Belief in Genetic Determinism, and Knowledge and Attitudes towards Modern Genetics and Genomics","volume":"12","author":[{"family":"Carver","given":"Rebecca Bruu"},{"family":"Castéra","given":"Jérémy"},{"family":"Gericke","given":"Niklas"},{"family":"Evangelista","given":"Neima Alice Menezes"},{"family":"El-Hani","given":"Charbel N."}],"editor":[{"family":"Li","given":"Dongmei"}],"issued":{"date-parts":[["2017",1,23]]}}},{"id":227,"uris":["http://zotero.org/users/6704422/items/R4BZC6WW"],"itemData":{"id":227,"type":"article-journal","abstract":"This work analyses the answers to a questionnaire from 8,285 in-service and pre-service teachers from 23 countries, elaborated by the Biohead-Citizen research project, to investigate teachers’ conceptions related to the genetic determinism of human behaviour. A principal components analysis is used to assess the main trends in all the interviewed teachers’ conceptions. This illustrates that innatism is present in two distinct ways: in relation to individuals (e.g. genetic determinism to justify intellectual likeness between individuals such as twins) or in relation to groups of humans (e.g. genetic determinism to justify gender differences or the superiority of some human ethnic groups). A betweenfactor analysis discriminates between countries, showing very signiﬁcant differences. There is more innatism among teachers’ conceptions in African countries and Lebanon than in European countries, Brazil and Australia. Among the other controlled parameters, only two are signiﬁcantly independent of the country: the level of training and the level of knowledge of biology. A co-inertia analysis shows a strong correlation between non-citizen attitudes towards and innatist conceptions of genetic determinism regarding human groups. We discuss these ﬁndings and their implications for education.","container-title":"Science &amp; Education","DOI":"10.1007/s11191-012-9494-0","ISSN":"0926-7220, 1573-1901","issue":"2","journalAbbreviation":"Sci &amp; Educ","language":"en","page":"417-443","source":"DOI.org (Crossref)","title":"Teachers’ Conceptions About the Genetic Determinism of Human Behaviour: A Survey in 23 Countries","title-short":"Teachers’ Conceptions About the Genetic Determinism of Human Behaviour","volume":"23","author":[{"family":"Castéra","given":"Jérémy"},{"family":"Clément","given":"Pierre"}],"issued":{"date-parts":[["2014",2]]}}},{"id":229,"uris":["http://zotero.org/users/6704422/items/92DJ3WEH"],"itemData":{"id":229,"type":"article-journal","abstract":"Understanding how teaching aﬀects students’ attitudes and beliefs is notoriously diﬃcult, speciﬁcally in a quickly evolving and societally relevant ﬁeld such as genetics. The aim of this survey study is to capitalize our previous research and examine how teaching relates to Finnish secondary school students’ liking of, self-concept in and experienced utility of genetics, attitude towards gene technology and belief in genetic determinism. In this unique setting, we used as explanatory variables their teachers’ teaching emphases and learning materials, and as student-related factors, we used gender and the number of biology courses attended. Item-response theory with exploratory, conﬁrmatory, and explanatory analyses were carried out to model the data. Teaching explained students’ attitudes and beliefs: if the teacher’s emphasis was Hereditary or the textbook with stronger Mendelian emphasis was used, students tended to havemore negative attitudes towards learning genetics and stronger belief in genetic determinism . Our results also suggest gender diﬀerences: male students had more positive attitude towards gene technology, higher self-concept, whereas as utility of genetics and belief in genetic determinism were higher in females. The results suggest that teaching’ approaches as well as learning materials need updates to fulﬁl the needs for genetics literacy.","container-title":"International Journal of Science Education","DOI":"10.1080/09500693.2021.1917789","ISSN":"0950-0693, 1464-5289","journalAbbreviation":"International Journal of Science Education","language":"en","page":"1-18","source":"DOI.org (Crossref)","title":"Factors explaining students’ attitudes towards learning genetics and belief in genetic determinism","author":[{"family":"Aivelo","given":"Tuomas"},{"family":"Uitto","given":"Anna"}],"issued":{"date-parts":[["2021",4,29]]}}}],"schema":"https://github.com/citation-style-language/schema/raw/master/csl-citation.json"} </w:instrText>
      </w:r>
      <w:r>
        <w:fldChar w:fldCharType="separate"/>
      </w:r>
      <w:r w:rsidRPr="00AC2C37" w:rsidR="00AC2C37">
        <w:rPr>
          <w:rFonts w:ascii="Calibri" w:hAnsi="Calibri" w:cs="Calibri"/>
        </w:rPr>
        <w:t>[5], [8], [21], [22]</w:t>
      </w:r>
      <w:r>
        <w:fldChar w:fldCharType="end"/>
      </w:r>
      <w:r>
        <w:t xml:space="preserve">. </w:t>
      </w:r>
      <w:r w:rsidR="001379B1">
        <w:t xml:space="preserve">There does not appear to be a validated questionnaire that has been extensively used by several groups so we decided on a selection of questions derived from the questionnaires of Jamieson and Radick </w:t>
      </w:r>
      <w:r w:rsidR="001379B1">
        <w:fldChar w:fldCharType="begin"/>
      </w:r>
      <w:r w:rsidR="00AC2C37">
        <w:instrText xml:space="preserve"> ADDIN ZOTERO_ITEM CSL_CITATION {"citationID":"6wOK53y0","properties":{"formattedCitation":"[15]","plainCitation":"[15]","noteIndex":0},"citationItems":[{"id":216,"uris":["http://zotero.org/users/6704422/items/HLG6DCNG"],"itemData":{"id":216,"type":"article-journal","abstract":"Twenty-first-century biology rejects genetic determinism, yet an exaggerated view of the power of genes in the making of bodies and minds remains a problem. What accounts for such tenacity? This article reports an exploratory study suggesting that the common reliance on Mendelian examples and concepts at the start of teaching in basic genetics is an eliminable source of support for determinism. Undergraduate students who attended a standard ‘Mendelian approach’ university course in introductory genetics on average showed no change in their determinist views about genes. By contrast, students who attended an alternative course which, inspired by the work of a critic of early Mendelism, W. F. R. Weldon (1860–1906), replaced an emphasis on Mendel’s peas with an emphasis on developmental contexts and their role in bringing about phenotypic variability, were less determinist about genes by the end of teaching. Improvements in both the new Weldonian curriculum and the study design are in view for the future.","container-title":"Science &amp; Education","DOI":"10.1007/s11191-017-9900-8","ISSN":"0926-7220, 1573-1901","issue":"10","journalAbbreviation":"Sci &amp; Educ","language":"en","page":"1261-1290","source":"DOI.org (Crossref)","title":"Genetic Determinism in the Genetics Curriculum: An Exploratory Study of the Effects of Mendelian and Weldonian Emphases","title-short":"Genetic Determinism in the Genetics Curriculum","volume":"26","author":[{"family":"Jamieson","given":"Annie"},{"family":"Radick","given":"Gregory"}],"issued":{"date-parts":[["2017",12]]}}}],"schema":"https://github.com/citation-style-language/schema/raw/master/csl-citation.json"} </w:instrText>
      </w:r>
      <w:r w:rsidR="001379B1">
        <w:fldChar w:fldCharType="separate"/>
      </w:r>
      <w:r w:rsidRPr="00AC2C37" w:rsidR="00AC2C37">
        <w:rPr>
          <w:rFonts w:ascii="Calibri" w:hAnsi="Calibri" w:cs="Calibri"/>
        </w:rPr>
        <w:t>[15]</w:t>
      </w:r>
      <w:r w:rsidR="001379B1">
        <w:fldChar w:fldCharType="end"/>
      </w:r>
      <w:r w:rsidR="001379B1">
        <w:t xml:space="preserve"> and added our own questions about drug treatment</w:t>
      </w:r>
      <w:r w:rsidR="00BD6BB3">
        <w:t xml:space="preserve"> as we were interested i</w:t>
      </w:r>
      <w:r w:rsidR="00856FCF">
        <w:t>n how students responded in a pharmacological context</w:t>
      </w:r>
      <w:r w:rsidR="001379B1">
        <w:t xml:space="preserve">. </w:t>
      </w:r>
    </w:p>
    <w:p w:rsidR="00460577" w:rsidP="00F730D8" w:rsidRDefault="00005A78" w14:paraId="5FEAFC0C" w14:textId="014DBA86">
      <w:r>
        <w:t xml:space="preserve">Despite these caveats, </w:t>
      </w:r>
      <w:r w:rsidR="00E60718">
        <w:t xml:space="preserve">we </w:t>
      </w:r>
      <w:r w:rsidR="00B261B8">
        <w:t>found no</w:t>
      </w:r>
      <w:r w:rsidR="00E60718">
        <w:t xml:space="preserve"> convincing evidence for genetic determinism </w:t>
      </w:r>
      <w:r w:rsidR="00F730D8">
        <w:t xml:space="preserve">as </w:t>
      </w:r>
      <w:r w:rsidR="00E60718">
        <w:t xml:space="preserve">students did not, </w:t>
      </w:r>
      <w:r w:rsidR="00224B9C">
        <w:t>overall</w:t>
      </w:r>
      <w:r w:rsidR="00E60718">
        <w:t xml:space="preserve">, respond in a manner predicted </w:t>
      </w:r>
      <w:r w:rsidR="00CC734A">
        <w:t>if they shared genetic determinist views</w:t>
      </w:r>
      <w:r w:rsidR="00DB6B8A">
        <w:t xml:space="preserve"> (Table 2)</w:t>
      </w:r>
      <w:r w:rsidR="00CC734A">
        <w:t xml:space="preserve">. </w:t>
      </w:r>
      <w:r w:rsidR="00D85F9E">
        <w:t>Given the large proportion of neutral responses, it is quite possible that there was considerable uncertainty or confusion.</w:t>
      </w:r>
      <w:r w:rsidR="00460577">
        <w:t xml:space="preserve"> A</w:t>
      </w:r>
      <w:r w:rsidRPr="00F5208E" w:rsidR="00460577">
        <w:t xml:space="preserve"> potential explanation is that students had gaps in their knowledge</w:t>
      </w:r>
      <w:r w:rsidR="00460577">
        <w:t xml:space="preserve"> since only 55% were able to correctly identify as false the statement “</w:t>
      </w:r>
      <w:r w:rsidRPr="005A3A36" w:rsidR="00460577">
        <w:rPr>
          <w:rFonts w:ascii="Calibri" w:hAnsi="Calibri" w:eastAsia="Calibri" w:cs="Calibri"/>
        </w:rPr>
        <w:t>Human diseases caused by a single gene are more common than those caused by a combination of many genes”</w:t>
      </w:r>
      <w:r w:rsidR="00460577">
        <w:t xml:space="preserve">.  </w:t>
      </w:r>
      <w:r w:rsidRPr="00F5208E" w:rsidR="00460577">
        <w:rPr>
          <w:rFonts w:ascii="Calibri" w:hAnsi="Calibri" w:eastAsia="Calibri" w:cs="Calibri"/>
        </w:rPr>
        <w:t xml:space="preserve">Castro‐Faix and </w:t>
      </w:r>
      <w:r w:rsidRPr="00F5208E" w:rsidR="00460577">
        <w:rPr>
          <w:rFonts w:ascii="Calibri" w:hAnsi="Calibri" w:eastAsia="Calibri" w:cs="Calibri"/>
        </w:rPr>
        <w:lastRenderedPageBreak/>
        <w:t xml:space="preserve">Duncan </w:t>
      </w:r>
      <w:r w:rsidRPr="00F5208E" w:rsidR="00460577">
        <w:rPr>
          <w:rFonts w:ascii="Calibri" w:hAnsi="Calibri" w:eastAsia="Calibri" w:cs="Calibri"/>
        </w:rPr>
        <w:fldChar w:fldCharType="begin"/>
      </w:r>
      <w:r w:rsidR="00AC2C37">
        <w:rPr>
          <w:rFonts w:ascii="Calibri" w:hAnsi="Calibri" w:eastAsia="Calibri" w:cs="Calibri"/>
        </w:rPr>
        <w:instrText xml:space="preserve"> ADDIN ZOTERO_ITEM CSL_CITATION {"citationID":"XIBe4csx","properties":{"formattedCitation":"[23]","plainCitation":"[23]","noteIndex":0},"citationItems":[{"id":260,"uris":["http://zotero.org/users/6704422/items/957RW3U3"],"itemData":{"id":260,"type":"article-journal","abstract":"Genetics is a core topic in the biology curriculum of many countries. Learning genetics is difficult for multiple reasons, including the need to reason about complex mechanisms—and to link mechanisms—that occur at different time and space scales. Previous research in genetics education explores students' understandings of inheritance patterns or their understandings of molecular genetics; only a handful of studies examined how students understand the connection between molecular mechanisms and inheritance patterns. Moreover, we know little about how such understandings develop over the secondary and undergraduate levels. To address this gap, we conducted a crosssectional interview study with middle school, high school, undergraduate, and graduate students after they had experienced “status‐quo” instruction in genetics. We analyzed student responses using a cognitive model of molecular genetics that describes two key domain‐specific knowledge resources: heuristics and explanatory schemas. Our findings extended this model to account for reasoning about inheritance patterns as well as identifying the knowledge resources used by students with different levels of education. This allowed us to present a snapshot of a progression describing the gradual use of these heuristics and schemas across different grades. We discuss the implications of the tentative progression for instruction aimed at supporting reasoning across time and space scales in genetics.","container-title":"Science Education","DOI":"10.1002/sce.21692","ISSN":"0036-8326, 1098-237X","journalAbbreviation":"Sci Educ","language":"en","page":"sce.21692","source":"DOI.org (Crossref)","title":"Cross‐sectional study of students' molecular explanations of inheritance patterns","author":[{"family":"Castro‐Faix","given":"Moraima"},{"family":"Duncan","given":"Ravit G."}],"issued":{"date-parts":[["2021",11,19]]}}}],"schema":"https://github.com/citation-style-language/schema/raw/master/csl-citation.json"} </w:instrText>
      </w:r>
      <w:r w:rsidRPr="00F5208E" w:rsidR="00460577">
        <w:rPr>
          <w:rFonts w:ascii="Calibri" w:hAnsi="Calibri" w:eastAsia="Calibri" w:cs="Calibri"/>
        </w:rPr>
        <w:fldChar w:fldCharType="separate"/>
      </w:r>
      <w:r w:rsidRPr="00AC2C37" w:rsidR="00AC2C37">
        <w:rPr>
          <w:rFonts w:ascii="Calibri" w:hAnsi="Calibri" w:cs="Calibri"/>
        </w:rPr>
        <w:t>[23]</w:t>
      </w:r>
      <w:r w:rsidRPr="00F5208E" w:rsidR="00460577">
        <w:rPr>
          <w:rFonts w:ascii="Calibri" w:hAnsi="Calibri" w:eastAsia="Calibri" w:cs="Calibri"/>
        </w:rPr>
        <w:fldChar w:fldCharType="end"/>
      </w:r>
      <w:r w:rsidRPr="00F5208E" w:rsidR="00460577">
        <w:rPr>
          <w:rFonts w:ascii="Calibri" w:hAnsi="Calibri" w:eastAsia="Calibri" w:cs="Calibri"/>
        </w:rPr>
        <w:t xml:space="preserve"> propose that there may be a disconnect between the teaching of molecular genetics and understanding of inheritance patterns.</w:t>
      </w:r>
      <w:r w:rsidR="00460577">
        <w:rPr>
          <w:rFonts w:ascii="Calibri" w:hAnsi="Calibri" w:eastAsia="Calibri" w:cs="Calibri"/>
        </w:rPr>
        <w:t xml:space="preserve"> </w:t>
      </w:r>
      <w:r w:rsidR="00460577">
        <w:t xml:space="preserve">They show that students have difficulty linking what is happening at different levels of organisation, particularly from molecular to whole organism </w:t>
      </w:r>
      <w:r w:rsidR="00460577">
        <w:fldChar w:fldCharType="begin"/>
      </w:r>
      <w:r w:rsidR="00AC2C37">
        <w:instrText xml:space="preserve"> ADDIN ZOTERO_ITEM CSL_CITATION {"citationID":"0ydFeGWg","properties":{"formattedCitation":"[23]","plainCitation":"[23]","noteIndex":0},"citationItems":[{"id":260,"uris":["http://zotero.org/users/6704422/items/957RW3U3"],"itemData":{"id":260,"type":"article-journal","abstract":"Genetics is a core topic in the biology curriculum of many countries. Learning genetics is difficult for multiple reasons, including the need to reason about complex mechanisms—and to link mechanisms—that occur at different time and space scales. Previous research in genetics education explores students' understandings of inheritance patterns or their understandings of molecular genetics; only a handful of studies examined how students understand the connection between molecular mechanisms and inheritance patterns. Moreover, we know little about how such understandings develop over the secondary and undergraduate levels. To address this gap, we conducted a crosssectional interview study with middle school, high school, undergraduate, and graduate students after they had experienced “status‐quo” instruction in genetics. We analyzed student responses using a cognitive model of molecular genetics that describes two key domain‐specific knowledge resources: heuristics and explanatory schemas. Our findings extended this model to account for reasoning about inheritance patterns as well as identifying the knowledge resources used by students with different levels of education. This allowed us to present a snapshot of a progression describing the gradual use of these heuristics and schemas across different grades. We discuss the implications of the tentative progression for instruction aimed at supporting reasoning across time and space scales in genetics.","container-title":"Science Education","DOI":"10.1002/sce.21692","ISSN":"0036-8326, 1098-237X","journalAbbreviation":"Sci Educ","language":"en","page":"sce.21692","source":"DOI.org (Crossref)","title":"Cross‐sectional study of students' molecular explanations of inheritance patterns","author":[{"family":"Castro‐Faix","given":"Moraima"},{"family":"Duncan","given":"Ravit G."}],"issued":{"date-parts":[["2021",11,19]]}}}],"schema":"https://github.com/citation-style-language/schema/raw/master/csl-citation.json"} </w:instrText>
      </w:r>
      <w:r w:rsidR="00460577">
        <w:fldChar w:fldCharType="separate"/>
      </w:r>
      <w:r w:rsidRPr="00AC2C37" w:rsidR="00AC2C37">
        <w:rPr>
          <w:rFonts w:ascii="Calibri" w:hAnsi="Calibri" w:cs="Calibri"/>
        </w:rPr>
        <w:t>[23]</w:t>
      </w:r>
      <w:r w:rsidR="00460577">
        <w:fldChar w:fldCharType="end"/>
      </w:r>
      <w:r w:rsidR="00460577">
        <w:t xml:space="preserve">. This is particularly complicated by the emphasis on Mendelian inheritance in the school and University curriculum and the lack of education about the importance of the interaction of many genes with environmental factors </w:t>
      </w:r>
      <w:r w:rsidR="00460577">
        <w:fldChar w:fldCharType="begin"/>
      </w:r>
      <w:r w:rsidR="00AC2C37">
        <w:instrText xml:space="preserve"> ADDIN ZOTERO_ITEM CSL_CITATION {"citationID":"CCe9rlIS","properties":{"formattedCitation":"[24]","plainCitation":"[24]","noteIndex":0},"citationItems":[{"id":84,"uris":["http://zotero.org/users/6704422/items/UGRTKK94"],"itemData":{"id":84,"type":"article-journal","container-title":"Journal of Research in Science Teaching","DOI":"10.1002/tea.21670","ISSN":"0022-4308, 1098-2736","issue":"4","journalAbbreviation":"J Res Sci Teach","language":"en","page":"520-550","source":"DOI.org (Crossref)","title":"Genomics literacy matters: Supporting the development of genomics literacy through genetics education could reduce the prevalence of genetic essentialism","title-short":"Genomics literacy matters","volume":"58","author":[{"family":"Donovan","given":"Brian M."},{"family":"Weindling","given":"Monica"},{"family":"Salazar","given":"Brae"},{"family":"Duncan","given":"Alex"},{"family":"Stuhlsatz","given":"Molly"},{"family":"Keck","given":"Phillip"}],"issued":{"date-parts":[["2021",4]]}}}],"schema":"https://github.com/citation-style-language/schema/raw/master/csl-citation.json"} </w:instrText>
      </w:r>
      <w:r w:rsidR="00460577">
        <w:fldChar w:fldCharType="separate"/>
      </w:r>
      <w:r w:rsidRPr="00AC2C37" w:rsidR="00AC2C37">
        <w:rPr>
          <w:rFonts w:ascii="Calibri" w:hAnsi="Calibri" w:cs="Calibri"/>
        </w:rPr>
        <w:t>[24]</w:t>
      </w:r>
      <w:r w:rsidR="00460577">
        <w:fldChar w:fldCharType="end"/>
      </w:r>
      <w:r w:rsidR="00460577">
        <w:t>.</w:t>
      </w:r>
    </w:p>
    <w:p w:rsidR="00C226DC" w:rsidP="00CC397D" w:rsidRDefault="00C226DC" w14:paraId="5B0A89A1" w14:textId="3DE9A35B">
      <w:r>
        <w:t>Nevertheless, several studies in the USA have detected genetic determinis</w:t>
      </w:r>
      <w:r w:rsidR="00DB3755">
        <w:t xml:space="preserve">t views </w:t>
      </w:r>
      <w:r>
        <w:t xml:space="preserve">in biology students </w:t>
      </w:r>
      <w:r>
        <w:fldChar w:fldCharType="begin"/>
      </w:r>
      <w:r w:rsidR="00AC2C37">
        <w:instrText xml:space="preserve"> ADDIN ZOTERO_ITEM CSL_CITATION {"citationID":"dtWhFHfX","properties":{"formattedCitation":"[5]","plainCitation":"[5]","noteIndex":0},"citationItems":[{"id":177,"uris":["http://zotero.org/users/6704422/items/EFRTJ8CN"],"itemData":{"id":177,"type":"article-journal","abstract":"There is continued emphasis on increasing and improving genetics education for grades K–12, for medical professionals, and for the general public. Another critical audience is undergraduate students in introductory biology and genetics courses. To improve the learning of genetics, there is a need to ﬁrst assess students’ understanding of genetics concepts and their level of genetics literacy (i.e., genetics knowledge as it relates to, and affects, their lives). We have developed and evaluated a new instrument to assess the genetics literacy of undergraduate students taking introductory biology or genetics courses. The Genetics Literacy Assessment Instrument is a 31-item multiple-choice test that addresses 17 concepts identiﬁed as central to genetics literacy. The items were selected and modiﬁed on the basis of reviews by 25 genetics professionals and educators. The instrument underwent additional analysis in student focus groups and pilot testing. It has been evaluated using  400 students in eight introductory nonmajor biology and genetics courses. The content validity, discriminant validity, internal reliability, and stability of the instrument have been considered. This project directly enhances genetics education research by providing a valid and reliable instrument for assessing the genetics literacy of undergraduate students.","container-title":"Genetics","DOI":"10.1534/genetics.107.079533","ISSN":"1943-2631","issue":"1","language":"en","page":"15-22","source":"DOI.org (Crossref)","title":"Development and Evaluation of a Genetics Literacy Assessment Instrument for Undergraduates","volume":"178","author":[{"family":"Bowling","given":"Bethany Vice"},{"family":"Acra","given":"Erin E"},{"family":"Wang","given":"Lihshing"},{"family":"Myers","given":"Melanie F"},{"family":"Dean","given":"Gary E"},{"family":"Markle","given":"Glenn C"},{"family":"Moskalik","given":"Christine L"},{"family":"Huether","given":"Carl A"}],"issued":{"date-parts":[["2008",1,1]]}}}],"schema":"https://github.com/citation-style-language/schema/raw/master/csl-citation.json"} </w:instrText>
      </w:r>
      <w:r>
        <w:fldChar w:fldCharType="separate"/>
      </w:r>
      <w:r w:rsidRPr="00AC2C37" w:rsidR="00AC2C37">
        <w:rPr>
          <w:rFonts w:ascii="Calibri" w:hAnsi="Calibri" w:cs="Calibri"/>
        </w:rPr>
        <w:t>[5]</w:t>
      </w:r>
      <w:r>
        <w:fldChar w:fldCharType="end"/>
      </w:r>
      <w:r w:rsidR="004C24E8">
        <w:t>,</w:t>
      </w:r>
      <w:r>
        <w:t xml:space="preserve"> </w:t>
      </w:r>
      <w:r>
        <w:fldChar w:fldCharType="begin"/>
      </w:r>
      <w:r w:rsidR="00AC2C37">
        <w:instrText xml:space="preserve"> ADDIN ZOTERO_ITEM CSL_CITATION {"citationID":"MELaNsRj","properties":{"formattedCitation":"[6], [7]","plainCitation":"[6], [7]","noteIndex":0},"citationItems":[{"id":64,"uris":["http://zotero.org/users/6704422/items/RZAK9UFR"],"itemData":{"id":64,"type":"article-journal","container-title":"Journal of Research in Science Teaching","DOI":"10.1002/tea.21370","ISSN":"00224308","issue":"3","journalAbbreviation":"J Res Sci Teach","language":"en","page":"379-411","source":"DOI.org (Crossref)","title":"Learned inequality: Racial labels in the biology curriculum can affect the development of racial prejudice: LEARNED INEQUALITY","title-short":"Learned inequality","volume":"54","author":[{"family":"Donovan","given":"Brian M."}],"issued":{"date-parts":[["2017",3]]}}},{"id":59,"uris":["http://zotero.org/users/6704422/items/Q4GTSTIE"],"itemData":{"id":59,"type":"article-journal","container-title":"Science Education","DOI":"10.1002/sce.21506","ISSN":"0036-8326, 1098-237X","issue":"3","journalAbbreviation":"Sci. Ed.","language":"en","page":"529-560","source":"DOI.org (Crossref)","title":"Toward a more humane genetics education: Learning about the social and quantitative complexities of human genetic variation research could reduce racial bias in adolescent and adult populations","title-short":"Toward a more humane genetics education","volume":"103","author":[{"family":"Donovan","given":"Brian M."},{"family":"Semmens","given":"Rob"},{"family":"Keck","given":"Phillip"},{"family":"Brimhall","given":"Elizabeth"},{"family":"Busch","given":"K. C."},{"family":"Weindling","given":"Monica"},{"family":"Duncan","given":"Alex"},{"family":"Stuhlsatz","given":"Molly"},{"family":"Bracey","given":"Zoë Buck"},{"family":"Bloom","given":"Mark"},{"family":"Kowalski","given":"Susan"},{"family":"Salazar","given":"Brae"}],"issued":{"date-parts":[["2019",5]]}}}],"schema":"https://github.com/citation-style-language/schema/raw/master/csl-citation.json"} </w:instrText>
      </w:r>
      <w:r>
        <w:fldChar w:fldCharType="separate"/>
      </w:r>
      <w:r w:rsidRPr="00AC2C37" w:rsidR="00AC2C37">
        <w:rPr>
          <w:rFonts w:ascii="Calibri" w:hAnsi="Calibri" w:cs="Calibri"/>
        </w:rPr>
        <w:t>[6], [7]</w:t>
      </w:r>
      <w:r>
        <w:fldChar w:fldCharType="end"/>
      </w:r>
      <w:r>
        <w:t>. Our study is different to the above in a number of ways, not least that we are using a different questionnaire, students are in a Pharmacology classroom rather than genetics and we are situated in the UK rather than the USA.</w:t>
      </w:r>
      <w:r w:rsidR="00263DF8">
        <w:t xml:space="preserve"> </w:t>
      </w:r>
      <w:r w:rsidR="00B7454B">
        <w:t xml:space="preserve">Since </w:t>
      </w:r>
      <w:r w:rsidR="00ED2CB5">
        <w:t>some of our participants have a previous degree in Biological Sciences</w:t>
      </w:r>
      <w:r w:rsidR="00B7454B">
        <w:t xml:space="preserve">, it is possible that our </w:t>
      </w:r>
      <w:r w:rsidR="00E837C9">
        <w:t>cohort</w:t>
      </w:r>
      <w:r w:rsidR="00B7454B">
        <w:t xml:space="preserve">, on the whole, have a relatively high genomics literacy and Donovan et al </w:t>
      </w:r>
      <w:r w:rsidR="007110D7">
        <w:fldChar w:fldCharType="begin"/>
      </w:r>
      <w:r w:rsidR="007110D7">
        <w:instrText xml:space="preserve"> ADDIN ZOTERO_ITEM CSL_CITATION {"citationID":"zgp6hjvi","properties":{"formattedCitation":"[7]","plainCitation":"[7]","noteIndex":0},"citationItems":[{"id":59,"uris":["http://zotero.org/users/6704422/items/Q4GTSTIE"],"itemData":{"id":59,"type":"article-journal","container-title":"Science Education","DOI":"10.1002/sce.21506","ISSN":"0036-8326, 1098-237X","issue":"3","journalAbbreviation":"Sci. Ed.","language":"en","page":"529-560","source":"DOI.org (Crossref)","title":"Toward a more humane genetics education: Learning about the social and quantitative complexities of human genetic variation research could reduce racial bias in adolescent and adult populations","title-short":"Toward a more humane genetics education","volume":"103","author":[{"family":"Donovan","given":"Brian M."},{"family":"Semmens","given":"Rob"},{"family":"Keck","given":"Phillip"},{"family":"Brimhall","given":"Elizabeth"},{"family":"Busch","given":"K. C."},{"family":"Weindling","given":"Monica"},{"family":"Duncan","given":"Alex"},{"family":"Stuhlsatz","given":"Molly"},{"family":"Bracey","given":"Zoë Buck"},{"family":"Bloom","given":"Mark"},{"family":"Kowalski","given":"Susan"},{"family":"Salazar","given":"Brae"}],"issued":{"date-parts":[["2019",5]]}}}],"schema":"https://github.com/citation-style-language/schema/raw/master/csl-citation.json"} </w:instrText>
      </w:r>
      <w:r w:rsidR="007110D7">
        <w:fldChar w:fldCharType="separate"/>
      </w:r>
      <w:r w:rsidRPr="007110D7" w:rsidR="007110D7">
        <w:rPr>
          <w:rFonts w:ascii="Calibri" w:hAnsi="Calibri" w:cs="Calibri"/>
        </w:rPr>
        <w:t>[7]</w:t>
      </w:r>
      <w:r w:rsidR="007110D7">
        <w:fldChar w:fldCharType="end"/>
      </w:r>
      <w:r w:rsidR="007110D7">
        <w:t xml:space="preserve"> </w:t>
      </w:r>
      <w:r w:rsidR="00B7454B">
        <w:t>have shown that students with greater knowledge of genomics</w:t>
      </w:r>
      <w:r w:rsidR="00263DF8">
        <w:t xml:space="preserve"> are less likely to show genetic deterministic views.</w:t>
      </w:r>
    </w:p>
    <w:p w:rsidRPr="001E0920" w:rsidR="001E0920" w:rsidP="00983CB2" w:rsidRDefault="001E0920" w14:paraId="1A36D815" w14:textId="77777777">
      <w:pPr>
        <w:rPr>
          <w:b/>
          <w:bCs/>
        </w:rPr>
      </w:pPr>
      <w:r w:rsidRPr="001E0920">
        <w:rPr>
          <w:b/>
          <w:bCs/>
        </w:rPr>
        <w:t>Was there evidence of misconceptions about ethnicity and genetic similarity?</w:t>
      </w:r>
    </w:p>
    <w:p w:rsidR="00287BBE" w:rsidP="00983CB2" w:rsidRDefault="00551752" w14:paraId="3C6C82FE" w14:textId="23A19A1F">
      <w:r>
        <w:t>In the statement</w:t>
      </w:r>
      <w:r w:rsidR="00C722D1">
        <w:t>s</w:t>
      </w:r>
      <w:r>
        <w:t xml:space="preserve"> relating to pharmacological mechanisms </w:t>
      </w:r>
      <w:r w:rsidR="004D405A">
        <w:t>there were differences in the way students responded. In the statement about drug choice in hypertension</w:t>
      </w:r>
      <w:r w:rsidR="00327B05">
        <w:t>, the most common option</w:t>
      </w:r>
      <w:r w:rsidR="00B45D69">
        <w:t xml:space="preserve"> (57%, Table 3a)</w:t>
      </w:r>
      <w:r w:rsidR="00327B05">
        <w:t xml:space="preserve"> was both genetic and environmental mechanisms. In comparison</w:t>
      </w:r>
      <w:r w:rsidR="00890249">
        <w:t xml:space="preserve"> when </w:t>
      </w:r>
      <w:r w:rsidR="00805241">
        <w:t>predicting the mechanism underlying differences in drug metabolism</w:t>
      </w:r>
      <w:r w:rsidR="00890249">
        <w:t>, a genetic mechanism was the most commonly chosen</w:t>
      </w:r>
      <w:r w:rsidR="00B45D69">
        <w:t xml:space="preserve"> (</w:t>
      </w:r>
      <w:r w:rsidR="00FC1DB7">
        <w:t>58% Table 3b)</w:t>
      </w:r>
      <w:r w:rsidR="00805241">
        <w:t>.</w:t>
      </w:r>
      <w:r w:rsidR="00890249">
        <w:t xml:space="preserve"> This likely reflects </w:t>
      </w:r>
      <w:r w:rsidR="002464DC">
        <w:t>differences in background knowledge about these two topics.</w:t>
      </w:r>
      <w:r w:rsidR="009C2C2C">
        <w:t xml:space="preserve"> </w:t>
      </w:r>
      <w:r w:rsidR="002E0186">
        <w:t>Lifestyle mechanisms for cardiovascular disease feature in the English school biology curriculum</w:t>
      </w:r>
      <w:r w:rsidR="00CD367E">
        <w:t xml:space="preserve"> and </w:t>
      </w:r>
      <w:r w:rsidR="00107D1F">
        <w:t>are</w:t>
      </w:r>
      <w:r w:rsidR="00CD367E">
        <w:t xml:space="preserve"> often mentioned in the media and general discourse. In contrast, </w:t>
      </w:r>
      <w:r w:rsidR="00805241">
        <w:t xml:space="preserve">it is unlikely that many of our students will have learned about </w:t>
      </w:r>
      <w:r w:rsidR="00287BBE">
        <w:t xml:space="preserve">mechanisms for ethnic differences in drug metabolism </w:t>
      </w:r>
      <w:r w:rsidR="6A52FF85">
        <w:t>previously</w:t>
      </w:r>
      <w:r w:rsidR="00BF39A1">
        <w:t xml:space="preserve"> and, if they have, it is likely that a genetic mechanism was taught </w:t>
      </w:r>
      <w:r>
        <w:fldChar w:fldCharType="begin"/>
      </w:r>
      <w:r w:rsidR="00AC2C37">
        <w:instrText xml:space="preserve"> ADDIN ZOTERO_ITEM CSL_CITATION {"citationID":"xNtC0SlW","properties":{"formattedCitation":"[4]","plainCitation":"[4]","noteIndex":0},"citationItems":[{"id":281,"uris":["http://zotero.org/users/6704422/items/9GXESNTN"],"itemData":{"id":281,"type":"article-journal","abstract":"Inter-­ethnic variability in pharmacokinetics (PK) has been attributed to several factors ranging from genetic to environmental. It is not clear how current teaching in higher education (HE) reflects what published literature suggests on this subject. This study aims to gain insights into current knowledge about inter-­ethnic differences in PK based on reports from published literature and current teaching practices in HE. A systematic literature search was conducted on PubMed and Scopus to identify suitable literature to be reviewed. Insights into inter-­ethnic differences in PK teaching among educators in HE and industry were determined using a questionnaire. Thirty-­ one percent of the studies reviewed reported inter-­ethnic differences in PK, of these, 37% of authors suggested genetic polymorphism as possible explanation for the inter-­ethnic differences observed. Other factors authors proposed included diet and weight differences between ethnicities. Most respondents (80%) who taught inter-­ ethnic difference in PK attributed inter-­ethnic differences to genetic polymorphism. While genetic polymorphism is one source of variability in PK, the teaching of genetic polymorphism is better associated with interindividual variabilities rather than inter-­ ethnic differences in PK as there are no genes with PK implications specific to any one ethnic group. Nongenetic factors such as diet, weight, and environmental factors, should be highlighted as potential sources of interindividual variation in the PK of drugs.","container-title":"Pharmacology Research &amp; Perspectives","DOI":"10.1002/prp2.890","ISSN":"2052-1707, 2052-1707","issue":"6","journalAbbreviation":"Pharmacol Res Perspect","language":"en","source":"DOI.org (Crossref)","title":"Inter‐ethnic differences in pharmacokinetics—is there more that unites than divides?","URL":"https://onlinelibrary.wiley.com/doi/10.1002/prp2.890","volume":"9","author":[{"family":"Olafuyi","given":"Olusola"},{"family":"Parekh","given":"Nikita"},{"family":"Wright","given":"Jacob"},{"family":"Koenig","given":"Jennifer"}],"accessed":{"date-parts":[["2022",5,5]]},"issued":{"date-parts":[["2021",12]]}}}],"schema":"https://github.com/citation-style-language/schema/raw/master/csl-citation.json"} </w:instrText>
      </w:r>
      <w:r>
        <w:fldChar w:fldCharType="separate"/>
      </w:r>
      <w:r w:rsidRPr="00AC2C37" w:rsidR="00AC2C37">
        <w:rPr>
          <w:rFonts w:ascii="Calibri" w:hAnsi="Calibri" w:cs="Calibri"/>
        </w:rPr>
        <w:t>[4]</w:t>
      </w:r>
      <w:r>
        <w:fldChar w:fldCharType="end"/>
      </w:r>
      <w:r w:rsidR="00BF39A1">
        <w:t xml:space="preserve">. </w:t>
      </w:r>
    </w:p>
    <w:p w:rsidRPr="000F14FF" w:rsidR="006315F6" w:rsidP="006315F6" w:rsidRDefault="00DA360A" w14:paraId="0CA402D8" w14:textId="28A8FE8A">
      <w:pPr>
        <w:rPr>
          <w:rFonts w:ascii="Calibri" w:hAnsi="Calibri" w:eastAsia="Calibri" w:cs="Calibri"/>
        </w:rPr>
      </w:pPr>
      <w:r>
        <w:t>The observation that students were most likely to choose a genetic mechanism for ethnic differences in drug metabolism</w:t>
      </w:r>
      <w:r w:rsidR="003563AE">
        <w:t xml:space="preserve"> </w:t>
      </w:r>
      <w:r>
        <w:t>could indicate the</w:t>
      </w:r>
      <w:r w:rsidR="003563AE">
        <w:t xml:space="preserve"> presence of </w:t>
      </w:r>
      <w:r w:rsidR="00C4592A">
        <w:t>a misconception</w:t>
      </w:r>
      <w:r w:rsidR="00CC40A4">
        <w:t xml:space="preserve"> that</w:t>
      </w:r>
      <w:r w:rsidR="00F87E4E">
        <w:t xml:space="preserve"> there may be greater genetic similarity within an ethnic group than between one ethnic group and another</w:t>
      </w:r>
      <w:r w:rsidR="003563AE">
        <w:t>.</w:t>
      </w:r>
      <w:r w:rsidR="001B7E73">
        <w:t xml:space="preserve"> Stern et al </w:t>
      </w:r>
      <w:r w:rsidR="001B7E73">
        <w:fldChar w:fldCharType="begin"/>
      </w:r>
      <w:r w:rsidR="00AC2C37">
        <w:instrText xml:space="preserve"> ADDIN ZOTERO_ITEM CSL_CITATION {"citationID":"egn008Lm","properties":{"formattedCitation":"[20]","plainCitation":"[20]","noteIndex":0},"citationItems":[{"id":198,"uris":["http://zotero.org/users/6704422/items/5HDE9D6Z"],"itemData":{"id":198,"type":"article-journal","abstract":"In this article, we describe the main phases in the development and validation of a questionnaire measuring secondary students’ teleology and essentialism conceptions in the context of genetics. The validation process involved 714 Swiss and French secondary school students from 14 diﬀerent schools. The process included interviews, several pilot studies, experts’ feedback, and lasted from January 2017 to May 2018. The ﬁnal version of the test consists of 20 items based on an ordinal scale, which measure teleology and essentialism conceptions in the context of genetics. Exploratory factor analysis showed a structure with three factors and Cronbach’s alpha values indicated a good internal consistency of the items. We also report ﬁndings on students’ genetic determinism conceptions, even though the respective items were not included in the ﬁnal questionnaire because their psychometric properties were not as good as those for genetic teleology and genetic essentialism. Implications for science education are discussed.","container-title":"International Journal of Science Education","DOI":"10.1080/09500693.2019.1707905","ISSN":"0950-0693, 1464-5289","issue":"2","journalAbbreviation":"International Journal of Science Education","language":"en","page":"218-252","source":"DOI.org (Crossref)","title":"Development and validation of a questionnaire measuring secondary students’ genetic essentialism and teleology (GET) conceptions","volume":"42","author":[{"family":"Stern","given":"Florian"},{"family":"Kampourakis","given":"Kostas"},{"family":"Delaval","given":"Marine"},{"family":"Müller","given":"Andreas"}],"issued":{"date-parts":[["2020",1,22]]}}}],"schema":"https://github.com/citation-style-language/schema/raw/master/csl-citation.json"} </w:instrText>
      </w:r>
      <w:r w:rsidR="001B7E73">
        <w:fldChar w:fldCharType="separate"/>
      </w:r>
      <w:r w:rsidRPr="00AC2C37" w:rsidR="00AC2C37">
        <w:rPr>
          <w:rFonts w:ascii="Calibri" w:hAnsi="Calibri" w:cs="Calibri"/>
        </w:rPr>
        <w:t>[20]</w:t>
      </w:r>
      <w:r w:rsidR="001B7E73">
        <w:fldChar w:fldCharType="end"/>
      </w:r>
      <w:r w:rsidR="001B7E73">
        <w:t xml:space="preserve"> suggest that preconceptions are students’ conceptions prior to teaching and that genetic essentialism is a form of intuition, a spontaneous way of thinking about a subject. Applying this to our teaching of pharmacokinetics, we could conclude that our students are demonstrating a genetic essentialist intuition in their preconception as they have not previously studied ethnicity in relation to pharmacokinetics.</w:t>
      </w:r>
      <w:r w:rsidR="006315F6">
        <w:t xml:space="preserve"> </w:t>
      </w:r>
      <w:r w:rsidRPr="000F14FF" w:rsidR="006315F6">
        <w:rPr>
          <w:rFonts w:ascii="Calibri" w:hAnsi="Calibri" w:eastAsia="Calibri" w:cs="Calibri"/>
        </w:rPr>
        <w:t xml:space="preserve">It is also likely that students are influenced by the media and general discourse </w:t>
      </w:r>
      <w:r w:rsidRPr="000F14FF" w:rsidR="006315F6">
        <w:rPr>
          <w:rFonts w:ascii="Calibri" w:hAnsi="Calibri" w:eastAsia="Calibri" w:cs="Calibri"/>
        </w:rPr>
        <w:fldChar w:fldCharType="begin"/>
      </w:r>
      <w:r w:rsidR="00AC2C37">
        <w:rPr>
          <w:rFonts w:ascii="Calibri" w:hAnsi="Calibri" w:eastAsia="Calibri" w:cs="Calibri"/>
        </w:rPr>
        <w:instrText xml:space="preserve"> ADDIN ZOTERO_ITEM CSL_CITATION {"citationID":"8WitegjO","properties":{"formattedCitation":"[22]","plainCitation":"[22]","noteIndex":0},"citationItems":[{"id":229,"uris":["http://zotero.org/users/6704422/items/92DJ3WEH"],"itemData":{"id":229,"type":"article-journal","abstract":"Understanding how teaching aﬀects students’ attitudes and beliefs is notoriously diﬃcult, speciﬁcally in a quickly evolving and societally relevant ﬁeld such as genetics. The aim of this survey study is to capitalize our previous research and examine how teaching relates to Finnish secondary school students’ liking of, self-concept in and experienced utility of genetics, attitude towards gene technology and belief in genetic determinism. In this unique setting, we used as explanatory variables their teachers’ teaching emphases and learning materials, and as student-related factors, we used gender and the number of biology courses attended. Item-response theory with exploratory, conﬁrmatory, and explanatory analyses were carried out to model the data. Teaching explained students’ attitudes and beliefs: if the teacher’s emphasis was Hereditary or the textbook with stronger Mendelian emphasis was used, students tended to havemore negative attitudes towards learning genetics and stronger belief in genetic determinism . Our results also suggest gender diﬀerences: male students had more positive attitude towards gene technology, higher self-concept, whereas as utility of genetics and belief in genetic determinism were higher in females. The results suggest that teaching’ approaches as well as learning materials need updates to fulﬁl the needs for genetics literacy.","container-title":"International Journal of Science Education","DOI":"10.1080/09500693.2021.1917789","ISSN":"0950-0693, 1464-5289","journalAbbreviation":"International Journal of Science Education","language":"en","page":"1-18","source":"DOI.org (Crossref)","title":"Factors explaining students’ attitudes towards learning genetics and belief in genetic determinism","author":[{"family":"Aivelo","given":"Tuomas"},{"family":"Uitto","given":"Anna"}],"issued":{"date-parts":[["2021",4,29]]}}}],"schema":"https://github.com/citation-style-language/schema/raw/master/csl-citation.json"} </w:instrText>
      </w:r>
      <w:r w:rsidRPr="000F14FF" w:rsidR="006315F6">
        <w:rPr>
          <w:rFonts w:ascii="Calibri" w:hAnsi="Calibri" w:eastAsia="Calibri" w:cs="Calibri"/>
        </w:rPr>
        <w:fldChar w:fldCharType="separate"/>
      </w:r>
      <w:r w:rsidRPr="00AC2C37" w:rsidR="00AC2C37">
        <w:rPr>
          <w:rFonts w:ascii="Calibri" w:hAnsi="Calibri" w:cs="Calibri"/>
        </w:rPr>
        <w:t>[22]</w:t>
      </w:r>
      <w:r w:rsidRPr="000F14FF" w:rsidR="006315F6">
        <w:rPr>
          <w:rFonts w:ascii="Calibri" w:hAnsi="Calibri" w:eastAsia="Calibri" w:cs="Calibri"/>
        </w:rPr>
        <w:fldChar w:fldCharType="end"/>
      </w:r>
      <w:r w:rsidRPr="000F14FF" w:rsidR="006315F6">
        <w:rPr>
          <w:rFonts w:ascii="Calibri" w:hAnsi="Calibri" w:eastAsia="Calibri" w:cs="Calibri"/>
        </w:rPr>
        <w:t xml:space="preserve"> and this may lead students to make assumptions about genetic mechanisms, even when they have little prior knowledge </w:t>
      </w:r>
      <w:r w:rsidRPr="000F14FF" w:rsidR="006315F6">
        <w:fldChar w:fldCharType="begin"/>
      </w:r>
      <w:r w:rsidR="00AC2C37">
        <w:instrText xml:space="preserve"> ADDIN ZOTERO_ITEM CSL_CITATION {"citationID":"IbhLymCQ","properties":{"formattedCitation":"[25]","plainCitation":"[25]","noteIndex":0},"citationItems":[{"id":206,"uris":["http://zotero.org/users/6704422/items/K32LNQY9"],"itemData":{"id":206,"type":"article-journal","abstract":"This paper introduces the notion of genetic essentialist biases: cognitive biases associated with essentialist thinking that are elicited when people encounter arguments that genes are relevant for a behavior, condition, or social group. Learning about genetic attributions for various human conditions leads to a particular set of thoughts regarding those conditions: they are more likely to be perceived as a) immutable and determined, b) having a specific etiology, c) homogeneous and discrete, and, d) natural, which can lead to the naturalistic fallacy. There are rare cases of “strong genetic explanation” when such responses to genetic attributions may be appropriate, however people tend to over-weigh genetic attributions compared with competing attributions even in cases of “weak genetic explanation,” which are far more common. Research on people’s understanding of race, gender, sexual orientation, criminality, mental illness and obesity is reviewed through a genetic essentialism lens, highlighting attitudinal, cognitive and behavioral changes that stem from consideration of genetic attributions as bases of these categories. Scientists and media portrayals of genetic discoveries are discussed with respect to genetic essentialism, as is the role that genetic essentialism has played (and continues to play) in various public policies, legislation, scientific endeavors, and ideological movements in recent history. Last, moderating factors and interventions to reduce the magnitude of genetic essentialism are discussed that identify promising directions to explore in order to reduce these biases.","container-title":"Psychological Bulletin","DOI":"10.1037/a0021860","ISSN":"1939-1455, 0033-2909","issue":"5","journalAbbreviation":"Psychological Bulletin","language":"en","page":"800-818","source":"DOI.org (Crossref)","title":"Genetic essentialism: On the deceptive determinism of DNA.","title-short":"Genetic essentialism","volume":"137","author":[{"family":"Dar-Nimrod","given":"Ilan"},{"family":"Heine","given":"Steven J."}],"issued":{"date-parts":[["2011",9]]}}}],"schema":"https://github.com/citation-style-language/schema/raw/master/csl-citation.json"} </w:instrText>
      </w:r>
      <w:r w:rsidRPr="000F14FF" w:rsidR="006315F6">
        <w:fldChar w:fldCharType="separate"/>
      </w:r>
      <w:r w:rsidRPr="00AC2C37" w:rsidR="00AC2C37">
        <w:rPr>
          <w:rFonts w:ascii="Calibri" w:hAnsi="Calibri" w:cs="Calibri"/>
        </w:rPr>
        <w:t>[25]</w:t>
      </w:r>
      <w:r w:rsidRPr="000F14FF" w:rsidR="006315F6">
        <w:fldChar w:fldCharType="end"/>
      </w:r>
      <w:r w:rsidR="00485B21">
        <w:t>.</w:t>
      </w:r>
    </w:p>
    <w:p w:rsidR="0021044C" w:rsidP="00810104" w:rsidRDefault="00810104" w14:paraId="6C8B5DB1" w14:textId="2FC4D31B">
      <w:pPr>
        <w:pStyle w:val="Heading3"/>
        <w:rPr>
          <w:rFonts w:eastAsia="Calibri"/>
          <w:sz w:val="22"/>
          <w:szCs w:val="22"/>
        </w:rPr>
      </w:pPr>
      <w:r w:rsidRPr="00810104">
        <w:rPr>
          <w:rFonts w:eastAsia="Calibri"/>
          <w:sz w:val="22"/>
          <w:szCs w:val="22"/>
        </w:rPr>
        <w:t xml:space="preserve">What </w:t>
      </w:r>
      <w:r w:rsidR="00ED7479">
        <w:rPr>
          <w:rFonts w:eastAsia="Calibri"/>
          <w:sz w:val="22"/>
          <w:szCs w:val="22"/>
        </w:rPr>
        <w:t>was</w:t>
      </w:r>
      <w:r w:rsidRPr="00810104" w:rsidR="00ED7479">
        <w:rPr>
          <w:rFonts w:eastAsia="Calibri"/>
          <w:sz w:val="22"/>
          <w:szCs w:val="22"/>
        </w:rPr>
        <w:t xml:space="preserve"> </w:t>
      </w:r>
      <w:r w:rsidRPr="00810104">
        <w:rPr>
          <w:rFonts w:eastAsia="Calibri"/>
          <w:sz w:val="22"/>
          <w:szCs w:val="22"/>
        </w:rPr>
        <w:t xml:space="preserve">the effect of our teaching </w:t>
      </w:r>
      <w:r w:rsidR="00926E8D">
        <w:rPr>
          <w:rFonts w:eastAsia="Calibri"/>
          <w:sz w:val="22"/>
          <w:szCs w:val="22"/>
        </w:rPr>
        <w:t>session</w:t>
      </w:r>
      <w:r w:rsidRPr="00810104">
        <w:rPr>
          <w:rFonts w:eastAsia="Calibri"/>
          <w:sz w:val="22"/>
          <w:szCs w:val="22"/>
        </w:rPr>
        <w:t>?</w:t>
      </w:r>
    </w:p>
    <w:p w:rsidR="005E1C2E" w:rsidP="0042393B" w:rsidRDefault="00CA5E7D" w14:paraId="4042F8C8" w14:textId="25ECDB58">
      <w:r>
        <w:t xml:space="preserve">Where </w:t>
      </w:r>
      <w:r w:rsidR="00812269">
        <w:t xml:space="preserve">we </w:t>
      </w:r>
      <w:r>
        <w:t>had previously s</w:t>
      </w:r>
      <w:r w:rsidR="00812269">
        <w:t>ee</w:t>
      </w:r>
      <w:r>
        <w:t xml:space="preserve">n </w:t>
      </w:r>
      <w:r w:rsidR="00812269">
        <w:t xml:space="preserve">an overall inconclusive response regarding genetic deterministic views, we saw a statistically significant </w:t>
      </w:r>
      <w:r w:rsidR="00026233">
        <w:t xml:space="preserve">shift in thinking after the teaching session with students more likely to </w:t>
      </w:r>
      <w:r w:rsidR="00E27F50">
        <w:t>choose non-genetic mechanisms for inheritance mechanisms, the link between genes and disease</w:t>
      </w:r>
      <w:r w:rsidR="009C60F5">
        <w:t xml:space="preserve"> (Table 2</w:t>
      </w:r>
      <w:r w:rsidR="00E672B6">
        <w:t>a, c, e</w:t>
      </w:r>
      <w:r w:rsidR="009C60F5">
        <w:t>)</w:t>
      </w:r>
      <w:r w:rsidR="00E27F50">
        <w:t xml:space="preserve"> and </w:t>
      </w:r>
      <w:r w:rsidR="0042393B">
        <w:t>in inter-ethnic differences in drug metabolism</w:t>
      </w:r>
      <w:r w:rsidR="009C60F5">
        <w:t xml:space="preserve"> (Table 3</w:t>
      </w:r>
      <w:r w:rsidR="00E672B6">
        <w:t>b</w:t>
      </w:r>
      <w:r w:rsidR="009C60F5">
        <w:t>)</w:t>
      </w:r>
      <w:r w:rsidR="0042393B">
        <w:t>.</w:t>
      </w:r>
      <w:r w:rsidR="005E1C2E">
        <w:t xml:space="preserve"> </w:t>
      </w:r>
      <w:r w:rsidRPr="005E1C2E" w:rsidR="005E1C2E">
        <w:t xml:space="preserve">Once we provided explicit teaching about the mechanisms that can underly inter-individual variation and a greater understanding of the term ethnicity in relation to science and medicine, then students are more likely to form a correct conception. </w:t>
      </w:r>
    </w:p>
    <w:p w:rsidR="007E7C75" w:rsidP="005256FE" w:rsidRDefault="00E6488B" w14:paraId="2703AB93" w14:textId="66B4BF46">
      <w:r>
        <w:t>It has been proposed that there is</w:t>
      </w:r>
      <w:r w:rsidR="00EF0335">
        <w:t xml:space="preserve"> an association with genetics teaching that followed Mendelian principles and genetic determinism </w:t>
      </w:r>
      <w:r w:rsidR="00EF0335">
        <w:fldChar w:fldCharType="begin"/>
      </w:r>
      <w:r w:rsidR="00AC2C37">
        <w:instrText xml:space="preserve"> ADDIN ZOTERO_ITEM CSL_CITATION {"citationID":"v0XzMZ1c","properties":{"formattedCitation":"[22]","plainCitation":"[22]","noteIndex":0},"citationItems":[{"id":229,"uris":["http://zotero.org/users/6704422/items/92DJ3WEH"],"itemData":{"id":229,"type":"article-journal","abstract":"Understanding how teaching aﬀects students’ attitudes and beliefs is notoriously diﬃcult, speciﬁcally in a quickly evolving and societally relevant ﬁeld such as genetics. The aim of this survey study is to capitalize our previous research and examine how teaching relates to Finnish secondary school students’ liking of, self-concept in and experienced utility of genetics, attitude towards gene technology and belief in genetic determinism. In this unique setting, we used as explanatory variables their teachers’ teaching emphases and learning materials, and as student-related factors, we used gender and the number of biology courses attended. Item-response theory with exploratory, conﬁrmatory, and explanatory analyses were carried out to model the data. Teaching explained students’ attitudes and beliefs: if the teacher’s emphasis was Hereditary or the textbook with stronger Mendelian emphasis was used, students tended to havemore negative attitudes towards learning genetics and stronger belief in genetic determinism . Our results also suggest gender diﬀerences: male students had more positive attitude towards gene technology, higher self-concept, whereas as utility of genetics and belief in genetic determinism were higher in females. The results suggest that teaching’ approaches as well as learning materials need updates to fulﬁl the needs for genetics literacy.","container-title":"International Journal of Science Education","DOI":"10.1080/09500693.2021.1917789","ISSN":"0950-0693, 1464-5289","journalAbbreviation":"International Journal of Science Education","language":"en","page":"1-18","source":"DOI.org (Crossref)","title":"Factors explaining students’ attitudes towards learning genetics and belief in genetic determinism","author":[{"family":"Aivelo","given":"Tuomas"},{"family":"Uitto","given":"Anna"}],"issued":{"date-parts":[["2021",4,29]]}}}],"schema":"https://github.com/citation-style-language/schema/raw/master/csl-citation.json"} </w:instrText>
      </w:r>
      <w:r w:rsidR="00EF0335">
        <w:fldChar w:fldCharType="separate"/>
      </w:r>
      <w:r w:rsidRPr="00AC2C37" w:rsidR="00AC2C37">
        <w:rPr>
          <w:rFonts w:ascii="Calibri" w:hAnsi="Calibri" w:cs="Calibri"/>
        </w:rPr>
        <w:t>[22]</w:t>
      </w:r>
      <w:r w:rsidR="00EF0335">
        <w:fldChar w:fldCharType="end"/>
      </w:r>
      <w:r w:rsidR="00EF0335">
        <w:t xml:space="preserve"> and with the majority of our students having received their secondary school education in the UK system, they will likely have been taught with a traditional </w:t>
      </w:r>
      <w:r w:rsidR="00EF0335">
        <w:lastRenderedPageBreak/>
        <w:t xml:space="preserve">Mendelian </w:t>
      </w:r>
      <w:r w:rsidR="00594321">
        <w:t>approach.</w:t>
      </w:r>
      <w:r w:rsidR="00EF0335">
        <w:t xml:space="preserve"> </w:t>
      </w:r>
      <w:r w:rsidRPr="00BE1523" w:rsidR="009C2C79">
        <w:rPr>
          <w:rFonts w:ascii="Calibri" w:hAnsi="Calibri" w:eastAsia="Calibri" w:cs="Calibri"/>
        </w:rPr>
        <w:t xml:space="preserve">Jamieson and Radick </w:t>
      </w:r>
      <w:r w:rsidRPr="00BE1523" w:rsidR="009C2C79">
        <w:rPr>
          <w:rFonts w:ascii="Calibri" w:hAnsi="Calibri" w:eastAsia="Calibri" w:cs="Calibri"/>
        </w:rPr>
        <w:fldChar w:fldCharType="begin"/>
      </w:r>
      <w:r w:rsidR="00AC2C37">
        <w:rPr>
          <w:rFonts w:ascii="Calibri" w:hAnsi="Calibri" w:eastAsia="Calibri" w:cs="Calibri"/>
        </w:rPr>
        <w:instrText xml:space="preserve"> ADDIN ZOTERO_ITEM CSL_CITATION {"citationID":"64DvzUD9","properties":{"formattedCitation":"[15]","plainCitation":"[15]","noteIndex":0},"citationItems":[{"id":216,"uris":["http://zotero.org/users/6704422/items/HLG6DCNG"],"itemData":{"id":216,"type":"article-journal","abstract":"Twenty-first-century biology rejects genetic determinism, yet an exaggerated view of the power of genes in the making of bodies and minds remains a problem. What accounts for such tenacity? This article reports an exploratory study suggesting that the common reliance on Mendelian examples and concepts at the start of teaching in basic genetics is an eliminable source of support for determinism. Undergraduate students who attended a standard ‘Mendelian approach’ university course in introductory genetics on average showed no change in their determinist views about genes. By contrast, students who attended an alternative course which, inspired by the work of a critic of early Mendelism, W. F. R. Weldon (1860–1906), replaced an emphasis on Mendel’s peas with an emphasis on developmental contexts and their role in bringing about phenotypic variability, were less determinist about genes by the end of teaching. Improvements in both the new Weldonian curriculum and the study design are in view for the future.","container-title":"Science &amp; Education","DOI":"10.1007/s11191-017-9900-8","ISSN":"0926-7220, 1573-1901","issue":"10","journalAbbreviation":"Sci &amp; Educ","language":"en","page":"1261-1290","source":"DOI.org (Crossref)","title":"Genetic Determinism in the Genetics Curriculum: An Exploratory Study of the Effects of Mendelian and Weldonian Emphases","title-short":"Genetic Determinism in the Genetics Curriculum","volume":"26","author":[{"family":"Jamieson","given":"Annie"},{"family":"Radick","given":"Gregory"}],"issued":{"date-parts":[["2017",12]]}}}],"schema":"https://github.com/citation-style-language/schema/raw/master/csl-citation.json"} </w:instrText>
      </w:r>
      <w:r w:rsidRPr="00BE1523" w:rsidR="009C2C79">
        <w:rPr>
          <w:rFonts w:ascii="Calibri" w:hAnsi="Calibri" w:eastAsia="Calibri" w:cs="Calibri"/>
        </w:rPr>
        <w:fldChar w:fldCharType="separate"/>
      </w:r>
      <w:r w:rsidRPr="00AC2C37" w:rsidR="00AC2C37">
        <w:rPr>
          <w:rFonts w:ascii="Calibri" w:hAnsi="Calibri" w:cs="Calibri"/>
        </w:rPr>
        <w:t>[15]</w:t>
      </w:r>
      <w:r w:rsidRPr="00BE1523" w:rsidR="009C2C79">
        <w:rPr>
          <w:rFonts w:ascii="Calibri" w:hAnsi="Calibri" w:eastAsia="Calibri" w:cs="Calibri"/>
        </w:rPr>
        <w:fldChar w:fldCharType="end"/>
      </w:r>
      <w:r w:rsidRPr="00BE1523" w:rsidR="009C2C79">
        <w:rPr>
          <w:rFonts w:ascii="Calibri" w:hAnsi="Calibri" w:eastAsia="Calibri" w:cs="Calibri"/>
        </w:rPr>
        <w:t xml:space="preserve"> </w:t>
      </w:r>
      <w:r w:rsidRPr="00BE1523" w:rsidR="0042393B">
        <w:rPr>
          <w:rFonts w:ascii="Calibri" w:hAnsi="Calibri" w:eastAsia="Calibri" w:cs="Calibri"/>
        </w:rPr>
        <w:t>took</w:t>
      </w:r>
      <w:r w:rsidRPr="00BE1523" w:rsidR="009C2C79">
        <w:rPr>
          <w:rFonts w:ascii="Calibri" w:hAnsi="Calibri" w:eastAsia="Calibri" w:cs="Calibri"/>
        </w:rPr>
        <w:t xml:space="preserve"> an historical approach and introduced a Weldonian curriculum to counter the influence of more simplistic Mendelian teaching</w:t>
      </w:r>
      <w:r w:rsidR="0036677D">
        <w:rPr>
          <w:rFonts w:ascii="Calibri" w:hAnsi="Calibri" w:eastAsia="Calibri" w:cs="Calibri"/>
        </w:rPr>
        <w:t xml:space="preserve"> and </w:t>
      </w:r>
      <w:r w:rsidR="00D83796">
        <w:rPr>
          <w:rFonts w:ascii="Calibri" w:hAnsi="Calibri" w:eastAsia="Calibri" w:cs="Calibri"/>
        </w:rPr>
        <w:t xml:space="preserve">also </w:t>
      </w:r>
      <w:r w:rsidR="0036677D">
        <w:rPr>
          <w:rFonts w:ascii="Calibri" w:hAnsi="Calibri" w:eastAsia="Calibri" w:cs="Calibri"/>
        </w:rPr>
        <w:t>observed a reduction in genetic determinism.</w:t>
      </w:r>
      <w:r w:rsidR="007E7C75">
        <w:t xml:space="preserve"> </w:t>
      </w:r>
      <w:r w:rsidR="007B7EAA">
        <w:t xml:space="preserve"> In addition, Donovan et al </w:t>
      </w:r>
      <w:r w:rsidR="006A42C5">
        <w:fldChar w:fldCharType="begin"/>
      </w:r>
      <w:r w:rsidR="00AC2C37">
        <w:instrText xml:space="preserve"> ADDIN ZOTERO_ITEM CSL_CITATION {"citationID":"oIcPVl4I","properties":{"formattedCitation":"[24]","plainCitation":"[24]","noteIndex":0},"citationItems":[{"id":84,"uris":["http://zotero.org/users/6704422/items/UGRTKK94"],"itemData":{"id":84,"type":"article-journal","container-title":"Journal of Research in Science Teaching","DOI":"10.1002/tea.21670","ISSN":"0022-4308, 1098-2736","issue":"4","journalAbbreviation":"J Res Sci Teach","language":"en","page":"520-550","source":"DOI.org (Crossref)","title":"Genomics literacy matters: Supporting the development of genomics literacy through genetics education could reduce the prevalence of genetic essentialism","title-short":"Genomics literacy matters","volume":"58","author":[{"family":"Donovan","given":"Brian M."},{"family":"Weindling","given":"Monica"},{"family":"Salazar","given":"Brae"},{"family":"Duncan","given":"Alex"},{"family":"Stuhlsatz","given":"Molly"},{"family":"Keck","given":"Phillip"}],"issued":{"date-parts":[["2021",4]]}}}],"schema":"https://github.com/citation-style-language/schema/raw/master/csl-citation.json"} </w:instrText>
      </w:r>
      <w:r w:rsidR="006A42C5">
        <w:fldChar w:fldCharType="separate"/>
      </w:r>
      <w:r w:rsidRPr="00AC2C37" w:rsidR="00AC2C37">
        <w:rPr>
          <w:rFonts w:ascii="Calibri" w:hAnsi="Calibri" w:cs="Calibri"/>
        </w:rPr>
        <w:t>[24]</w:t>
      </w:r>
      <w:r w:rsidR="006A42C5">
        <w:fldChar w:fldCharType="end"/>
      </w:r>
      <w:r w:rsidR="00F20EE7">
        <w:t xml:space="preserve"> </w:t>
      </w:r>
      <w:r w:rsidR="009C1EE0">
        <w:t>suggest that improved genetics education can reduce the likelihood of genetic determinism.</w:t>
      </w:r>
    </w:p>
    <w:p w:rsidR="00980030" w:rsidP="008B18A8" w:rsidRDefault="00980030" w14:paraId="0BC7E89A" w14:textId="0EA5FA76">
      <w:r>
        <w:t xml:space="preserve">Whilst we have changed our teaching about ethnicity in pharmacokinetics, we have yet to explore the rest of our curriculum. In a study of preclinical faculty, Ibrahim et al </w:t>
      </w:r>
      <w:r>
        <w:fldChar w:fldCharType="begin"/>
      </w:r>
      <w:r w:rsidR="00AC2C37">
        <w:instrText xml:space="preserve"> ADDIN ZOTERO_ITEM CSL_CITATION {"citationID":"M8u4odMN","properties":{"formattedCitation":"[26]","plainCitation":"[26]","noteIndex":0},"citationItems":[{"id":470,"uris":["http://zotero.org/users/6704422/items/KK5EV5H9"],"itemData":{"id":470,"type":"article-journal","abstract":"Modern scientific research has demonstrated that race is a social construct rather than a biological construct. Yet, medical education research suggests that medical faculty still sometimes characterize race and racial differences as biological during lectures. To explore this dynamic, we reviewed (1) how race is presented in the preclinical curriculum of an undergraduate medical institution and (2) how preclinical faculty both define race and attribute disparate health outcomes to race. In part 1 of the study, the authors conducted a retrospective summative content analysis of all first-year preclinical lectures during the 2018–2019 academic year. In part 2, the authors administered a survey to preclinical faculty on the understanding of race, and responses were assessed through conventional content analysis. A number of faculty suggested a biological basis for racial differences during lectures, though survey results suggested that the majority characterize race as a social construct. Faculty knowledge of race and racial differences as a social construct was not reflected in the majority of the curricular analysis. Instead, the lectures showed that faculty predominantly discussed race without context (e.g., as a standalone epidemiological statistic or an unexplained factor of risk, diagnosis, prognosis, or treatment), or with a biological context. We conclude that there is a discrepancy between preclinical faculty knowledge of race and the presentation of race and racial differences in lectures. This discrepancy has implications on medical education. We offer possible explanations for this discrepancy as well as resources for preclinical faculty development to bridge this gap.","container-title":"Medical Science Educator","DOI":"10.1007/s40670-021-01457-x","ISSN":"2156-8650","issue":"1","journalAbbreviation":"Med.Sci.Educ.","language":"en","page":"209-219","source":"DOI.org (Crossref)","title":"The Propagation of Race and Racial Differences as Biological in Preclinical Education","volume":"32","author":[{"family":"Ibrahim","given":"Zara"},{"family":"Brown","given":"Claire"},{"family":"Crow","given":"Brendan"},{"family":"Roumimper","given":"Hailey"},{"family":"Kureshi","given":"Sarah"}],"issued":{"date-parts":[["2022",2]]}}}],"schema":"https://github.com/citation-style-language/schema/raw/master/csl-citation.json"} </w:instrText>
      </w:r>
      <w:r>
        <w:fldChar w:fldCharType="separate"/>
      </w:r>
      <w:r w:rsidRPr="00AC2C37" w:rsidR="00AC2C37">
        <w:rPr>
          <w:rFonts w:ascii="Calibri" w:hAnsi="Calibri" w:cs="Calibri"/>
        </w:rPr>
        <w:t>[26]</w:t>
      </w:r>
      <w:r>
        <w:fldChar w:fldCharType="end"/>
      </w:r>
      <w:r>
        <w:t xml:space="preserve"> found a range of definitions for race, including an element of biological basis</w:t>
      </w:r>
      <w:r w:rsidR="003562D7">
        <w:t>. In addition, race was often mentioned without any underlying mechanism explanation which could lead, as we have seen, to the implication of a biological basis. This raises the possibility that despite our students being unable to recall any teaching about ethnicity, it may have been mentioned in passing or may have been implied by previous teaching.</w:t>
      </w:r>
    </w:p>
    <w:p w:rsidR="00592F51" w:rsidP="00BD396E" w:rsidRDefault="00373F39" w14:paraId="14DEB647" w14:textId="3E428536">
      <w:pPr>
        <w:pStyle w:val="Heading3"/>
      </w:pPr>
      <w:r>
        <w:t>Conclusions and n</w:t>
      </w:r>
      <w:r w:rsidR="00592F51">
        <w:t>ext steps</w:t>
      </w:r>
    </w:p>
    <w:p w:rsidR="00203139" w:rsidP="00BD396E" w:rsidRDefault="004E0954" w14:paraId="70075603" w14:textId="76318142">
      <w:r>
        <w:t>Whilst we have some indications that our students may demonstrate genetic determinist views, there is a great deal of confusion over the meaning of the term ethnicity in the context of medical science.</w:t>
      </w:r>
      <w:r w:rsidR="008E45ED">
        <w:t xml:space="preserve"> This is quite likely since the way</w:t>
      </w:r>
      <w:r w:rsidR="00D313F4">
        <w:t xml:space="preserve"> students think of ethnicity relates to culture, traditions and place whereas the use of the term in the pharmacology literature relates more to continental-scale racial groups.</w:t>
      </w:r>
      <w:r>
        <w:t xml:space="preserve"> Students may also have considerable gaps in their understanding of genetics and inheritance and in the use of language relating to ethnicity. We have successfully designed a new teaching session about inter-individual variation in pharmacokinetics which has helped to clarify our</w:t>
      </w:r>
      <w:r w:rsidR="00203139">
        <w:t xml:space="preserve"> students’</w:t>
      </w:r>
      <w:r>
        <w:t xml:space="preserve"> thinking around ethnicity and highlighted the importance of being clear about any potential mechanisms that could underly apparent ethnic differences. </w:t>
      </w:r>
      <w:r w:rsidR="00203139">
        <w:t>However,</w:t>
      </w:r>
      <w:r>
        <w:t xml:space="preserve"> it has become increasingly clear that we need to look at </w:t>
      </w:r>
      <w:r w:rsidR="00544C86">
        <w:t>all</w:t>
      </w:r>
      <w:r>
        <w:t xml:space="preserve"> our teaching around issues of race and ethnicity.</w:t>
      </w:r>
      <w:r w:rsidR="00203139">
        <w:t xml:space="preserve"> Now that we have an example in the context of pharmacokinetics, we need to</w:t>
      </w:r>
      <w:r>
        <w:t xml:space="preserve"> take the o</w:t>
      </w:r>
      <w:r w:rsidR="00700BBD">
        <w:t>pportunity to consult with colleagues at a course-wide level</w:t>
      </w:r>
      <w:r w:rsidR="00203139">
        <w:t>. Specifically, we realise the importance of:</w:t>
      </w:r>
    </w:p>
    <w:p w:rsidR="00203139" w:rsidP="00203139" w:rsidRDefault="00700BBD" w14:paraId="3D34355B" w14:textId="218ED69A">
      <w:pPr>
        <w:pStyle w:val="ListParagraph"/>
        <w:numPr>
          <w:ilvl w:val="0"/>
          <w:numId w:val="8"/>
        </w:numPr>
      </w:pPr>
      <w:r>
        <w:t>shar</w:t>
      </w:r>
      <w:r w:rsidR="00203139">
        <w:t>ing</w:t>
      </w:r>
      <w:r>
        <w:t xml:space="preserve"> understanding about use of language</w:t>
      </w:r>
      <w:r w:rsidR="00203139">
        <w:t xml:space="preserve"> and</w:t>
      </w:r>
      <w:r w:rsidR="00C55484">
        <w:t xml:space="preserve"> clarify terminology</w:t>
      </w:r>
      <w:r>
        <w:t xml:space="preserve"> </w:t>
      </w:r>
      <w:r w:rsidR="00203139">
        <w:t xml:space="preserve">relating to ethnicity and </w:t>
      </w:r>
      <w:r w:rsidR="006C17C7">
        <w:t>ancestry.</w:t>
      </w:r>
    </w:p>
    <w:p w:rsidR="00700BBD" w:rsidP="00203139" w:rsidRDefault="00700BBD" w14:paraId="5530637F" w14:textId="1C703F71">
      <w:pPr>
        <w:pStyle w:val="ListParagraph"/>
        <w:numPr>
          <w:ilvl w:val="0"/>
          <w:numId w:val="8"/>
        </w:numPr>
      </w:pPr>
      <w:r>
        <w:t>ensur</w:t>
      </w:r>
      <w:r w:rsidR="00203139">
        <w:t>ing</w:t>
      </w:r>
      <w:r>
        <w:t xml:space="preserve"> that </w:t>
      </w:r>
      <w:r w:rsidR="00203139">
        <w:t>the social basis for race and ethnicity</w:t>
      </w:r>
      <w:r>
        <w:t xml:space="preserve"> are reinforced in a variety of contexts</w:t>
      </w:r>
      <w:r w:rsidR="00203139">
        <w:t xml:space="preserve"> and any implication of a biological basis for race and ethnicity is identified and countered.</w:t>
      </w:r>
    </w:p>
    <w:p w:rsidRPr="008E0CDE" w:rsidR="003562D7" w:rsidRDefault="003562D7" w14:paraId="6A5ACB80" w14:textId="56681180">
      <w:r>
        <w:rPr>
          <w:b/>
          <w:bCs/>
          <w:sz w:val="24"/>
          <w:szCs w:val="24"/>
        </w:rPr>
        <w:br w:type="page"/>
      </w:r>
    </w:p>
    <w:p w:rsidRPr="00C90ED7" w:rsidR="5211A523" w:rsidP="5211A523" w:rsidRDefault="003B6A3F" w14:paraId="6B92FE0C" w14:textId="5B691BC2">
      <w:pPr>
        <w:rPr>
          <w:b/>
          <w:bCs/>
          <w:sz w:val="24"/>
          <w:szCs w:val="24"/>
        </w:rPr>
      </w:pPr>
      <w:r w:rsidRPr="00C90ED7">
        <w:rPr>
          <w:b/>
          <w:bCs/>
          <w:sz w:val="24"/>
          <w:szCs w:val="24"/>
        </w:rPr>
        <w:lastRenderedPageBreak/>
        <w:t>References</w:t>
      </w:r>
    </w:p>
    <w:p w:rsidRPr="007110D7" w:rsidR="007110D7" w:rsidP="007110D7" w:rsidRDefault="00F34B00" w14:paraId="0B21A2DE" w14:textId="77777777">
      <w:pPr>
        <w:pStyle w:val="Bibliography"/>
        <w:rPr>
          <w:rFonts w:ascii="Calibri" w:hAnsi="Calibri" w:cs="Calibri"/>
        </w:rPr>
      </w:pPr>
      <w:r>
        <w:fldChar w:fldCharType="begin"/>
      </w:r>
      <w:r w:rsidR="00B81F36">
        <w:instrText xml:space="preserve"> ADDIN ZOTERO_BIBL {"uncited":[],"omitted":[],"custom":[]} CSL_BIBLIOGRAPHY </w:instrText>
      </w:r>
      <w:r>
        <w:fldChar w:fldCharType="separate"/>
      </w:r>
      <w:r w:rsidRPr="007110D7" w:rsidR="007110D7">
        <w:rPr>
          <w:rFonts w:ascii="Calibri" w:hAnsi="Calibri" w:cs="Calibri"/>
        </w:rPr>
        <w:t>[1]</w:t>
      </w:r>
      <w:r w:rsidRPr="007110D7" w:rsidR="007110D7">
        <w:rPr>
          <w:rFonts w:ascii="Calibri" w:hAnsi="Calibri" w:cs="Calibri"/>
        </w:rPr>
        <w:tab/>
      </w:r>
      <w:r w:rsidRPr="007110D7" w:rsidR="007110D7">
        <w:rPr>
          <w:rFonts w:ascii="Calibri" w:hAnsi="Calibri" w:cs="Calibri"/>
        </w:rPr>
        <w:t xml:space="preserve">C. W. Yancy </w:t>
      </w:r>
      <w:r w:rsidRPr="007110D7" w:rsidR="007110D7">
        <w:rPr>
          <w:rFonts w:ascii="Calibri" w:hAnsi="Calibri" w:cs="Calibri"/>
          <w:i/>
          <w:iCs/>
        </w:rPr>
        <w:t>et al.</w:t>
      </w:r>
      <w:r w:rsidRPr="007110D7" w:rsidR="007110D7">
        <w:rPr>
          <w:rFonts w:ascii="Calibri" w:hAnsi="Calibri" w:cs="Calibri"/>
        </w:rPr>
        <w:t xml:space="preserve">, ‘2013 ACCF/AHA Guideline for the Management of Heart Failure’, </w:t>
      </w:r>
      <w:r w:rsidRPr="007110D7" w:rsidR="007110D7">
        <w:rPr>
          <w:rFonts w:ascii="Calibri" w:hAnsi="Calibri" w:cs="Calibri"/>
          <w:i/>
          <w:iCs/>
        </w:rPr>
        <w:t>Journal of the American College of Cardiology</w:t>
      </w:r>
      <w:r w:rsidRPr="007110D7" w:rsidR="007110D7">
        <w:rPr>
          <w:rFonts w:ascii="Calibri" w:hAnsi="Calibri" w:cs="Calibri"/>
        </w:rPr>
        <w:t>, vol. 62, no. 16, pp. e147–e239, Oct. 2013, doi: 10.1016/j.jacc.2013.05.019.</w:t>
      </w:r>
    </w:p>
    <w:p w:rsidRPr="007110D7" w:rsidR="007110D7" w:rsidP="007110D7" w:rsidRDefault="007110D7" w14:paraId="2471C3F7" w14:textId="77777777">
      <w:pPr>
        <w:pStyle w:val="Bibliography"/>
        <w:rPr>
          <w:rFonts w:ascii="Calibri" w:hAnsi="Calibri" w:cs="Calibri"/>
        </w:rPr>
      </w:pPr>
      <w:r w:rsidRPr="007110D7">
        <w:rPr>
          <w:rFonts w:ascii="Calibri" w:hAnsi="Calibri" w:cs="Calibri"/>
        </w:rPr>
        <w:t>[2]</w:t>
      </w:r>
      <w:r w:rsidRPr="007110D7">
        <w:rPr>
          <w:rFonts w:ascii="Calibri" w:hAnsi="Calibri" w:cs="Calibri"/>
        </w:rPr>
        <w:tab/>
      </w:r>
      <w:r w:rsidRPr="007110D7">
        <w:rPr>
          <w:rFonts w:ascii="Calibri" w:hAnsi="Calibri" w:cs="Calibri"/>
        </w:rPr>
        <w:t xml:space="preserve">National Institute for Health and Care Excellence, ‘Hypertension in adults: diagnosis and management’, </w:t>
      </w:r>
      <w:r w:rsidRPr="007110D7">
        <w:rPr>
          <w:rFonts w:ascii="Calibri" w:hAnsi="Calibri" w:cs="Calibri"/>
          <w:i/>
          <w:iCs/>
        </w:rPr>
        <w:t>https://www.nice.org.uk/guidance/ng136/resources/hypertension-in-adults-diagnosis-and-management-pdf-66141722710213</w:t>
      </w:r>
      <w:r w:rsidRPr="007110D7">
        <w:rPr>
          <w:rFonts w:ascii="Calibri" w:hAnsi="Calibri" w:cs="Calibri"/>
        </w:rPr>
        <w:t>, p. 47, 2019.</w:t>
      </w:r>
    </w:p>
    <w:p w:rsidRPr="007110D7" w:rsidR="007110D7" w:rsidP="007110D7" w:rsidRDefault="007110D7" w14:paraId="3B779FBD" w14:textId="77777777">
      <w:pPr>
        <w:pStyle w:val="Bibliography"/>
        <w:rPr>
          <w:rFonts w:ascii="Calibri" w:hAnsi="Calibri" w:cs="Calibri"/>
        </w:rPr>
      </w:pPr>
      <w:r w:rsidRPr="007110D7">
        <w:rPr>
          <w:rFonts w:ascii="Calibri" w:hAnsi="Calibri" w:cs="Calibri"/>
        </w:rPr>
        <w:t>[3]</w:t>
      </w:r>
      <w:r w:rsidRPr="007110D7">
        <w:rPr>
          <w:rFonts w:ascii="Calibri" w:hAnsi="Calibri" w:cs="Calibri"/>
        </w:rPr>
        <w:tab/>
      </w:r>
      <w:r w:rsidRPr="007110D7">
        <w:rPr>
          <w:rFonts w:ascii="Calibri" w:hAnsi="Calibri" w:cs="Calibri"/>
        </w:rPr>
        <w:t xml:space="preserve">I. G. Asiimwe </w:t>
      </w:r>
      <w:r w:rsidRPr="007110D7">
        <w:rPr>
          <w:rFonts w:ascii="Calibri" w:hAnsi="Calibri" w:cs="Calibri"/>
          <w:i/>
          <w:iCs/>
        </w:rPr>
        <w:t>et al.</w:t>
      </w:r>
      <w:r w:rsidRPr="007110D7">
        <w:rPr>
          <w:rFonts w:ascii="Calibri" w:hAnsi="Calibri" w:cs="Calibri"/>
        </w:rPr>
        <w:t xml:space="preserve">, ‘Genetic Factors Influencing Warfarin Dose in Black‐African Patients: A Systematic Review and Meta‐Analysis’, </w:t>
      </w:r>
      <w:r w:rsidRPr="007110D7">
        <w:rPr>
          <w:rFonts w:ascii="Calibri" w:hAnsi="Calibri" w:cs="Calibri"/>
          <w:i/>
          <w:iCs/>
        </w:rPr>
        <w:t>Clin. Pharmacol. Ther.</w:t>
      </w:r>
      <w:r w:rsidRPr="007110D7">
        <w:rPr>
          <w:rFonts w:ascii="Calibri" w:hAnsi="Calibri" w:cs="Calibri"/>
        </w:rPr>
        <w:t>, vol. 107, no. 6, pp. 1420–1433, Jun. 2020, doi: 10.1002/cpt.1755.</w:t>
      </w:r>
    </w:p>
    <w:p w:rsidRPr="007110D7" w:rsidR="007110D7" w:rsidP="007110D7" w:rsidRDefault="007110D7" w14:paraId="7737FAA9" w14:textId="77777777">
      <w:pPr>
        <w:pStyle w:val="Bibliography"/>
        <w:rPr>
          <w:rFonts w:ascii="Calibri" w:hAnsi="Calibri" w:cs="Calibri"/>
        </w:rPr>
      </w:pPr>
      <w:r w:rsidRPr="007110D7">
        <w:rPr>
          <w:rFonts w:ascii="Calibri" w:hAnsi="Calibri" w:cs="Calibri"/>
        </w:rPr>
        <w:t>[4]</w:t>
      </w:r>
      <w:r w:rsidRPr="007110D7">
        <w:rPr>
          <w:rFonts w:ascii="Calibri" w:hAnsi="Calibri" w:cs="Calibri"/>
        </w:rPr>
        <w:tab/>
      </w:r>
      <w:r w:rsidRPr="007110D7">
        <w:rPr>
          <w:rFonts w:ascii="Calibri" w:hAnsi="Calibri" w:cs="Calibri"/>
        </w:rPr>
        <w:t xml:space="preserve">O. Olafuyi, N. Parekh, J. Wright, and J. Koenig, ‘Inter‐ethnic differences in pharmacokinetics—is there more that unites than divides?’, </w:t>
      </w:r>
      <w:r w:rsidRPr="007110D7">
        <w:rPr>
          <w:rFonts w:ascii="Calibri" w:hAnsi="Calibri" w:cs="Calibri"/>
          <w:i/>
          <w:iCs/>
        </w:rPr>
        <w:t>Pharmacol Res Perspect</w:t>
      </w:r>
      <w:r w:rsidRPr="007110D7">
        <w:rPr>
          <w:rFonts w:ascii="Calibri" w:hAnsi="Calibri" w:cs="Calibri"/>
        </w:rPr>
        <w:t>, vol. 9, no. 6, Dec. 2021, doi: 10.1002/prp2.890.</w:t>
      </w:r>
    </w:p>
    <w:p w:rsidRPr="007110D7" w:rsidR="007110D7" w:rsidP="007110D7" w:rsidRDefault="007110D7" w14:paraId="39981FE7" w14:textId="77777777">
      <w:pPr>
        <w:pStyle w:val="Bibliography"/>
        <w:rPr>
          <w:rFonts w:ascii="Calibri" w:hAnsi="Calibri" w:cs="Calibri"/>
        </w:rPr>
      </w:pPr>
      <w:r w:rsidRPr="007110D7">
        <w:rPr>
          <w:rFonts w:ascii="Calibri" w:hAnsi="Calibri" w:cs="Calibri"/>
        </w:rPr>
        <w:t>[5]</w:t>
      </w:r>
      <w:r w:rsidRPr="007110D7">
        <w:rPr>
          <w:rFonts w:ascii="Calibri" w:hAnsi="Calibri" w:cs="Calibri"/>
        </w:rPr>
        <w:tab/>
      </w:r>
      <w:r w:rsidRPr="007110D7">
        <w:rPr>
          <w:rFonts w:ascii="Calibri" w:hAnsi="Calibri" w:cs="Calibri"/>
        </w:rPr>
        <w:t xml:space="preserve">B. V. Bowling </w:t>
      </w:r>
      <w:r w:rsidRPr="007110D7">
        <w:rPr>
          <w:rFonts w:ascii="Calibri" w:hAnsi="Calibri" w:cs="Calibri"/>
          <w:i/>
          <w:iCs/>
        </w:rPr>
        <w:t>et al.</w:t>
      </w:r>
      <w:r w:rsidRPr="007110D7">
        <w:rPr>
          <w:rFonts w:ascii="Calibri" w:hAnsi="Calibri" w:cs="Calibri"/>
        </w:rPr>
        <w:t xml:space="preserve">, ‘Development and Evaluation of a Genetics Literacy Assessment Instrument for Undergraduates’, </w:t>
      </w:r>
      <w:r w:rsidRPr="007110D7">
        <w:rPr>
          <w:rFonts w:ascii="Calibri" w:hAnsi="Calibri" w:cs="Calibri"/>
          <w:i/>
          <w:iCs/>
        </w:rPr>
        <w:t>Genetics</w:t>
      </w:r>
      <w:r w:rsidRPr="007110D7">
        <w:rPr>
          <w:rFonts w:ascii="Calibri" w:hAnsi="Calibri" w:cs="Calibri"/>
        </w:rPr>
        <w:t>, vol. 178, no. 1, pp. 15–22, Jan. 2008, doi: 10.1534/genetics.107.079533.</w:t>
      </w:r>
    </w:p>
    <w:p w:rsidRPr="007110D7" w:rsidR="007110D7" w:rsidP="007110D7" w:rsidRDefault="007110D7" w14:paraId="1C0CBA29" w14:textId="77777777">
      <w:pPr>
        <w:pStyle w:val="Bibliography"/>
        <w:rPr>
          <w:rFonts w:ascii="Calibri" w:hAnsi="Calibri" w:cs="Calibri"/>
        </w:rPr>
      </w:pPr>
      <w:r w:rsidRPr="007110D7">
        <w:rPr>
          <w:rFonts w:ascii="Calibri" w:hAnsi="Calibri" w:cs="Calibri"/>
        </w:rPr>
        <w:t>[6]</w:t>
      </w:r>
      <w:r w:rsidRPr="007110D7">
        <w:rPr>
          <w:rFonts w:ascii="Calibri" w:hAnsi="Calibri" w:cs="Calibri"/>
        </w:rPr>
        <w:tab/>
      </w:r>
      <w:r w:rsidRPr="007110D7">
        <w:rPr>
          <w:rFonts w:ascii="Calibri" w:hAnsi="Calibri" w:cs="Calibri"/>
        </w:rPr>
        <w:t xml:space="preserve">B. M. Donovan, ‘Learned inequality: Racial labels in the biology curriculum can affect the development of racial prejudice: LEARNED INEQUALITY’, </w:t>
      </w:r>
      <w:r w:rsidRPr="007110D7">
        <w:rPr>
          <w:rFonts w:ascii="Calibri" w:hAnsi="Calibri" w:cs="Calibri"/>
          <w:i/>
          <w:iCs/>
        </w:rPr>
        <w:t>J Res Sci Teach</w:t>
      </w:r>
      <w:r w:rsidRPr="007110D7">
        <w:rPr>
          <w:rFonts w:ascii="Calibri" w:hAnsi="Calibri" w:cs="Calibri"/>
        </w:rPr>
        <w:t>, vol. 54, no. 3, pp. 379–411, Mar. 2017, doi: 10.1002/tea.21370.</w:t>
      </w:r>
    </w:p>
    <w:p w:rsidRPr="007110D7" w:rsidR="007110D7" w:rsidP="007110D7" w:rsidRDefault="007110D7" w14:paraId="2F4E772F" w14:textId="77777777">
      <w:pPr>
        <w:pStyle w:val="Bibliography"/>
        <w:rPr>
          <w:rFonts w:ascii="Calibri" w:hAnsi="Calibri" w:cs="Calibri"/>
        </w:rPr>
      </w:pPr>
      <w:r w:rsidRPr="007110D7">
        <w:rPr>
          <w:rFonts w:ascii="Calibri" w:hAnsi="Calibri" w:cs="Calibri"/>
        </w:rPr>
        <w:t>[7]</w:t>
      </w:r>
      <w:r w:rsidRPr="007110D7">
        <w:rPr>
          <w:rFonts w:ascii="Calibri" w:hAnsi="Calibri" w:cs="Calibri"/>
        </w:rPr>
        <w:tab/>
      </w:r>
      <w:r w:rsidRPr="007110D7">
        <w:rPr>
          <w:rFonts w:ascii="Calibri" w:hAnsi="Calibri" w:cs="Calibri"/>
        </w:rPr>
        <w:t xml:space="preserve">B. M. Donovan </w:t>
      </w:r>
      <w:r w:rsidRPr="007110D7">
        <w:rPr>
          <w:rFonts w:ascii="Calibri" w:hAnsi="Calibri" w:cs="Calibri"/>
          <w:i/>
          <w:iCs/>
        </w:rPr>
        <w:t>et al.</w:t>
      </w:r>
      <w:r w:rsidRPr="007110D7">
        <w:rPr>
          <w:rFonts w:ascii="Calibri" w:hAnsi="Calibri" w:cs="Calibri"/>
        </w:rPr>
        <w:t xml:space="preserve">, ‘Toward a more humane genetics education: Learning about the social and quantitative complexities of human genetic variation research could reduce racial bias in adolescent and adult populations’, </w:t>
      </w:r>
      <w:r w:rsidRPr="007110D7">
        <w:rPr>
          <w:rFonts w:ascii="Calibri" w:hAnsi="Calibri" w:cs="Calibri"/>
          <w:i/>
          <w:iCs/>
        </w:rPr>
        <w:t>Sci. Ed.</w:t>
      </w:r>
      <w:r w:rsidRPr="007110D7">
        <w:rPr>
          <w:rFonts w:ascii="Calibri" w:hAnsi="Calibri" w:cs="Calibri"/>
        </w:rPr>
        <w:t>, vol. 103, no. 3, pp. 529–560, May 2019, doi: 10.1002/sce.21506.</w:t>
      </w:r>
    </w:p>
    <w:p w:rsidRPr="007110D7" w:rsidR="007110D7" w:rsidP="007110D7" w:rsidRDefault="007110D7" w14:paraId="703F1A11" w14:textId="77777777">
      <w:pPr>
        <w:pStyle w:val="Bibliography"/>
        <w:rPr>
          <w:rFonts w:ascii="Calibri" w:hAnsi="Calibri" w:cs="Calibri"/>
        </w:rPr>
      </w:pPr>
      <w:r w:rsidRPr="007110D7">
        <w:rPr>
          <w:rFonts w:ascii="Calibri" w:hAnsi="Calibri" w:cs="Calibri"/>
        </w:rPr>
        <w:t>[8]</w:t>
      </w:r>
      <w:r w:rsidRPr="007110D7">
        <w:rPr>
          <w:rFonts w:ascii="Calibri" w:hAnsi="Calibri" w:cs="Calibri"/>
        </w:rPr>
        <w:tab/>
      </w:r>
      <w:r w:rsidRPr="007110D7">
        <w:rPr>
          <w:rFonts w:ascii="Calibri" w:hAnsi="Calibri" w:cs="Calibri"/>
        </w:rPr>
        <w:t xml:space="preserve">R. B. Carver, J. Castéra, N. Gericke, N. A. M. Evangelista, and C. N. El-Hani, ‘Young Adults’ Belief in Genetic Determinism, and Knowledge and Attitudes towards Modern Genetics and Genomics: The PUGGS Questionnaire’, </w:t>
      </w:r>
      <w:r w:rsidRPr="007110D7">
        <w:rPr>
          <w:rFonts w:ascii="Calibri" w:hAnsi="Calibri" w:cs="Calibri"/>
          <w:i/>
          <w:iCs/>
        </w:rPr>
        <w:t>PLoS ONE</w:t>
      </w:r>
      <w:r w:rsidRPr="007110D7">
        <w:rPr>
          <w:rFonts w:ascii="Calibri" w:hAnsi="Calibri" w:cs="Calibri"/>
        </w:rPr>
        <w:t>, vol. 12, no. 1, p. e0169808, Jan. 2017, doi: 10.1371/journal.pone.0169808.</w:t>
      </w:r>
    </w:p>
    <w:p w:rsidRPr="007110D7" w:rsidR="007110D7" w:rsidP="007110D7" w:rsidRDefault="007110D7" w14:paraId="3FD7EFC4" w14:textId="77777777">
      <w:pPr>
        <w:pStyle w:val="Bibliography"/>
        <w:rPr>
          <w:rFonts w:ascii="Calibri" w:hAnsi="Calibri" w:cs="Calibri"/>
        </w:rPr>
      </w:pPr>
      <w:r w:rsidRPr="007110D7">
        <w:rPr>
          <w:rFonts w:ascii="Calibri" w:hAnsi="Calibri" w:cs="Calibri"/>
        </w:rPr>
        <w:t>[9]</w:t>
      </w:r>
      <w:r w:rsidRPr="007110D7">
        <w:rPr>
          <w:rFonts w:ascii="Calibri" w:hAnsi="Calibri" w:cs="Calibri"/>
        </w:rPr>
        <w:tab/>
      </w:r>
      <w:r w:rsidRPr="007110D7">
        <w:rPr>
          <w:rFonts w:ascii="Calibri" w:hAnsi="Calibri" w:cs="Calibri"/>
        </w:rPr>
        <w:t>E. Birney, M. Inouye, J. Raff, A. Rutherford, and A. Scally, ‘The Language of Race 180621’, p. 14.</w:t>
      </w:r>
    </w:p>
    <w:p w:rsidRPr="007110D7" w:rsidR="007110D7" w:rsidP="007110D7" w:rsidRDefault="007110D7" w14:paraId="5A161A21" w14:textId="77777777">
      <w:pPr>
        <w:pStyle w:val="Bibliography"/>
        <w:rPr>
          <w:rFonts w:ascii="Calibri" w:hAnsi="Calibri" w:cs="Calibri"/>
        </w:rPr>
      </w:pPr>
      <w:r w:rsidRPr="007110D7">
        <w:rPr>
          <w:rFonts w:ascii="Calibri" w:hAnsi="Calibri" w:cs="Calibri"/>
        </w:rPr>
        <w:t>[10]</w:t>
      </w:r>
      <w:r w:rsidRPr="007110D7">
        <w:rPr>
          <w:rFonts w:ascii="Calibri" w:hAnsi="Calibri" w:cs="Calibri"/>
        </w:rPr>
        <w:tab/>
      </w:r>
      <w:r w:rsidRPr="007110D7">
        <w:rPr>
          <w:rFonts w:ascii="Calibri" w:hAnsi="Calibri" w:cs="Calibri"/>
        </w:rPr>
        <w:t xml:space="preserve">K. Hamer </w:t>
      </w:r>
      <w:r w:rsidRPr="007110D7">
        <w:rPr>
          <w:rFonts w:ascii="Calibri" w:hAnsi="Calibri" w:cs="Calibri"/>
          <w:i/>
          <w:iCs/>
        </w:rPr>
        <w:t>et al.</w:t>
      </w:r>
      <w:r w:rsidRPr="007110D7">
        <w:rPr>
          <w:rFonts w:ascii="Calibri" w:hAnsi="Calibri" w:cs="Calibri"/>
        </w:rPr>
        <w:t xml:space="preserve">, ‘What Is an “Ethnic Group” in Ordinary People’s Eyes? Different Ways of Understanding It Among American, British, Mexican, and Polish Respondents’, </w:t>
      </w:r>
      <w:r w:rsidRPr="007110D7">
        <w:rPr>
          <w:rFonts w:ascii="Calibri" w:hAnsi="Calibri" w:cs="Calibri"/>
          <w:i/>
          <w:iCs/>
        </w:rPr>
        <w:t>Cross-Cultural Research</w:t>
      </w:r>
      <w:r w:rsidRPr="007110D7">
        <w:rPr>
          <w:rFonts w:ascii="Calibri" w:hAnsi="Calibri" w:cs="Calibri"/>
        </w:rPr>
        <w:t>, vol. 54, no. 1, pp. 28–72, Feb. 2020, doi: 10.1177/1069397118816939.</w:t>
      </w:r>
    </w:p>
    <w:p w:rsidRPr="007110D7" w:rsidR="007110D7" w:rsidP="007110D7" w:rsidRDefault="007110D7" w14:paraId="1CF53B5B" w14:textId="77777777">
      <w:pPr>
        <w:pStyle w:val="Bibliography"/>
        <w:rPr>
          <w:rFonts w:ascii="Calibri" w:hAnsi="Calibri" w:cs="Calibri"/>
        </w:rPr>
      </w:pPr>
      <w:r w:rsidRPr="007110D7">
        <w:rPr>
          <w:rFonts w:ascii="Calibri" w:hAnsi="Calibri" w:cs="Calibri"/>
        </w:rPr>
        <w:t>[11]</w:t>
      </w:r>
      <w:r w:rsidRPr="007110D7">
        <w:rPr>
          <w:rFonts w:ascii="Calibri" w:hAnsi="Calibri" w:cs="Calibri"/>
        </w:rPr>
        <w:tab/>
      </w:r>
      <w:r w:rsidRPr="007110D7">
        <w:rPr>
          <w:rFonts w:ascii="Calibri" w:hAnsi="Calibri" w:cs="Calibri"/>
        </w:rPr>
        <w:t xml:space="preserve">A. Smart, R. Tutton, P. Martin, G. T. H. Ellison, and R. Ashcroft, ‘The Standardization of Race and Ethnicity in Biomedical Science Editorials and UK Biobanks’, </w:t>
      </w:r>
      <w:r w:rsidRPr="007110D7">
        <w:rPr>
          <w:rFonts w:ascii="Calibri" w:hAnsi="Calibri" w:cs="Calibri"/>
          <w:i/>
          <w:iCs/>
        </w:rPr>
        <w:t>Soc Stud Sci</w:t>
      </w:r>
      <w:r w:rsidRPr="007110D7">
        <w:rPr>
          <w:rFonts w:ascii="Calibri" w:hAnsi="Calibri" w:cs="Calibri"/>
        </w:rPr>
        <w:t>, vol. 38, no. 3, pp. 407–423, Jun. 2008, doi: 10.1177/0306312707083759.</w:t>
      </w:r>
    </w:p>
    <w:p w:rsidRPr="007110D7" w:rsidR="007110D7" w:rsidP="007110D7" w:rsidRDefault="007110D7" w14:paraId="06F2E3F6" w14:textId="77777777">
      <w:pPr>
        <w:pStyle w:val="Bibliography"/>
        <w:rPr>
          <w:rFonts w:ascii="Calibri" w:hAnsi="Calibri" w:cs="Calibri"/>
        </w:rPr>
      </w:pPr>
      <w:r w:rsidRPr="007110D7">
        <w:rPr>
          <w:rFonts w:ascii="Calibri" w:hAnsi="Calibri" w:cs="Calibri"/>
        </w:rPr>
        <w:t>[12]</w:t>
      </w:r>
      <w:r w:rsidRPr="007110D7">
        <w:rPr>
          <w:rFonts w:ascii="Calibri" w:hAnsi="Calibri" w:cs="Calibri"/>
        </w:rPr>
        <w:tab/>
      </w:r>
      <w:r w:rsidRPr="007110D7">
        <w:rPr>
          <w:rFonts w:ascii="Calibri" w:hAnsi="Calibri" w:cs="Calibri"/>
        </w:rPr>
        <w:t xml:space="preserve">A. Flanagin, T. Frey, S. L. Christiansen, and H. Bauchner, ‘The Reporting of Race and Ethnicity in Medical and Science Journals: Comments Invited’, </w:t>
      </w:r>
      <w:r w:rsidRPr="007110D7">
        <w:rPr>
          <w:rFonts w:ascii="Calibri" w:hAnsi="Calibri" w:cs="Calibri"/>
          <w:i/>
          <w:iCs/>
        </w:rPr>
        <w:t>JAMA</w:t>
      </w:r>
      <w:r w:rsidRPr="007110D7">
        <w:rPr>
          <w:rFonts w:ascii="Calibri" w:hAnsi="Calibri" w:cs="Calibri"/>
        </w:rPr>
        <w:t>, vol. 325, no. 11, p. 1049, Mar. 2021, doi: 10.1001/jama.2021.2104.</w:t>
      </w:r>
    </w:p>
    <w:p w:rsidRPr="007110D7" w:rsidR="007110D7" w:rsidP="007110D7" w:rsidRDefault="007110D7" w14:paraId="2F1FF5F0" w14:textId="77777777">
      <w:pPr>
        <w:pStyle w:val="Bibliography"/>
        <w:rPr>
          <w:rFonts w:ascii="Calibri" w:hAnsi="Calibri" w:cs="Calibri"/>
        </w:rPr>
      </w:pPr>
      <w:r w:rsidRPr="007110D7">
        <w:rPr>
          <w:rFonts w:ascii="Calibri" w:hAnsi="Calibri" w:cs="Calibri"/>
        </w:rPr>
        <w:t>[13]</w:t>
      </w:r>
      <w:r w:rsidRPr="007110D7">
        <w:rPr>
          <w:rFonts w:ascii="Calibri" w:hAnsi="Calibri" w:cs="Calibri"/>
        </w:rPr>
        <w:tab/>
      </w:r>
      <w:r w:rsidRPr="007110D7">
        <w:rPr>
          <w:rFonts w:ascii="Calibri" w:hAnsi="Calibri" w:cs="Calibri"/>
        </w:rPr>
        <w:t xml:space="preserve">M. Yudell, D. Roberts, R. DeSalle, and S. Tishkoff, ‘Taking race out of human genetics’, </w:t>
      </w:r>
      <w:r w:rsidRPr="007110D7">
        <w:rPr>
          <w:rFonts w:ascii="Calibri" w:hAnsi="Calibri" w:cs="Calibri"/>
          <w:i/>
          <w:iCs/>
        </w:rPr>
        <w:t>Science</w:t>
      </w:r>
      <w:r w:rsidRPr="007110D7">
        <w:rPr>
          <w:rFonts w:ascii="Calibri" w:hAnsi="Calibri" w:cs="Calibri"/>
        </w:rPr>
        <w:t>, vol. 351, no. 6273, pp. 564–565, 2016.</w:t>
      </w:r>
    </w:p>
    <w:p w:rsidRPr="007110D7" w:rsidR="007110D7" w:rsidP="007110D7" w:rsidRDefault="007110D7" w14:paraId="782ABA0C" w14:textId="77777777">
      <w:pPr>
        <w:pStyle w:val="Bibliography"/>
        <w:rPr>
          <w:rFonts w:ascii="Calibri" w:hAnsi="Calibri" w:cs="Calibri"/>
        </w:rPr>
      </w:pPr>
      <w:r w:rsidRPr="007110D7">
        <w:rPr>
          <w:rFonts w:ascii="Calibri" w:hAnsi="Calibri" w:cs="Calibri"/>
        </w:rPr>
        <w:t>[14]</w:t>
      </w:r>
      <w:r w:rsidRPr="007110D7">
        <w:rPr>
          <w:rFonts w:ascii="Calibri" w:hAnsi="Calibri" w:cs="Calibri"/>
        </w:rPr>
        <w:tab/>
      </w:r>
      <w:r w:rsidRPr="007110D7">
        <w:rPr>
          <w:rFonts w:ascii="Calibri" w:hAnsi="Calibri" w:cs="Calibri"/>
        </w:rPr>
        <w:t xml:space="preserve">A. Goodman, ‘Race Is Real, But It’s Not Genetic’, </w:t>
      </w:r>
      <w:r w:rsidRPr="007110D7">
        <w:rPr>
          <w:rFonts w:ascii="Calibri" w:hAnsi="Calibri" w:cs="Calibri"/>
          <w:i/>
          <w:iCs/>
        </w:rPr>
        <w:t>www.sapiens.org</w:t>
      </w:r>
      <w:r w:rsidRPr="007110D7">
        <w:rPr>
          <w:rFonts w:ascii="Calibri" w:hAnsi="Calibri" w:cs="Calibri"/>
        </w:rPr>
        <w:t>, Mar. 13, 2020. Accessed: Jun. 08, 2021. [Online]. Available: https://www.sapiens.org/biology/is-race-real/</w:t>
      </w:r>
    </w:p>
    <w:p w:rsidRPr="007110D7" w:rsidR="007110D7" w:rsidP="007110D7" w:rsidRDefault="007110D7" w14:paraId="1A30519A" w14:textId="77777777">
      <w:pPr>
        <w:pStyle w:val="Bibliography"/>
        <w:rPr>
          <w:rFonts w:ascii="Calibri" w:hAnsi="Calibri" w:cs="Calibri"/>
        </w:rPr>
      </w:pPr>
      <w:r w:rsidRPr="007110D7">
        <w:rPr>
          <w:rFonts w:ascii="Calibri" w:hAnsi="Calibri" w:cs="Calibri"/>
        </w:rPr>
        <w:t>[15]</w:t>
      </w:r>
      <w:r w:rsidRPr="007110D7">
        <w:rPr>
          <w:rFonts w:ascii="Calibri" w:hAnsi="Calibri" w:cs="Calibri"/>
        </w:rPr>
        <w:tab/>
      </w:r>
      <w:r w:rsidRPr="007110D7">
        <w:rPr>
          <w:rFonts w:ascii="Calibri" w:hAnsi="Calibri" w:cs="Calibri"/>
        </w:rPr>
        <w:t xml:space="preserve">A. Jamieson and G. Radick, ‘Genetic Determinism in the Genetics Curriculum: An Exploratory Study of the Effects of Mendelian and Weldonian Emphases’, </w:t>
      </w:r>
      <w:r w:rsidRPr="007110D7">
        <w:rPr>
          <w:rFonts w:ascii="Calibri" w:hAnsi="Calibri" w:cs="Calibri"/>
          <w:i/>
          <w:iCs/>
        </w:rPr>
        <w:t>Sci &amp; Educ</w:t>
      </w:r>
      <w:r w:rsidRPr="007110D7">
        <w:rPr>
          <w:rFonts w:ascii="Calibri" w:hAnsi="Calibri" w:cs="Calibri"/>
        </w:rPr>
        <w:t>, vol. 26, no. 10, pp. 1261–1290, Dec. 2017, doi: 10.1007/s11191-017-9900-8.</w:t>
      </w:r>
    </w:p>
    <w:p w:rsidRPr="007110D7" w:rsidR="007110D7" w:rsidP="007110D7" w:rsidRDefault="007110D7" w14:paraId="4AB74282" w14:textId="77777777">
      <w:pPr>
        <w:pStyle w:val="Bibliography"/>
        <w:rPr>
          <w:rFonts w:ascii="Calibri" w:hAnsi="Calibri" w:cs="Calibri"/>
        </w:rPr>
      </w:pPr>
      <w:r w:rsidRPr="007110D7">
        <w:rPr>
          <w:rFonts w:ascii="Calibri" w:hAnsi="Calibri" w:cs="Calibri"/>
        </w:rPr>
        <w:t>[16]</w:t>
      </w:r>
      <w:r w:rsidRPr="007110D7">
        <w:rPr>
          <w:rFonts w:ascii="Calibri" w:hAnsi="Calibri" w:cs="Calibri"/>
        </w:rPr>
        <w:tab/>
      </w:r>
      <w:r w:rsidRPr="007110D7">
        <w:rPr>
          <w:rFonts w:ascii="Calibri" w:hAnsi="Calibri" w:cs="Calibri"/>
        </w:rPr>
        <w:t xml:space="preserve">A. Kalliokoski and M. Niemi, ‘Impact of OATP transporters on pharmacokinetics: OATP transporters and pharmacokinetics’, </w:t>
      </w:r>
      <w:r w:rsidRPr="007110D7">
        <w:rPr>
          <w:rFonts w:ascii="Calibri" w:hAnsi="Calibri" w:cs="Calibri"/>
          <w:i/>
          <w:iCs/>
        </w:rPr>
        <w:t>British Journal of Pharmacology</w:t>
      </w:r>
      <w:r w:rsidRPr="007110D7">
        <w:rPr>
          <w:rFonts w:ascii="Calibri" w:hAnsi="Calibri" w:cs="Calibri"/>
        </w:rPr>
        <w:t>, vol. 158, no. 3, pp. 693–705, Oct. 2009, doi: 10.1111/j.1476-5381.2009.00430.x.</w:t>
      </w:r>
    </w:p>
    <w:p w:rsidRPr="007110D7" w:rsidR="007110D7" w:rsidP="007110D7" w:rsidRDefault="007110D7" w14:paraId="737F4C97" w14:textId="77777777">
      <w:pPr>
        <w:pStyle w:val="Bibliography"/>
        <w:rPr>
          <w:rFonts w:ascii="Calibri" w:hAnsi="Calibri" w:cs="Calibri"/>
        </w:rPr>
      </w:pPr>
      <w:r w:rsidRPr="007110D7">
        <w:rPr>
          <w:rFonts w:ascii="Calibri" w:hAnsi="Calibri" w:cs="Calibri"/>
        </w:rPr>
        <w:t>[17]</w:t>
      </w:r>
      <w:r w:rsidRPr="007110D7">
        <w:rPr>
          <w:rFonts w:ascii="Calibri" w:hAnsi="Calibri" w:cs="Calibri"/>
        </w:rPr>
        <w:tab/>
      </w:r>
      <w:r w:rsidRPr="007110D7">
        <w:rPr>
          <w:rFonts w:ascii="Calibri" w:hAnsi="Calibri" w:cs="Calibri"/>
        </w:rPr>
        <w:t xml:space="preserve">A. Stewart, ‘SLCO1B1 Polymorphisms and Statin-Induced Myopathy’, </w:t>
      </w:r>
      <w:r w:rsidRPr="007110D7">
        <w:rPr>
          <w:rFonts w:ascii="Calibri" w:hAnsi="Calibri" w:cs="Calibri"/>
          <w:i/>
          <w:iCs/>
        </w:rPr>
        <w:t>PLoS Curr.</w:t>
      </w:r>
      <w:r w:rsidRPr="007110D7">
        <w:rPr>
          <w:rFonts w:ascii="Calibri" w:hAnsi="Calibri" w:cs="Calibri"/>
        </w:rPr>
        <w:t>, vol. Dec 4;5, p. ecurrents.eogt.d21e7f0c58463571bb0d9d3a19b82203, 2013, doi: 10.1371/currents.eogt.d21e7f0c58463571bb0d9d3a19b82203.</w:t>
      </w:r>
    </w:p>
    <w:p w:rsidRPr="007110D7" w:rsidR="007110D7" w:rsidP="007110D7" w:rsidRDefault="007110D7" w14:paraId="75AA351D" w14:textId="77777777">
      <w:pPr>
        <w:pStyle w:val="Bibliography"/>
        <w:rPr>
          <w:rFonts w:ascii="Calibri" w:hAnsi="Calibri" w:cs="Calibri"/>
        </w:rPr>
      </w:pPr>
      <w:r w:rsidRPr="007110D7">
        <w:rPr>
          <w:rFonts w:ascii="Calibri" w:hAnsi="Calibri" w:cs="Calibri"/>
        </w:rPr>
        <w:lastRenderedPageBreak/>
        <w:t>[18]</w:t>
      </w:r>
      <w:r w:rsidRPr="007110D7">
        <w:rPr>
          <w:rFonts w:ascii="Calibri" w:hAnsi="Calibri" w:cs="Calibri"/>
        </w:rPr>
        <w:tab/>
      </w:r>
      <w:r w:rsidRPr="007110D7">
        <w:rPr>
          <w:rFonts w:ascii="Calibri" w:hAnsi="Calibri" w:cs="Calibri"/>
        </w:rPr>
        <w:t xml:space="preserve">R. Bhopal and L. Donaldson, ‘White, European, Western, Caucasian, or what? Inappropriate labeling in research on race, ethnicity, and health.’, </w:t>
      </w:r>
      <w:r w:rsidRPr="007110D7">
        <w:rPr>
          <w:rFonts w:ascii="Calibri" w:hAnsi="Calibri" w:cs="Calibri"/>
          <w:i/>
          <w:iCs/>
        </w:rPr>
        <w:t>Am J Public Health</w:t>
      </w:r>
      <w:r w:rsidRPr="007110D7">
        <w:rPr>
          <w:rFonts w:ascii="Calibri" w:hAnsi="Calibri" w:cs="Calibri"/>
        </w:rPr>
        <w:t>, vol. 88, no. 9, pp. 1303–1307, Sep. 1998, doi: 10.2105/AJPH.88.9.1303.</w:t>
      </w:r>
    </w:p>
    <w:p w:rsidRPr="007110D7" w:rsidR="007110D7" w:rsidP="007110D7" w:rsidRDefault="007110D7" w14:paraId="1DC487E8" w14:textId="77777777">
      <w:pPr>
        <w:pStyle w:val="Bibliography"/>
        <w:rPr>
          <w:rFonts w:ascii="Calibri" w:hAnsi="Calibri" w:cs="Calibri"/>
        </w:rPr>
      </w:pPr>
      <w:r w:rsidRPr="007110D7">
        <w:rPr>
          <w:rFonts w:ascii="Calibri" w:hAnsi="Calibri" w:cs="Calibri"/>
        </w:rPr>
        <w:t>[19]</w:t>
      </w:r>
      <w:r w:rsidRPr="007110D7">
        <w:rPr>
          <w:rFonts w:ascii="Calibri" w:hAnsi="Calibri" w:cs="Calibri"/>
        </w:rPr>
        <w:tab/>
      </w:r>
      <w:r w:rsidRPr="007110D7">
        <w:rPr>
          <w:rFonts w:ascii="Calibri" w:hAnsi="Calibri" w:cs="Calibri"/>
        </w:rPr>
        <w:t xml:space="preserve">I. Mathieson and A. Scally, ‘What is ancestry?’, </w:t>
      </w:r>
      <w:r w:rsidRPr="007110D7">
        <w:rPr>
          <w:rFonts w:ascii="Calibri" w:hAnsi="Calibri" w:cs="Calibri"/>
          <w:i/>
          <w:iCs/>
        </w:rPr>
        <w:t>PLoS Genet</w:t>
      </w:r>
      <w:r w:rsidRPr="007110D7">
        <w:rPr>
          <w:rFonts w:ascii="Calibri" w:hAnsi="Calibri" w:cs="Calibri"/>
        </w:rPr>
        <w:t>, vol. 16, no. 3, p. e1008624, Mar. 2020, doi: 10.1371/journal.pgen.1008624.</w:t>
      </w:r>
    </w:p>
    <w:p w:rsidRPr="007110D7" w:rsidR="007110D7" w:rsidP="007110D7" w:rsidRDefault="007110D7" w14:paraId="179E9830" w14:textId="77777777">
      <w:pPr>
        <w:pStyle w:val="Bibliography"/>
        <w:rPr>
          <w:rFonts w:ascii="Calibri" w:hAnsi="Calibri" w:cs="Calibri"/>
        </w:rPr>
      </w:pPr>
      <w:r w:rsidRPr="007110D7">
        <w:rPr>
          <w:rFonts w:ascii="Calibri" w:hAnsi="Calibri" w:cs="Calibri"/>
        </w:rPr>
        <w:t>[20]</w:t>
      </w:r>
      <w:r w:rsidRPr="007110D7">
        <w:rPr>
          <w:rFonts w:ascii="Calibri" w:hAnsi="Calibri" w:cs="Calibri"/>
        </w:rPr>
        <w:tab/>
      </w:r>
      <w:r w:rsidRPr="007110D7">
        <w:rPr>
          <w:rFonts w:ascii="Calibri" w:hAnsi="Calibri" w:cs="Calibri"/>
        </w:rPr>
        <w:t xml:space="preserve">F. Stern, K. Kampourakis, M. Delaval, and A. Müller, ‘Development and validation of a questionnaire measuring secondary students’ genetic essentialism and teleology (GET) conceptions’, </w:t>
      </w:r>
      <w:r w:rsidRPr="007110D7">
        <w:rPr>
          <w:rFonts w:ascii="Calibri" w:hAnsi="Calibri" w:cs="Calibri"/>
          <w:i/>
          <w:iCs/>
        </w:rPr>
        <w:t>International Journal of Science Education</w:t>
      </w:r>
      <w:r w:rsidRPr="007110D7">
        <w:rPr>
          <w:rFonts w:ascii="Calibri" w:hAnsi="Calibri" w:cs="Calibri"/>
        </w:rPr>
        <w:t>, vol. 42, no. 2, pp. 218–252, Jan. 2020, doi: 10.1080/09500693.2019.1707905.</w:t>
      </w:r>
    </w:p>
    <w:p w:rsidRPr="007110D7" w:rsidR="007110D7" w:rsidP="007110D7" w:rsidRDefault="007110D7" w14:paraId="3A413929" w14:textId="77777777">
      <w:pPr>
        <w:pStyle w:val="Bibliography"/>
        <w:rPr>
          <w:rFonts w:ascii="Calibri" w:hAnsi="Calibri" w:cs="Calibri"/>
        </w:rPr>
      </w:pPr>
      <w:r w:rsidRPr="007110D7">
        <w:rPr>
          <w:rFonts w:ascii="Calibri" w:hAnsi="Calibri" w:cs="Calibri"/>
        </w:rPr>
        <w:t>[21]</w:t>
      </w:r>
      <w:r w:rsidRPr="007110D7">
        <w:rPr>
          <w:rFonts w:ascii="Calibri" w:hAnsi="Calibri" w:cs="Calibri"/>
        </w:rPr>
        <w:tab/>
      </w:r>
      <w:r w:rsidRPr="007110D7">
        <w:rPr>
          <w:rFonts w:ascii="Calibri" w:hAnsi="Calibri" w:cs="Calibri"/>
        </w:rPr>
        <w:t xml:space="preserve">J. Castéra and P. Clément, ‘Teachers’ Conceptions About the Genetic Determinism of Human Behaviour: A Survey in 23 Countries’, </w:t>
      </w:r>
      <w:r w:rsidRPr="007110D7">
        <w:rPr>
          <w:rFonts w:ascii="Calibri" w:hAnsi="Calibri" w:cs="Calibri"/>
          <w:i/>
          <w:iCs/>
        </w:rPr>
        <w:t>Sci &amp; Educ</w:t>
      </w:r>
      <w:r w:rsidRPr="007110D7">
        <w:rPr>
          <w:rFonts w:ascii="Calibri" w:hAnsi="Calibri" w:cs="Calibri"/>
        </w:rPr>
        <w:t>, vol. 23, no. 2, pp. 417–443, Feb. 2014, doi: 10.1007/s11191-012-9494-0.</w:t>
      </w:r>
    </w:p>
    <w:p w:rsidRPr="007110D7" w:rsidR="007110D7" w:rsidP="007110D7" w:rsidRDefault="007110D7" w14:paraId="733ABDEC" w14:textId="77777777">
      <w:pPr>
        <w:pStyle w:val="Bibliography"/>
        <w:rPr>
          <w:rFonts w:ascii="Calibri" w:hAnsi="Calibri" w:cs="Calibri"/>
        </w:rPr>
      </w:pPr>
      <w:r w:rsidRPr="007110D7">
        <w:rPr>
          <w:rFonts w:ascii="Calibri" w:hAnsi="Calibri" w:cs="Calibri"/>
        </w:rPr>
        <w:t>[22]</w:t>
      </w:r>
      <w:r w:rsidRPr="007110D7">
        <w:rPr>
          <w:rFonts w:ascii="Calibri" w:hAnsi="Calibri" w:cs="Calibri"/>
        </w:rPr>
        <w:tab/>
      </w:r>
      <w:r w:rsidRPr="007110D7">
        <w:rPr>
          <w:rFonts w:ascii="Calibri" w:hAnsi="Calibri" w:cs="Calibri"/>
        </w:rPr>
        <w:t xml:space="preserve">T. Aivelo and A. Uitto, ‘Factors explaining students’ attitudes towards learning genetics and belief in genetic determinism’, </w:t>
      </w:r>
      <w:r w:rsidRPr="007110D7">
        <w:rPr>
          <w:rFonts w:ascii="Calibri" w:hAnsi="Calibri" w:cs="Calibri"/>
          <w:i/>
          <w:iCs/>
        </w:rPr>
        <w:t>International Journal of Science Education</w:t>
      </w:r>
      <w:r w:rsidRPr="007110D7">
        <w:rPr>
          <w:rFonts w:ascii="Calibri" w:hAnsi="Calibri" w:cs="Calibri"/>
        </w:rPr>
        <w:t>, pp. 1–18, Apr. 2021, doi: 10.1080/09500693.2021.1917789.</w:t>
      </w:r>
    </w:p>
    <w:p w:rsidRPr="007110D7" w:rsidR="007110D7" w:rsidP="007110D7" w:rsidRDefault="007110D7" w14:paraId="2F94F362" w14:textId="77777777">
      <w:pPr>
        <w:pStyle w:val="Bibliography"/>
        <w:rPr>
          <w:rFonts w:ascii="Calibri" w:hAnsi="Calibri" w:cs="Calibri"/>
        </w:rPr>
      </w:pPr>
      <w:r w:rsidRPr="007110D7">
        <w:rPr>
          <w:rFonts w:ascii="Calibri" w:hAnsi="Calibri" w:cs="Calibri"/>
        </w:rPr>
        <w:t>[23]</w:t>
      </w:r>
      <w:r w:rsidRPr="007110D7">
        <w:rPr>
          <w:rFonts w:ascii="Calibri" w:hAnsi="Calibri" w:cs="Calibri"/>
        </w:rPr>
        <w:tab/>
      </w:r>
      <w:r w:rsidRPr="007110D7">
        <w:rPr>
          <w:rFonts w:ascii="Calibri" w:hAnsi="Calibri" w:cs="Calibri"/>
        </w:rPr>
        <w:t xml:space="preserve">M. Castro‐Faix and R. G. Duncan, ‘Cross‐sectional study of students’ molecular explanations of inheritance patterns’, </w:t>
      </w:r>
      <w:r w:rsidRPr="007110D7">
        <w:rPr>
          <w:rFonts w:ascii="Calibri" w:hAnsi="Calibri" w:cs="Calibri"/>
          <w:i/>
          <w:iCs/>
        </w:rPr>
        <w:t>Sci Educ</w:t>
      </w:r>
      <w:r w:rsidRPr="007110D7">
        <w:rPr>
          <w:rFonts w:ascii="Calibri" w:hAnsi="Calibri" w:cs="Calibri"/>
        </w:rPr>
        <w:t>, p. sce.21692, Nov. 2021, doi: 10.1002/sce.21692.</w:t>
      </w:r>
    </w:p>
    <w:p w:rsidRPr="007110D7" w:rsidR="007110D7" w:rsidP="007110D7" w:rsidRDefault="007110D7" w14:paraId="0049B8C4" w14:textId="77777777">
      <w:pPr>
        <w:pStyle w:val="Bibliography"/>
        <w:rPr>
          <w:rFonts w:ascii="Calibri" w:hAnsi="Calibri" w:cs="Calibri"/>
        </w:rPr>
      </w:pPr>
      <w:r w:rsidRPr="007110D7">
        <w:rPr>
          <w:rFonts w:ascii="Calibri" w:hAnsi="Calibri" w:cs="Calibri"/>
        </w:rPr>
        <w:t>[24]</w:t>
      </w:r>
      <w:r w:rsidRPr="007110D7">
        <w:rPr>
          <w:rFonts w:ascii="Calibri" w:hAnsi="Calibri" w:cs="Calibri"/>
        </w:rPr>
        <w:tab/>
      </w:r>
      <w:r w:rsidRPr="007110D7">
        <w:rPr>
          <w:rFonts w:ascii="Calibri" w:hAnsi="Calibri" w:cs="Calibri"/>
        </w:rPr>
        <w:t xml:space="preserve">B. M. Donovan, M. Weindling, B. Salazar, A. Duncan, M. Stuhlsatz, and P. Keck, ‘Genomics literacy matters: Supporting the development of genomics literacy through genetics education could reduce the prevalence of genetic essentialism’, </w:t>
      </w:r>
      <w:r w:rsidRPr="007110D7">
        <w:rPr>
          <w:rFonts w:ascii="Calibri" w:hAnsi="Calibri" w:cs="Calibri"/>
          <w:i/>
          <w:iCs/>
        </w:rPr>
        <w:t>J Res Sci Teach</w:t>
      </w:r>
      <w:r w:rsidRPr="007110D7">
        <w:rPr>
          <w:rFonts w:ascii="Calibri" w:hAnsi="Calibri" w:cs="Calibri"/>
        </w:rPr>
        <w:t>, vol. 58, no. 4, pp. 520–550, Apr. 2021, doi: 10.1002/tea.21670.</w:t>
      </w:r>
    </w:p>
    <w:p w:rsidRPr="007110D7" w:rsidR="007110D7" w:rsidP="007110D7" w:rsidRDefault="007110D7" w14:paraId="2741F997" w14:textId="77777777">
      <w:pPr>
        <w:pStyle w:val="Bibliography"/>
        <w:rPr>
          <w:rFonts w:ascii="Calibri" w:hAnsi="Calibri" w:cs="Calibri"/>
        </w:rPr>
      </w:pPr>
      <w:r w:rsidRPr="007110D7">
        <w:rPr>
          <w:rFonts w:ascii="Calibri" w:hAnsi="Calibri" w:cs="Calibri"/>
        </w:rPr>
        <w:t>[25]</w:t>
      </w:r>
      <w:r w:rsidRPr="007110D7">
        <w:rPr>
          <w:rFonts w:ascii="Calibri" w:hAnsi="Calibri" w:cs="Calibri"/>
        </w:rPr>
        <w:tab/>
      </w:r>
      <w:r w:rsidRPr="007110D7">
        <w:rPr>
          <w:rFonts w:ascii="Calibri" w:hAnsi="Calibri" w:cs="Calibri"/>
        </w:rPr>
        <w:t xml:space="preserve">I. Dar-Nimrod and S. J. Heine, ‘Genetic essentialism: On the deceptive determinism of DNA.’, </w:t>
      </w:r>
      <w:r w:rsidRPr="007110D7">
        <w:rPr>
          <w:rFonts w:ascii="Calibri" w:hAnsi="Calibri" w:cs="Calibri"/>
          <w:i/>
          <w:iCs/>
        </w:rPr>
        <w:t>Psychological Bulletin</w:t>
      </w:r>
      <w:r w:rsidRPr="007110D7">
        <w:rPr>
          <w:rFonts w:ascii="Calibri" w:hAnsi="Calibri" w:cs="Calibri"/>
        </w:rPr>
        <w:t>, vol. 137, no. 5, pp. 800–818, Sep. 2011, doi: 10.1037/a0021860.</w:t>
      </w:r>
    </w:p>
    <w:p w:rsidRPr="007110D7" w:rsidR="007110D7" w:rsidP="007110D7" w:rsidRDefault="007110D7" w14:paraId="2910ED26" w14:textId="77777777">
      <w:pPr>
        <w:pStyle w:val="Bibliography"/>
        <w:rPr>
          <w:rFonts w:ascii="Calibri" w:hAnsi="Calibri" w:cs="Calibri"/>
        </w:rPr>
      </w:pPr>
      <w:r w:rsidRPr="007110D7">
        <w:rPr>
          <w:rFonts w:ascii="Calibri" w:hAnsi="Calibri" w:cs="Calibri"/>
        </w:rPr>
        <w:t>[26]</w:t>
      </w:r>
      <w:r w:rsidRPr="007110D7">
        <w:rPr>
          <w:rFonts w:ascii="Calibri" w:hAnsi="Calibri" w:cs="Calibri"/>
        </w:rPr>
        <w:tab/>
      </w:r>
      <w:r w:rsidRPr="007110D7">
        <w:rPr>
          <w:rFonts w:ascii="Calibri" w:hAnsi="Calibri" w:cs="Calibri"/>
        </w:rPr>
        <w:t xml:space="preserve">Z. Ibrahim, C. Brown, B. Crow, H. Roumimper, and S. Kureshi, ‘The Propagation of Race and Racial Differences as Biological in Preclinical Education’, </w:t>
      </w:r>
      <w:r w:rsidRPr="007110D7">
        <w:rPr>
          <w:rFonts w:ascii="Calibri" w:hAnsi="Calibri" w:cs="Calibri"/>
          <w:i/>
          <w:iCs/>
        </w:rPr>
        <w:t>Med.Sci.Educ.</w:t>
      </w:r>
      <w:r w:rsidRPr="007110D7">
        <w:rPr>
          <w:rFonts w:ascii="Calibri" w:hAnsi="Calibri" w:cs="Calibri"/>
        </w:rPr>
        <w:t>, vol. 32, no. 1, pp. 209–219, Feb. 2022, doi: 10.1007/s40670-021-01457-x.</w:t>
      </w:r>
    </w:p>
    <w:p w:rsidR="008C301C" w:rsidP="5211A523" w:rsidRDefault="00F34B00" w14:paraId="13FE74F6" w14:textId="0B27BE32">
      <w:r>
        <w:fldChar w:fldCharType="end"/>
      </w:r>
    </w:p>
    <w:p w:rsidR="5211A523" w:rsidP="5211A523" w:rsidRDefault="5211A523" w14:paraId="749E338C" w14:textId="77777777"/>
    <w:sectPr w:rsidR="5211A523">
      <w:footerReference w:type="default" r:id="rId24"/>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2722" w:rsidP="006E3F16" w:rsidRDefault="007E2722" w14:paraId="0BEE66AE" w14:textId="77777777">
      <w:pPr>
        <w:spacing w:after="0" w:line="240" w:lineRule="auto"/>
      </w:pPr>
      <w:r>
        <w:separator/>
      </w:r>
    </w:p>
  </w:endnote>
  <w:endnote w:type="continuationSeparator" w:id="0">
    <w:p w:rsidR="007E2722" w:rsidP="006E3F16" w:rsidRDefault="007E2722" w14:paraId="30F26E92" w14:textId="77777777">
      <w:pPr>
        <w:spacing w:after="0" w:line="240" w:lineRule="auto"/>
      </w:pPr>
      <w:r>
        <w:continuationSeparator/>
      </w:r>
    </w:p>
  </w:endnote>
  <w:endnote w:type="continuationNotice" w:id="1">
    <w:p w:rsidR="007E2722" w:rsidRDefault="007E2722" w14:paraId="185B6BE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403101"/>
      <w:docPartObj>
        <w:docPartGallery w:val="Page Numbers (Bottom of Page)"/>
        <w:docPartUnique/>
      </w:docPartObj>
    </w:sdtPr>
    <w:sdtEndPr>
      <w:rPr>
        <w:noProof/>
      </w:rPr>
    </w:sdtEndPr>
    <w:sdtContent>
      <w:p w:rsidR="003562D7" w:rsidRDefault="003562D7" w14:paraId="63775434" w14:textId="618DD97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562D7" w:rsidRDefault="003562D7" w14:paraId="278F347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2722" w:rsidP="006E3F16" w:rsidRDefault="007E2722" w14:paraId="04C35239" w14:textId="77777777">
      <w:pPr>
        <w:spacing w:after="0" w:line="240" w:lineRule="auto"/>
      </w:pPr>
      <w:r>
        <w:separator/>
      </w:r>
    </w:p>
  </w:footnote>
  <w:footnote w:type="continuationSeparator" w:id="0">
    <w:p w:rsidR="007E2722" w:rsidP="006E3F16" w:rsidRDefault="007E2722" w14:paraId="37FEA395" w14:textId="77777777">
      <w:pPr>
        <w:spacing w:after="0" w:line="240" w:lineRule="auto"/>
      </w:pPr>
      <w:r>
        <w:continuationSeparator/>
      </w:r>
    </w:p>
  </w:footnote>
  <w:footnote w:type="continuationNotice" w:id="1">
    <w:p w:rsidR="007E2722" w:rsidRDefault="007E2722" w14:paraId="420BEE58"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a6QhvC7DboAJ+Z" int2:id="lRwBmYFO">
      <int2:state int2:value="Rejected" int2:type="LegacyProofing"/>
    </int2:textHash>
    <int2:bookmark int2:bookmarkName="_Int_lCteNF1D" int2:invalidationBookmarkName="" int2:hashCode="ZD4DPyxyvbq3AT" int2:id="EqAUmxrh">
      <int2:state int2:value="Rejected" int2:type="AugLoop_Text_Critique"/>
      <int2:state int2:value="Rejected" int2:type="LegacyProofing"/>
    </int2:bookmark>
    <int2:bookmark int2:bookmarkName="_Int_1J8SxnZb" int2:invalidationBookmarkName="" int2:hashCode="t8YcgKsmNJ0bTz" int2:id="yfwrN6Q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5F4"/>
    <w:multiLevelType w:val="hybridMultilevel"/>
    <w:tmpl w:val="7F2052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B7127D0"/>
    <w:multiLevelType w:val="hybridMultilevel"/>
    <w:tmpl w:val="2F18389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48F5961"/>
    <w:multiLevelType w:val="hybridMultilevel"/>
    <w:tmpl w:val="59EC1A60"/>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A0606A"/>
    <w:multiLevelType w:val="hybridMultilevel"/>
    <w:tmpl w:val="12CA3F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7E061B6"/>
    <w:multiLevelType w:val="hybridMultilevel"/>
    <w:tmpl w:val="FF7834DC"/>
    <w:lvl w:ilvl="0" w:tplc="5F06CDA8">
      <w:start w:val="1"/>
      <w:numFmt w:val="bullet"/>
      <w:lvlText w:val=""/>
      <w:lvlJc w:val="left"/>
      <w:pPr>
        <w:ind w:left="720" w:hanging="360"/>
      </w:pPr>
      <w:rPr>
        <w:rFonts w:hint="default" w:ascii="Symbol" w:hAnsi="Symbol"/>
      </w:rPr>
    </w:lvl>
    <w:lvl w:ilvl="1" w:tplc="5B760FFE">
      <w:start w:val="1"/>
      <w:numFmt w:val="bullet"/>
      <w:lvlText w:val="o"/>
      <w:lvlJc w:val="left"/>
      <w:pPr>
        <w:ind w:left="1440" w:hanging="360"/>
      </w:pPr>
      <w:rPr>
        <w:rFonts w:hint="default" w:ascii="Courier New" w:hAnsi="Courier New"/>
      </w:rPr>
    </w:lvl>
    <w:lvl w:ilvl="2" w:tplc="031480E2">
      <w:start w:val="1"/>
      <w:numFmt w:val="bullet"/>
      <w:lvlText w:val=""/>
      <w:lvlJc w:val="left"/>
      <w:pPr>
        <w:ind w:left="2160" w:hanging="360"/>
      </w:pPr>
      <w:rPr>
        <w:rFonts w:hint="default" w:ascii="Wingdings" w:hAnsi="Wingdings"/>
      </w:rPr>
    </w:lvl>
    <w:lvl w:ilvl="3" w:tplc="FEF48ED6">
      <w:start w:val="1"/>
      <w:numFmt w:val="bullet"/>
      <w:lvlText w:val=""/>
      <w:lvlJc w:val="left"/>
      <w:pPr>
        <w:ind w:left="2880" w:hanging="360"/>
      </w:pPr>
      <w:rPr>
        <w:rFonts w:hint="default" w:ascii="Symbol" w:hAnsi="Symbol"/>
      </w:rPr>
    </w:lvl>
    <w:lvl w:ilvl="4" w:tplc="4F76E73A">
      <w:start w:val="1"/>
      <w:numFmt w:val="bullet"/>
      <w:lvlText w:val="o"/>
      <w:lvlJc w:val="left"/>
      <w:pPr>
        <w:ind w:left="3600" w:hanging="360"/>
      </w:pPr>
      <w:rPr>
        <w:rFonts w:hint="default" w:ascii="Courier New" w:hAnsi="Courier New"/>
      </w:rPr>
    </w:lvl>
    <w:lvl w:ilvl="5" w:tplc="3FE0C14C">
      <w:start w:val="1"/>
      <w:numFmt w:val="bullet"/>
      <w:lvlText w:val=""/>
      <w:lvlJc w:val="left"/>
      <w:pPr>
        <w:ind w:left="4320" w:hanging="360"/>
      </w:pPr>
      <w:rPr>
        <w:rFonts w:hint="default" w:ascii="Wingdings" w:hAnsi="Wingdings"/>
      </w:rPr>
    </w:lvl>
    <w:lvl w:ilvl="6" w:tplc="10BC7BB0">
      <w:start w:val="1"/>
      <w:numFmt w:val="bullet"/>
      <w:lvlText w:val=""/>
      <w:lvlJc w:val="left"/>
      <w:pPr>
        <w:ind w:left="5040" w:hanging="360"/>
      </w:pPr>
      <w:rPr>
        <w:rFonts w:hint="default" w:ascii="Symbol" w:hAnsi="Symbol"/>
      </w:rPr>
    </w:lvl>
    <w:lvl w:ilvl="7" w:tplc="8D8A76FA">
      <w:start w:val="1"/>
      <w:numFmt w:val="bullet"/>
      <w:lvlText w:val="o"/>
      <w:lvlJc w:val="left"/>
      <w:pPr>
        <w:ind w:left="5760" w:hanging="360"/>
      </w:pPr>
      <w:rPr>
        <w:rFonts w:hint="default" w:ascii="Courier New" w:hAnsi="Courier New"/>
      </w:rPr>
    </w:lvl>
    <w:lvl w:ilvl="8" w:tplc="C31CA61E">
      <w:start w:val="1"/>
      <w:numFmt w:val="bullet"/>
      <w:lvlText w:val=""/>
      <w:lvlJc w:val="left"/>
      <w:pPr>
        <w:ind w:left="6480" w:hanging="360"/>
      </w:pPr>
      <w:rPr>
        <w:rFonts w:hint="default" w:ascii="Wingdings" w:hAnsi="Wingdings"/>
      </w:rPr>
    </w:lvl>
  </w:abstractNum>
  <w:abstractNum w:abstractNumId="5" w15:restartNumberingAfterBreak="0">
    <w:nsid w:val="2A8F6FED"/>
    <w:multiLevelType w:val="hybridMultilevel"/>
    <w:tmpl w:val="685898EC"/>
    <w:lvl w:ilvl="0" w:tplc="BB5EAD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627EDB"/>
    <w:multiLevelType w:val="hybridMultilevel"/>
    <w:tmpl w:val="E7FAEB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3701B9D"/>
    <w:multiLevelType w:val="hybridMultilevel"/>
    <w:tmpl w:val="42644EB6"/>
    <w:lvl w:ilvl="0" w:tplc="F2347C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05061C"/>
    <w:multiLevelType w:val="hybridMultilevel"/>
    <w:tmpl w:val="9460A190"/>
    <w:lvl w:ilvl="0" w:tplc="5EE4AB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60570E"/>
    <w:multiLevelType w:val="hybridMultilevel"/>
    <w:tmpl w:val="763A1478"/>
    <w:lvl w:ilvl="0" w:tplc="4E56D34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83CD6"/>
    <w:multiLevelType w:val="hybridMultilevel"/>
    <w:tmpl w:val="29C031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8A22AFF"/>
    <w:multiLevelType w:val="hybridMultilevel"/>
    <w:tmpl w:val="875C74DE"/>
    <w:lvl w:ilvl="0" w:tplc="04C207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3012CD"/>
    <w:multiLevelType w:val="hybridMultilevel"/>
    <w:tmpl w:val="C9EAA5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591E2B70"/>
    <w:multiLevelType w:val="hybridMultilevel"/>
    <w:tmpl w:val="3D2C23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593B74C4"/>
    <w:multiLevelType w:val="hybridMultilevel"/>
    <w:tmpl w:val="5C860B2A"/>
    <w:lvl w:ilvl="0" w:tplc="463846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152EE9"/>
    <w:multiLevelType w:val="hybridMultilevel"/>
    <w:tmpl w:val="9D8A2E8E"/>
    <w:lvl w:ilvl="0" w:tplc="7BE81A1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05E2173"/>
    <w:multiLevelType w:val="hybridMultilevel"/>
    <w:tmpl w:val="D75A10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18D02AC"/>
    <w:multiLevelType w:val="hybridMultilevel"/>
    <w:tmpl w:val="08AE3D78"/>
    <w:lvl w:ilvl="0" w:tplc="8DE2B1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996A13"/>
    <w:multiLevelType w:val="hybridMultilevel"/>
    <w:tmpl w:val="25D00D2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510879171">
    <w:abstractNumId w:val="4"/>
  </w:num>
  <w:num w:numId="2" w16cid:durableId="2132475958">
    <w:abstractNumId w:val="10"/>
  </w:num>
  <w:num w:numId="3" w16cid:durableId="202599702">
    <w:abstractNumId w:val="14"/>
  </w:num>
  <w:num w:numId="4" w16cid:durableId="2091849456">
    <w:abstractNumId w:val="8"/>
  </w:num>
  <w:num w:numId="5" w16cid:durableId="324164570">
    <w:abstractNumId w:val="11"/>
  </w:num>
  <w:num w:numId="6" w16cid:durableId="685444656">
    <w:abstractNumId w:val="7"/>
  </w:num>
  <w:num w:numId="7" w16cid:durableId="1949850020">
    <w:abstractNumId w:val="6"/>
  </w:num>
  <w:num w:numId="8" w16cid:durableId="1922178776">
    <w:abstractNumId w:val="0"/>
  </w:num>
  <w:num w:numId="9" w16cid:durableId="635184899">
    <w:abstractNumId w:val="17"/>
  </w:num>
  <w:num w:numId="10" w16cid:durableId="563108910">
    <w:abstractNumId w:val="2"/>
  </w:num>
  <w:num w:numId="11" w16cid:durableId="138573911">
    <w:abstractNumId w:val="16"/>
  </w:num>
  <w:num w:numId="12" w16cid:durableId="893925519">
    <w:abstractNumId w:val="18"/>
  </w:num>
  <w:num w:numId="13" w16cid:durableId="1394155730">
    <w:abstractNumId w:val="12"/>
  </w:num>
  <w:num w:numId="14" w16cid:durableId="145708631">
    <w:abstractNumId w:val="1"/>
  </w:num>
  <w:num w:numId="15" w16cid:durableId="765004351">
    <w:abstractNumId w:val="15"/>
  </w:num>
  <w:num w:numId="16" w16cid:durableId="1668630086">
    <w:abstractNumId w:val="9"/>
  </w:num>
  <w:num w:numId="17" w16cid:durableId="1747414445">
    <w:abstractNumId w:val="5"/>
  </w:num>
  <w:num w:numId="18" w16cid:durableId="1477334335">
    <w:abstractNumId w:val="3"/>
  </w:num>
  <w:num w:numId="19" w16cid:durableId="1067411201">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95614D"/>
    <w:rsid w:val="000012F1"/>
    <w:rsid w:val="0000140B"/>
    <w:rsid w:val="00002F55"/>
    <w:rsid w:val="00005A78"/>
    <w:rsid w:val="00005C8C"/>
    <w:rsid w:val="00006EBF"/>
    <w:rsid w:val="00007701"/>
    <w:rsid w:val="0001127C"/>
    <w:rsid w:val="0001180E"/>
    <w:rsid w:val="000127F7"/>
    <w:rsid w:val="00015AAE"/>
    <w:rsid w:val="00015ECD"/>
    <w:rsid w:val="00016B70"/>
    <w:rsid w:val="00021473"/>
    <w:rsid w:val="0002602E"/>
    <w:rsid w:val="00026233"/>
    <w:rsid w:val="00026C9F"/>
    <w:rsid w:val="00031532"/>
    <w:rsid w:val="00035312"/>
    <w:rsid w:val="00035A9D"/>
    <w:rsid w:val="00036B85"/>
    <w:rsid w:val="00037246"/>
    <w:rsid w:val="0004202B"/>
    <w:rsid w:val="0005071B"/>
    <w:rsid w:val="00051DA7"/>
    <w:rsid w:val="00051E39"/>
    <w:rsid w:val="0005291F"/>
    <w:rsid w:val="0005547C"/>
    <w:rsid w:val="000616E6"/>
    <w:rsid w:val="000644CF"/>
    <w:rsid w:val="000646D3"/>
    <w:rsid w:val="000649AC"/>
    <w:rsid w:val="00064B8D"/>
    <w:rsid w:val="000678A1"/>
    <w:rsid w:val="00070414"/>
    <w:rsid w:val="000726F3"/>
    <w:rsid w:val="00077E17"/>
    <w:rsid w:val="00083932"/>
    <w:rsid w:val="00085639"/>
    <w:rsid w:val="00087F16"/>
    <w:rsid w:val="000929DB"/>
    <w:rsid w:val="0009415F"/>
    <w:rsid w:val="00097E49"/>
    <w:rsid w:val="000A0E09"/>
    <w:rsid w:val="000A1230"/>
    <w:rsid w:val="000A5045"/>
    <w:rsid w:val="000A611F"/>
    <w:rsid w:val="000B671F"/>
    <w:rsid w:val="000C3644"/>
    <w:rsid w:val="000C78B1"/>
    <w:rsid w:val="000D0510"/>
    <w:rsid w:val="000D1775"/>
    <w:rsid w:val="000D21C7"/>
    <w:rsid w:val="000D2A4E"/>
    <w:rsid w:val="000D36B2"/>
    <w:rsid w:val="000D38BB"/>
    <w:rsid w:val="000D771A"/>
    <w:rsid w:val="000E3CDF"/>
    <w:rsid w:val="000E5418"/>
    <w:rsid w:val="000E5651"/>
    <w:rsid w:val="000E75D3"/>
    <w:rsid w:val="000F129D"/>
    <w:rsid w:val="000F14FF"/>
    <w:rsid w:val="000F1574"/>
    <w:rsid w:val="000F56E7"/>
    <w:rsid w:val="00102984"/>
    <w:rsid w:val="0010645F"/>
    <w:rsid w:val="00106D7B"/>
    <w:rsid w:val="00107D1F"/>
    <w:rsid w:val="00110808"/>
    <w:rsid w:val="00111CC8"/>
    <w:rsid w:val="0011204A"/>
    <w:rsid w:val="00112395"/>
    <w:rsid w:val="00112EAF"/>
    <w:rsid w:val="001136E0"/>
    <w:rsid w:val="00113BBD"/>
    <w:rsid w:val="0011461D"/>
    <w:rsid w:val="00120666"/>
    <w:rsid w:val="0012074C"/>
    <w:rsid w:val="00121BD5"/>
    <w:rsid w:val="00122377"/>
    <w:rsid w:val="0012344C"/>
    <w:rsid w:val="00123ADB"/>
    <w:rsid w:val="00127981"/>
    <w:rsid w:val="00134484"/>
    <w:rsid w:val="00134F38"/>
    <w:rsid w:val="001379B1"/>
    <w:rsid w:val="00137C59"/>
    <w:rsid w:val="00140D90"/>
    <w:rsid w:val="001417B2"/>
    <w:rsid w:val="00141C52"/>
    <w:rsid w:val="00142FB3"/>
    <w:rsid w:val="001465BF"/>
    <w:rsid w:val="00151624"/>
    <w:rsid w:val="00152E86"/>
    <w:rsid w:val="00155675"/>
    <w:rsid w:val="00155EDE"/>
    <w:rsid w:val="001634EA"/>
    <w:rsid w:val="00167F2A"/>
    <w:rsid w:val="00167F35"/>
    <w:rsid w:val="0017093C"/>
    <w:rsid w:val="0017300B"/>
    <w:rsid w:val="0017341F"/>
    <w:rsid w:val="001745C9"/>
    <w:rsid w:val="001745D3"/>
    <w:rsid w:val="001775BE"/>
    <w:rsid w:val="00177B70"/>
    <w:rsid w:val="00180348"/>
    <w:rsid w:val="00181D27"/>
    <w:rsid w:val="00185505"/>
    <w:rsid w:val="00195F38"/>
    <w:rsid w:val="001A0BD8"/>
    <w:rsid w:val="001A10AE"/>
    <w:rsid w:val="001A3317"/>
    <w:rsid w:val="001A3EC7"/>
    <w:rsid w:val="001A435F"/>
    <w:rsid w:val="001A4807"/>
    <w:rsid w:val="001B2196"/>
    <w:rsid w:val="001B2969"/>
    <w:rsid w:val="001B4D9C"/>
    <w:rsid w:val="001B61E3"/>
    <w:rsid w:val="001B69E1"/>
    <w:rsid w:val="001B7E73"/>
    <w:rsid w:val="001C0486"/>
    <w:rsid w:val="001C4F86"/>
    <w:rsid w:val="001C794A"/>
    <w:rsid w:val="001D14A2"/>
    <w:rsid w:val="001D1FA5"/>
    <w:rsid w:val="001D2EFD"/>
    <w:rsid w:val="001D4E71"/>
    <w:rsid w:val="001D5566"/>
    <w:rsid w:val="001E0920"/>
    <w:rsid w:val="001E19CF"/>
    <w:rsid w:val="001E2A1D"/>
    <w:rsid w:val="001E61D8"/>
    <w:rsid w:val="001E79AC"/>
    <w:rsid w:val="001F19F1"/>
    <w:rsid w:val="001F1A5F"/>
    <w:rsid w:val="001F4C49"/>
    <w:rsid w:val="001F5612"/>
    <w:rsid w:val="00200176"/>
    <w:rsid w:val="00201B18"/>
    <w:rsid w:val="00203139"/>
    <w:rsid w:val="002035FE"/>
    <w:rsid w:val="00203987"/>
    <w:rsid w:val="0020429D"/>
    <w:rsid w:val="00205B16"/>
    <w:rsid w:val="0020671F"/>
    <w:rsid w:val="0021044C"/>
    <w:rsid w:val="00211184"/>
    <w:rsid w:val="00212E4F"/>
    <w:rsid w:val="00216B08"/>
    <w:rsid w:val="0021781B"/>
    <w:rsid w:val="00222C24"/>
    <w:rsid w:val="00224A2D"/>
    <w:rsid w:val="00224B9C"/>
    <w:rsid w:val="0023068E"/>
    <w:rsid w:val="00230EA2"/>
    <w:rsid w:val="0023416F"/>
    <w:rsid w:val="00234A5B"/>
    <w:rsid w:val="00237C7D"/>
    <w:rsid w:val="00243026"/>
    <w:rsid w:val="00244F24"/>
    <w:rsid w:val="00245D06"/>
    <w:rsid w:val="002464DC"/>
    <w:rsid w:val="00250EDD"/>
    <w:rsid w:val="00250F07"/>
    <w:rsid w:val="002542D2"/>
    <w:rsid w:val="0025553F"/>
    <w:rsid w:val="00261130"/>
    <w:rsid w:val="00262F0B"/>
    <w:rsid w:val="00263DF8"/>
    <w:rsid w:val="00264CCA"/>
    <w:rsid w:val="002666FB"/>
    <w:rsid w:val="002679FA"/>
    <w:rsid w:val="00267E3A"/>
    <w:rsid w:val="0027287F"/>
    <w:rsid w:val="00273099"/>
    <w:rsid w:val="00273893"/>
    <w:rsid w:val="0027643D"/>
    <w:rsid w:val="00281000"/>
    <w:rsid w:val="00282367"/>
    <w:rsid w:val="00282F48"/>
    <w:rsid w:val="0028351F"/>
    <w:rsid w:val="0028354B"/>
    <w:rsid w:val="00284B29"/>
    <w:rsid w:val="00284D5D"/>
    <w:rsid w:val="0028664B"/>
    <w:rsid w:val="002874A6"/>
    <w:rsid w:val="00287BBE"/>
    <w:rsid w:val="00291058"/>
    <w:rsid w:val="0029510E"/>
    <w:rsid w:val="002A2D79"/>
    <w:rsid w:val="002A36D0"/>
    <w:rsid w:val="002A53D2"/>
    <w:rsid w:val="002B1808"/>
    <w:rsid w:val="002B2540"/>
    <w:rsid w:val="002B257E"/>
    <w:rsid w:val="002B4864"/>
    <w:rsid w:val="002C06BF"/>
    <w:rsid w:val="002C143E"/>
    <w:rsid w:val="002C2AA9"/>
    <w:rsid w:val="002C3FAF"/>
    <w:rsid w:val="002C44AB"/>
    <w:rsid w:val="002C4A02"/>
    <w:rsid w:val="002C4BBD"/>
    <w:rsid w:val="002D08D7"/>
    <w:rsid w:val="002D0C42"/>
    <w:rsid w:val="002D23FC"/>
    <w:rsid w:val="002D3BAA"/>
    <w:rsid w:val="002D4C2B"/>
    <w:rsid w:val="002D5125"/>
    <w:rsid w:val="002D6697"/>
    <w:rsid w:val="002D7784"/>
    <w:rsid w:val="002E0186"/>
    <w:rsid w:val="002F0075"/>
    <w:rsid w:val="002F2445"/>
    <w:rsid w:val="002F5704"/>
    <w:rsid w:val="002F61E1"/>
    <w:rsid w:val="002F6E72"/>
    <w:rsid w:val="002F71D1"/>
    <w:rsid w:val="002F7B96"/>
    <w:rsid w:val="003006DF"/>
    <w:rsid w:val="00301B99"/>
    <w:rsid w:val="00301E72"/>
    <w:rsid w:val="00302E03"/>
    <w:rsid w:val="0030505C"/>
    <w:rsid w:val="00305062"/>
    <w:rsid w:val="003073BF"/>
    <w:rsid w:val="00307D4A"/>
    <w:rsid w:val="00311239"/>
    <w:rsid w:val="00313403"/>
    <w:rsid w:val="0031621F"/>
    <w:rsid w:val="00317BAA"/>
    <w:rsid w:val="00321054"/>
    <w:rsid w:val="003228B7"/>
    <w:rsid w:val="00326466"/>
    <w:rsid w:val="00327B05"/>
    <w:rsid w:val="003332DB"/>
    <w:rsid w:val="00333DE4"/>
    <w:rsid w:val="0033484E"/>
    <w:rsid w:val="00334A69"/>
    <w:rsid w:val="00334F9E"/>
    <w:rsid w:val="003353DA"/>
    <w:rsid w:val="00335587"/>
    <w:rsid w:val="003358B7"/>
    <w:rsid w:val="0033721B"/>
    <w:rsid w:val="0034017E"/>
    <w:rsid w:val="003412B2"/>
    <w:rsid w:val="00342B18"/>
    <w:rsid w:val="0034353E"/>
    <w:rsid w:val="00343FEC"/>
    <w:rsid w:val="003472AE"/>
    <w:rsid w:val="0034775A"/>
    <w:rsid w:val="00352DF3"/>
    <w:rsid w:val="00354001"/>
    <w:rsid w:val="0035453F"/>
    <w:rsid w:val="00354C3F"/>
    <w:rsid w:val="00354D3E"/>
    <w:rsid w:val="0035553C"/>
    <w:rsid w:val="00355CD3"/>
    <w:rsid w:val="003562D7"/>
    <w:rsid w:val="003563AE"/>
    <w:rsid w:val="00357055"/>
    <w:rsid w:val="00362F0D"/>
    <w:rsid w:val="003662E7"/>
    <w:rsid w:val="0036638F"/>
    <w:rsid w:val="0036677D"/>
    <w:rsid w:val="00366A26"/>
    <w:rsid w:val="00367780"/>
    <w:rsid w:val="00370B78"/>
    <w:rsid w:val="0037288E"/>
    <w:rsid w:val="0037355F"/>
    <w:rsid w:val="00373F39"/>
    <w:rsid w:val="00376D69"/>
    <w:rsid w:val="003833C4"/>
    <w:rsid w:val="003840FE"/>
    <w:rsid w:val="00390244"/>
    <w:rsid w:val="003917B3"/>
    <w:rsid w:val="00393B1E"/>
    <w:rsid w:val="00397533"/>
    <w:rsid w:val="00397AE2"/>
    <w:rsid w:val="00397FB7"/>
    <w:rsid w:val="003A0190"/>
    <w:rsid w:val="003A0ACA"/>
    <w:rsid w:val="003A25CE"/>
    <w:rsid w:val="003A4F31"/>
    <w:rsid w:val="003A5393"/>
    <w:rsid w:val="003B0190"/>
    <w:rsid w:val="003B0D97"/>
    <w:rsid w:val="003B1B72"/>
    <w:rsid w:val="003B5A45"/>
    <w:rsid w:val="003B5B70"/>
    <w:rsid w:val="003B696B"/>
    <w:rsid w:val="003B6A3F"/>
    <w:rsid w:val="003C09C1"/>
    <w:rsid w:val="003C0CA2"/>
    <w:rsid w:val="003C1B1B"/>
    <w:rsid w:val="003C379A"/>
    <w:rsid w:val="003C416D"/>
    <w:rsid w:val="003C7A76"/>
    <w:rsid w:val="003D1581"/>
    <w:rsid w:val="003D1EB0"/>
    <w:rsid w:val="003D3700"/>
    <w:rsid w:val="003D404E"/>
    <w:rsid w:val="003E23F5"/>
    <w:rsid w:val="003E3AD9"/>
    <w:rsid w:val="003E4A3A"/>
    <w:rsid w:val="003E4FD9"/>
    <w:rsid w:val="003E6574"/>
    <w:rsid w:val="003E7B3B"/>
    <w:rsid w:val="003F4272"/>
    <w:rsid w:val="003F4F37"/>
    <w:rsid w:val="003F68AB"/>
    <w:rsid w:val="00400100"/>
    <w:rsid w:val="004016BF"/>
    <w:rsid w:val="00402954"/>
    <w:rsid w:val="00404ACB"/>
    <w:rsid w:val="00404FDF"/>
    <w:rsid w:val="00407A5F"/>
    <w:rsid w:val="00407F4B"/>
    <w:rsid w:val="004133D5"/>
    <w:rsid w:val="004159F2"/>
    <w:rsid w:val="00416060"/>
    <w:rsid w:val="004233A7"/>
    <w:rsid w:val="0042393B"/>
    <w:rsid w:val="00423981"/>
    <w:rsid w:val="00423EC7"/>
    <w:rsid w:val="0043165F"/>
    <w:rsid w:val="0043265E"/>
    <w:rsid w:val="00437748"/>
    <w:rsid w:val="004409C8"/>
    <w:rsid w:val="004413F3"/>
    <w:rsid w:val="0044156B"/>
    <w:rsid w:val="00447A57"/>
    <w:rsid w:val="00451438"/>
    <w:rsid w:val="00453F90"/>
    <w:rsid w:val="0045517C"/>
    <w:rsid w:val="004559A5"/>
    <w:rsid w:val="00455D1C"/>
    <w:rsid w:val="004562B5"/>
    <w:rsid w:val="0045737E"/>
    <w:rsid w:val="00457706"/>
    <w:rsid w:val="00460577"/>
    <w:rsid w:val="00461A53"/>
    <w:rsid w:val="00465A4B"/>
    <w:rsid w:val="004728E1"/>
    <w:rsid w:val="004824F6"/>
    <w:rsid w:val="004826FC"/>
    <w:rsid w:val="00482835"/>
    <w:rsid w:val="00482F6C"/>
    <w:rsid w:val="00485788"/>
    <w:rsid w:val="00485B21"/>
    <w:rsid w:val="00487A16"/>
    <w:rsid w:val="00491EED"/>
    <w:rsid w:val="00492AB9"/>
    <w:rsid w:val="00493BF2"/>
    <w:rsid w:val="00495200"/>
    <w:rsid w:val="0049776D"/>
    <w:rsid w:val="004A2DFB"/>
    <w:rsid w:val="004A3785"/>
    <w:rsid w:val="004A54FA"/>
    <w:rsid w:val="004A5F38"/>
    <w:rsid w:val="004A64E0"/>
    <w:rsid w:val="004A746A"/>
    <w:rsid w:val="004B1664"/>
    <w:rsid w:val="004B6212"/>
    <w:rsid w:val="004C05D4"/>
    <w:rsid w:val="004C090D"/>
    <w:rsid w:val="004C191A"/>
    <w:rsid w:val="004C24E8"/>
    <w:rsid w:val="004C6B02"/>
    <w:rsid w:val="004C7E37"/>
    <w:rsid w:val="004D405A"/>
    <w:rsid w:val="004E0386"/>
    <w:rsid w:val="004E04E7"/>
    <w:rsid w:val="004E0954"/>
    <w:rsid w:val="004E0E69"/>
    <w:rsid w:val="004E3678"/>
    <w:rsid w:val="004F11DC"/>
    <w:rsid w:val="004F2857"/>
    <w:rsid w:val="004F46B8"/>
    <w:rsid w:val="004F6230"/>
    <w:rsid w:val="004F6920"/>
    <w:rsid w:val="00500709"/>
    <w:rsid w:val="00501F53"/>
    <w:rsid w:val="00506635"/>
    <w:rsid w:val="00506C5B"/>
    <w:rsid w:val="00513132"/>
    <w:rsid w:val="00515B80"/>
    <w:rsid w:val="00515CCC"/>
    <w:rsid w:val="005223EF"/>
    <w:rsid w:val="005223F2"/>
    <w:rsid w:val="00522F92"/>
    <w:rsid w:val="005247FA"/>
    <w:rsid w:val="0052481F"/>
    <w:rsid w:val="005256FE"/>
    <w:rsid w:val="0052706B"/>
    <w:rsid w:val="005272E8"/>
    <w:rsid w:val="00532E42"/>
    <w:rsid w:val="00533958"/>
    <w:rsid w:val="00542A43"/>
    <w:rsid w:val="00544C4B"/>
    <w:rsid w:val="00544C86"/>
    <w:rsid w:val="00547903"/>
    <w:rsid w:val="00551752"/>
    <w:rsid w:val="00551870"/>
    <w:rsid w:val="00551A9C"/>
    <w:rsid w:val="00552C0D"/>
    <w:rsid w:val="005534B2"/>
    <w:rsid w:val="00554ED2"/>
    <w:rsid w:val="005568F9"/>
    <w:rsid w:val="00556BFB"/>
    <w:rsid w:val="00560989"/>
    <w:rsid w:val="00563987"/>
    <w:rsid w:val="005663E1"/>
    <w:rsid w:val="00566BF6"/>
    <w:rsid w:val="00570D77"/>
    <w:rsid w:val="00572876"/>
    <w:rsid w:val="00576D5E"/>
    <w:rsid w:val="00583DA3"/>
    <w:rsid w:val="00584279"/>
    <w:rsid w:val="00591C0B"/>
    <w:rsid w:val="00592516"/>
    <w:rsid w:val="00592F51"/>
    <w:rsid w:val="00594321"/>
    <w:rsid w:val="00594FFC"/>
    <w:rsid w:val="00595176"/>
    <w:rsid w:val="0059719C"/>
    <w:rsid w:val="00597240"/>
    <w:rsid w:val="005A3A36"/>
    <w:rsid w:val="005A7912"/>
    <w:rsid w:val="005B0289"/>
    <w:rsid w:val="005B0D7B"/>
    <w:rsid w:val="005B2116"/>
    <w:rsid w:val="005B3409"/>
    <w:rsid w:val="005B35FC"/>
    <w:rsid w:val="005B3D73"/>
    <w:rsid w:val="005B4397"/>
    <w:rsid w:val="005C1046"/>
    <w:rsid w:val="005C2426"/>
    <w:rsid w:val="005C332E"/>
    <w:rsid w:val="005C4074"/>
    <w:rsid w:val="005C5201"/>
    <w:rsid w:val="005C53CD"/>
    <w:rsid w:val="005D2E1B"/>
    <w:rsid w:val="005D3DBA"/>
    <w:rsid w:val="005D51C4"/>
    <w:rsid w:val="005D5663"/>
    <w:rsid w:val="005E14C9"/>
    <w:rsid w:val="005E1C2E"/>
    <w:rsid w:val="005E330D"/>
    <w:rsid w:val="005E6BDC"/>
    <w:rsid w:val="005F0B1F"/>
    <w:rsid w:val="005F0D65"/>
    <w:rsid w:val="005F1673"/>
    <w:rsid w:val="005F4FBE"/>
    <w:rsid w:val="00603446"/>
    <w:rsid w:val="006066D3"/>
    <w:rsid w:val="00607124"/>
    <w:rsid w:val="00607A89"/>
    <w:rsid w:val="006104FC"/>
    <w:rsid w:val="00610A0D"/>
    <w:rsid w:val="00610A76"/>
    <w:rsid w:val="00610B04"/>
    <w:rsid w:val="00613B78"/>
    <w:rsid w:val="0061448F"/>
    <w:rsid w:val="00614B42"/>
    <w:rsid w:val="006155F9"/>
    <w:rsid w:val="006315F6"/>
    <w:rsid w:val="0063241B"/>
    <w:rsid w:val="00632D4B"/>
    <w:rsid w:val="00633C70"/>
    <w:rsid w:val="00633DEE"/>
    <w:rsid w:val="00636A42"/>
    <w:rsid w:val="0064299F"/>
    <w:rsid w:val="00644A3E"/>
    <w:rsid w:val="0064659D"/>
    <w:rsid w:val="0065094B"/>
    <w:rsid w:val="00651306"/>
    <w:rsid w:val="0065390D"/>
    <w:rsid w:val="0065455D"/>
    <w:rsid w:val="006557C0"/>
    <w:rsid w:val="006570EF"/>
    <w:rsid w:val="00660627"/>
    <w:rsid w:val="00660B3F"/>
    <w:rsid w:val="00660D06"/>
    <w:rsid w:val="0066211A"/>
    <w:rsid w:val="0066218A"/>
    <w:rsid w:val="00662BC1"/>
    <w:rsid w:val="0066412F"/>
    <w:rsid w:val="00665DCC"/>
    <w:rsid w:val="0066694C"/>
    <w:rsid w:val="00666DF3"/>
    <w:rsid w:val="00672F9E"/>
    <w:rsid w:val="006758B4"/>
    <w:rsid w:val="00682F5B"/>
    <w:rsid w:val="00683213"/>
    <w:rsid w:val="006845B6"/>
    <w:rsid w:val="0068517D"/>
    <w:rsid w:val="0068685E"/>
    <w:rsid w:val="00686B03"/>
    <w:rsid w:val="00692E6F"/>
    <w:rsid w:val="006973D1"/>
    <w:rsid w:val="00697CA9"/>
    <w:rsid w:val="006A06C7"/>
    <w:rsid w:val="006A20B4"/>
    <w:rsid w:val="006A3B63"/>
    <w:rsid w:val="006A4192"/>
    <w:rsid w:val="006A42C5"/>
    <w:rsid w:val="006A4874"/>
    <w:rsid w:val="006A6BB3"/>
    <w:rsid w:val="006B0AB6"/>
    <w:rsid w:val="006B52E4"/>
    <w:rsid w:val="006B5F02"/>
    <w:rsid w:val="006B7DDF"/>
    <w:rsid w:val="006B7E67"/>
    <w:rsid w:val="006C1526"/>
    <w:rsid w:val="006C17C7"/>
    <w:rsid w:val="006C279F"/>
    <w:rsid w:val="006C4059"/>
    <w:rsid w:val="006C42B3"/>
    <w:rsid w:val="006C57B3"/>
    <w:rsid w:val="006C5E63"/>
    <w:rsid w:val="006C5E69"/>
    <w:rsid w:val="006D19FC"/>
    <w:rsid w:val="006D290A"/>
    <w:rsid w:val="006D34C8"/>
    <w:rsid w:val="006D4F93"/>
    <w:rsid w:val="006D60DA"/>
    <w:rsid w:val="006E3F16"/>
    <w:rsid w:val="006E4FF7"/>
    <w:rsid w:val="006E5B28"/>
    <w:rsid w:val="006E7F2A"/>
    <w:rsid w:val="006F05B2"/>
    <w:rsid w:val="006F3539"/>
    <w:rsid w:val="006F365B"/>
    <w:rsid w:val="0070024A"/>
    <w:rsid w:val="00700BBD"/>
    <w:rsid w:val="007033A5"/>
    <w:rsid w:val="00703A0D"/>
    <w:rsid w:val="007041DE"/>
    <w:rsid w:val="00704594"/>
    <w:rsid w:val="00704604"/>
    <w:rsid w:val="007110D7"/>
    <w:rsid w:val="00714AA3"/>
    <w:rsid w:val="00715EB9"/>
    <w:rsid w:val="0071628D"/>
    <w:rsid w:val="00721CCC"/>
    <w:rsid w:val="00722930"/>
    <w:rsid w:val="00723FA9"/>
    <w:rsid w:val="007279B4"/>
    <w:rsid w:val="00730526"/>
    <w:rsid w:val="00730A5C"/>
    <w:rsid w:val="00734321"/>
    <w:rsid w:val="00741790"/>
    <w:rsid w:val="00743601"/>
    <w:rsid w:val="0074756E"/>
    <w:rsid w:val="0074783F"/>
    <w:rsid w:val="007541F1"/>
    <w:rsid w:val="00755ECE"/>
    <w:rsid w:val="00756379"/>
    <w:rsid w:val="00762B97"/>
    <w:rsid w:val="007630C0"/>
    <w:rsid w:val="00763CCF"/>
    <w:rsid w:val="007661A3"/>
    <w:rsid w:val="007677D9"/>
    <w:rsid w:val="00767B31"/>
    <w:rsid w:val="00772E8B"/>
    <w:rsid w:val="00775030"/>
    <w:rsid w:val="00775839"/>
    <w:rsid w:val="00776CE0"/>
    <w:rsid w:val="00777DFC"/>
    <w:rsid w:val="007822CE"/>
    <w:rsid w:val="0078251D"/>
    <w:rsid w:val="007855FF"/>
    <w:rsid w:val="00786705"/>
    <w:rsid w:val="00786AD6"/>
    <w:rsid w:val="00790722"/>
    <w:rsid w:val="00792FE3"/>
    <w:rsid w:val="007964BE"/>
    <w:rsid w:val="00797DBE"/>
    <w:rsid w:val="007A0D3E"/>
    <w:rsid w:val="007A37C0"/>
    <w:rsid w:val="007A3F82"/>
    <w:rsid w:val="007A47E7"/>
    <w:rsid w:val="007B2C86"/>
    <w:rsid w:val="007B5E63"/>
    <w:rsid w:val="007B6D97"/>
    <w:rsid w:val="007B7EAA"/>
    <w:rsid w:val="007C1824"/>
    <w:rsid w:val="007C243D"/>
    <w:rsid w:val="007C34F0"/>
    <w:rsid w:val="007C498C"/>
    <w:rsid w:val="007C6AE8"/>
    <w:rsid w:val="007C7BCC"/>
    <w:rsid w:val="007D1E2F"/>
    <w:rsid w:val="007D3ABE"/>
    <w:rsid w:val="007D473A"/>
    <w:rsid w:val="007D76BD"/>
    <w:rsid w:val="007E1096"/>
    <w:rsid w:val="007E1CF4"/>
    <w:rsid w:val="007E2722"/>
    <w:rsid w:val="007E28F6"/>
    <w:rsid w:val="007E4B37"/>
    <w:rsid w:val="007E678D"/>
    <w:rsid w:val="007E7C75"/>
    <w:rsid w:val="007E7FE9"/>
    <w:rsid w:val="007F0CF4"/>
    <w:rsid w:val="007F1556"/>
    <w:rsid w:val="007F1D50"/>
    <w:rsid w:val="007F1EB0"/>
    <w:rsid w:val="007F4A2D"/>
    <w:rsid w:val="007F5E48"/>
    <w:rsid w:val="007F794E"/>
    <w:rsid w:val="00800965"/>
    <w:rsid w:val="00801CE7"/>
    <w:rsid w:val="008024E1"/>
    <w:rsid w:val="00803387"/>
    <w:rsid w:val="00804B57"/>
    <w:rsid w:val="00804DF5"/>
    <w:rsid w:val="00805241"/>
    <w:rsid w:val="008055D5"/>
    <w:rsid w:val="008078AE"/>
    <w:rsid w:val="00810104"/>
    <w:rsid w:val="008115CB"/>
    <w:rsid w:val="00812269"/>
    <w:rsid w:val="0081227F"/>
    <w:rsid w:val="00812815"/>
    <w:rsid w:val="008145BA"/>
    <w:rsid w:val="0081472A"/>
    <w:rsid w:val="00814A7D"/>
    <w:rsid w:val="00826D60"/>
    <w:rsid w:val="0083182B"/>
    <w:rsid w:val="00831B3F"/>
    <w:rsid w:val="008334DB"/>
    <w:rsid w:val="00833C50"/>
    <w:rsid w:val="00833DE9"/>
    <w:rsid w:val="0083601E"/>
    <w:rsid w:val="00843098"/>
    <w:rsid w:val="00844F09"/>
    <w:rsid w:val="00845497"/>
    <w:rsid w:val="008454A4"/>
    <w:rsid w:val="0084587A"/>
    <w:rsid w:val="00845D25"/>
    <w:rsid w:val="00847925"/>
    <w:rsid w:val="00850A47"/>
    <w:rsid w:val="00856C35"/>
    <w:rsid w:val="00856FCF"/>
    <w:rsid w:val="00857497"/>
    <w:rsid w:val="00857B84"/>
    <w:rsid w:val="00861CBB"/>
    <w:rsid w:val="00861EF9"/>
    <w:rsid w:val="00862521"/>
    <w:rsid w:val="00866505"/>
    <w:rsid w:val="0086686F"/>
    <w:rsid w:val="00866C48"/>
    <w:rsid w:val="00867899"/>
    <w:rsid w:val="00867CC3"/>
    <w:rsid w:val="008719E2"/>
    <w:rsid w:val="00872389"/>
    <w:rsid w:val="00872466"/>
    <w:rsid w:val="00873058"/>
    <w:rsid w:val="0087425B"/>
    <w:rsid w:val="008756E9"/>
    <w:rsid w:val="00875FCF"/>
    <w:rsid w:val="00876D42"/>
    <w:rsid w:val="00880F99"/>
    <w:rsid w:val="00890249"/>
    <w:rsid w:val="00892BA0"/>
    <w:rsid w:val="008934BD"/>
    <w:rsid w:val="008A0AC4"/>
    <w:rsid w:val="008A2B83"/>
    <w:rsid w:val="008A3740"/>
    <w:rsid w:val="008A3F1E"/>
    <w:rsid w:val="008A5F1E"/>
    <w:rsid w:val="008A62B8"/>
    <w:rsid w:val="008A7488"/>
    <w:rsid w:val="008B18A8"/>
    <w:rsid w:val="008B3115"/>
    <w:rsid w:val="008B76A8"/>
    <w:rsid w:val="008C22D1"/>
    <w:rsid w:val="008C301C"/>
    <w:rsid w:val="008C47C8"/>
    <w:rsid w:val="008C4C53"/>
    <w:rsid w:val="008D0D3A"/>
    <w:rsid w:val="008D19D8"/>
    <w:rsid w:val="008D4321"/>
    <w:rsid w:val="008D43BD"/>
    <w:rsid w:val="008D77FB"/>
    <w:rsid w:val="008E0CDE"/>
    <w:rsid w:val="008E0DCB"/>
    <w:rsid w:val="008E1517"/>
    <w:rsid w:val="008E1A13"/>
    <w:rsid w:val="008E2256"/>
    <w:rsid w:val="008E3CAD"/>
    <w:rsid w:val="008E45ED"/>
    <w:rsid w:val="008E4E43"/>
    <w:rsid w:val="008E5EF9"/>
    <w:rsid w:val="008F00A8"/>
    <w:rsid w:val="008F32BF"/>
    <w:rsid w:val="008F3D73"/>
    <w:rsid w:val="008F4297"/>
    <w:rsid w:val="008F5CAE"/>
    <w:rsid w:val="009008E0"/>
    <w:rsid w:val="0090219D"/>
    <w:rsid w:val="0090305D"/>
    <w:rsid w:val="0090379E"/>
    <w:rsid w:val="009077F0"/>
    <w:rsid w:val="00907BBA"/>
    <w:rsid w:val="009124E0"/>
    <w:rsid w:val="009127CB"/>
    <w:rsid w:val="009129F7"/>
    <w:rsid w:val="00913CEF"/>
    <w:rsid w:val="00915101"/>
    <w:rsid w:val="009152BA"/>
    <w:rsid w:val="00915DFC"/>
    <w:rsid w:val="009164C5"/>
    <w:rsid w:val="00920794"/>
    <w:rsid w:val="00921CF3"/>
    <w:rsid w:val="009220EE"/>
    <w:rsid w:val="00922368"/>
    <w:rsid w:val="00923780"/>
    <w:rsid w:val="00923828"/>
    <w:rsid w:val="009242FB"/>
    <w:rsid w:val="00925CA9"/>
    <w:rsid w:val="00926E8D"/>
    <w:rsid w:val="0093282F"/>
    <w:rsid w:val="00934BB5"/>
    <w:rsid w:val="00934F96"/>
    <w:rsid w:val="00935326"/>
    <w:rsid w:val="009357F7"/>
    <w:rsid w:val="009370CB"/>
    <w:rsid w:val="00940607"/>
    <w:rsid w:val="00941C8B"/>
    <w:rsid w:val="009435CC"/>
    <w:rsid w:val="00943867"/>
    <w:rsid w:val="00943971"/>
    <w:rsid w:val="00945919"/>
    <w:rsid w:val="00946F74"/>
    <w:rsid w:val="009554C9"/>
    <w:rsid w:val="009563E9"/>
    <w:rsid w:val="00960A08"/>
    <w:rsid w:val="009626A7"/>
    <w:rsid w:val="00963A8D"/>
    <w:rsid w:val="00965E6D"/>
    <w:rsid w:val="009661CD"/>
    <w:rsid w:val="00966E9B"/>
    <w:rsid w:val="0097029A"/>
    <w:rsid w:val="00971912"/>
    <w:rsid w:val="009764B3"/>
    <w:rsid w:val="009769D9"/>
    <w:rsid w:val="00976E1A"/>
    <w:rsid w:val="009772C3"/>
    <w:rsid w:val="00980030"/>
    <w:rsid w:val="00983CB2"/>
    <w:rsid w:val="00991A3D"/>
    <w:rsid w:val="009954E9"/>
    <w:rsid w:val="00995984"/>
    <w:rsid w:val="009975F3"/>
    <w:rsid w:val="0099764E"/>
    <w:rsid w:val="009A0DC5"/>
    <w:rsid w:val="009A148E"/>
    <w:rsid w:val="009A4CA7"/>
    <w:rsid w:val="009B6BF4"/>
    <w:rsid w:val="009B7FD6"/>
    <w:rsid w:val="009C060A"/>
    <w:rsid w:val="009C0765"/>
    <w:rsid w:val="009C1148"/>
    <w:rsid w:val="009C1E11"/>
    <w:rsid w:val="009C1EE0"/>
    <w:rsid w:val="009C22A0"/>
    <w:rsid w:val="009C2C2C"/>
    <w:rsid w:val="009C2C79"/>
    <w:rsid w:val="009C60F5"/>
    <w:rsid w:val="009C79E8"/>
    <w:rsid w:val="009D2D63"/>
    <w:rsid w:val="009D4925"/>
    <w:rsid w:val="009D536B"/>
    <w:rsid w:val="009D6320"/>
    <w:rsid w:val="009E0A88"/>
    <w:rsid w:val="009E1151"/>
    <w:rsid w:val="009E2F6F"/>
    <w:rsid w:val="009E3711"/>
    <w:rsid w:val="009E4559"/>
    <w:rsid w:val="009E56D1"/>
    <w:rsid w:val="009E784F"/>
    <w:rsid w:val="009E7DAD"/>
    <w:rsid w:val="009F408E"/>
    <w:rsid w:val="009F69FE"/>
    <w:rsid w:val="009F7BCD"/>
    <w:rsid w:val="00A00C71"/>
    <w:rsid w:val="00A01E65"/>
    <w:rsid w:val="00A025B7"/>
    <w:rsid w:val="00A03E20"/>
    <w:rsid w:val="00A043AF"/>
    <w:rsid w:val="00A0749F"/>
    <w:rsid w:val="00A078CC"/>
    <w:rsid w:val="00A1322B"/>
    <w:rsid w:val="00A143D2"/>
    <w:rsid w:val="00A17538"/>
    <w:rsid w:val="00A20074"/>
    <w:rsid w:val="00A22369"/>
    <w:rsid w:val="00A27DB7"/>
    <w:rsid w:val="00A307EE"/>
    <w:rsid w:val="00A31F39"/>
    <w:rsid w:val="00A32055"/>
    <w:rsid w:val="00A32D4D"/>
    <w:rsid w:val="00A3486C"/>
    <w:rsid w:val="00A372F1"/>
    <w:rsid w:val="00A40176"/>
    <w:rsid w:val="00A40938"/>
    <w:rsid w:val="00A416D6"/>
    <w:rsid w:val="00A45CE7"/>
    <w:rsid w:val="00A5058C"/>
    <w:rsid w:val="00A52E17"/>
    <w:rsid w:val="00A551CB"/>
    <w:rsid w:val="00A56889"/>
    <w:rsid w:val="00A61D38"/>
    <w:rsid w:val="00A74030"/>
    <w:rsid w:val="00A74576"/>
    <w:rsid w:val="00A745E6"/>
    <w:rsid w:val="00A76A83"/>
    <w:rsid w:val="00A8076C"/>
    <w:rsid w:val="00A8202D"/>
    <w:rsid w:val="00A83746"/>
    <w:rsid w:val="00A86934"/>
    <w:rsid w:val="00A90119"/>
    <w:rsid w:val="00A90DF6"/>
    <w:rsid w:val="00A92F3E"/>
    <w:rsid w:val="00A93C33"/>
    <w:rsid w:val="00A94AC4"/>
    <w:rsid w:val="00A96CA0"/>
    <w:rsid w:val="00AA1034"/>
    <w:rsid w:val="00AA1DA1"/>
    <w:rsid w:val="00AA490D"/>
    <w:rsid w:val="00AA54C9"/>
    <w:rsid w:val="00AA5DD8"/>
    <w:rsid w:val="00AA6197"/>
    <w:rsid w:val="00AA63C2"/>
    <w:rsid w:val="00AA6609"/>
    <w:rsid w:val="00AA6EE9"/>
    <w:rsid w:val="00AA7331"/>
    <w:rsid w:val="00AB226C"/>
    <w:rsid w:val="00AB250E"/>
    <w:rsid w:val="00AB32DA"/>
    <w:rsid w:val="00AC0A2B"/>
    <w:rsid w:val="00AC0B72"/>
    <w:rsid w:val="00AC1F9F"/>
    <w:rsid w:val="00AC2C37"/>
    <w:rsid w:val="00AC3AA7"/>
    <w:rsid w:val="00AC3D96"/>
    <w:rsid w:val="00AC6006"/>
    <w:rsid w:val="00AC6317"/>
    <w:rsid w:val="00AD7256"/>
    <w:rsid w:val="00AE0067"/>
    <w:rsid w:val="00AE238E"/>
    <w:rsid w:val="00AE30AF"/>
    <w:rsid w:val="00AE3118"/>
    <w:rsid w:val="00AE54AA"/>
    <w:rsid w:val="00AE6899"/>
    <w:rsid w:val="00AF3F60"/>
    <w:rsid w:val="00AF57D9"/>
    <w:rsid w:val="00AF5B11"/>
    <w:rsid w:val="00AF6EBD"/>
    <w:rsid w:val="00AF7F60"/>
    <w:rsid w:val="00B01564"/>
    <w:rsid w:val="00B023A1"/>
    <w:rsid w:val="00B02605"/>
    <w:rsid w:val="00B02929"/>
    <w:rsid w:val="00B02BB8"/>
    <w:rsid w:val="00B0319F"/>
    <w:rsid w:val="00B119F2"/>
    <w:rsid w:val="00B13581"/>
    <w:rsid w:val="00B15F2B"/>
    <w:rsid w:val="00B16F41"/>
    <w:rsid w:val="00B2130D"/>
    <w:rsid w:val="00B22FE8"/>
    <w:rsid w:val="00B23596"/>
    <w:rsid w:val="00B261B8"/>
    <w:rsid w:val="00B27F93"/>
    <w:rsid w:val="00B30F0B"/>
    <w:rsid w:val="00B33993"/>
    <w:rsid w:val="00B43A9A"/>
    <w:rsid w:val="00B45D69"/>
    <w:rsid w:val="00B45FEC"/>
    <w:rsid w:val="00B467FB"/>
    <w:rsid w:val="00B50722"/>
    <w:rsid w:val="00B50F52"/>
    <w:rsid w:val="00B51251"/>
    <w:rsid w:val="00B52714"/>
    <w:rsid w:val="00B53A46"/>
    <w:rsid w:val="00B541ED"/>
    <w:rsid w:val="00B5458B"/>
    <w:rsid w:val="00B555E9"/>
    <w:rsid w:val="00B564B2"/>
    <w:rsid w:val="00B56E9B"/>
    <w:rsid w:val="00B64316"/>
    <w:rsid w:val="00B65B06"/>
    <w:rsid w:val="00B723D2"/>
    <w:rsid w:val="00B72533"/>
    <w:rsid w:val="00B72C93"/>
    <w:rsid w:val="00B7454B"/>
    <w:rsid w:val="00B75570"/>
    <w:rsid w:val="00B76852"/>
    <w:rsid w:val="00B80E84"/>
    <w:rsid w:val="00B81F36"/>
    <w:rsid w:val="00B83352"/>
    <w:rsid w:val="00B83AEE"/>
    <w:rsid w:val="00B8621F"/>
    <w:rsid w:val="00B86808"/>
    <w:rsid w:val="00B86EE2"/>
    <w:rsid w:val="00B90598"/>
    <w:rsid w:val="00B906B9"/>
    <w:rsid w:val="00B91E16"/>
    <w:rsid w:val="00B93BFD"/>
    <w:rsid w:val="00B93E60"/>
    <w:rsid w:val="00BA0B73"/>
    <w:rsid w:val="00BA11A0"/>
    <w:rsid w:val="00BA1CB1"/>
    <w:rsid w:val="00BA74A1"/>
    <w:rsid w:val="00BA7E4C"/>
    <w:rsid w:val="00BB3124"/>
    <w:rsid w:val="00BB4BB0"/>
    <w:rsid w:val="00BB60B6"/>
    <w:rsid w:val="00BB62AC"/>
    <w:rsid w:val="00BB6758"/>
    <w:rsid w:val="00BC05B7"/>
    <w:rsid w:val="00BC1146"/>
    <w:rsid w:val="00BC4DE3"/>
    <w:rsid w:val="00BC56FF"/>
    <w:rsid w:val="00BC64B8"/>
    <w:rsid w:val="00BD07E5"/>
    <w:rsid w:val="00BD0B82"/>
    <w:rsid w:val="00BD0E2B"/>
    <w:rsid w:val="00BD0E87"/>
    <w:rsid w:val="00BD0F2D"/>
    <w:rsid w:val="00BD126C"/>
    <w:rsid w:val="00BD396E"/>
    <w:rsid w:val="00BD4C26"/>
    <w:rsid w:val="00BD6BB3"/>
    <w:rsid w:val="00BE1523"/>
    <w:rsid w:val="00BE4CC4"/>
    <w:rsid w:val="00BF0C1A"/>
    <w:rsid w:val="00BF1DA8"/>
    <w:rsid w:val="00BF39A1"/>
    <w:rsid w:val="00BF512A"/>
    <w:rsid w:val="00BF5C64"/>
    <w:rsid w:val="00C00362"/>
    <w:rsid w:val="00C05539"/>
    <w:rsid w:val="00C06767"/>
    <w:rsid w:val="00C06C16"/>
    <w:rsid w:val="00C06E63"/>
    <w:rsid w:val="00C07A3B"/>
    <w:rsid w:val="00C106E4"/>
    <w:rsid w:val="00C1225F"/>
    <w:rsid w:val="00C13785"/>
    <w:rsid w:val="00C14500"/>
    <w:rsid w:val="00C15EAB"/>
    <w:rsid w:val="00C217C1"/>
    <w:rsid w:val="00C226DC"/>
    <w:rsid w:val="00C24003"/>
    <w:rsid w:val="00C25A6D"/>
    <w:rsid w:val="00C25DA1"/>
    <w:rsid w:val="00C26225"/>
    <w:rsid w:val="00C27EE9"/>
    <w:rsid w:val="00C32E67"/>
    <w:rsid w:val="00C347A8"/>
    <w:rsid w:val="00C35FB6"/>
    <w:rsid w:val="00C4507D"/>
    <w:rsid w:val="00C458BD"/>
    <w:rsid w:val="00C4592A"/>
    <w:rsid w:val="00C45FEE"/>
    <w:rsid w:val="00C4767B"/>
    <w:rsid w:val="00C50A18"/>
    <w:rsid w:val="00C51584"/>
    <w:rsid w:val="00C51912"/>
    <w:rsid w:val="00C55484"/>
    <w:rsid w:val="00C60622"/>
    <w:rsid w:val="00C60AD7"/>
    <w:rsid w:val="00C638AC"/>
    <w:rsid w:val="00C6676A"/>
    <w:rsid w:val="00C66FC3"/>
    <w:rsid w:val="00C71C64"/>
    <w:rsid w:val="00C722D1"/>
    <w:rsid w:val="00C73813"/>
    <w:rsid w:val="00C7531D"/>
    <w:rsid w:val="00C75D41"/>
    <w:rsid w:val="00C77FDA"/>
    <w:rsid w:val="00C82029"/>
    <w:rsid w:val="00C82B15"/>
    <w:rsid w:val="00C85571"/>
    <w:rsid w:val="00C85624"/>
    <w:rsid w:val="00C860D3"/>
    <w:rsid w:val="00C87B6D"/>
    <w:rsid w:val="00C90ED7"/>
    <w:rsid w:val="00C9192C"/>
    <w:rsid w:val="00C93295"/>
    <w:rsid w:val="00CA0F60"/>
    <w:rsid w:val="00CA2274"/>
    <w:rsid w:val="00CA476A"/>
    <w:rsid w:val="00CA50F1"/>
    <w:rsid w:val="00CA5323"/>
    <w:rsid w:val="00CA5DA0"/>
    <w:rsid w:val="00CA5E7D"/>
    <w:rsid w:val="00CA6570"/>
    <w:rsid w:val="00CA7168"/>
    <w:rsid w:val="00CA7B8D"/>
    <w:rsid w:val="00CB2804"/>
    <w:rsid w:val="00CB36A5"/>
    <w:rsid w:val="00CB4A10"/>
    <w:rsid w:val="00CB5B14"/>
    <w:rsid w:val="00CB72E9"/>
    <w:rsid w:val="00CB7C07"/>
    <w:rsid w:val="00CC397D"/>
    <w:rsid w:val="00CC40A4"/>
    <w:rsid w:val="00CC517C"/>
    <w:rsid w:val="00CC734A"/>
    <w:rsid w:val="00CC7BC4"/>
    <w:rsid w:val="00CD0BFE"/>
    <w:rsid w:val="00CD3610"/>
    <w:rsid w:val="00CD367E"/>
    <w:rsid w:val="00CD4436"/>
    <w:rsid w:val="00CD537E"/>
    <w:rsid w:val="00CD539F"/>
    <w:rsid w:val="00CD5478"/>
    <w:rsid w:val="00CD661A"/>
    <w:rsid w:val="00CE206D"/>
    <w:rsid w:val="00CE5338"/>
    <w:rsid w:val="00CE7641"/>
    <w:rsid w:val="00CF2AA9"/>
    <w:rsid w:val="00CF750D"/>
    <w:rsid w:val="00D0417D"/>
    <w:rsid w:val="00D05855"/>
    <w:rsid w:val="00D068FB"/>
    <w:rsid w:val="00D1330A"/>
    <w:rsid w:val="00D14ABD"/>
    <w:rsid w:val="00D159CA"/>
    <w:rsid w:val="00D15FDF"/>
    <w:rsid w:val="00D202DD"/>
    <w:rsid w:val="00D205ED"/>
    <w:rsid w:val="00D206A4"/>
    <w:rsid w:val="00D24741"/>
    <w:rsid w:val="00D279BC"/>
    <w:rsid w:val="00D313F4"/>
    <w:rsid w:val="00D31D28"/>
    <w:rsid w:val="00D338D0"/>
    <w:rsid w:val="00D34526"/>
    <w:rsid w:val="00D34762"/>
    <w:rsid w:val="00D35DEE"/>
    <w:rsid w:val="00D37CE8"/>
    <w:rsid w:val="00D42312"/>
    <w:rsid w:val="00D42B70"/>
    <w:rsid w:val="00D46EE5"/>
    <w:rsid w:val="00D500CA"/>
    <w:rsid w:val="00D51276"/>
    <w:rsid w:val="00D512E6"/>
    <w:rsid w:val="00D524DF"/>
    <w:rsid w:val="00D52BF3"/>
    <w:rsid w:val="00D52FF6"/>
    <w:rsid w:val="00D55290"/>
    <w:rsid w:val="00D56355"/>
    <w:rsid w:val="00D56D0F"/>
    <w:rsid w:val="00D601ED"/>
    <w:rsid w:val="00D6132F"/>
    <w:rsid w:val="00D62C90"/>
    <w:rsid w:val="00D62D37"/>
    <w:rsid w:val="00D633CE"/>
    <w:rsid w:val="00D63D67"/>
    <w:rsid w:val="00D6578F"/>
    <w:rsid w:val="00D65D7A"/>
    <w:rsid w:val="00D65FA2"/>
    <w:rsid w:val="00D667D1"/>
    <w:rsid w:val="00D670C3"/>
    <w:rsid w:val="00D70312"/>
    <w:rsid w:val="00D70513"/>
    <w:rsid w:val="00D709C3"/>
    <w:rsid w:val="00D74B68"/>
    <w:rsid w:val="00D74EDC"/>
    <w:rsid w:val="00D76473"/>
    <w:rsid w:val="00D77978"/>
    <w:rsid w:val="00D77DBD"/>
    <w:rsid w:val="00D83796"/>
    <w:rsid w:val="00D8529B"/>
    <w:rsid w:val="00D85AC1"/>
    <w:rsid w:val="00D85F9E"/>
    <w:rsid w:val="00D86423"/>
    <w:rsid w:val="00D90DA2"/>
    <w:rsid w:val="00D917DE"/>
    <w:rsid w:val="00D91D4C"/>
    <w:rsid w:val="00D952FA"/>
    <w:rsid w:val="00D96798"/>
    <w:rsid w:val="00DA05E6"/>
    <w:rsid w:val="00DA156B"/>
    <w:rsid w:val="00DA2597"/>
    <w:rsid w:val="00DA29C6"/>
    <w:rsid w:val="00DA3378"/>
    <w:rsid w:val="00DA360A"/>
    <w:rsid w:val="00DA398B"/>
    <w:rsid w:val="00DA5F43"/>
    <w:rsid w:val="00DB1FE3"/>
    <w:rsid w:val="00DB3755"/>
    <w:rsid w:val="00DB5650"/>
    <w:rsid w:val="00DB6B8A"/>
    <w:rsid w:val="00DB7C50"/>
    <w:rsid w:val="00DC11DB"/>
    <w:rsid w:val="00DC1F48"/>
    <w:rsid w:val="00DC733F"/>
    <w:rsid w:val="00DD0B4E"/>
    <w:rsid w:val="00DD1329"/>
    <w:rsid w:val="00DD68F8"/>
    <w:rsid w:val="00DD7270"/>
    <w:rsid w:val="00DD7BEB"/>
    <w:rsid w:val="00DE06C0"/>
    <w:rsid w:val="00DE201C"/>
    <w:rsid w:val="00DE3912"/>
    <w:rsid w:val="00DE7A0D"/>
    <w:rsid w:val="00DE7BBA"/>
    <w:rsid w:val="00DF0D22"/>
    <w:rsid w:val="00DF10C0"/>
    <w:rsid w:val="00DF5F92"/>
    <w:rsid w:val="00DF6846"/>
    <w:rsid w:val="00DF6FEC"/>
    <w:rsid w:val="00E027D3"/>
    <w:rsid w:val="00E0570C"/>
    <w:rsid w:val="00E15192"/>
    <w:rsid w:val="00E16869"/>
    <w:rsid w:val="00E2069A"/>
    <w:rsid w:val="00E22C25"/>
    <w:rsid w:val="00E22FDC"/>
    <w:rsid w:val="00E241F8"/>
    <w:rsid w:val="00E24898"/>
    <w:rsid w:val="00E26864"/>
    <w:rsid w:val="00E278A8"/>
    <w:rsid w:val="00E27F50"/>
    <w:rsid w:val="00E30F66"/>
    <w:rsid w:val="00E324EA"/>
    <w:rsid w:val="00E33836"/>
    <w:rsid w:val="00E347F4"/>
    <w:rsid w:val="00E354B0"/>
    <w:rsid w:val="00E422D2"/>
    <w:rsid w:val="00E51B51"/>
    <w:rsid w:val="00E51DB2"/>
    <w:rsid w:val="00E526AA"/>
    <w:rsid w:val="00E54030"/>
    <w:rsid w:val="00E549A0"/>
    <w:rsid w:val="00E57180"/>
    <w:rsid w:val="00E60718"/>
    <w:rsid w:val="00E6266B"/>
    <w:rsid w:val="00E6488B"/>
    <w:rsid w:val="00E65D66"/>
    <w:rsid w:val="00E66851"/>
    <w:rsid w:val="00E672B6"/>
    <w:rsid w:val="00E70C31"/>
    <w:rsid w:val="00E73519"/>
    <w:rsid w:val="00E73A1B"/>
    <w:rsid w:val="00E74B6A"/>
    <w:rsid w:val="00E757C3"/>
    <w:rsid w:val="00E758F6"/>
    <w:rsid w:val="00E77141"/>
    <w:rsid w:val="00E77D9E"/>
    <w:rsid w:val="00E83406"/>
    <w:rsid w:val="00E837C9"/>
    <w:rsid w:val="00E83ED4"/>
    <w:rsid w:val="00E8587D"/>
    <w:rsid w:val="00E905CD"/>
    <w:rsid w:val="00E9148B"/>
    <w:rsid w:val="00E9593A"/>
    <w:rsid w:val="00E97EBB"/>
    <w:rsid w:val="00EA634B"/>
    <w:rsid w:val="00EB477F"/>
    <w:rsid w:val="00EB5728"/>
    <w:rsid w:val="00EB576A"/>
    <w:rsid w:val="00EC0E27"/>
    <w:rsid w:val="00EC3338"/>
    <w:rsid w:val="00EC4E65"/>
    <w:rsid w:val="00EC5807"/>
    <w:rsid w:val="00EC5ED9"/>
    <w:rsid w:val="00EC6ED7"/>
    <w:rsid w:val="00EC7D24"/>
    <w:rsid w:val="00ED1C65"/>
    <w:rsid w:val="00ED2CB5"/>
    <w:rsid w:val="00ED3639"/>
    <w:rsid w:val="00ED4346"/>
    <w:rsid w:val="00ED4BA8"/>
    <w:rsid w:val="00ED5DA2"/>
    <w:rsid w:val="00ED6C57"/>
    <w:rsid w:val="00ED73EE"/>
    <w:rsid w:val="00ED7479"/>
    <w:rsid w:val="00EE1FAF"/>
    <w:rsid w:val="00EE3329"/>
    <w:rsid w:val="00EE5EF4"/>
    <w:rsid w:val="00EE73EF"/>
    <w:rsid w:val="00EF0335"/>
    <w:rsid w:val="00EF03E3"/>
    <w:rsid w:val="00EF0A97"/>
    <w:rsid w:val="00EF0F5E"/>
    <w:rsid w:val="00EF1125"/>
    <w:rsid w:val="00EF4B3F"/>
    <w:rsid w:val="00EF511E"/>
    <w:rsid w:val="00EF6507"/>
    <w:rsid w:val="00EF7C7E"/>
    <w:rsid w:val="00F029EC"/>
    <w:rsid w:val="00F030E1"/>
    <w:rsid w:val="00F04DE3"/>
    <w:rsid w:val="00F0502C"/>
    <w:rsid w:val="00F06773"/>
    <w:rsid w:val="00F131A1"/>
    <w:rsid w:val="00F1375B"/>
    <w:rsid w:val="00F14236"/>
    <w:rsid w:val="00F15F46"/>
    <w:rsid w:val="00F16A11"/>
    <w:rsid w:val="00F17703"/>
    <w:rsid w:val="00F17888"/>
    <w:rsid w:val="00F20EE7"/>
    <w:rsid w:val="00F2449F"/>
    <w:rsid w:val="00F24AE3"/>
    <w:rsid w:val="00F2540F"/>
    <w:rsid w:val="00F25784"/>
    <w:rsid w:val="00F3021B"/>
    <w:rsid w:val="00F3049E"/>
    <w:rsid w:val="00F31FB6"/>
    <w:rsid w:val="00F34B00"/>
    <w:rsid w:val="00F36270"/>
    <w:rsid w:val="00F36AE0"/>
    <w:rsid w:val="00F411FA"/>
    <w:rsid w:val="00F41D27"/>
    <w:rsid w:val="00F43855"/>
    <w:rsid w:val="00F44C9E"/>
    <w:rsid w:val="00F45D37"/>
    <w:rsid w:val="00F46A5F"/>
    <w:rsid w:val="00F47872"/>
    <w:rsid w:val="00F5208E"/>
    <w:rsid w:val="00F60899"/>
    <w:rsid w:val="00F61738"/>
    <w:rsid w:val="00F62ECE"/>
    <w:rsid w:val="00F63928"/>
    <w:rsid w:val="00F64868"/>
    <w:rsid w:val="00F657FD"/>
    <w:rsid w:val="00F6592F"/>
    <w:rsid w:val="00F66A32"/>
    <w:rsid w:val="00F67516"/>
    <w:rsid w:val="00F67845"/>
    <w:rsid w:val="00F70AF6"/>
    <w:rsid w:val="00F730D8"/>
    <w:rsid w:val="00F779F3"/>
    <w:rsid w:val="00F81D9F"/>
    <w:rsid w:val="00F83DB8"/>
    <w:rsid w:val="00F856BF"/>
    <w:rsid w:val="00F87E4E"/>
    <w:rsid w:val="00F93594"/>
    <w:rsid w:val="00F958C2"/>
    <w:rsid w:val="00F97963"/>
    <w:rsid w:val="00FA1203"/>
    <w:rsid w:val="00FA1619"/>
    <w:rsid w:val="00FA1E9F"/>
    <w:rsid w:val="00FA2924"/>
    <w:rsid w:val="00FA71C6"/>
    <w:rsid w:val="00FB6591"/>
    <w:rsid w:val="00FB6B05"/>
    <w:rsid w:val="00FB7D20"/>
    <w:rsid w:val="00FC07FA"/>
    <w:rsid w:val="00FC1DB7"/>
    <w:rsid w:val="00FC22C9"/>
    <w:rsid w:val="00FC4B38"/>
    <w:rsid w:val="00FC4EB8"/>
    <w:rsid w:val="00FC64BE"/>
    <w:rsid w:val="00FD0DE0"/>
    <w:rsid w:val="00FD2187"/>
    <w:rsid w:val="00FD2BFB"/>
    <w:rsid w:val="00FD54CD"/>
    <w:rsid w:val="00FD6975"/>
    <w:rsid w:val="00FE0641"/>
    <w:rsid w:val="00FE09C9"/>
    <w:rsid w:val="00FE18DE"/>
    <w:rsid w:val="00FE2214"/>
    <w:rsid w:val="00FE2A16"/>
    <w:rsid w:val="00FE3924"/>
    <w:rsid w:val="00FE4E58"/>
    <w:rsid w:val="00FF0E6A"/>
    <w:rsid w:val="00FF2389"/>
    <w:rsid w:val="00FF3F9F"/>
    <w:rsid w:val="00FF6E22"/>
    <w:rsid w:val="00FF744F"/>
    <w:rsid w:val="014C1E18"/>
    <w:rsid w:val="01B47FBD"/>
    <w:rsid w:val="029B53B0"/>
    <w:rsid w:val="05266F73"/>
    <w:rsid w:val="070A5E5E"/>
    <w:rsid w:val="07B84306"/>
    <w:rsid w:val="07BB5F9C"/>
    <w:rsid w:val="07D16B63"/>
    <w:rsid w:val="08F83CCB"/>
    <w:rsid w:val="0C2FDD8D"/>
    <w:rsid w:val="0D76AA1D"/>
    <w:rsid w:val="0D8CB7BC"/>
    <w:rsid w:val="0DB6FD22"/>
    <w:rsid w:val="0DCBADEE"/>
    <w:rsid w:val="0E5137FD"/>
    <w:rsid w:val="0EBAFAAB"/>
    <w:rsid w:val="0EC6A6A3"/>
    <w:rsid w:val="0F677E4F"/>
    <w:rsid w:val="10280BE3"/>
    <w:rsid w:val="122F921D"/>
    <w:rsid w:val="149D5EED"/>
    <w:rsid w:val="1821AAAC"/>
    <w:rsid w:val="199B1690"/>
    <w:rsid w:val="1AFC7BDD"/>
    <w:rsid w:val="1BF8EB0C"/>
    <w:rsid w:val="1D5675F6"/>
    <w:rsid w:val="1F1B5F80"/>
    <w:rsid w:val="2114C24D"/>
    <w:rsid w:val="2159E07A"/>
    <w:rsid w:val="220BE01C"/>
    <w:rsid w:val="224FE3AC"/>
    <w:rsid w:val="22F5B0DB"/>
    <w:rsid w:val="2403FCF1"/>
    <w:rsid w:val="25899ABA"/>
    <w:rsid w:val="259FCD52"/>
    <w:rsid w:val="264BBC11"/>
    <w:rsid w:val="26DF513F"/>
    <w:rsid w:val="277931E1"/>
    <w:rsid w:val="2A5AF591"/>
    <w:rsid w:val="2A8E9B7E"/>
    <w:rsid w:val="2C0FEE4F"/>
    <w:rsid w:val="2C36397E"/>
    <w:rsid w:val="2CB25275"/>
    <w:rsid w:val="320F776C"/>
    <w:rsid w:val="32A96ACE"/>
    <w:rsid w:val="34F22B9B"/>
    <w:rsid w:val="359DA838"/>
    <w:rsid w:val="365D3FD4"/>
    <w:rsid w:val="367B5F64"/>
    <w:rsid w:val="37B9F54D"/>
    <w:rsid w:val="3823E480"/>
    <w:rsid w:val="382C5C13"/>
    <w:rsid w:val="39C82C74"/>
    <w:rsid w:val="3A7906E1"/>
    <w:rsid w:val="3B30B0F7"/>
    <w:rsid w:val="3BFECB7B"/>
    <w:rsid w:val="3CA380C2"/>
    <w:rsid w:val="3CBD4E59"/>
    <w:rsid w:val="414860CC"/>
    <w:rsid w:val="427A8D11"/>
    <w:rsid w:val="428418C6"/>
    <w:rsid w:val="44165D72"/>
    <w:rsid w:val="450232DF"/>
    <w:rsid w:val="46C180A0"/>
    <w:rsid w:val="474DFE34"/>
    <w:rsid w:val="48176AD5"/>
    <w:rsid w:val="485D5101"/>
    <w:rsid w:val="4A2EA3E2"/>
    <w:rsid w:val="4B5A79E8"/>
    <w:rsid w:val="4B5F977C"/>
    <w:rsid w:val="4C9D2153"/>
    <w:rsid w:val="4DBD3FB8"/>
    <w:rsid w:val="4F83E464"/>
    <w:rsid w:val="50272A9D"/>
    <w:rsid w:val="50F4E07A"/>
    <w:rsid w:val="51D906C5"/>
    <w:rsid w:val="5211A523"/>
    <w:rsid w:val="5290B0DB"/>
    <w:rsid w:val="5330D396"/>
    <w:rsid w:val="536E03CD"/>
    <w:rsid w:val="53E9A635"/>
    <w:rsid w:val="5510A787"/>
    <w:rsid w:val="560ED721"/>
    <w:rsid w:val="58E1ED5A"/>
    <w:rsid w:val="5A1732B2"/>
    <w:rsid w:val="5B0CA2CC"/>
    <w:rsid w:val="5B248E13"/>
    <w:rsid w:val="5C85B023"/>
    <w:rsid w:val="5CA6BA73"/>
    <w:rsid w:val="5DD14994"/>
    <w:rsid w:val="5EB789CD"/>
    <w:rsid w:val="5F42D871"/>
    <w:rsid w:val="61AD25E8"/>
    <w:rsid w:val="647EBDE3"/>
    <w:rsid w:val="64C64488"/>
    <w:rsid w:val="662A2AEC"/>
    <w:rsid w:val="66B47D71"/>
    <w:rsid w:val="675932B8"/>
    <w:rsid w:val="69C5AB7B"/>
    <w:rsid w:val="6A52FF85"/>
    <w:rsid w:val="6CFD4C3D"/>
    <w:rsid w:val="6E991C9E"/>
    <w:rsid w:val="6EF66375"/>
    <w:rsid w:val="705B5FB7"/>
    <w:rsid w:val="708D4764"/>
    <w:rsid w:val="71D0BD60"/>
    <w:rsid w:val="71F73018"/>
    <w:rsid w:val="739F808B"/>
    <w:rsid w:val="761789B1"/>
    <w:rsid w:val="765F1056"/>
    <w:rsid w:val="7695614D"/>
    <w:rsid w:val="77613BFF"/>
    <w:rsid w:val="77FAE0B7"/>
    <w:rsid w:val="783FFEE4"/>
    <w:rsid w:val="794F2A73"/>
    <w:rsid w:val="7A02BE1E"/>
    <w:rsid w:val="7A5667E9"/>
    <w:rsid w:val="7AEAFAD4"/>
    <w:rsid w:val="7BD566BB"/>
    <w:rsid w:val="7E1F05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5614D"/>
  <w15:chartTrackingRefBased/>
  <w15:docId w15:val="{F195BD52-9577-49B8-A481-34BE0E10A4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00BBD"/>
    <w:pPr>
      <w:keepNext/>
      <w:keepLines/>
      <w:spacing w:before="240" w:after="0"/>
      <w:outlineLvl w:val="0"/>
    </w:pPr>
    <w:rPr>
      <w:rFonts w:asciiTheme="majorHAnsi" w:hAnsiTheme="majorHAnsi" w:eastAsiaTheme="majorEastAsia" w:cstheme="majorBidi"/>
      <w:b/>
      <w:sz w:val="32"/>
      <w:szCs w:val="32"/>
    </w:rPr>
  </w:style>
  <w:style w:type="paragraph" w:styleId="Heading2">
    <w:name w:val="heading 2"/>
    <w:basedOn w:val="Normal"/>
    <w:next w:val="Normal"/>
    <w:link w:val="Heading2Char"/>
    <w:uiPriority w:val="9"/>
    <w:unhideWhenUsed/>
    <w:qFormat/>
    <w:rsid w:val="00700BBD"/>
    <w:pPr>
      <w:keepNext/>
      <w:keepLines/>
      <w:spacing w:before="40" w:after="0"/>
      <w:outlineLvl w:val="1"/>
    </w:pPr>
    <w:rPr>
      <w:rFonts w:asciiTheme="majorHAnsi" w:hAnsiTheme="majorHAnsi" w:eastAsiaTheme="majorEastAsia" w:cstheme="majorBidi"/>
      <w:b/>
      <w:sz w:val="26"/>
      <w:szCs w:val="26"/>
    </w:rPr>
  </w:style>
  <w:style w:type="paragraph" w:styleId="Heading3">
    <w:name w:val="heading 3"/>
    <w:basedOn w:val="Normal"/>
    <w:next w:val="Normal"/>
    <w:link w:val="Heading3Char"/>
    <w:uiPriority w:val="9"/>
    <w:unhideWhenUsed/>
    <w:qFormat/>
    <w:rsid w:val="00700BBD"/>
    <w:pPr>
      <w:keepNext/>
      <w:keepLines/>
      <w:spacing w:before="40" w:after="0"/>
      <w:outlineLvl w:val="2"/>
    </w:pPr>
    <w:rPr>
      <w:rFonts w:asciiTheme="majorHAnsi" w:hAnsiTheme="majorHAnsi" w:eastAsiaTheme="majorEastAsia" w:cstheme="majorBidi"/>
      <w:b/>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ibliography">
    <w:name w:val="Bibliography"/>
    <w:basedOn w:val="Normal"/>
    <w:next w:val="Normal"/>
    <w:uiPriority w:val="37"/>
    <w:unhideWhenUsed/>
    <w:rsid w:val="00F34B00"/>
    <w:pPr>
      <w:tabs>
        <w:tab w:val="left" w:pos="504"/>
      </w:tabs>
      <w:spacing w:after="0" w:line="240" w:lineRule="auto"/>
      <w:ind w:left="504" w:hanging="504"/>
    </w:pPr>
  </w:style>
  <w:style w:type="paragraph" w:styleId="ListParagraph">
    <w:name w:val="List Paragraph"/>
    <w:basedOn w:val="Normal"/>
    <w:uiPriority w:val="34"/>
    <w:qFormat/>
    <w:rsid w:val="006C57B3"/>
    <w:pPr>
      <w:ind w:left="720"/>
      <w:contextualSpacing/>
    </w:pPr>
  </w:style>
  <w:style w:type="table" w:styleId="TableGrid">
    <w:name w:val="Table Grid"/>
    <w:basedOn w:val="TableNormal"/>
    <w:uiPriority w:val="39"/>
    <w:rsid w:val="00515B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6E3F16"/>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6E3F16"/>
    <w:rPr>
      <w:sz w:val="20"/>
      <w:szCs w:val="20"/>
    </w:rPr>
  </w:style>
  <w:style w:type="character" w:styleId="FootnoteReference">
    <w:name w:val="footnote reference"/>
    <w:basedOn w:val="DefaultParagraphFont"/>
    <w:uiPriority w:val="99"/>
    <w:semiHidden/>
    <w:unhideWhenUsed/>
    <w:rsid w:val="006E3F16"/>
    <w:rPr>
      <w:vertAlign w:val="superscript"/>
    </w:rPr>
  </w:style>
  <w:style w:type="character" w:styleId="Heading1Char" w:customStyle="1">
    <w:name w:val="Heading 1 Char"/>
    <w:basedOn w:val="DefaultParagraphFont"/>
    <w:link w:val="Heading1"/>
    <w:uiPriority w:val="9"/>
    <w:rsid w:val="00700BBD"/>
    <w:rPr>
      <w:rFonts w:asciiTheme="majorHAnsi" w:hAnsiTheme="majorHAnsi" w:eastAsiaTheme="majorEastAsia" w:cstheme="majorBidi"/>
      <w:b/>
      <w:sz w:val="32"/>
      <w:szCs w:val="32"/>
    </w:rPr>
  </w:style>
  <w:style w:type="character" w:styleId="Heading2Char" w:customStyle="1">
    <w:name w:val="Heading 2 Char"/>
    <w:basedOn w:val="DefaultParagraphFont"/>
    <w:link w:val="Heading2"/>
    <w:uiPriority w:val="9"/>
    <w:rsid w:val="00700BBD"/>
    <w:rPr>
      <w:rFonts w:asciiTheme="majorHAnsi" w:hAnsiTheme="majorHAnsi" w:eastAsiaTheme="majorEastAsia" w:cstheme="majorBidi"/>
      <w:b/>
      <w:sz w:val="26"/>
      <w:szCs w:val="26"/>
    </w:rPr>
  </w:style>
  <w:style w:type="character" w:styleId="Heading3Char" w:customStyle="1">
    <w:name w:val="Heading 3 Char"/>
    <w:basedOn w:val="DefaultParagraphFont"/>
    <w:link w:val="Heading3"/>
    <w:uiPriority w:val="9"/>
    <w:rsid w:val="00700BBD"/>
    <w:rPr>
      <w:rFonts w:asciiTheme="majorHAnsi" w:hAnsiTheme="majorHAnsi" w:eastAsiaTheme="majorEastAsia" w:cstheme="majorBidi"/>
      <w:b/>
      <w:sz w:val="24"/>
      <w:szCs w:val="24"/>
    </w:rPr>
  </w:style>
  <w:style w:type="paragraph" w:styleId="CommentSubject">
    <w:name w:val="annotation subject"/>
    <w:basedOn w:val="CommentText"/>
    <w:next w:val="CommentText"/>
    <w:link w:val="CommentSubjectChar"/>
    <w:uiPriority w:val="99"/>
    <w:semiHidden/>
    <w:unhideWhenUsed/>
    <w:rsid w:val="00D74EDC"/>
    <w:rPr>
      <w:b/>
      <w:bCs/>
    </w:rPr>
  </w:style>
  <w:style w:type="character" w:styleId="CommentSubjectChar" w:customStyle="1">
    <w:name w:val="Comment Subject Char"/>
    <w:basedOn w:val="CommentTextChar"/>
    <w:link w:val="CommentSubject"/>
    <w:uiPriority w:val="99"/>
    <w:semiHidden/>
    <w:rsid w:val="00D74EDC"/>
    <w:rPr>
      <w:b/>
      <w:bCs/>
      <w:sz w:val="20"/>
      <w:szCs w:val="20"/>
    </w:rPr>
  </w:style>
  <w:style w:type="paragraph" w:styleId="Header">
    <w:name w:val="header"/>
    <w:basedOn w:val="Normal"/>
    <w:link w:val="HeaderChar"/>
    <w:uiPriority w:val="99"/>
    <w:unhideWhenUsed/>
    <w:rsid w:val="004F2857"/>
    <w:pPr>
      <w:tabs>
        <w:tab w:val="center" w:pos="4513"/>
        <w:tab w:val="right" w:pos="9026"/>
      </w:tabs>
      <w:spacing w:after="0" w:line="240" w:lineRule="auto"/>
    </w:pPr>
  </w:style>
  <w:style w:type="character" w:styleId="HeaderChar" w:customStyle="1">
    <w:name w:val="Header Char"/>
    <w:basedOn w:val="DefaultParagraphFont"/>
    <w:link w:val="Header"/>
    <w:uiPriority w:val="99"/>
    <w:rsid w:val="004F2857"/>
  </w:style>
  <w:style w:type="paragraph" w:styleId="Footer">
    <w:name w:val="footer"/>
    <w:basedOn w:val="Normal"/>
    <w:link w:val="FooterChar"/>
    <w:uiPriority w:val="99"/>
    <w:unhideWhenUsed/>
    <w:rsid w:val="004F2857"/>
    <w:pPr>
      <w:tabs>
        <w:tab w:val="center" w:pos="4513"/>
        <w:tab w:val="right" w:pos="9026"/>
      </w:tabs>
      <w:spacing w:after="0" w:line="240" w:lineRule="auto"/>
    </w:pPr>
  </w:style>
  <w:style w:type="character" w:styleId="FooterChar" w:customStyle="1">
    <w:name w:val="Footer Char"/>
    <w:basedOn w:val="DefaultParagraphFont"/>
    <w:link w:val="Footer"/>
    <w:uiPriority w:val="99"/>
    <w:rsid w:val="004F2857"/>
  </w:style>
  <w:style w:type="character" w:styleId="Hyperlink">
    <w:name w:val="Hyperlink"/>
    <w:basedOn w:val="DefaultParagraphFont"/>
    <w:uiPriority w:val="99"/>
    <w:unhideWhenUsed/>
    <w:rsid w:val="005272E8"/>
    <w:rPr>
      <w:color w:val="0563C1" w:themeColor="hyperlink"/>
      <w:u w:val="single"/>
    </w:rPr>
  </w:style>
  <w:style w:type="character" w:styleId="UnresolvedMention">
    <w:name w:val="Unresolved Mention"/>
    <w:basedOn w:val="DefaultParagraphFont"/>
    <w:uiPriority w:val="99"/>
    <w:semiHidden/>
    <w:unhideWhenUsed/>
    <w:rsid w:val="005272E8"/>
    <w:rPr>
      <w:color w:val="605E5C"/>
      <w:shd w:val="clear" w:color="auto" w:fill="E1DFDD"/>
    </w:rPr>
  </w:style>
  <w:style w:type="character" w:styleId="normaltextrun" w:customStyle="1">
    <w:name w:val="normaltextrun"/>
    <w:basedOn w:val="DefaultParagraphFont"/>
    <w:rsid w:val="006A4874"/>
  </w:style>
  <w:style w:type="character" w:styleId="eop" w:customStyle="1">
    <w:name w:val="eop"/>
    <w:basedOn w:val="DefaultParagraphFont"/>
    <w:rsid w:val="006A4874"/>
  </w:style>
  <w:style w:type="paragraph" w:styleId="paragraph" w:customStyle="1">
    <w:name w:val="paragraph"/>
    <w:basedOn w:val="Normal"/>
    <w:rsid w:val="00BF1DA8"/>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Revision">
    <w:name w:val="Revision"/>
    <w:hidden/>
    <w:uiPriority w:val="99"/>
    <w:semiHidden/>
    <w:rsid w:val="00F17703"/>
    <w:pPr>
      <w:spacing w:after="0" w:line="240" w:lineRule="auto"/>
    </w:pPr>
  </w:style>
  <w:style w:type="character" w:styleId="cf01" w:customStyle="1">
    <w:name w:val="cf01"/>
    <w:basedOn w:val="DefaultParagraphFont"/>
    <w:rsid w:val="00DE3912"/>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930678">
      <w:bodyDiv w:val="1"/>
      <w:marLeft w:val="0"/>
      <w:marRight w:val="0"/>
      <w:marTop w:val="0"/>
      <w:marBottom w:val="0"/>
      <w:divBdr>
        <w:top w:val="none" w:sz="0" w:space="0" w:color="auto"/>
        <w:left w:val="none" w:sz="0" w:space="0" w:color="auto"/>
        <w:bottom w:val="none" w:sz="0" w:space="0" w:color="auto"/>
        <w:right w:val="none" w:sz="0" w:space="0" w:color="auto"/>
      </w:divBdr>
      <w:divsChild>
        <w:div w:id="1322351015">
          <w:marLeft w:val="0"/>
          <w:marRight w:val="0"/>
          <w:marTop w:val="0"/>
          <w:marBottom w:val="0"/>
          <w:divBdr>
            <w:top w:val="none" w:sz="0" w:space="0" w:color="auto"/>
            <w:left w:val="none" w:sz="0" w:space="0" w:color="auto"/>
            <w:bottom w:val="none" w:sz="0" w:space="0" w:color="auto"/>
            <w:right w:val="none" w:sz="0" w:space="0" w:color="auto"/>
          </w:divBdr>
        </w:div>
      </w:divsChild>
    </w:div>
    <w:div w:id="664405634">
      <w:bodyDiv w:val="1"/>
      <w:marLeft w:val="0"/>
      <w:marRight w:val="0"/>
      <w:marTop w:val="0"/>
      <w:marBottom w:val="0"/>
      <w:divBdr>
        <w:top w:val="none" w:sz="0" w:space="0" w:color="auto"/>
        <w:left w:val="none" w:sz="0" w:space="0" w:color="auto"/>
        <w:bottom w:val="none" w:sz="0" w:space="0" w:color="auto"/>
        <w:right w:val="none" w:sz="0" w:space="0" w:color="auto"/>
      </w:divBdr>
      <w:divsChild>
        <w:div w:id="2094812445">
          <w:marLeft w:val="0"/>
          <w:marRight w:val="0"/>
          <w:marTop w:val="0"/>
          <w:marBottom w:val="0"/>
          <w:divBdr>
            <w:top w:val="none" w:sz="0" w:space="0" w:color="auto"/>
            <w:left w:val="none" w:sz="0" w:space="0" w:color="auto"/>
            <w:bottom w:val="none" w:sz="0" w:space="0" w:color="auto"/>
            <w:right w:val="none" w:sz="0" w:space="0" w:color="auto"/>
          </w:divBdr>
        </w:div>
        <w:div w:id="1872067724">
          <w:marLeft w:val="0"/>
          <w:marRight w:val="0"/>
          <w:marTop w:val="0"/>
          <w:marBottom w:val="0"/>
          <w:divBdr>
            <w:top w:val="none" w:sz="0" w:space="0" w:color="auto"/>
            <w:left w:val="none" w:sz="0" w:space="0" w:color="auto"/>
            <w:bottom w:val="none" w:sz="0" w:space="0" w:color="auto"/>
            <w:right w:val="none" w:sz="0" w:space="0" w:color="auto"/>
          </w:divBdr>
        </w:div>
      </w:divsChild>
    </w:div>
    <w:div w:id="1593321795">
      <w:bodyDiv w:val="1"/>
      <w:marLeft w:val="0"/>
      <w:marRight w:val="0"/>
      <w:marTop w:val="0"/>
      <w:marBottom w:val="0"/>
      <w:divBdr>
        <w:top w:val="none" w:sz="0" w:space="0" w:color="auto"/>
        <w:left w:val="none" w:sz="0" w:space="0" w:color="auto"/>
        <w:bottom w:val="none" w:sz="0" w:space="0" w:color="auto"/>
        <w:right w:val="none" w:sz="0" w:space="0" w:color="auto"/>
      </w:divBdr>
      <w:divsChild>
        <w:div w:id="520167529">
          <w:marLeft w:val="0"/>
          <w:marRight w:val="0"/>
          <w:marTop w:val="0"/>
          <w:marBottom w:val="0"/>
          <w:divBdr>
            <w:top w:val="none" w:sz="0" w:space="0" w:color="auto"/>
            <w:left w:val="none" w:sz="0" w:space="0" w:color="auto"/>
            <w:bottom w:val="none" w:sz="0" w:space="0" w:color="auto"/>
            <w:right w:val="none" w:sz="0" w:space="0" w:color="auto"/>
          </w:divBdr>
        </w:div>
      </w:divsChild>
    </w:div>
    <w:div w:id="1696689399">
      <w:bodyDiv w:val="1"/>
      <w:marLeft w:val="0"/>
      <w:marRight w:val="0"/>
      <w:marTop w:val="0"/>
      <w:marBottom w:val="0"/>
      <w:divBdr>
        <w:top w:val="none" w:sz="0" w:space="0" w:color="auto"/>
        <w:left w:val="none" w:sz="0" w:space="0" w:color="auto"/>
        <w:bottom w:val="none" w:sz="0" w:space="0" w:color="auto"/>
        <w:right w:val="none" w:sz="0" w:space="0" w:color="auto"/>
      </w:divBdr>
      <w:divsChild>
        <w:div w:id="1991592608">
          <w:marLeft w:val="0"/>
          <w:marRight w:val="0"/>
          <w:marTop w:val="0"/>
          <w:marBottom w:val="0"/>
          <w:divBdr>
            <w:top w:val="none" w:sz="0" w:space="0" w:color="auto"/>
            <w:left w:val="none" w:sz="0" w:space="0" w:color="auto"/>
            <w:bottom w:val="none" w:sz="0" w:space="0" w:color="auto"/>
            <w:right w:val="none" w:sz="0" w:space="0" w:color="auto"/>
          </w:divBdr>
        </w:div>
        <w:div w:id="2096322966">
          <w:marLeft w:val="0"/>
          <w:marRight w:val="0"/>
          <w:marTop w:val="0"/>
          <w:marBottom w:val="0"/>
          <w:divBdr>
            <w:top w:val="none" w:sz="0" w:space="0" w:color="auto"/>
            <w:left w:val="none" w:sz="0" w:space="0" w:color="auto"/>
            <w:bottom w:val="none" w:sz="0" w:space="0" w:color="auto"/>
            <w:right w:val="none" w:sz="0" w:space="0" w:color="auto"/>
          </w:divBdr>
        </w:div>
        <w:div w:id="2006780594">
          <w:marLeft w:val="0"/>
          <w:marRight w:val="0"/>
          <w:marTop w:val="0"/>
          <w:marBottom w:val="0"/>
          <w:divBdr>
            <w:top w:val="none" w:sz="0" w:space="0" w:color="auto"/>
            <w:left w:val="none" w:sz="0" w:space="0" w:color="auto"/>
            <w:bottom w:val="none" w:sz="0" w:space="0" w:color="auto"/>
            <w:right w:val="none" w:sz="0" w:space="0" w:color="auto"/>
          </w:divBdr>
        </w:div>
      </w:divsChild>
    </w:div>
    <w:div w:id="1791629868">
      <w:bodyDiv w:val="1"/>
      <w:marLeft w:val="0"/>
      <w:marRight w:val="0"/>
      <w:marTop w:val="0"/>
      <w:marBottom w:val="0"/>
      <w:divBdr>
        <w:top w:val="none" w:sz="0" w:space="0" w:color="auto"/>
        <w:left w:val="none" w:sz="0" w:space="0" w:color="auto"/>
        <w:bottom w:val="none" w:sz="0" w:space="0" w:color="auto"/>
        <w:right w:val="none" w:sz="0" w:space="0" w:color="auto"/>
      </w:divBdr>
      <w:divsChild>
        <w:div w:id="731316707">
          <w:marLeft w:val="0"/>
          <w:marRight w:val="0"/>
          <w:marTop w:val="0"/>
          <w:marBottom w:val="0"/>
          <w:divBdr>
            <w:top w:val="none" w:sz="0" w:space="0" w:color="auto"/>
            <w:left w:val="none" w:sz="0" w:space="0" w:color="auto"/>
            <w:bottom w:val="none" w:sz="0" w:space="0" w:color="auto"/>
            <w:right w:val="none" w:sz="0" w:space="0" w:color="auto"/>
          </w:divBdr>
        </w:div>
      </w:divsChild>
    </w:div>
    <w:div w:id="1898081993">
      <w:bodyDiv w:val="1"/>
      <w:marLeft w:val="0"/>
      <w:marRight w:val="0"/>
      <w:marTop w:val="0"/>
      <w:marBottom w:val="0"/>
      <w:divBdr>
        <w:top w:val="none" w:sz="0" w:space="0" w:color="auto"/>
        <w:left w:val="none" w:sz="0" w:space="0" w:color="auto"/>
        <w:bottom w:val="none" w:sz="0" w:space="0" w:color="auto"/>
        <w:right w:val="none" w:sz="0" w:space="0" w:color="auto"/>
      </w:divBdr>
    </w:div>
    <w:div w:id="1992518170">
      <w:bodyDiv w:val="1"/>
      <w:marLeft w:val="0"/>
      <w:marRight w:val="0"/>
      <w:marTop w:val="0"/>
      <w:marBottom w:val="0"/>
      <w:divBdr>
        <w:top w:val="none" w:sz="0" w:space="0" w:color="auto"/>
        <w:left w:val="none" w:sz="0" w:space="0" w:color="auto"/>
        <w:bottom w:val="none" w:sz="0" w:space="0" w:color="auto"/>
        <w:right w:val="none" w:sz="0" w:space="0" w:color="auto"/>
      </w:divBdr>
    </w:div>
    <w:div w:id="2052417202">
      <w:bodyDiv w:val="1"/>
      <w:marLeft w:val="0"/>
      <w:marRight w:val="0"/>
      <w:marTop w:val="0"/>
      <w:marBottom w:val="0"/>
      <w:divBdr>
        <w:top w:val="none" w:sz="0" w:space="0" w:color="auto"/>
        <w:left w:val="none" w:sz="0" w:space="0" w:color="auto"/>
        <w:bottom w:val="none" w:sz="0" w:space="0" w:color="auto"/>
        <w:right w:val="none" w:sz="0" w:space="0" w:color="auto"/>
      </w:divBdr>
      <w:divsChild>
        <w:div w:id="1721787402">
          <w:marLeft w:val="0"/>
          <w:marRight w:val="0"/>
          <w:marTop w:val="0"/>
          <w:marBottom w:val="0"/>
          <w:divBdr>
            <w:top w:val="none" w:sz="0" w:space="0" w:color="auto"/>
            <w:left w:val="none" w:sz="0" w:space="0" w:color="auto"/>
            <w:bottom w:val="none" w:sz="0" w:space="0" w:color="auto"/>
            <w:right w:val="none" w:sz="0" w:space="0" w:color="auto"/>
          </w:divBdr>
        </w:div>
        <w:div w:id="1720859888">
          <w:marLeft w:val="0"/>
          <w:marRight w:val="0"/>
          <w:marTop w:val="0"/>
          <w:marBottom w:val="0"/>
          <w:divBdr>
            <w:top w:val="none" w:sz="0" w:space="0" w:color="auto"/>
            <w:left w:val="none" w:sz="0" w:space="0" w:color="auto"/>
            <w:bottom w:val="none" w:sz="0" w:space="0" w:color="auto"/>
            <w:right w:val="none" w:sz="0" w:space="0" w:color="auto"/>
          </w:divBdr>
        </w:div>
        <w:div w:id="1801411731">
          <w:marLeft w:val="0"/>
          <w:marRight w:val="0"/>
          <w:marTop w:val="0"/>
          <w:marBottom w:val="0"/>
          <w:divBdr>
            <w:top w:val="none" w:sz="0" w:space="0" w:color="auto"/>
            <w:left w:val="none" w:sz="0" w:space="0" w:color="auto"/>
            <w:bottom w:val="none" w:sz="0" w:space="0" w:color="auto"/>
            <w:right w:val="none" w:sz="0" w:space="0" w:color="auto"/>
          </w:divBdr>
        </w:div>
        <w:div w:id="230509693">
          <w:marLeft w:val="0"/>
          <w:marRight w:val="0"/>
          <w:marTop w:val="0"/>
          <w:marBottom w:val="0"/>
          <w:divBdr>
            <w:top w:val="none" w:sz="0" w:space="0" w:color="auto"/>
            <w:left w:val="none" w:sz="0" w:space="0" w:color="auto"/>
            <w:bottom w:val="none" w:sz="0" w:space="0" w:color="auto"/>
            <w:right w:val="none" w:sz="0" w:space="0" w:color="auto"/>
          </w:divBdr>
        </w:div>
        <w:div w:id="2094274809">
          <w:marLeft w:val="0"/>
          <w:marRight w:val="0"/>
          <w:marTop w:val="0"/>
          <w:marBottom w:val="0"/>
          <w:divBdr>
            <w:top w:val="none" w:sz="0" w:space="0" w:color="auto"/>
            <w:left w:val="none" w:sz="0" w:space="0" w:color="auto"/>
            <w:bottom w:val="none" w:sz="0" w:space="0" w:color="auto"/>
            <w:right w:val="none" w:sz="0" w:space="0" w:color="auto"/>
          </w:divBdr>
        </w:div>
        <w:div w:id="628508837">
          <w:marLeft w:val="0"/>
          <w:marRight w:val="0"/>
          <w:marTop w:val="0"/>
          <w:marBottom w:val="0"/>
          <w:divBdr>
            <w:top w:val="none" w:sz="0" w:space="0" w:color="auto"/>
            <w:left w:val="none" w:sz="0" w:space="0" w:color="auto"/>
            <w:bottom w:val="none" w:sz="0" w:space="0" w:color="auto"/>
            <w:right w:val="none" w:sz="0" w:space="0" w:color="auto"/>
          </w:divBdr>
        </w:div>
        <w:div w:id="2095466647">
          <w:marLeft w:val="0"/>
          <w:marRight w:val="0"/>
          <w:marTop w:val="0"/>
          <w:marBottom w:val="0"/>
          <w:divBdr>
            <w:top w:val="none" w:sz="0" w:space="0" w:color="auto"/>
            <w:left w:val="none" w:sz="0" w:space="0" w:color="auto"/>
            <w:bottom w:val="none" w:sz="0" w:space="0" w:color="auto"/>
            <w:right w:val="none" w:sz="0" w:space="0" w:color="auto"/>
          </w:divBdr>
        </w:div>
        <w:div w:id="1610354265">
          <w:marLeft w:val="0"/>
          <w:marRight w:val="0"/>
          <w:marTop w:val="0"/>
          <w:marBottom w:val="0"/>
          <w:divBdr>
            <w:top w:val="none" w:sz="0" w:space="0" w:color="auto"/>
            <w:left w:val="none" w:sz="0" w:space="0" w:color="auto"/>
            <w:bottom w:val="none" w:sz="0" w:space="0" w:color="auto"/>
            <w:right w:val="none" w:sz="0" w:space="0" w:color="auto"/>
          </w:divBdr>
        </w:div>
        <w:div w:id="123086231">
          <w:marLeft w:val="0"/>
          <w:marRight w:val="0"/>
          <w:marTop w:val="0"/>
          <w:marBottom w:val="0"/>
          <w:divBdr>
            <w:top w:val="none" w:sz="0" w:space="0" w:color="auto"/>
            <w:left w:val="none" w:sz="0" w:space="0" w:color="auto"/>
            <w:bottom w:val="none" w:sz="0" w:space="0" w:color="auto"/>
            <w:right w:val="none" w:sz="0" w:space="0" w:color="auto"/>
          </w:divBdr>
        </w:div>
        <w:div w:id="304046252">
          <w:marLeft w:val="0"/>
          <w:marRight w:val="0"/>
          <w:marTop w:val="0"/>
          <w:marBottom w:val="0"/>
          <w:divBdr>
            <w:top w:val="none" w:sz="0" w:space="0" w:color="auto"/>
            <w:left w:val="none" w:sz="0" w:space="0" w:color="auto"/>
            <w:bottom w:val="none" w:sz="0" w:space="0" w:color="auto"/>
            <w:right w:val="none" w:sz="0" w:space="0" w:color="auto"/>
          </w:divBdr>
        </w:div>
        <w:div w:id="942958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diagramQuickStyle" Target="diagrams/quickStyle1.xml" Id="rId13" /><Relationship Type="http://schemas.openxmlformats.org/officeDocument/2006/relationships/diagramQuickStyle" Target="diagrams/quickStyle2.xm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www.onlinesurveys.ac.uk" TargetMode="External" Id="rId21" /><Relationship Type="http://schemas.openxmlformats.org/officeDocument/2006/relationships/webSettings" Target="webSettings.xml" Id="rId7" /><Relationship Type="http://schemas.openxmlformats.org/officeDocument/2006/relationships/diagramLayout" Target="diagrams/layout1.xml" Id="rId12" /><Relationship Type="http://schemas.openxmlformats.org/officeDocument/2006/relationships/diagramLayout" Target="diagrams/layout2.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diagramData" Target="diagrams/data2.xml" Id="rId16" /><Relationship Type="http://schemas.microsoft.com/office/2007/relationships/diagramDrawing" Target="diagrams/drawing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diagramData" Target="diagrams/data1.xml" Id="rId11" /><Relationship Type="http://schemas.openxmlformats.org/officeDocument/2006/relationships/footer" Target="footer1.xml" Id="rId24" /><Relationship Type="http://schemas.openxmlformats.org/officeDocument/2006/relationships/styles" Target="styles.xml" Id="rId5" /><Relationship Type="http://schemas.microsoft.com/office/2007/relationships/diagramDrawing" Target="diagrams/drawing1.xml" Id="rId15" /><Relationship Type="http://schemas.openxmlformats.org/officeDocument/2006/relationships/image" Target="media/image3.png" Id="rId23" /><Relationship Type="http://schemas.openxmlformats.org/officeDocument/2006/relationships/image" Target="media/image1.png" Id="rId10" /><Relationship Type="http://schemas.openxmlformats.org/officeDocument/2006/relationships/diagramColors" Target="diagrams/colors2.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diagramColors" Target="diagrams/colors1.xml" Id="rId14" /><Relationship Type="http://schemas.openxmlformats.org/officeDocument/2006/relationships/image" Target="media/image2.png" Id="rId22" /><Relationship Type="http://schemas.microsoft.com/office/2020/10/relationships/intelligence" Target="intelligence2.xml" Id="rId27" /><Relationship Type="http://schemas.openxmlformats.org/officeDocument/2006/relationships/glossaryDocument" Target="glossary/document.xml" Id="R6fad604c02404de4"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35CDDC-7D13-41D5-A7E8-695BB23F43D2}"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en-GB"/>
        </a:p>
      </dgm:t>
    </dgm:pt>
    <dgm:pt modelId="{E385FA9F-155B-4F29-8E2E-26E346887FA5}">
      <dgm:prSet phldrT="[Text]" custT="1"/>
      <dgm:spPr>
        <a:noFill/>
        <a:ln>
          <a:solidFill>
            <a:schemeClr val="tx1"/>
          </a:solidFill>
        </a:ln>
      </dgm:spPr>
      <dgm:t>
        <a:bodyPr/>
        <a:lstStyle/>
        <a:p>
          <a:r>
            <a:rPr lang="en-GB" sz="1800" b="1">
              <a:solidFill>
                <a:schemeClr val="tx1"/>
              </a:solidFill>
            </a:rPr>
            <a:t>Pharmaco-kinetic processes</a:t>
          </a:r>
        </a:p>
      </dgm:t>
    </dgm:pt>
    <dgm:pt modelId="{B32E65C7-520D-4D7F-A76E-F5253D6E75CB}" type="parTrans" cxnId="{CE6D0AF7-1D72-46C7-A8F3-D875B4554F74}">
      <dgm:prSet/>
      <dgm:spPr/>
      <dgm:t>
        <a:bodyPr/>
        <a:lstStyle/>
        <a:p>
          <a:endParaRPr lang="en-GB"/>
        </a:p>
      </dgm:t>
    </dgm:pt>
    <dgm:pt modelId="{6E042EB7-2E46-4384-AB11-A31CAA6A94D1}" type="sibTrans" cxnId="{CE6D0AF7-1D72-46C7-A8F3-D875B4554F74}">
      <dgm:prSet/>
      <dgm:spPr/>
      <dgm:t>
        <a:bodyPr/>
        <a:lstStyle/>
        <a:p>
          <a:endParaRPr lang="en-GB"/>
        </a:p>
      </dgm:t>
    </dgm:pt>
    <dgm:pt modelId="{3C12C781-75B4-4B5E-9FAD-F53A64126816}">
      <dgm:prSet phldrT="[Text]" custT="1"/>
      <dgm:spPr>
        <a:solidFill>
          <a:schemeClr val="accent2">
            <a:lumMod val="50000"/>
          </a:schemeClr>
        </a:solidFill>
      </dgm:spPr>
      <dgm:t>
        <a:bodyPr/>
        <a:lstStyle/>
        <a:p>
          <a:r>
            <a:rPr lang="en-GB" sz="1400"/>
            <a:t>gene variants </a:t>
          </a:r>
          <a:endParaRPr lang="en-GB" sz="1200"/>
        </a:p>
        <a:p>
          <a:r>
            <a:rPr lang="en-GB" sz="1200"/>
            <a:t>e.g. SNPs for drug metabolising enzymes or transporters</a:t>
          </a:r>
          <a:endParaRPr lang="en-GB" sz="1400"/>
        </a:p>
      </dgm:t>
    </dgm:pt>
    <dgm:pt modelId="{E8E513BF-2942-45E0-95CE-9F88DAD663B3}" type="parTrans" cxnId="{641A77E3-B2A1-45CF-9311-D94F46978805}">
      <dgm:prSet/>
      <dgm:spPr/>
      <dgm:t>
        <a:bodyPr/>
        <a:lstStyle/>
        <a:p>
          <a:endParaRPr lang="en-GB"/>
        </a:p>
      </dgm:t>
    </dgm:pt>
    <dgm:pt modelId="{AF7B6E93-A6CE-4EBE-8739-44D2BE89C705}" type="sibTrans" cxnId="{641A77E3-B2A1-45CF-9311-D94F46978805}">
      <dgm:prSet/>
      <dgm:spPr/>
      <dgm:t>
        <a:bodyPr/>
        <a:lstStyle/>
        <a:p>
          <a:endParaRPr lang="en-GB"/>
        </a:p>
      </dgm:t>
    </dgm:pt>
    <dgm:pt modelId="{0B9E2E17-07F8-45BF-B2DF-1BABA0D2C67A}">
      <dgm:prSet phldrT="[Text]" custT="1"/>
      <dgm:spPr>
        <a:solidFill>
          <a:schemeClr val="accent4">
            <a:lumMod val="50000"/>
          </a:schemeClr>
        </a:solidFill>
      </dgm:spPr>
      <dgm:t>
        <a:bodyPr/>
        <a:lstStyle/>
        <a:p>
          <a:r>
            <a:rPr lang="en-GB" sz="1400"/>
            <a:t>lifestyle </a:t>
          </a:r>
          <a:endParaRPr lang="en-GB" sz="1200"/>
        </a:p>
        <a:p>
          <a:r>
            <a:rPr lang="en-GB" sz="1200"/>
            <a:t>e.g. smoking, alcohol consumption, stress</a:t>
          </a:r>
          <a:endParaRPr lang="en-GB" sz="1400"/>
        </a:p>
      </dgm:t>
    </dgm:pt>
    <dgm:pt modelId="{6F329288-3D5B-4DB5-9DA6-671423ACC97C}" type="parTrans" cxnId="{05EBB3D1-C064-466F-820C-227E556CD08D}">
      <dgm:prSet/>
      <dgm:spPr/>
      <dgm:t>
        <a:bodyPr/>
        <a:lstStyle/>
        <a:p>
          <a:endParaRPr lang="en-GB"/>
        </a:p>
      </dgm:t>
    </dgm:pt>
    <dgm:pt modelId="{EE95144D-4B52-4984-AA48-15FBC5129C83}" type="sibTrans" cxnId="{05EBB3D1-C064-466F-820C-227E556CD08D}">
      <dgm:prSet/>
      <dgm:spPr/>
      <dgm:t>
        <a:bodyPr/>
        <a:lstStyle/>
        <a:p>
          <a:endParaRPr lang="en-GB"/>
        </a:p>
      </dgm:t>
    </dgm:pt>
    <dgm:pt modelId="{EEF9C817-4212-4BDE-A4CF-77E41FE750C3}">
      <dgm:prSet phldrT="[Text]" custT="1"/>
      <dgm:spPr>
        <a:solidFill>
          <a:schemeClr val="accent6">
            <a:lumMod val="50000"/>
          </a:schemeClr>
        </a:solidFill>
      </dgm:spPr>
      <dgm:t>
        <a:bodyPr/>
        <a:lstStyle/>
        <a:p>
          <a:r>
            <a:rPr lang="en-GB" sz="1400"/>
            <a:t>diet</a:t>
          </a:r>
        </a:p>
        <a:p>
          <a:r>
            <a:rPr lang="en-GB" sz="1200"/>
            <a:t>e.g. amount of fibre, presence of specific components</a:t>
          </a:r>
          <a:endParaRPr lang="en-GB" sz="1400"/>
        </a:p>
      </dgm:t>
    </dgm:pt>
    <dgm:pt modelId="{79264FCF-9188-4813-8A70-7F0E51F8D3D2}" type="parTrans" cxnId="{55995967-6AEC-4E50-BF1B-FADB62D26771}">
      <dgm:prSet/>
      <dgm:spPr/>
      <dgm:t>
        <a:bodyPr/>
        <a:lstStyle/>
        <a:p>
          <a:endParaRPr lang="en-GB"/>
        </a:p>
      </dgm:t>
    </dgm:pt>
    <dgm:pt modelId="{A9C517A3-83AA-4E77-856D-490434145B83}" type="sibTrans" cxnId="{55995967-6AEC-4E50-BF1B-FADB62D26771}">
      <dgm:prSet/>
      <dgm:spPr/>
      <dgm:t>
        <a:bodyPr/>
        <a:lstStyle/>
        <a:p>
          <a:endParaRPr lang="en-GB"/>
        </a:p>
      </dgm:t>
    </dgm:pt>
    <dgm:pt modelId="{BB00552A-C205-4B63-96BD-2ECED84B7044}">
      <dgm:prSet phldrT="[Text]" custT="1"/>
      <dgm:spPr>
        <a:solidFill>
          <a:schemeClr val="accent5">
            <a:lumMod val="50000"/>
          </a:schemeClr>
        </a:solidFill>
      </dgm:spPr>
      <dgm:t>
        <a:bodyPr/>
        <a:lstStyle/>
        <a:p>
          <a:r>
            <a:rPr lang="en-GB" sz="1400"/>
            <a:t>other medicines</a:t>
          </a:r>
        </a:p>
        <a:p>
          <a:r>
            <a:rPr lang="en-GB" sz="1200"/>
            <a:t>including herbal medicines</a:t>
          </a:r>
          <a:endParaRPr lang="en-GB" sz="1400"/>
        </a:p>
      </dgm:t>
    </dgm:pt>
    <dgm:pt modelId="{8ADDC47C-FD81-4A78-A408-8BD056A24F1D}" type="parTrans" cxnId="{A15A546A-4B0E-44B6-9BB6-9AC148367025}">
      <dgm:prSet/>
      <dgm:spPr/>
      <dgm:t>
        <a:bodyPr/>
        <a:lstStyle/>
        <a:p>
          <a:endParaRPr lang="en-GB"/>
        </a:p>
      </dgm:t>
    </dgm:pt>
    <dgm:pt modelId="{02825F88-98D4-477A-AFF2-E0CC453771FA}" type="sibTrans" cxnId="{A15A546A-4B0E-44B6-9BB6-9AC148367025}">
      <dgm:prSet/>
      <dgm:spPr/>
      <dgm:t>
        <a:bodyPr/>
        <a:lstStyle/>
        <a:p>
          <a:endParaRPr lang="en-GB"/>
        </a:p>
      </dgm:t>
    </dgm:pt>
    <dgm:pt modelId="{94736CC6-C48A-4FD3-BF0F-0EB310A17040}">
      <dgm:prSet phldrT="[Text]" custT="1"/>
      <dgm:spPr>
        <a:solidFill>
          <a:schemeClr val="accent1">
            <a:lumMod val="50000"/>
          </a:schemeClr>
        </a:solidFill>
      </dgm:spPr>
      <dgm:t>
        <a:bodyPr/>
        <a:lstStyle/>
        <a:p>
          <a:r>
            <a:rPr lang="en-GB" sz="1400"/>
            <a:t>environment</a:t>
          </a:r>
        </a:p>
        <a:p>
          <a:r>
            <a:rPr lang="en-GB" sz="1200"/>
            <a:t>e.g. exposure to air pollution, altitude</a:t>
          </a:r>
          <a:endParaRPr lang="en-GB" sz="1400"/>
        </a:p>
      </dgm:t>
    </dgm:pt>
    <dgm:pt modelId="{003257A0-1670-4106-A33B-9353152103EA}" type="parTrans" cxnId="{9E827863-A69E-4751-AC19-46787F070BB4}">
      <dgm:prSet/>
      <dgm:spPr/>
      <dgm:t>
        <a:bodyPr/>
        <a:lstStyle/>
        <a:p>
          <a:endParaRPr lang="en-GB"/>
        </a:p>
      </dgm:t>
    </dgm:pt>
    <dgm:pt modelId="{F43740E9-2D5B-425E-A5D4-098B743FBFC2}" type="sibTrans" cxnId="{9E827863-A69E-4751-AC19-46787F070BB4}">
      <dgm:prSet/>
      <dgm:spPr/>
      <dgm:t>
        <a:bodyPr/>
        <a:lstStyle/>
        <a:p>
          <a:endParaRPr lang="en-GB"/>
        </a:p>
      </dgm:t>
    </dgm:pt>
    <dgm:pt modelId="{ADB4237A-1C80-4EAA-A9B4-253823048B8B}">
      <dgm:prSet phldrT="[Text]" custT="1"/>
      <dgm:spPr>
        <a:solidFill>
          <a:schemeClr val="accent2">
            <a:lumMod val="75000"/>
          </a:schemeClr>
        </a:solidFill>
      </dgm:spPr>
      <dgm:t>
        <a:bodyPr/>
        <a:lstStyle/>
        <a:p>
          <a:r>
            <a:rPr lang="en-GB" sz="1400"/>
            <a:t>pathological changes </a:t>
          </a:r>
        </a:p>
        <a:p>
          <a:r>
            <a:rPr lang="en-GB" sz="1200"/>
            <a:t>e.g. liver or kidney disease</a:t>
          </a:r>
          <a:endParaRPr lang="en-GB" sz="1400"/>
        </a:p>
      </dgm:t>
    </dgm:pt>
    <dgm:pt modelId="{EABA40DB-B07C-4A80-B5D8-B4CABED92CE9}" type="parTrans" cxnId="{2686FB5F-89B3-46E6-A0DC-F0801D026484}">
      <dgm:prSet/>
      <dgm:spPr/>
      <dgm:t>
        <a:bodyPr/>
        <a:lstStyle/>
        <a:p>
          <a:endParaRPr lang="en-GB"/>
        </a:p>
      </dgm:t>
    </dgm:pt>
    <dgm:pt modelId="{24D09FA7-81E8-489B-8C4B-C885D168BA9D}" type="sibTrans" cxnId="{2686FB5F-89B3-46E6-A0DC-F0801D026484}">
      <dgm:prSet/>
      <dgm:spPr/>
      <dgm:t>
        <a:bodyPr/>
        <a:lstStyle/>
        <a:p>
          <a:endParaRPr lang="en-GB"/>
        </a:p>
      </dgm:t>
    </dgm:pt>
    <dgm:pt modelId="{09E455EE-8F67-4428-B9DE-EA8C1D29830D}" type="pres">
      <dgm:prSet presAssocID="{D835CDDC-7D13-41D5-A7E8-695BB23F43D2}" presName="cycle" presStyleCnt="0">
        <dgm:presLayoutVars>
          <dgm:chMax val="1"/>
          <dgm:dir/>
          <dgm:animLvl val="ctr"/>
          <dgm:resizeHandles val="exact"/>
        </dgm:presLayoutVars>
      </dgm:prSet>
      <dgm:spPr/>
    </dgm:pt>
    <dgm:pt modelId="{AF5E393B-1F01-45D1-9138-5A2F0EE3D797}" type="pres">
      <dgm:prSet presAssocID="{E385FA9F-155B-4F29-8E2E-26E346887FA5}" presName="centerShape" presStyleLbl="node0" presStyleIdx="0" presStyleCnt="1"/>
      <dgm:spPr/>
    </dgm:pt>
    <dgm:pt modelId="{5AD5B0B9-ECF9-4CB6-B028-FE7370150619}" type="pres">
      <dgm:prSet presAssocID="{E8E513BF-2942-45E0-95CE-9F88DAD663B3}" presName="parTrans" presStyleLbl="bgSibTrans2D1" presStyleIdx="0" presStyleCnt="6"/>
      <dgm:spPr/>
    </dgm:pt>
    <dgm:pt modelId="{E7AD01E6-731F-4B23-929A-7FD77D7A22F7}" type="pres">
      <dgm:prSet presAssocID="{3C12C781-75B4-4B5E-9FAD-F53A64126816}" presName="node" presStyleLbl="node1" presStyleIdx="0" presStyleCnt="6" custScaleX="154913" custRadScaleRad="93452" custRadScaleInc="-892">
        <dgm:presLayoutVars>
          <dgm:bulletEnabled val="1"/>
        </dgm:presLayoutVars>
      </dgm:prSet>
      <dgm:spPr/>
    </dgm:pt>
    <dgm:pt modelId="{50BC8C80-31B1-49AC-A20B-F6DB04D35411}" type="pres">
      <dgm:prSet presAssocID="{6F329288-3D5B-4DB5-9DA6-671423ACC97C}" presName="parTrans" presStyleLbl="bgSibTrans2D1" presStyleIdx="1" presStyleCnt="6"/>
      <dgm:spPr/>
    </dgm:pt>
    <dgm:pt modelId="{D9642EE8-D668-40B0-BD77-F13F3EA46FED}" type="pres">
      <dgm:prSet presAssocID="{0B9E2E17-07F8-45BF-B2DF-1BABA0D2C67A}" presName="node" presStyleLbl="node1" presStyleIdx="1" presStyleCnt="6" custScaleX="148573" custRadScaleRad="95361" custRadScaleInc="-13449">
        <dgm:presLayoutVars>
          <dgm:bulletEnabled val="1"/>
        </dgm:presLayoutVars>
      </dgm:prSet>
      <dgm:spPr/>
    </dgm:pt>
    <dgm:pt modelId="{622A8803-2FA0-4481-A90D-F661138592FB}" type="pres">
      <dgm:prSet presAssocID="{79264FCF-9188-4813-8A70-7F0E51F8D3D2}" presName="parTrans" presStyleLbl="bgSibTrans2D1" presStyleIdx="2" presStyleCnt="6"/>
      <dgm:spPr/>
    </dgm:pt>
    <dgm:pt modelId="{855B4948-35D9-4493-BE90-E4163048486C}" type="pres">
      <dgm:prSet presAssocID="{EEF9C817-4212-4BDE-A4CF-77E41FE750C3}" presName="node" presStyleLbl="node1" presStyleIdx="2" presStyleCnt="6" custScaleX="162827" custRadScaleRad="101161" custRadScaleInc="-6255">
        <dgm:presLayoutVars>
          <dgm:bulletEnabled val="1"/>
        </dgm:presLayoutVars>
      </dgm:prSet>
      <dgm:spPr/>
    </dgm:pt>
    <dgm:pt modelId="{24D99C10-DE41-4A94-8C61-CD3C11629701}" type="pres">
      <dgm:prSet presAssocID="{8ADDC47C-FD81-4A78-A408-8BD056A24F1D}" presName="parTrans" presStyleLbl="bgSibTrans2D1" presStyleIdx="3" presStyleCnt="6"/>
      <dgm:spPr/>
    </dgm:pt>
    <dgm:pt modelId="{8636C762-75A4-4995-9775-D3351796F27D}" type="pres">
      <dgm:prSet presAssocID="{BB00552A-C205-4B63-96BD-2ECED84B7044}" presName="node" presStyleLbl="node1" presStyleIdx="3" presStyleCnt="6" custScaleX="153383" custRadScaleRad="104094" custRadScaleInc="19823">
        <dgm:presLayoutVars>
          <dgm:bulletEnabled val="1"/>
        </dgm:presLayoutVars>
      </dgm:prSet>
      <dgm:spPr/>
    </dgm:pt>
    <dgm:pt modelId="{4713D21E-B49F-4AB4-A115-C210A798FB4A}" type="pres">
      <dgm:prSet presAssocID="{003257A0-1670-4106-A33B-9353152103EA}" presName="parTrans" presStyleLbl="bgSibTrans2D1" presStyleIdx="4" presStyleCnt="6"/>
      <dgm:spPr/>
    </dgm:pt>
    <dgm:pt modelId="{AB9A5A8E-8047-4164-AAB0-6CBC1C43DCD9}" type="pres">
      <dgm:prSet presAssocID="{94736CC6-C48A-4FD3-BF0F-0EB310A17040}" presName="node" presStyleLbl="node1" presStyleIdx="4" presStyleCnt="6" custScaleX="141016" custRadScaleRad="97505" custRadScaleInc="10002">
        <dgm:presLayoutVars>
          <dgm:bulletEnabled val="1"/>
        </dgm:presLayoutVars>
      </dgm:prSet>
      <dgm:spPr/>
    </dgm:pt>
    <dgm:pt modelId="{3F3829CE-4B09-4B66-AB0D-09E06B25478D}" type="pres">
      <dgm:prSet presAssocID="{EABA40DB-B07C-4A80-B5D8-B4CABED92CE9}" presName="parTrans" presStyleLbl="bgSibTrans2D1" presStyleIdx="5" presStyleCnt="6"/>
      <dgm:spPr/>
    </dgm:pt>
    <dgm:pt modelId="{561363CE-2B2F-4E27-85A6-272CC599600C}" type="pres">
      <dgm:prSet presAssocID="{ADB4237A-1C80-4EAA-A9B4-253823048B8B}" presName="node" presStyleLbl="node1" presStyleIdx="5" presStyleCnt="6" custScaleX="157624" custRadScaleRad="93014">
        <dgm:presLayoutVars>
          <dgm:bulletEnabled val="1"/>
        </dgm:presLayoutVars>
      </dgm:prSet>
      <dgm:spPr/>
    </dgm:pt>
  </dgm:ptLst>
  <dgm:cxnLst>
    <dgm:cxn modelId="{E34BAB03-2E4B-41F2-A3F8-BA7083E4A89E}" type="presOf" srcId="{003257A0-1670-4106-A33B-9353152103EA}" destId="{4713D21E-B49F-4AB4-A115-C210A798FB4A}" srcOrd="0" destOrd="0" presId="urn:microsoft.com/office/officeart/2005/8/layout/radial4"/>
    <dgm:cxn modelId="{0B84F921-4A75-4A16-A307-AA3F4489CD75}" type="presOf" srcId="{EABA40DB-B07C-4A80-B5D8-B4CABED92CE9}" destId="{3F3829CE-4B09-4B66-AB0D-09E06B25478D}" srcOrd="0" destOrd="0" presId="urn:microsoft.com/office/officeart/2005/8/layout/radial4"/>
    <dgm:cxn modelId="{6B0D7722-4452-4C86-8608-BD3FC75225EE}" type="presOf" srcId="{79264FCF-9188-4813-8A70-7F0E51F8D3D2}" destId="{622A8803-2FA0-4481-A90D-F661138592FB}" srcOrd="0" destOrd="0" presId="urn:microsoft.com/office/officeart/2005/8/layout/radial4"/>
    <dgm:cxn modelId="{2D415C36-D0C3-4497-8A2B-4601EA8D1E8C}" type="presOf" srcId="{6F329288-3D5B-4DB5-9DA6-671423ACC97C}" destId="{50BC8C80-31B1-49AC-A20B-F6DB04D35411}" srcOrd="0" destOrd="0" presId="urn:microsoft.com/office/officeart/2005/8/layout/radial4"/>
    <dgm:cxn modelId="{15B8BE3A-6102-44FA-8C73-6F2ED4241290}" type="presOf" srcId="{BB00552A-C205-4B63-96BD-2ECED84B7044}" destId="{8636C762-75A4-4995-9775-D3351796F27D}" srcOrd="0" destOrd="0" presId="urn:microsoft.com/office/officeart/2005/8/layout/radial4"/>
    <dgm:cxn modelId="{E8B8C03D-941B-401D-8352-BE4DAE4E4C3C}" type="presOf" srcId="{3C12C781-75B4-4B5E-9FAD-F53A64126816}" destId="{E7AD01E6-731F-4B23-929A-7FD77D7A22F7}" srcOrd="0" destOrd="0" presId="urn:microsoft.com/office/officeart/2005/8/layout/radial4"/>
    <dgm:cxn modelId="{2686FB5F-89B3-46E6-A0DC-F0801D026484}" srcId="{E385FA9F-155B-4F29-8E2E-26E346887FA5}" destId="{ADB4237A-1C80-4EAA-A9B4-253823048B8B}" srcOrd="5" destOrd="0" parTransId="{EABA40DB-B07C-4A80-B5D8-B4CABED92CE9}" sibTransId="{24D09FA7-81E8-489B-8C4B-C885D168BA9D}"/>
    <dgm:cxn modelId="{9E827863-A69E-4751-AC19-46787F070BB4}" srcId="{E385FA9F-155B-4F29-8E2E-26E346887FA5}" destId="{94736CC6-C48A-4FD3-BF0F-0EB310A17040}" srcOrd="4" destOrd="0" parTransId="{003257A0-1670-4106-A33B-9353152103EA}" sibTransId="{F43740E9-2D5B-425E-A5D4-098B743FBFC2}"/>
    <dgm:cxn modelId="{55995967-6AEC-4E50-BF1B-FADB62D26771}" srcId="{E385FA9F-155B-4F29-8E2E-26E346887FA5}" destId="{EEF9C817-4212-4BDE-A4CF-77E41FE750C3}" srcOrd="2" destOrd="0" parTransId="{79264FCF-9188-4813-8A70-7F0E51F8D3D2}" sibTransId="{A9C517A3-83AA-4E77-856D-490434145B83}"/>
    <dgm:cxn modelId="{A15A546A-4B0E-44B6-9BB6-9AC148367025}" srcId="{E385FA9F-155B-4F29-8E2E-26E346887FA5}" destId="{BB00552A-C205-4B63-96BD-2ECED84B7044}" srcOrd="3" destOrd="0" parTransId="{8ADDC47C-FD81-4A78-A408-8BD056A24F1D}" sibTransId="{02825F88-98D4-477A-AFF2-E0CC453771FA}"/>
    <dgm:cxn modelId="{AC379F6F-691E-461A-B7E2-6204E98FBDD4}" type="presOf" srcId="{94736CC6-C48A-4FD3-BF0F-0EB310A17040}" destId="{AB9A5A8E-8047-4164-AAB0-6CBC1C43DCD9}" srcOrd="0" destOrd="0" presId="urn:microsoft.com/office/officeart/2005/8/layout/radial4"/>
    <dgm:cxn modelId="{F0378E84-65B1-4338-9E05-83073C6AA954}" type="presOf" srcId="{EEF9C817-4212-4BDE-A4CF-77E41FE750C3}" destId="{855B4948-35D9-4493-BE90-E4163048486C}" srcOrd="0" destOrd="0" presId="urn:microsoft.com/office/officeart/2005/8/layout/radial4"/>
    <dgm:cxn modelId="{A7B2A085-D4F9-41C8-A4C6-75067AB36D89}" type="presOf" srcId="{8ADDC47C-FD81-4A78-A408-8BD056A24F1D}" destId="{24D99C10-DE41-4A94-8C61-CD3C11629701}" srcOrd="0" destOrd="0" presId="urn:microsoft.com/office/officeart/2005/8/layout/radial4"/>
    <dgm:cxn modelId="{3A646B88-5F46-43B4-AB3B-0A270CF249BC}" type="presOf" srcId="{E8E513BF-2942-45E0-95CE-9F88DAD663B3}" destId="{5AD5B0B9-ECF9-4CB6-B028-FE7370150619}" srcOrd="0" destOrd="0" presId="urn:microsoft.com/office/officeart/2005/8/layout/radial4"/>
    <dgm:cxn modelId="{EE12F394-E107-4697-B0F7-A5483C150587}" type="presOf" srcId="{E385FA9F-155B-4F29-8E2E-26E346887FA5}" destId="{AF5E393B-1F01-45D1-9138-5A2F0EE3D797}" srcOrd="0" destOrd="0" presId="urn:microsoft.com/office/officeart/2005/8/layout/radial4"/>
    <dgm:cxn modelId="{3EF2339A-9E28-4F52-835C-0AB84D128CB5}" type="presOf" srcId="{ADB4237A-1C80-4EAA-A9B4-253823048B8B}" destId="{561363CE-2B2F-4E27-85A6-272CC599600C}" srcOrd="0" destOrd="0" presId="urn:microsoft.com/office/officeart/2005/8/layout/radial4"/>
    <dgm:cxn modelId="{0BEF16AC-3E34-43B0-A942-55E179D582E3}" type="presOf" srcId="{D835CDDC-7D13-41D5-A7E8-695BB23F43D2}" destId="{09E455EE-8F67-4428-B9DE-EA8C1D29830D}" srcOrd="0" destOrd="0" presId="urn:microsoft.com/office/officeart/2005/8/layout/radial4"/>
    <dgm:cxn modelId="{9D1F04CF-3886-4EF7-B9A0-48E319634E2E}" type="presOf" srcId="{0B9E2E17-07F8-45BF-B2DF-1BABA0D2C67A}" destId="{D9642EE8-D668-40B0-BD77-F13F3EA46FED}" srcOrd="0" destOrd="0" presId="urn:microsoft.com/office/officeart/2005/8/layout/radial4"/>
    <dgm:cxn modelId="{05EBB3D1-C064-466F-820C-227E556CD08D}" srcId="{E385FA9F-155B-4F29-8E2E-26E346887FA5}" destId="{0B9E2E17-07F8-45BF-B2DF-1BABA0D2C67A}" srcOrd="1" destOrd="0" parTransId="{6F329288-3D5B-4DB5-9DA6-671423ACC97C}" sibTransId="{EE95144D-4B52-4984-AA48-15FBC5129C83}"/>
    <dgm:cxn modelId="{641A77E3-B2A1-45CF-9311-D94F46978805}" srcId="{E385FA9F-155B-4F29-8E2E-26E346887FA5}" destId="{3C12C781-75B4-4B5E-9FAD-F53A64126816}" srcOrd="0" destOrd="0" parTransId="{E8E513BF-2942-45E0-95CE-9F88DAD663B3}" sibTransId="{AF7B6E93-A6CE-4EBE-8739-44D2BE89C705}"/>
    <dgm:cxn modelId="{CE6D0AF7-1D72-46C7-A8F3-D875B4554F74}" srcId="{D835CDDC-7D13-41D5-A7E8-695BB23F43D2}" destId="{E385FA9F-155B-4F29-8E2E-26E346887FA5}" srcOrd="0" destOrd="0" parTransId="{B32E65C7-520D-4D7F-A76E-F5253D6E75CB}" sibTransId="{6E042EB7-2E46-4384-AB11-A31CAA6A94D1}"/>
    <dgm:cxn modelId="{146BCB37-A548-4121-9E0B-71719CFCBF1E}" type="presParOf" srcId="{09E455EE-8F67-4428-B9DE-EA8C1D29830D}" destId="{AF5E393B-1F01-45D1-9138-5A2F0EE3D797}" srcOrd="0" destOrd="0" presId="urn:microsoft.com/office/officeart/2005/8/layout/radial4"/>
    <dgm:cxn modelId="{D7D82117-554B-438C-8972-9619819FF78E}" type="presParOf" srcId="{09E455EE-8F67-4428-B9DE-EA8C1D29830D}" destId="{5AD5B0B9-ECF9-4CB6-B028-FE7370150619}" srcOrd="1" destOrd="0" presId="urn:microsoft.com/office/officeart/2005/8/layout/radial4"/>
    <dgm:cxn modelId="{B328A9DF-3C6E-4140-B5D5-B784E19C75D8}" type="presParOf" srcId="{09E455EE-8F67-4428-B9DE-EA8C1D29830D}" destId="{E7AD01E6-731F-4B23-929A-7FD77D7A22F7}" srcOrd="2" destOrd="0" presId="urn:microsoft.com/office/officeart/2005/8/layout/radial4"/>
    <dgm:cxn modelId="{BD401D1D-0E41-430B-8CF0-C5D94EFCF6C7}" type="presParOf" srcId="{09E455EE-8F67-4428-B9DE-EA8C1D29830D}" destId="{50BC8C80-31B1-49AC-A20B-F6DB04D35411}" srcOrd="3" destOrd="0" presId="urn:microsoft.com/office/officeart/2005/8/layout/radial4"/>
    <dgm:cxn modelId="{26353D12-E702-4DA2-A717-56D320CB7D43}" type="presParOf" srcId="{09E455EE-8F67-4428-B9DE-EA8C1D29830D}" destId="{D9642EE8-D668-40B0-BD77-F13F3EA46FED}" srcOrd="4" destOrd="0" presId="urn:microsoft.com/office/officeart/2005/8/layout/radial4"/>
    <dgm:cxn modelId="{0DBEEC0F-7150-41AB-BC47-DAD968557340}" type="presParOf" srcId="{09E455EE-8F67-4428-B9DE-EA8C1D29830D}" destId="{622A8803-2FA0-4481-A90D-F661138592FB}" srcOrd="5" destOrd="0" presId="urn:microsoft.com/office/officeart/2005/8/layout/radial4"/>
    <dgm:cxn modelId="{3DEE1EA6-5211-40D8-9C82-740FE570B342}" type="presParOf" srcId="{09E455EE-8F67-4428-B9DE-EA8C1D29830D}" destId="{855B4948-35D9-4493-BE90-E4163048486C}" srcOrd="6" destOrd="0" presId="urn:microsoft.com/office/officeart/2005/8/layout/radial4"/>
    <dgm:cxn modelId="{5AAC2E61-0DD2-464F-9FAA-7B7CAD1C6ECA}" type="presParOf" srcId="{09E455EE-8F67-4428-B9DE-EA8C1D29830D}" destId="{24D99C10-DE41-4A94-8C61-CD3C11629701}" srcOrd="7" destOrd="0" presId="urn:microsoft.com/office/officeart/2005/8/layout/radial4"/>
    <dgm:cxn modelId="{8BA08111-C760-4D66-BFAD-3DD17E2179E3}" type="presParOf" srcId="{09E455EE-8F67-4428-B9DE-EA8C1D29830D}" destId="{8636C762-75A4-4995-9775-D3351796F27D}" srcOrd="8" destOrd="0" presId="urn:microsoft.com/office/officeart/2005/8/layout/radial4"/>
    <dgm:cxn modelId="{B1F050E7-167A-43FC-AE93-3779264B6E9F}" type="presParOf" srcId="{09E455EE-8F67-4428-B9DE-EA8C1D29830D}" destId="{4713D21E-B49F-4AB4-A115-C210A798FB4A}" srcOrd="9" destOrd="0" presId="urn:microsoft.com/office/officeart/2005/8/layout/radial4"/>
    <dgm:cxn modelId="{6FE62FDB-42AD-495C-B77F-BCF913803F05}" type="presParOf" srcId="{09E455EE-8F67-4428-B9DE-EA8C1D29830D}" destId="{AB9A5A8E-8047-4164-AAB0-6CBC1C43DCD9}" srcOrd="10" destOrd="0" presId="urn:microsoft.com/office/officeart/2005/8/layout/radial4"/>
    <dgm:cxn modelId="{DD051A2B-0595-49D4-B0C4-DAE52DD8B3B3}" type="presParOf" srcId="{09E455EE-8F67-4428-B9DE-EA8C1D29830D}" destId="{3F3829CE-4B09-4B66-AB0D-09E06B25478D}" srcOrd="11" destOrd="0" presId="urn:microsoft.com/office/officeart/2005/8/layout/radial4"/>
    <dgm:cxn modelId="{1A222638-3655-4817-8025-385943911780}" type="presParOf" srcId="{09E455EE-8F67-4428-B9DE-EA8C1D29830D}" destId="{561363CE-2B2F-4E27-85A6-272CC599600C}" srcOrd="12" destOrd="0" presId="urn:microsoft.com/office/officeart/2005/8/layout/radial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309460-D5C0-4CD8-91A3-30F7CFA32047}" type="doc">
      <dgm:prSet loTypeId="urn:microsoft.com/office/officeart/2005/8/layout/process1" loCatId="process" qsTypeId="urn:microsoft.com/office/officeart/2005/8/quickstyle/simple1" qsCatId="simple" csTypeId="urn:microsoft.com/office/officeart/2005/8/colors/accent1_2" csCatId="accent1" phldr="1"/>
      <dgm:spPr/>
    </dgm:pt>
    <dgm:pt modelId="{567EBC56-B24C-4786-BB9E-51140F3E53D1}">
      <dgm:prSet phldrT="[Text]"/>
      <dgm:spPr>
        <a:solidFill>
          <a:schemeClr val="accent1">
            <a:lumMod val="50000"/>
          </a:schemeClr>
        </a:solidFill>
      </dgm:spPr>
      <dgm:t>
        <a:bodyPr/>
        <a:lstStyle/>
        <a:p>
          <a:r>
            <a:rPr lang="en-GB"/>
            <a:t>Pre-questionnaire (voluntary)</a:t>
          </a:r>
        </a:p>
      </dgm:t>
    </dgm:pt>
    <dgm:pt modelId="{A6B9DAA2-3ABB-42C9-A9B0-7060F3AE2C8C}" type="parTrans" cxnId="{0098E5F2-664E-40A1-BABF-D0021445BE3C}">
      <dgm:prSet/>
      <dgm:spPr/>
      <dgm:t>
        <a:bodyPr/>
        <a:lstStyle/>
        <a:p>
          <a:endParaRPr lang="en-GB"/>
        </a:p>
      </dgm:t>
    </dgm:pt>
    <dgm:pt modelId="{49FBFF73-8DFE-4735-AE84-B946F5969A2F}" type="sibTrans" cxnId="{0098E5F2-664E-40A1-BABF-D0021445BE3C}">
      <dgm:prSet/>
      <dgm:spPr/>
      <dgm:t>
        <a:bodyPr/>
        <a:lstStyle/>
        <a:p>
          <a:endParaRPr lang="en-GB"/>
        </a:p>
      </dgm:t>
    </dgm:pt>
    <dgm:pt modelId="{7CD4AFA0-E223-494D-A3A3-73C4276C0477}">
      <dgm:prSet phldrT="[Text]"/>
      <dgm:spPr>
        <a:solidFill>
          <a:schemeClr val="accent6">
            <a:lumMod val="75000"/>
          </a:schemeClr>
        </a:solidFill>
      </dgm:spPr>
      <dgm:t>
        <a:bodyPr/>
        <a:lstStyle/>
        <a:p>
          <a:r>
            <a:rPr lang="en-GB"/>
            <a:t>Teaching (scheduled examinable)</a:t>
          </a:r>
        </a:p>
      </dgm:t>
    </dgm:pt>
    <dgm:pt modelId="{B7D1C57F-9BFF-4B33-A6FB-B4A9FDDD2D33}" type="parTrans" cxnId="{A4A59346-D315-4354-BA0A-2264D32EF30F}">
      <dgm:prSet/>
      <dgm:spPr/>
      <dgm:t>
        <a:bodyPr/>
        <a:lstStyle/>
        <a:p>
          <a:endParaRPr lang="en-GB"/>
        </a:p>
      </dgm:t>
    </dgm:pt>
    <dgm:pt modelId="{7A182376-67BA-4260-8811-ABAF90752E7A}" type="sibTrans" cxnId="{A4A59346-D315-4354-BA0A-2264D32EF30F}">
      <dgm:prSet/>
      <dgm:spPr/>
      <dgm:t>
        <a:bodyPr/>
        <a:lstStyle/>
        <a:p>
          <a:endParaRPr lang="en-GB"/>
        </a:p>
      </dgm:t>
    </dgm:pt>
    <dgm:pt modelId="{C02AF5F0-6943-4B09-9612-C0C789092734}">
      <dgm:prSet phldrT="[Text]"/>
      <dgm:spPr>
        <a:solidFill>
          <a:schemeClr val="accent1">
            <a:lumMod val="50000"/>
          </a:schemeClr>
        </a:solidFill>
      </dgm:spPr>
      <dgm:t>
        <a:bodyPr/>
        <a:lstStyle/>
        <a:p>
          <a:r>
            <a:rPr lang="en-GB"/>
            <a:t>Post-questionnaire (voluntary)</a:t>
          </a:r>
        </a:p>
      </dgm:t>
    </dgm:pt>
    <dgm:pt modelId="{08FB7B07-415D-4E3B-96CB-4506A855BCCB}" type="parTrans" cxnId="{976723BB-7320-4DC1-948F-22087143E582}">
      <dgm:prSet/>
      <dgm:spPr/>
      <dgm:t>
        <a:bodyPr/>
        <a:lstStyle/>
        <a:p>
          <a:endParaRPr lang="en-GB"/>
        </a:p>
      </dgm:t>
    </dgm:pt>
    <dgm:pt modelId="{374559C9-7FD0-46D0-A1B8-4BCE7F3391AC}" type="sibTrans" cxnId="{976723BB-7320-4DC1-948F-22087143E582}">
      <dgm:prSet/>
      <dgm:spPr/>
      <dgm:t>
        <a:bodyPr/>
        <a:lstStyle/>
        <a:p>
          <a:endParaRPr lang="en-GB"/>
        </a:p>
      </dgm:t>
    </dgm:pt>
    <dgm:pt modelId="{6833A4B1-31D9-4E8B-99AD-1EC65D58FD4D}" type="pres">
      <dgm:prSet presAssocID="{46309460-D5C0-4CD8-91A3-30F7CFA32047}" presName="Name0" presStyleCnt="0">
        <dgm:presLayoutVars>
          <dgm:dir/>
          <dgm:resizeHandles val="exact"/>
        </dgm:presLayoutVars>
      </dgm:prSet>
      <dgm:spPr/>
    </dgm:pt>
    <dgm:pt modelId="{BB6D8C06-F4EB-484A-961E-A027243561C7}" type="pres">
      <dgm:prSet presAssocID="{567EBC56-B24C-4786-BB9E-51140F3E53D1}" presName="node" presStyleLbl="node1" presStyleIdx="0" presStyleCnt="3">
        <dgm:presLayoutVars>
          <dgm:bulletEnabled val="1"/>
        </dgm:presLayoutVars>
      </dgm:prSet>
      <dgm:spPr/>
    </dgm:pt>
    <dgm:pt modelId="{17F6C02C-5564-42FB-98F3-6D83E936F933}" type="pres">
      <dgm:prSet presAssocID="{49FBFF73-8DFE-4735-AE84-B946F5969A2F}" presName="sibTrans" presStyleLbl="sibTrans2D1" presStyleIdx="0" presStyleCnt="2"/>
      <dgm:spPr/>
    </dgm:pt>
    <dgm:pt modelId="{EB69E3FC-C1EF-4F9C-B937-BE87B23CEBF7}" type="pres">
      <dgm:prSet presAssocID="{49FBFF73-8DFE-4735-AE84-B946F5969A2F}" presName="connectorText" presStyleLbl="sibTrans2D1" presStyleIdx="0" presStyleCnt="2"/>
      <dgm:spPr/>
    </dgm:pt>
    <dgm:pt modelId="{13A6BD9A-42AD-4254-81B0-F2FB7CA6BEF6}" type="pres">
      <dgm:prSet presAssocID="{7CD4AFA0-E223-494D-A3A3-73C4276C0477}" presName="node" presStyleLbl="node1" presStyleIdx="1" presStyleCnt="3">
        <dgm:presLayoutVars>
          <dgm:bulletEnabled val="1"/>
        </dgm:presLayoutVars>
      </dgm:prSet>
      <dgm:spPr/>
    </dgm:pt>
    <dgm:pt modelId="{0D82FC9B-B100-4AF3-8EE4-EAF8F32D239C}" type="pres">
      <dgm:prSet presAssocID="{7A182376-67BA-4260-8811-ABAF90752E7A}" presName="sibTrans" presStyleLbl="sibTrans2D1" presStyleIdx="1" presStyleCnt="2"/>
      <dgm:spPr/>
    </dgm:pt>
    <dgm:pt modelId="{ABF1328D-7A24-48FC-8F4A-5DC3B61DCA64}" type="pres">
      <dgm:prSet presAssocID="{7A182376-67BA-4260-8811-ABAF90752E7A}" presName="connectorText" presStyleLbl="sibTrans2D1" presStyleIdx="1" presStyleCnt="2"/>
      <dgm:spPr/>
    </dgm:pt>
    <dgm:pt modelId="{79E158E4-AD76-465A-BF04-36F9C702128D}" type="pres">
      <dgm:prSet presAssocID="{C02AF5F0-6943-4B09-9612-C0C789092734}" presName="node" presStyleLbl="node1" presStyleIdx="2" presStyleCnt="3">
        <dgm:presLayoutVars>
          <dgm:bulletEnabled val="1"/>
        </dgm:presLayoutVars>
      </dgm:prSet>
      <dgm:spPr/>
    </dgm:pt>
  </dgm:ptLst>
  <dgm:cxnLst>
    <dgm:cxn modelId="{53AAF800-547E-456F-AEDF-1B57F010E0B1}" type="presOf" srcId="{49FBFF73-8DFE-4735-AE84-B946F5969A2F}" destId="{EB69E3FC-C1EF-4F9C-B937-BE87B23CEBF7}" srcOrd="1" destOrd="0" presId="urn:microsoft.com/office/officeart/2005/8/layout/process1"/>
    <dgm:cxn modelId="{DFA6D70E-C8CE-4802-9060-317A2C6BA971}" type="presOf" srcId="{46309460-D5C0-4CD8-91A3-30F7CFA32047}" destId="{6833A4B1-31D9-4E8B-99AD-1EC65D58FD4D}" srcOrd="0" destOrd="0" presId="urn:microsoft.com/office/officeart/2005/8/layout/process1"/>
    <dgm:cxn modelId="{30F6D335-EEEF-4DBB-979F-0D3E08DBADD2}" type="presOf" srcId="{C02AF5F0-6943-4B09-9612-C0C789092734}" destId="{79E158E4-AD76-465A-BF04-36F9C702128D}" srcOrd="0" destOrd="0" presId="urn:microsoft.com/office/officeart/2005/8/layout/process1"/>
    <dgm:cxn modelId="{58AFA041-0DC7-498B-91FF-37A41927C138}" type="presOf" srcId="{7CD4AFA0-E223-494D-A3A3-73C4276C0477}" destId="{13A6BD9A-42AD-4254-81B0-F2FB7CA6BEF6}" srcOrd="0" destOrd="0" presId="urn:microsoft.com/office/officeart/2005/8/layout/process1"/>
    <dgm:cxn modelId="{A4A59346-D315-4354-BA0A-2264D32EF30F}" srcId="{46309460-D5C0-4CD8-91A3-30F7CFA32047}" destId="{7CD4AFA0-E223-494D-A3A3-73C4276C0477}" srcOrd="1" destOrd="0" parTransId="{B7D1C57F-9BFF-4B33-A6FB-B4A9FDDD2D33}" sibTransId="{7A182376-67BA-4260-8811-ABAF90752E7A}"/>
    <dgm:cxn modelId="{09C5BF9D-6207-4C0C-8E5F-D6FBFD817EA8}" type="presOf" srcId="{7A182376-67BA-4260-8811-ABAF90752E7A}" destId="{ABF1328D-7A24-48FC-8F4A-5DC3B61DCA64}" srcOrd="1" destOrd="0" presId="urn:microsoft.com/office/officeart/2005/8/layout/process1"/>
    <dgm:cxn modelId="{741C54AA-CAAF-483D-9B40-33634D0ED002}" type="presOf" srcId="{567EBC56-B24C-4786-BB9E-51140F3E53D1}" destId="{BB6D8C06-F4EB-484A-961E-A027243561C7}" srcOrd="0" destOrd="0" presId="urn:microsoft.com/office/officeart/2005/8/layout/process1"/>
    <dgm:cxn modelId="{976723BB-7320-4DC1-948F-22087143E582}" srcId="{46309460-D5C0-4CD8-91A3-30F7CFA32047}" destId="{C02AF5F0-6943-4B09-9612-C0C789092734}" srcOrd="2" destOrd="0" parTransId="{08FB7B07-415D-4E3B-96CB-4506A855BCCB}" sibTransId="{374559C9-7FD0-46D0-A1B8-4BCE7F3391AC}"/>
    <dgm:cxn modelId="{9F39F2D0-5524-44AB-BA08-D4B11D8B8DAF}" type="presOf" srcId="{49FBFF73-8DFE-4735-AE84-B946F5969A2F}" destId="{17F6C02C-5564-42FB-98F3-6D83E936F933}" srcOrd="0" destOrd="0" presId="urn:microsoft.com/office/officeart/2005/8/layout/process1"/>
    <dgm:cxn modelId="{901AE8E3-2B65-473B-9535-D03556B74393}" type="presOf" srcId="{7A182376-67BA-4260-8811-ABAF90752E7A}" destId="{0D82FC9B-B100-4AF3-8EE4-EAF8F32D239C}" srcOrd="0" destOrd="0" presId="urn:microsoft.com/office/officeart/2005/8/layout/process1"/>
    <dgm:cxn modelId="{0098E5F2-664E-40A1-BABF-D0021445BE3C}" srcId="{46309460-D5C0-4CD8-91A3-30F7CFA32047}" destId="{567EBC56-B24C-4786-BB9E-51140F3E53D1}" srcOrd="0" destOrd="0" parTransId="{A6B9DAA2-3ABB-42C9-A9B0-7060F3AE2C8C}" sibTransId="{49FBFF73-8DFE-4735-AE84-B946F5969A2F}"/>
    <dgm:cxn modelId="{58E9FF5D-64A4-4215-9C17-F47F2E222CAC}" type="presParOf" srcId="{6833A4B1-31D9-4E8B-99AD-1EC65D58FD4D}" destId="{BB6D8C06-F4EB-484A-961E-A027243561C7}" srcOrd="0" destOrd="0" presId="urn:microsoft.com/office/officeart/2005/8/layout/process1"/>
    <dgm:cxn modelId="{451F24AB-6393-4C74-9BBF-4BE3EBA386C3}" type="presParOf" srcId="{6833A4B1-31D9-4E8B-99AD-1EC65D58FD4D}" destId="{17F6C02C-5564-42FB-98F3-6D83E936F933}" srcOrd="1" destOrd="0" presId="urn:microsoft.com/office/officeart/2005/8/layout/process1"/>
    <dgm:cxn modelId="{42D906D6-20E5-4E99-B481-A0FFBB9131F9}" type="presParOf" srcId="{17F6C02C-5564-42FB-98F3-6D83E936F933}" destId="{EB69E3FC-C1EF-4F9C-B937-BE87B23CEBF7}" srcOrd="0" destOrd="0" presId="urn:microsoft.com/office/officeart/2005/8/layout/process1"/>
    <dgm:cxn modelId="{63E5FDEB-025A-4C12-910A-6344137BB693}" type="presParOf" srcId="{6833A4B1-31D9-4E8B-99AD-1EC65D58FD4D}" destId="{13A6BD9A-42AD-4254-81B0-F2FB7CA6BEF6}" srcOrd="2" destOrd="0" presId="urn:microsoft.com/office/officeart/2005/8/layout/process1"/>
    <dgm:cxn modelId="{33E7253F-5609-435B-A23D-0D2671A0D941}" type="presParOf" srcId="{6833A4B1-31D9-4E8B-99AD-1EC65D58FD4D}" destId="{0D82FC9B-B100-4AF3-8EE4-EAF8F32D239C}" srcOrd="3" destOrd="0" presId="urn:microsoft.com/office/officeart/2005/8/layout/process1"/>
    <dgm:cxn modelId="{94D459FC-885F-4C52-8B87-3BAE6309E5A7}" type="presParOf" srcId="{0D82FC9B-B100-4AF3-8EE4-EAF8F32D239C}" destId="{ABF1328D-7A24-48FC-8F4A-5DC3B61DCA64}" srcOrd="0" destOrd="0" presId="urn:microsoft.com/office/officeart/2005/8/layout/process1"/>
    <dgm:cxn modelId="{FDD095A1-BBFF-4574-9D6A-3D26712D1D6B}" type="presParOf" srcId="{6833A4B1-31D9-4E8B-99AD-1EC65D58FD4D}" destId="{79E158E4-AD76-465A-BF04-36F9C702128D}" srcOrd="4"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5E393B-1F01-45D1-9138-5A2F0EE3D797}">
      <dsp:nvSpPr>
        <dsp:cNvPr id="0" name=""/>
        <dsp:cNvSpPr/>
      </dsp:nvSpPr>
      <dsp:spPr>
        <a:xfrm>
          <a:off x="2110883" y="1758259"/>
          <a:ext cx="1441455" cy="1441455"/>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GB" sz="1800" b="1" kern="1200">
              <a:solidFill>
                <a:schemeClr val="tx1"/>
              </a:solidFill>
            </a:rPr>
            <a:t>Pharmaco-kinetic processes</a:t>
          </a:r>
        </a:p>
      </dsp:txBody>
      <dsp:txXfrm>
        <a:off x="2321979" y="1969355"/>
        <a:ext cx="1019263" cy="1019263"/>
      </dsp:txXfrm>
    </dsp:sp>
    <dsp:sp modelId="{5AD5B0B9-ECF9-4CB6-B028-FE7370150619}">
      <dsp:nvSpPr>
        <dsp:cNvPr id="0" name=""/>
        <dsp:cNvSpPr/>
      </dsp:nvSpPr>
      <dsp:spPr>
        <a:xfrm rot="10783944">
          <a:off x="793005" y="2280193"/>
          <a:ext cx="1245409"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7AD01E6-731F-4B23-929A-7FD77D7A22F7}">
      <dsp:nvSpPr>
        <dsp:cNvPr id="0" name=""/>
        <dsp:cNvSpPr/>
      </dsp:nvSpPr>
      <dsp:spPr>
        <a:xfrm>
          <a:off x="11460" y="2084901"/>
          <a:ext cx="1563101" cy="807215"/>
        </a:xfrm>
        <a:prstGeom prst="roundRect">
          <a:avLst>
            <a:gd name="adj" fmla="val 10000"/>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gene variants </a:t>
          </a:r>
          <a:endParaRPr lang="en-GB" sz="1200" kern="1200"/>
        </a:p>
        <a:p>
          <a:pPr marL="0" lvl="0" indent="0" algn="ctr" defTabSz="622300">
            <a:lnSpc>
              <a:spcPct val="90000"/>
            </a:lnSpc>
            <a:spcBef>
              <a:spcPct val="0"/>
            </a:spcBef>
            <a:spcAft>
              <a:spcPct val="35000"/>
            </a:spcAft>
            <a:buNone/>
          </a:pPr>
          <a:r>
            <a:rPr lang="en-GB" sz="1200" kern="1200"/>
            <a:t>e.g. SNPs for drug metabolising enzymes or transporters</a:t>
          </a:r>
          <a:endParaRPr lang="en-GB" sz="1400" kern="1200"/>
        </a:p>
      </dsp:txBody>
      <dsp:txXfrm>
        <a:off x="35103" y="2108544"/>
        <a:ext cx="1515815" cy="759929"/>
      </dsp:txXfrm>
    </dsp:sp>
    <dsp:sp modelId="{50BC8C80-31B1-49AC-A20B-F6DB04D35411}">
      <dsp:nvSpPr>
        <dsp:cNvPr id="0" name=""/>
        <dsp:cNvSpPr/>
      </dsp:nvSpPr>
      <dsp:spPr>
        <a:xfrm rot="12717918">
          <a:off x="969373" y="1512356"/>
          <a:ext cx="1284763"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9642EE8-D668-40B0-BD77-F13F3EA46FED}">
      <dsp:nvSpPr>
        <dsp:cNvPr id="0" name=""/>
        <dsp:cNvSpPr/>
      </dsp:nvSpPr>
      <dsp:spPr>
        <a:xfrm>
          <a:off x="317213" y="974075"/>
          <a:ext cx="1499129" cy="807215"/>
        </a:xfrm>
        <a:prstGeom prst="roundRect">
          <a:avLst>
            <a:gd name="adj" fmla="val 10000"/>
          </a:avLst>
        </a:prstGeom>
        <a:solidFill>
          <a:schemeClr val="accent4">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lifestyle </a:t>
          </a:r>
          <a:endParaRPr lang="en-GB" sz="1200" kern="1200"/>
        </a:p>
        <a:p>
          <a:pPr marL="0" lvl="0" indent="0" algn="ctr" defTabSz="622300">
            <a:lnSpc>
              <a:spcPct val="90000"/>
            </a:lnSpc>
            <a:spcBef>
              <a:spcPct val="0"/>
            </a:spcBef>
            <a:spcAft>
              <a:spcPct val="35000"/>
            </a:spcAft>
            <a:buNone/>
          </a:pPr>
          <a:r>
            <a:rPr lang="en-GB" sz="1200" kern="1200"/>
            <a:t>e.g. smoking, alcohol consumption, stress</a:t>
          </a:r>
          <a:endParaRPr lang="en-GB" sz="1400" kern="1200"/>
        </a:p>
      </dsp:txBody>
      <dsp:txXfrm>
        <a:off x="340856" y="997718"/>
        <a:ext cx="1451843" cy="759929"/>
      </dsp:txXfrm>
    </dsp:sp>
    <dsp:sp modelId="{622A8803-2FA0-4481-A90D-F661138592FB}">
      <dsp:nvSpPr>
        <dsp:cNvPr id="0" name=""/>
        <dsp:cNvSpPr/>
      </dsp:nvSpPr>
      <dsp:spPr>
        <a:xfrm rot="15007410">
          <a:off x="1617883" y="858588"/>
          <a:ext cx="1404329"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55B4948-35D9-4493-BE90-E4163048486C}">
      <dsp:nvSpPr>
        <dsp:cNvPr id="0" name=""/>
        <dsp:cNvSpPr/>
      </dsp:nvSpPr>
      <dsp:spPr>
        <a:xfrm>
          <a:off x="1259838" y="52"/>
          <a:ext cx="1642955" cy="807215"/>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diet</a:t>
          </a:r>
        </a:p>
        <a:p>
          <a:pPr marL="0" lvl="0" indent="0" algn="ctr" defTabSz="622300">
            <a:lnSpc>
              <a:spcPct val="90000"/>
            </a:lnSpc>
            <a:spcBef>
              <a:spcPct val="0"/>
            </a:spcBef>
            <a:spcAft>
              <a:spcPct val="35000"/>
            </a:spcAft>
            <a:buNone/>
          </a:pPr>
          <a:r>
            <a:rPr lang="en-GB" sz="1200" kern="1200"/>
            <a:t>e.g. amount of fibre, presence of specific components</a:t>
          </a:r>
          <a:endParaRPr lang="en-GB" sz="1400" kern="1200"/>
        </a:p>
      </dsp:txBody>
      <dsp:txXfrm>
        <a:off x="1283481" y="23695"/>
        <a:ext cx="1595669" cy="759929"/>
      </dsp:txXfrm>
    </dsp:sp>
    <dsp:sp modelId="{24D99C10-DE41-4A94-8C61-CD3C11629701}">
      <dsp:nvSpPr>
        <dsp:cNvPr id="0" name=""/>
        <dsp:cNvSpPr/>
      </dsp:nvSpPr>
      <dsp:spPr>
        <a:xfrm rot="17636814">
          <a:off x="2723626" y="867623"/>
          <a:ext cx="1464792"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636C762-75A4-4995-9775-D3351796F27D}">
      <dsp:nvSpPr>
        <dsp:cNvPr id="0" name=""/>
        <dsp:cNvSpPr/>
      </dsp:nvSpPr>
      <dsp:spPr>
        <a:xfrm>
          <a:off x="2979463" y="70"/>
          <a:ext cx="1547663" cy="807215"/>
        </a:xfrm>
        <a:prstGeom prst="roundRect">
          <a:avLst>
            <a:gd name="adj" fmla="val 10000"/>
          </a:avLst>
        </a:prstGeom>
        <a:solidFill>
          <a:schemeClr val="accent5">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other medicines</a:t>
          </a:r>
        </a:p>
        <a:p>
          <a:pPr marL="0" lvl="0" indent="0" algn="ctr" defTabSz="622300">
            <a:lnSpc>
              <a:spcPct val="90000"/>
            </a:lnSpc>
            <a:spcBef>
              <a:spcPct val="0"/>
            </a:spcBef>
            <a:spcAft>
              <a:spcPct val="35000"/>
            </a:spcAft>
            <a:buNone/>
          </a:pPr>
          <a:r>
            <a:rPr lang="en-GB" sz="1200" kern="1200"/>
            <a:t>including herbal medicines</a:t>
          </a:r>
          <a:endParaRPr lang="en-GB" sz="1400" kern="1200"/>
        </a:p>
      </dsp:txBody>
      <dsp:txXfrm>
        <a:off x="3003106" y="23713"/>
        <a:ext cx="1500377" cy="759929"/>
      </dsp:txXfrm>
    </dsp:sp>
    <dsp:sp modelId="{4713D21E-B49F-4AB4-A115-C210A798FB4A}">
      <dsp:nvSpPr>
        <dsp:cNvPr id="0" name=""/>
        <dsp:cNvSpPr/>
      </dsp:nvSpPr>
      <dsp:spPr>
        <a:xfrm rot="19620036">
          <a:off x="3393741" y="1477028"/>
          <a:ext cx="1328961"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B9A5A8E-8047-4164-AAB0-6CBC1C43DCD9}">
      <dsp:nvSpPr>
        <dsp:cNvPr id="0" name=""/>
        <dsp:cNvSpPr/>
      </dsp:nvSpPr>
      <dsp:spPr>
        <a:xfrm>
          <a:off x="3904067" y="916931"/>
          <a:ext cx="1422878" cy="807215"/>
        </a:xfrm>
        <a:prstGeom prst="roundRect">
          <a:avLst>
            <a:gd name="adj" fmla="val 10000"/>
          </a:avLst>
        </a:prstGeom>
        <a:solidFill>
          <a:schemeClr val="accent1">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environment</a:t>
          </a:r>
        </a:p>
        <a:p>
          <a:pPr marL="0" lvl="0" indent="0" algn="ctr" defTabSz="622300">
            <a:lnSpc>
              <a:spcPct val="90000"/>
            </a:lnSpc>
            <a:spcBef>
              <a:spcPct val="0"/>
            </a:spcBef>
            <a:spcAft>
              <a:spcPct val="35000"/>
            </a:spcAft>
            <a:buNone/>
          </a:pPr>
          <a:r>
            <a:rPr lang="en-GB" sz="1200" kern="1200"/>
            <a:t>e.g. exposure to air pollution, altitude</a:t>
          </a:r>
          <a:endParaRPr lang="en-GB" sz="1400" kern="1200"/>
        </a:p>
      </dsp:txBody>
      <dsp:txXfrm>
        <a:off x="3927710" y="940574"/>
        <a:ext cx="1375592" cy="759929"/>
      </dsp:txXfrm>
    </dsp:sp>
    <dsp:sp modelId="{3F3829CE-4B09-4B66-AB0D-09E06B25478D}">
      <dsp:nvSpPr>
        <dsp:cNvPr id="0" name=""/>
        <dsp:cNvSpPr/>
      </dsp:nvSpPr>
      <dsp:spPr>
        <a:xfrm>
          <a:off x="3624297" y="2273580"/>
          <a:ext cx="1236380" cy="41081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61363CE-2B2F-4E27-85A6-272CC599600C}">
      <dsp:nvSpPr>
        <dsp:cNvPr id="0" name=""/>
        <dsp:cNvSpPr/>
      </dsp:nvSpPr>
      <dsp:spPr>
        <a:xfrm>
          <a:off x="4065450" y="2075380"/>
          <a:ext cx="1590456" cy="807215"/>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GB" sz="1400" kern="1200"/>
            <a:t>pathological changes </a:t>
          </a:r>
        </a:p>
        <a:p>
          <a:pPr marL="0" lvl="0" indent="0" algn="ctr" defTabSz="622300">
            <a:lnSpc>
              <a:spcPct val="90000"/>
            </a:lnSpc>
            <a:spcBef>
              <a:spcPct val="0"/>
            </a:spcBef>
            <a:spcAft>
              <a:spcPct val="35000"/>
            </a:spcAft>
            <a:buNone/>
          </a:pPr>
          <a:r>
            <a:rPr lang="en-GB" sz="1200" kern="1200"/>
            <a:t>e.g. liver or kidney disease</a:t>
          </a:r>
          <a:endParaRPr lang="en-GB" sz="1400" kern="1200"/>
        </a:p>
      </dsp:txBody>
      <dsp:txXfrm>
        <a:off x="4089093" y="2099023"/>
        <a:ext cx="1543170" cy="75992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6D8C06-F4EB-484A-961E-A027243561C7}">
      <dsp:nvSpPr>
        <dsp:cNvPr id="0" name=""/>
        <dsp:cNvSpPr/>
      </dsp:nvSpPr>
      <dsp:spPr>
        <a:xfrm>
          <a:off x="4822" y="318881"/>
          <a:ext cx="1441251" cy="905286"/>
        </a:xfrm>
        <a:prstGeom prst="roundRect">
          <a:avLst>
            <a:gd name="adj" fmla="val 10000"/>
          </a:avLst>
        </a:prstGeom>
        <a:solidFill>
          <a:schemeClr val="accent1">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n-GB" sz="1700" kern="1200"/>
            <a:t>Pre-questionnaire (voluntary)</a:t>
          </a:r>
        </a:p>
      </dsp:txBody>
      <dsp:txXfrm>
        <a:off x="31337" y="345396"/>
        <a:ext cx="1388221" cy="852256"/>
      </dsp:txXfrm>
    </dsp:sp>
    <dsp:sp modelId="{17F6C02C-5564-42FB-98F3-6D83E936F933}">
      <dsp:nvSpPr>
        <dsp:cNvPr id="0" name=""/>
        <dsp:cNvSpPr/>
      </dsp:nvSpPr>
      <dsp:spPr>
        <a:xfrm>
          <a:off x="1590198" y="59280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GB" sz="1400" kern="1200"/>
        </a:p>
      </dsp:txBody>
      <dsp:txXfrm>
        <a:off x="1590198" y="664295"/>
        <a:ext cx="213882" cy="214458"/>
      </dsp:txXfrm>
    </dsp:sp>
    <dsp:sp modelId="{13A6BD9A-42AD-4254-81B0-F2FB7CA6BEF6}">
      <dsp:nvSpPr>
        <dsp:cNvPr id="0" name=""/>
        <dsp:cNvSpPr/>
      </dsp:nvSpPr>
      <dsp:spPr>
        <a:xfrm>
          <a:off x="2022574" y="318881"/>
          <a:ext cx="1441251" cy="905286"/>
        </a:xfrm>
        <a:prstGeom prst="roundRect">
          <a:avLst>
            <a:gd name="adj" fmla="val 10000"/>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n-GB" sz="1700" kern="1200"/>
            <a:t>Teaching (scheduled examinable)</a:t>
          </a:r>
        </a:p>
      </dsp:txBody>
      <dsp:txXfrm>
        <a:off x="2049089" y="345396"/>
        <a:ext cx="1388221" cy="852256"/>
      </dsp:txXfrm>
    </dsp:sp>
    <dsp:sp modelId="{0D82FC9B-B100-4AF3-8EE4-EAF8F32D239C}">
      <dsp:nvSpPr>
        <dsp:cNvPr id="0" name=""/>
        <dsp:cNvSpPr/>
      </dsp:nvSpPr>
      <dsp:spPr>
        <a:xfrm>
          <a:off x="3607950" y="59280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GB" sz="1400" kern="1200"/>
        </a:p>
      </dsp:txBody>
      <dsp:txXfrm>
        <a:off x="3607950" y="664295"/>
        <a:ext cx="213882" cy="214458"/>
      </dsp:txXfrm>
    </dsp:sp>
    <dsp:sp modelId="{79E158E4-AD76-465A-BF04-36F9C702128D}">
      <dsp:nvSpPr>
        <dsp:cNvPr id="0" name=""/>
        <dsp:cNvSpPr/>
      </dsp:nvSpPr>
      <dsp:spPr>
        <a:xfrm>
          <a:off x="4040326" y="318881"/>
          <a:ext cx="1441251" cy="905286"/>
        </a:xfrm>
        <a:prstGeom prst="roundRect">
          <a:avLst>
            <a:gd name="adj" fmla="val 10000"/>
          </a:avLst>
        </a:prstGeom>
        <a:solidFill>
          <a:schemeClr val="accent1">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n-GB" sz="1700" kern="1200"/>
            <a:t>Post-questionnaire (voluntary)</a:t>
          </a:r>
        </a:p>
      </dsp:txBody>
      <dsp:txXfrm>
        <a:off x="4066841" y="345396"/>
        <a:ext cx="1388221" cy="852256"/>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785231a-fa95-4d52-be99-918073e0c706}"/>
      </w:docPartPr>
      <w:docPartBody>
        <w:p w14:paraId="4C156B6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159BE7CBAAD4B9345C8D2C9EEE9FE" ma:contentTypeVersion="10" ma:contentTypeDescription="Create a new document." ma:contentTypeScope="" ma:versionID="41f30520af8d9253ca1937650936f5c5">
  <xsd:schema xmlns:xsd="http://www.w3.org/2001/XMLSchema" xmlns:xs="http://www.w3.org/2001/XMLSchema" xmlns:p="http://schemas.microsoft.com/office/2006/metadata/properties" xmlns:ns2="ffed2716-5f32-43d3-b41b-6c05cf7a8e83" targetNamespace="http://schemas.microsoft.com/office/2006/metadata/properties" ma:root="true" ma:fieldsID="226c9646fbd68a22a4eaccc9d611c6a7" ns2:_="">
    <xsd:import namespace="ffed2716-5f32-43d3-b41b-6c05cf7a8e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ed2716-5f32-43d3-b41b-6c05cf7a8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A65759-8ABC-479F-A38D-0FB19FCA1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ed2716-5f32-43d3-b41b-6c05cf7a8e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A0469-C925-4E3F-BDD6-4EC9163DBF29}">
  <ds:schemaRefs>
    <ds:schemaRef ds:uri="http://schemas.microsoft.com/sharepoint/v3/contenttype/forms"/>
  </ds:schemaRefs>
</ds:datastoreItem>
</file>

<file path=customXml/itemProps3.xml><?xml version="1.0" encoding="utf-8"?>
<ds:datastoreItem xmlns:ds="http://schemas.openxmlformats.org/officeDocument/2006/customXml" ds:itemID="{60274331-0AF3-4925-A41B-702F4CACE70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Koenig (staff)</dc:creator>
  <keywords/>
  <dc:description/>
  <lastModifiedBy>Jennifer Koenig (staff)</lastModifiedBy>
  <revision>31</revision>
  <lastPrinted>2023-05-03T18:38:00.0000000Z</lastPrinted>
  <dcterms:created xsi:type="dcterms:W3CDTF">2023-06-18T21:35:00.0000000Z</dcterms:created>
  <dcterms:modified xsi:type="dcterms:W3CDTF">2023-06-19T14:50:23.2620808Z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0x010100A37159BE7CBAAD4B9345C8D2C9EEE9FE</vt:lpwstr>
  </property>
  <property fmtid="{D5CDD505-2E9C-101B-9397-08002B2CF9AE}" pid="3" name="ZOTERO_PREF_1">
    <vt:lpwstr>&lt;data data-version="3" zotero-version="6.0.26"&gt;&lt;session id="lKaQAcPj"/&gt;&lt;style id="http://www.zotero.org/styles/ieee" locale="en-GB" hasBibliography="1" bibliographyStyleHasBeenSet="1"/&gt;&lt;prefs&gt;&lt;pref name="fieldType" value="Field"/&gt;&lt;/prefs&gt;&lt;/data&gt;</vt:lpwstr>
  </property>
</Properties>
</file>