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6CF81" w14:textId="1A3679FE" w:rsidR="008762F8" w:rsidRPr="000A6F76" w:rsidRDefault="008762F8" w:rsidP="008762F8">
      <w:pPr>
        <w:widowControl w:val="0"/>
        <w:autoSpaceDE w:val="0"/>
        <w:autoSpaceDN w:val="0"/>
        <w:adjustRightInd w:val="0"/>
        <w:spacing w:after="0" w:line="360" w:lineRule="auto"/>
        <w:ind w:left="640" w:hanging="640"/>
        <w:rPr>
          <w:b/>
          <w:bCs/>
          <w:lang w:val="en-GB"/>
        </w:rPr>
      </w:pPr>
      <w:r w:rsidRPr="000A6F76">
        <w:rPr>
          <w:b/>
          <w:bCs/>
          <w:lang w:val="en-GB"/>
        </w:rPr>
        <w:t>FIGURES AND TABLES</w:t>
      </w:r>
    </w:p>
    <w:p w14:paraId="36F2C38A" w14:textId="574B8895" w:rsidR="00653F26" w:rsidRPr="005C7CE0" w:rsidRDefault="00653F26" w:rsidP="008762F8">
      <w:pPr>
        <w:widowControl w:val="0"/>
        <w:autoSpaceDE w:val="0"/>
        <w:autoSpaceDN w:val="0"/>
        <w:adjustRightInd w:val="0"/>
        <w:spacing w:after="0" w:line="360" w:lineRule="auto"/>
        <w:ind w:left="640" w:hanging="640"/>
        <w:rPr>
          <w:b/>
          <w:bCs/>
          <w:color w:val="000000" w:themeColor="text1"/>
          <w:sz w:val="20"/>
          <w:szCs w:val="20"/>
          <w:lang w:val="en-GB"/>
        </w:rPr>
      </w:pPr>
      <w:r w:rsidRPr="005C7CE0">
        <w:rPr>
          <w:b/>
          <w:bCs/>
          <w:sz w:val="20"/>
          <w:szCs w:val="20"/>
          <w:lang w:val="en-GB"/>
        </w:rPr>
        <w:t xml:space="preserve">Table 1. Patient </w:t>
      </w:r>
      <w:r w:rsidRPr="005C7CE0">
        <w:rPr>
          <w:b/>
          <w:bCs/>
          <w:color w:val="000000" w:themeColor="text1"/>
          <w:sz w:val="20"/>
          <w:szCs w:val="20"/>
          <w:lang w:val="en-GB"/>
        </w:rPr>
        <w:t>characteristics at baseline</w:t>
      </w:r>
    </w:p>
    <w:tbl>
      <w:tblPr>
        <w:tblStyle w:val="TableGrid"/>
        <w:tblpPr w:leftFromText="141" w:rightFromText="141" w:vertAnchor="text" w:horzAnchor="margin" w:tblpY="-46"/>
        <w:tblW w:w="5000" w:type="pct"/>
        <w:tblLook w:val="04A0" w:firstRow="1" w:lastRow="0" w:firstColumn="1" w:lastColumn="0" w:noHBand="0" w:noVBand="1"/>
      </w:tblPr>
      <w:tblGrid>
        <w:gridCol w:w="281"/>
        <w:gridCol w:w="3706"/>
        <w:gridCol w:w="5079"/>
      </w:tblGrid>
      <w:tr w:rsidR="003735A8" w:rsidRPr="00B8203B" w14:paraId="69F614C4" w14:textId="77777777" w:rsidTr="003735A8">
        <w:trPr>
          <w:trHeight w:hRule="exact" w:val="284"/>
        </w:trPr>
        <w:tc>
          <w:tcPr>
            <w:tcW w:w="2199" w:type="pct"/>
            <w:gridSpan w:val="2"/>
            <w:tcBorders>
              <w:top w:val="single" w:sz="4" w:space="0" w:color="auto"/>
              <w:left w:val="nil"/>
              <w:bottom w:val="single" w:sz="4" w:space="0" w:color="auto"/>
              <w:right w:val="nil"/>
            </w:tcBorders>
            <w:shd w:val="clear" w:color="auto" w:fill="BFBFBF" w:themeFill="background1" w:themeFillShade="BF"/>
          </w:tcPr>
          <w:p w14:paraId="1EF08D16" w14:textId="77777777" w:rsidR="003735A8" w:rsidRPr="005C7CE0" w:rsidRDefault="003735A8" w:rsidP="003735A8">
            <w:pPr>
              <w:rPr>
                <w:b/>
                <w:sz w:val="20"/>
                <w:szCs w:val="20"/>
                <w:lang w:val="en-GB"/>
              </w:rPr>
            </w:pPr>
          </w:p>
        </w:tc>
        <w:tc>
          <w:tcPr>
            <w:tcW w:w="2801" w:type="pct"/>
            <w:tcBorders>
              <w:top w:val="single" w:sz="4" w:space="0" w:color="auto"/>
              <w:left w:val="nil"/>
              <w:bottom w:val="single" w:sz="4" w:space="0" w:color="auto"/>
              <w:right w:val="nil"/>
            </w:tcBorders>
            <w:shd w:val="clear" w:color="auto" w:fill="BFBFBF" w:themeFill="background1" w:themeFillShade="BF"/>
          </w:tcPr>
          <w:p w14:paraId="0D615492" w14:textId="77777777" w:rsidR="003735A8" w:rsidRPr="005C7CE0" w:rsidRDefault="003735A8" w:rsidP="003735A8">
            <w:pPr>
              <w:rPr>
                <w:b/>
                <w:sz w:val="20"/>
                <w:szCs w:val="20"/>
                <w:lang w:val="en-GB"/>
              </w:rPr>
            </w:pPr>
            <w:r w:rsidRPr="005C7CE0">
              <w:rPr>
                <w:b/>
                <w:sz w:val="20"/>
                <w:szCs w:val="20"/>
                <w:lang w:val="en-GB"/>
              </w:rPr>
              <w:t xml:space="preserve">Number (n, %) or median [IQR] (range) </w:t>
            </w:r>
          </w:p>
        </w:tc>
      </w:tr>
      <w:tr w:rsidR="003735A8" w:rsidRPr="000A6F76" w14:paraId="0CE291FC" w14:textId="77777777" w:rsidTr="003735A8">
        <w:trPr>
          <w:trHeight w:hRule="exact" w:val="284"/>
        </w:trPr>
        <w:tc>
          <w:tcPr>
            <w:tcW w:w="5000" w:type="pct"/>
            <w:gridSpan w:val="3"/>
            <w:tcBorders>
              <w:top w:val="single" w:sz="4" w:space="0" w:color="auto"/>
              <w:left w:val="nil"/>
              <w:bottom w:val="single" w:sz="4" w:space="0" w:color="auto"/>
              <w:right w:val="nil"/>
            </w:tcBorders>
            <w:shd w:val="clear" w:color="auto" w:fill="F2F2F2" w:themeFill="background1" w:themeFillShade="F2"/>
          </w:tcPr>
          <w:p w14:paraId="20879818" w14:textId="77777777" w:rsidR="003735A8" w:rsidRPr="005C7CE0" w:rsidRDefault="003735A8" w:rsidP="003735A8">
            <w:pPr>
              <w:rPr>
                <w:b/>
                <w:bCs/>
                <w:sz w:val="20"/>
                <w:szCs w:val="20"/>
                <w:lang w:val="en-GB"/>
              </w:rPr>
            </w:pPr>
            <w:r w:rsidRPr="005C7CE0">
              <w:rPr>
                <w:b/>
                <w:bCs/>
                <w:sz w:val="20"/>
                <w:szCs w:val="20"/>
                <w:lang w:val="en-GB"/>
              </w:rPr>
              <w:t>Patients in total</w:t>
            </w:r>
          </w:p>
        </w:tc>
      </w:tr>
      <w:tr w:rsidR="003735A8" w:rsidRPr="000A6F76" w14:paraId="39F085F6" w14:textId="77777777" w:rsidTr="003735A8">
        <w:trPr>
          <w:trHeight w:hRule="exact" w:val="284"/>
        </w:trPr>
        <w:tc>
          <w:tcPr>
            <w:tcW w:w="2199" w:type="pct"/>
            <w:gridSpan w:val="2"/>
            <w:tcBorders>
              <w:top w:val="single" w:sz="4" w:space="0" w:color="auto"/>
              <w:left w:val="nil"/>
              <w:bottom w:val="nil"/>
              <w:right w:val="nil"/>
            </w:tcBorders>
          </w:tcPr>
          <w:p w14:paraId="6B072C0A" w14:textId="77777777" w:rsidR="003735A8" w:rsidRPr="005C7CE0" w:rsidRDefault="003735A8" w:rsidP="003735A8">
            <w:pPr>
              <w:rPr>
                <w:sz w:val="20"/>
                <w:szCs w:val="20"/>
                <w:lang w:val="en-GB"/>
              </w:rPr>
            </w:pPr>
            <w:r w:rsidRPr="005C7CE0">
              <w:rPr>
                <w:sz w:val="20"/>
                <w:szCs w:val="20"/>
                <w:lang w:val="en-GB"/>
              </w:rPr>
              <w:t>Number</w:t>
            </w:r>
          </w:p>
        </w:tc>
        <w:tc>
          <w:tcPr>
            <w:tcW w:w="2801" w:type="pct"/>
            <w:tcBorders>
              <w:top w:val="single" w:sz="4" w:space="0" w:color="auto"/>
              <w:left w:val="nil"/>
              <w:bottom w:val="nil"/>
              <w:right w:val="nil"/>
            </w:tcBorders>
          </w:tcPr>
          <w:p w14:paraId="0D315E04" w14:textId="77777777" w:rsidR="003735A8" w:rsidRPr="005C7CE0" w:rsidRDefault="003735A8" w:rsidP="003735A8">
            <w:pPr>
              <w:rPr>
                <w:sz w:val="20"/>
                <w:szCs w:val="20"/>
                <w:lang w:val="en-GB"/>
              </w:rPr>
            </w:pPr>
            <w:r w:rsidRPr="005C7CE0">
              <w:rPr>
                <w:sz w:val="20"/>
                <w:szCs w:val="20"/>
                <w:lang w:val="en-GB"/>
              </w:rPr>
              <w:t>37</w:t>
            </w:r>
          </w:p>
        </w:tc>
      </w:tr>
      <w:tr w:rsidR="003735A8" w:rsidRPr="000A6F76" w14:paraId="798AFDC0" w14:textId="77777777" w:rsidTr="003735A8">
        <w:trPr>
          <w:trHeight w:hRule="exact" w:val="284"/>
        </w:trPr>
        <w:tc>
          <w:tcPr>
            <w:tcW w:w="2199" w:type="pct"/>
            <w:gridSpan w:val="2"/>
            <w:tcBorders>
              <w:top w:val="nil"/>
              <w:left w:val="nil"/>
              <w:bottom w:val="nil"/>
              <w:right w:val="nil"/>
            </w:tcBorders>
          </w:tcPr>
          <w:p w14:paraId="5B500548" w14:textId="77777777" w:rsidR="003735A8" w:rsidRPr="005C7CE0" w:rsidRDefault="003735A8" w:rsidP="003735A8">
            <w:pPr>
              <w:rPr>
                <w:sz w:val="20"/>
                <w:szCs w:val="20"/>
                <w:lang w:val="en-GB"/>
              </w:rPr>
            </w:pPr>
            <w:r w:rsidRPr="005C7CE0">
              <w:rPr>
                <w:sz w:val="20"/>
                <w:szCs w:val="20"/>
                <w:lang w:val="en-GB"/>
              </w:rPr>
              <w:t>Severe haemophilia (FIX&lt;1 IU/</w:t>
            </w:r>
            <w:proofErr w:type="spellStart"/>
            <w:r w:rsidRPr="005C7CE0">
              <w:rPr>
                <w:sz w:val="20"/>
                <w:szCs w:val="20"/>
                <w:lang w:val="en-GB"/>
              </w:rPr>
              <w:t>dL</w:t>
            </w:r>
            <w:proofErr w:type="spellEnd"/>
            <w:r w:rsidRPr="005C7CE0">
              <w:rPr>
                <w:sz w:val="20"/>
                <w:szCs w:val="20"/>
                <w:lang w:val="en-GB"/>
              </w:rPr>
              <w:t>)</w:t>
            </w:r>
          </w:p>
        </w:tc>
        <w:tc>
          <w:tcPr>
            <w:tcW w:w="2801" w:type="pct"/>
            <w:tcBorders>
              <w:top w:val="nil"/>
              <w:left w:val="nil"/>
              <w:bottom w:val="nil"/>
              <w:right w:val="nil"/>
            </w:tcBorders>
          </w:tcPr>
          <w:p w14:paraId="27E78FF9" w14:textId="77777777" w:rsidR="003735A8" w:rsidRPr="005C7CE0" w:rsidRDefault="003735A8" w:rsidP="003735A8">
            <w:pPr>
              <w:rPr>
                <w:color w:val="FF0000"/>
                <w:sz w:val="20"/>
                <w:szCs w:val="20"/>
                <w:lang w:val="en-GB"/>
              </w:rPr>
            </w:pPr>
            <w:r w:rsidRPr="005C7CE0">
              <w:rPr>
                <w:color w:val="000000" w:themeColor="text1"/>
                <w:sz w:val="20"/>
                <w:szCs w:val="20"/>
                <w:lang w:val="en-GB"/>
              </w:rPr>
              <w:t>32 (86%)</w:t>
            </w:r>
          </w:p>
        </w:tc>
      </w:tr>
      <w:tr w:rsidR="003735A8" w:rsidRPr="000A6F76" w14:paraId="2DEF2898" w14:textId="77777777" w:rsidTr="003735A8">
        <w:trPr>
          <w:trHeight w:hRule="exact" w:val="284"/>
        </w:trPr>
        <w:tc>
          <w:tcPr>
            <w:tcW w:w="2199" w:type="pct"/>
            <w:gridSpan w:val="2"/>
            <w:tcBorders>
              <w:top w:val="nil"/>
              <w:left w:val="nil"/>
              <w:bottom w:val="nil"/>
              <w:right w:val="nil"/>
            </w:tcBorders>
          </w:tcPr>
          <w:p w14:paraId="643594BA" w14:textId="77777777" w:rsidR="003735A8" w:rsidRPr="005C7CE0" w:rsidRDefault="003735A8" w:rsidP="003735A8">
            <w:pPr>
              <w:rPr>
                <w:sz w:val="20"/>
                <w:szCs w:val="20"/>
                <w:lang w:val="en-GB"/>
              </w:rPr>
            </w:pPr>
            <w:r w:rsidRPr="005C7CE0">
              <w:rPr>
                <w:sz w:val="20"/>
                <w:szCs w:val="20"/>
                <w:lang w:val="en-GB"/>
              </w:rPr>
              <w:t>Baseline FIX non-severe patients (IU/</w:t>
            </w:r>
            <w:proofErr w:type="spellStart"/>
            <w:r w:rsidRPr="005C7CE0">
              <w:rPr>
                <w:sz w:val="20"/>
                <w:szCs w:val="20"/>
                <w:lang w:val="en-GB"/>
              </w:rPr>
              <w:t>dL</w:t>
            </w:r>
            <w:proofErr w:type="spellEnd"/>
            <w:r w:rsidRPr="005C7CE0">
              <w:rPr>
                <w:sz w:val="20"/>
                <w:szCs w:val="20"/>
                <w:lang w:val="en-GB"/>
              </w:rPr>
              <w:t>)</w:t>
            </w:r>
          </w:p>
        </w:tc>
        <w:tc>
          <w:tcPr>
            <w:tcW w:w="2801" w:type="pct"/>
            <w:tcBorders>
              <w:top w:val="nil"/>
              <w:left w:val="nil"/>
              <w:bottom w:val="nil"/>
              <w:right w:val="nil"/>
            </w:tcBorders>
          </w:tcPr>
          <w:p w14:paraId="769785A6" w14:textId="77777777" w:rsidR="003735A8" w:rsidRPr="005C7CE0" w:rsidRDefault="003735A8" w:rsidP="003735A8">
            <w:pPr>
              <w:rPr>
                <w:color w:val="FF0000"/>
                <w:sz w:val="20"/>
                <w:szCs w:val="20"/>
                <w:lang w:val="en-GB"/>
              </w:rPr>
            </w:pPr>
            <w:r w:rsidRPr="005C7CE0">
              <w:rPr>
                <w:color w:val="000000" w:themeColor="text1"/>
                <w:sz w:val="20"/>
                <w:szCs w:val="20"/>
                <w:lang w:val="en-GB"/>
              </w:rPr>
              <w:t>1.00 (1-2)</w:t>
            </w:r>
          </w:p>
        </w:tc>
      </w:tr>
      <w:tr w:rsidR="003735A8" w:rsidRPr="000A6F76" w14:paraId="78337B02" w14:textId="77777777" w:rsidTr="003735A8">
        <w:trPr>
          <w:trHeight w:hRule="exact" w:val="284"/>
        </w:trPr>
        <w:tc>
          <w:tcPr>
            <w:tcW w:w="2199" w:type="pct"/>
            <w:gridSpan w:val="2"/>
            <w:tcBorders>
              <w:top w:val="nil"/>
              <w:left w:val="nil"/>
              <w:bottom w:val="nil"/>
              <w:right w:val="nil"/>
            </w:tcBorders>
          </w:tcPr>
          <w:p w14:paraId="4AF5094A" w14:textId="77777777" w:rsidR="003735A8" w:rsidRPr="005C7CE0" w:rsidRDefault="003735A8" w:rsidP="003735A8">
            <w:pPr>
              <w:rPr>
                <w:sz w:val="20"/>
                <w:szCs w:val="20"/>
                <w:lang w:val="en-GB"/>
              </w:rPr>
            </w:pPr>
            <w:r w:rsidRPr="005C7CE0">
              <w:rPr>
                <w:sz w:val="20"/>
                <w:szCs w:val="20"/>
                <w:lang w:val="en-GB"/>
              </w:rPr>
              <w:t>Age (years)</w:t>
            </w:r>
          </w:p>
        </w:tc>
        <w:tc>
          <w:tcPr>
            <w:tcW w:w="2801" w:type="pct"/>
            <w:tcBorders>
              <w:top w:val="nil"/>
              <w:left w:val="nil"/>
              <w:bottom w:val="nil"/>
              <w:right w:val="nil"/>
            </w:tcBorders>
          </w:tcPr>
          <w:p w14:paraId="35722CF5" w14:textId="77777777" w:rsidR="003735A8" w:rsidRPr="005C7CE0" w:rsidRDefault="003735A8" w:rsidP="003735A8">
            <w:pPr>
              <w:rPr>
                <w:sz w:val="20"/>
                <w:szCs w:val="20"/>
                <w:lang w:val="en-GB"/>
              </w:rPr>
            </w:pPr>
            <w:r w:rsidRPr="005C7CE0">
              <w:rPr>
                <w:sz w:val="20"/>
                <w:szCs w:val="20"/>
                <w:lang w:val="en-GB"/>
              </w:rPr>
              <w:t>15.8 [11-30] (2.3-71.0)</w:t>
            </w:r>
          </w:p>
        </w:tc>
      </w:tr>
      <w:tr w:rsidR="003735A8" w:rsidRPr="000A6F76" w14:paraId="1A4D2B90" w14:textId="77777777" w:rsidTr="003735A8">
        <w:trPr>
          <w:trHeight w:hRule="exact" w:val="284"/>
        </w:trPr>
        <w:tc>
          <w:tcPr>
            <w:tcW w:w="2199" w:type="pct"/>
            <w:gridSpan w:val="2"/>
            <w:tcBorders>
              <w:top w:val="nil"/>
              <w:left w:val="nil"/>
              <w:bottom w:val="nil"/>
              <w:right w:val="nil"/>
            </w:tcBorders>
          </w:tcPr>
          <w:p w14:paraId="6A02EAEB" w14:textId="77777777" w:rsidR="003735A8" w:rsidRPr="005C7CE0" w:rsidRDefault="003735A8" w:rsidP="003735A8">
            <w:pPr>
              <w:rPr>
                <w:sz w:val="20"/>
                <w:szCs w:val="20"/>
                <w:lang w:val="en-GB"/>
              </w:rPr>
            </w:pPr>
            <w:r w:rsidRPr="005C7CE0">
              <w:rPr>
                <w:sz w:val="20"/>
                <w:szCs w:val="20"/>
                <w:lang w:val="en-GB"/>
              </w:rPr>
              <w:t>Body weight (kg)</w:t>
            </w:r>
          </w:p>
        </w:tc>
        <w:tc>
          <w:tcPr>
            <w:tcW w:w="2801" w:type="pct"/>
            <w:tcBorders>
              <w:top w:val="nil"/>
              <w:left w:val="nil"/>
              <w:bottom w:val="nil"/>
              <w:right w:val="nil"/>
            </w:tcBorders>
          </w:tcPr>
          <w:p w14:paraId="0CFB287E" w14:textId="77777777" w:rsidR="003735A8" w:rsidRPr="005C7CE0" w:rsidRDefault="003735A8" w:rsidP="003735A8">
            <w:pPr>
              <w:rPr>
                <w:sz w:val="20"/>
                <w:szCs w:val="20"/>
                <w:highlight w:val="yellow"/>
                <w:lang w:val="en-GB"/>
              </w:rPr>
            </w:pPr>
            <w:r w:rsidRPr="005C7CE0">
              <w:rPr>
                <w:sz w:val="20"/>
                <w:szCs w:val="20"/>
                <w:lang w:val="en-GB"/>
              </w:rPr>
              <w:t>65.4 [32.8-76.7] (11.9-103.0)</w:t>
            </w:r>
          </w:p>
        </w:tc>
      </w:tr>
      <w:tr w:rsidR="003735A8" w:rsidRPr="000A6F76" w14:paraId="2A38A495" w14:textId="77777777" w:rsidTr="003735A8">
        <w:trPr>
          <w:trHeight w:hRule="exact" w:val="284"/>
        </w:trPr>
        <w:tc>
          <w:tcPr>
            <w:tcW w:w="2199" w:type="pct"/>
            <w:gridSpan w:val="2"/>
            <w:tcBorders>
              <w:top w:val="nil"/>
              <w:left w:val="nil"/>
              <w:bottom w:val="nil"/>
              <w:right w:val="nil"/>
            </w:tcBorders>
          </w:tcPr>
          <w:p w14:paraId="1D8CF939" w14:textId="77777777" w:rsidR="003735A8" w:rsidRPr="005C7CE0" w:rsidRDefault="003735A8" w:rsidP="003735A8">
            <w:pPr>
              <w:rPr>
                <w:sz w:val="20"/>
                <w:szCs w:val="20"/>
                <w:lang w:val="en-GB"/>
              </w:rPr>
            </w:pPr>
            <w:r w:rsidRPr="005C7CE0">
              <w:rPr>
                <w:sz w:val="20"/>
                <w:szCs w:val="20"/>
                <w:lang w:val="en-GB"/>
              </w:rPr>
              <w:t>Height* (cm)</w:t>
            </w:r>
          </w:p>
        </w:tc>
        <w:tc>
          <w:tcPr>
            <w:tcW w:w="2801" w:type="pct"/>
            <w:tcBorders>
              <w:top w:val="nil"/>
              <w:left w:val="nil"/>
              <w:bottom w:val="nil"/>
              <w:right w:val="nil"/>
            </w:tcBorders>
          </w:tcPr>
          <w:p w14:paraId="4441C53E" w14:textId="77777777" w:rsidR="003735A8" w:rsidRPr="005C7CE0" w:rsidRDefault="003735A8" w:rsidP="003735A8">
            <w:pPr>
              <w:rPr>
                <w:sz w:val="20"/>
                <w:szCs w:val="20"/>
                <w:highlight w:val="yellow"/>
                <w:lang w:val="en-GB"/>
              </w:rPr>
            </w:pPr>
            <w:r w:rsidRPr="005C7CE0">
              <w:rPr>
                <w:sz w:val="20"/>
                <w:szCs w:val="20"/>
                <w:lang w:val="en-GB"/>
              </w:rPr>
              <w:t>169 [140-180] (85-192)</w:t>
            </w:r>
          </w:p>
        </w:tc>
      </w:tr>
      <w:tr w:rsidR="003735A8" w:rsidRPr="000A6F76" w14:paraId="6BDA40FF" w14:textId="77777777" w:rsidTr="003735A8">
        <w:trPr>
          <w:trHeight w:hRule="exact" w:val="284"/>
        </w:trPr>
        <w:tc>
          <w:tcPr>
            <w:tcW w:w="2199" w:type="pct"/>
            <w:gridSpan w:val="2"/>
            <w:tcBorders>
              <w:top w:val="nil"/>
              <w:left w:val="nil"/>
              <w:bottom w:val="nil"/>
              <w:right w:val="nil"/>
            </w:tcBorders>
          </w:tcPr>
          <w:p w14:paraId="5A0E9F6D" w14:textId="77777777" w:rsidR="003735A8" w:rsidRPr="005C7CE0" w:rsidRDefault="003735A8" w:rsidP="003735A8">
            <w:pPr>
              <w:rPr>
                <w:sz w:val="20"/>
                <w:szCs w:val="20"/>
                <w:lang w:val="en-GB"/>
              </w:rPr>
            </w:pPr>
            <w:r w:rsidRPr="005C7CE0">
              <w:rPr>
                <w:sz w:val="20"/>
                <w:szCs w:val="20"/>
                <w:lang w:val="en-GB"/>
              </w:rPr>
              <w:t>BMI* (kg/m</w:t>
            </w:r>
            <w:r w:rsidRPr="005C7CE0">
              <w:rPr>
                <w:sz w:val="20"/>
                <w:szCs w:val="20"/>
                <w:vertAlign w:val="superscript"/>
                <w:lang w:val="en-GB"/>
              </w:rPr>
              <w:t>2</w:t>
            </w:r>
            <w:r w:rsidRPr="005C7CE0">
              <w:rPr>
                <w:sz w:val="20"/>
                <w:szCs w:val="20"/>
                <w:lang w:val="en-GB"/>
              </w:rPr>
              <w:t>)</w:t>
            </w:r>
          </w:p>
        </w:tc>
        <w:tc>
          <w:tcPr>
            <w:tcW w:w="2801" w:type="pct"/>
            <w:tcBorders>
              <w:top w:val="nil"/>
              <w:left w:val="nil"/>
              <w:bottom w:val="nil"/>
              <w:right w:val="nil"/>
            </w:tcBorders>
          </w:tcPr>
          <w:p w14:paraId="7E06F462" w14:textId="77777777" w:rsidR="003735A8" w:rsidRPr="005C7CE0" w:rsidRDefault="003735A8" w:rsidP="003735A8">
            <w:pPr>
              <w:rPr>
                <w:color w:val="000000" w:themeColor="text1"/>
                <w:sz w:val="20"/>
                <w:szCs w:val="20"/>
                <w:highlight w:val="yellow"/>
                <w:lang w:val="en-GB"/>
              </w:rPr>
            </w:pPr>
            <w:r w:rsidRPr="005C7CE0">
              <w:rPr>
                <w:color w:val="000000" w:themeColor="text1"/>
                <w:sz w:val="20"/>
                <w:szCs w:val="20"/>
                <w:lang w:val="en-GB"/>
              </w:rPr>
              <w:t xml:space="preserve">22.02 [17.8-25.1] (13.2-32.4) </w:t>
            </w:r>
          </w:p>
        </w:tc>
      </w:tr>
      <w:tr w:rsidR="003735A8" w:rsidRPr="000A6F76" w14:paraId="238B1EF8" w14:textId="77777777" w:rsidTr="003735A8">
        <w:trPr>
          <w:trHeight w:hRule="exact" w:val="284"/>
        </w:trPr>
        <w:tc>
          <w:tcPr>
            <w:tcW w:w="2199" w:type="pct"/>
            <w:gridSpan w:val="2"/>
            <w:tcBorders>
              <w:top w:val="nil"/>
              <w:left w:val="nil"/>
              <w:bottom w:val="nil"/>
              <w:right w:val="nil"/>
            </w:tcBorders>
          </w:tcPr>
          <w:p w14:paraId="2EFC57F8" w14:textId="77777777" w:rsidR="003735A8" w:rsidRPr="005C7CE0" w:rsidRDefault="003735A8" w:rsidP="003735A8">
            <w:pPr>
              <w:rPr>
                <w:sz w:val="20"/>
                <w:szCs w:val="20"/>
                <w:lang w:val="en-GB"/>
              </w:rPr>
            </w:pPr>
            <w:r w:rsidRPr="005C7CE0">
              <w:rPr>
                <w:sz w:val="20"/>
                <w:szCs w:val="20"/>
                <w:lang w:val="en-GB"/>
              </w:rPr>
              <w:t>Lean body mass (kg)</w:t>
            </w:r>
          </w:p>
          <w:p w14:paraId="21C79D23" w14:textId="77777777" w:rsidR="003735A8" w:rsidRPr="005C7CE0" w:rsidRDefault="003735A8" w:rsidP="003735A8">
            <w:pPr>
              <w:rPr>
                <w:sz w:val="20"/>
                <w:szCs w:val="20"/>
                <w:lang w:val="en-GB"/>
              </w:rPr>
            </w:pPr>
            <w:r w:rsidRPr="005C7CE0">
              <w:rPr>
                <w:sz w:val="20"/>
                <w:szCs w:val="20"/>
                <w:lang w:val="en-GB"/>
              </w:rPr>
              <w:t>Fat free mass (kg)</w:t>
            </w:r>
          </w:p>
        </w:tc>
        <w:tc>
          <w:tcPr>
            <w:tcW w:w="2801" w:type="pct"/>
            <w:tcBorders>
              <w:top w:val="nil"/>
              <w:left w:val="nil"/>
              <w:bottom w:val="nil"/>
              <w:right w:val="nil"/>
            </w:tcBorders>
          </w:tcPr>
          <w:p w14:paraId="01E40B9B" w14:textId="77777777" w:rsidR="003735A8" w:rsidRPr="005C7CE0" w:rsidRDefault="003735A8" w:rsidP="003735A8">
            <w:pPr>
              <w:rPr>
                <w:color w:val="000000" w:themeColor="text1"/>
                <w:sz w:val="20"/>
                <w:szCs w:val="20"/>
                <w:lang w:val="en-GB"/>
              </w:rPr>
            </w:pPr>
            <w:r w:rsidRPr="005C7CE0">
              <w:rPr>
                <w:color w:val="000000" w:themeColor="text1"/>
                <w:sz w:val="20"/>
                <w:szCs w:val="20"/>
                <w:lang w:val="en-GB"/>
              </w:rPr>
              <w:t xml:space="preserve">51.74 [29.51-58.94] (11.27-73.59) </w:t>
            </w:r>
          </w:p>
          <w:p w14:paraId="249DDC27" w14:textId="77777777" w:rsidR="003735A8" w:rsidRPr="005C7CE0" w:rsidRDefault="003735A8" w:rsidP="003735A8">
            <w:pPr>
              <w:rPr>
                <w:color w:val="000000" w:themeColor="text1"/>
                <w:sz w:val="20"/>
                <w:szCs w:val="20"/>
                <w:lang w:val="en-GB"/>
              </w:rPr>
            </w:pPr>
          </w:p>
          <w:p w14:paraId="57138967" w14:textId="77777777" w:rsidR="003735A8" w:rsidRPr="005C7CE0" w:rsidRDefault="003735A8" w:rsidP="003735A8">
            <w:pPr>
              <w:rPr>
                <w:color w:val="000000" w:themeColor="text1"/>
                <w:sz w:val="20"/>
                <w:szCs w:val="20"/>
                <w:lang w:val="en-GB"/>
              </w:rPr>
            </w:pPr>
            <w:r w:rsidRPr="005C7CE0">
              <w:rPr>
                <w:color w:val="000000" w:themeColor="text1"/>
                <w:sz w:val="20"/>
                <w:szCs w:val="20"/>
                <w:lang w:val="en-GB"/>
              </w:rPr>
              <w:t>51.7 [29.5-61.1] (11.2-73.6)</w:t>
            </w:r>
          </w:p>
        </w:tc>
      </w:tr>
      <w:tr w:rsidR="003735A8" w:rsidRPr="000A6F76" w14:paraId="62E7F01B" w14:textId="77777777" w:rsidTr="003735A8">
        <w:trPr>
          <w:trHeight w:hRule="exact" w:val="284"/>
        </w:trPr>
        <w:tc>
          <w:tcPr>
            <w:tcW w:w="2199" w:type="pct"/>
            <w:gridSpan w:val="2"/>
            <w:tcBorders>
              <w:top w:val="nil"/>
              <w:left w:val="nil"/>
              <w:bottom w:val="nil"/>
              <w:right w:val="nil"/>
            </w:tcBorders>
          </w:tcPr>
          <w:p w14:paraId="2B2FCECF" w14:textId="77777777" w:rsidR="003735A8" w:rsidRPr="005C7CE0" w:rsidRDefault="003735A8" w:rsidP="003735A8">
            <w:pPr>
              <w:rPr>
                <w:sz w:val="20"/>
                <w:szCs w:val="20"/>
                <w:lang w:val="en-GB"/>
              </w:rPr>
            </w:pPr>
            <w:r w:rsidRPr="005C7CE0">
              <w:rPr>
                <w:sz w:val="20"/>
                <w:szCs w:val="20"/>
                <w:lang w:val="en-GB"/>
              </w:rPr>
              <w:t>Fat free mass (kg)</w:t>
            </w:r>
          </w:p>
        </w:tc>
        <w:tc>
          <w:tcPr>
            <w:tcW w:w="2801" w:type="pct"/>
            <w:tcBorders>
              <w:top w:val="nil"/>
              <w:left w:val="nil"/>
              <w:bottom w:val="nil"/>
              <w:right w:val="nil"/>
            </w:tcBorders>
          </w:tcPr>
          <w:p w14:paraId="641DB64F" w14:textId="77777777" w:rsidR="003735A8" w:rsidRPr="005C7CE0" w:rsidRDefault="003735A8" w:rsidP="003735A8">
            <w:pPr>
              <w:rPr>
                <w:color w:val="000000" w:themeColor="text1"/>
                <w:sz w:val="20"/>
                <w:szCs w:val="20"/>
                <w:lang w:val="en-GB"/>
              </w:rPr>
            </w:pPr>
            <w:r w:rsidRPr="005C7CE0">
              <w:rPr>
                <w:color w:val="000000" w:themeColor="text1"/>
                <w:sz w:val="20"/>
                <w:szCs w:val="20"/>
                <w:lang w:val="en-GB"/>
              </w:rPr>
              <w:t>51.12 [26.30-58.91] (9.92-73.58)</w:t>
            </w:r>
          </w:p>
        </w:tc>
      </w:tr>
      <w:tr w:rsidR="003735A8" w:rsidRPr="000A6F76" w14:paraId="35FE57C0" w14:textId="77777777" w:rsidTr="003735A8">
        <w:trPr>
          <w:trHeight w:hRule="exact" w:val="284"/>
        </w:trPr>
        <w:tc>
          <w:tcPr>
            <w:tcW w:w="5000" w:type="pct"/>
            <w:gridSpan w:val="3"/>
            <w:tcBorders>
              <w:top w:val="single" w:sz="4" w:space="0" w:color="auto"/>
              <w:left w:val="nil"/>
              <w:bottom w:val="single" w:sz="4" w:space="0" w:color="auto"/>
              <w:right w:val="nil"/>
            </w:tcBorders>
            <w:shd w:val="clear" w:color="auto" w:fill="F2F2F2" w:themeFill="background1" w:themeFillShade="F2"/>
          </w:tcPr>
          <w:p w14:paraId="056CB23C" w14:textId="77777777" w:rsidR="003735A8" w:rsidRPr="005C7CE0" w:rsidRDefault="003735A8" w:rsidP="003735A8">
            <w:pPr>
              <w:rPr>
                <w:b/>
                <w:bCs/>
                <w:sz w:val="20"/>
                <w:szCs w:val="20"/>
                <w:lang w:val="en-GB"/>
              </w:rPr>
            </w:pPr>
            <w:r w:rsidRPr="005C7CE0">
              <w:rPr>
                <w:b/>
                <w:bCs/>
                <w:sz w:val="20"/>
                <w:szCs w:val="20"/>
                <w:lang w:val="en-GB"/>
              </w:rPr>
              <w:t>Paediatric patients</w:t>
            </w:r>
          </w:p>
        </w:tc>
      </w:tr>
      <w:tr w:rsidR="003735A8" w:rsidRPr="000A6F76" w14:paraId="0322FA97" w14:textId="77777777" w:rsidTr="003735A8">
        <w:trPr>
          <w:trHeight w:hRule="exact" w:val="284"/>
        </w:trPr>
        <w:tc>
          <w:tcPr>
            <w:tcW w:w="2199" w:type="pct"/>
            <w:gridSpan w:val="2"/>
            <w:tcBorders>
              <w:top w:val="nil"/>
              <w:left w:val="nil"/>
              <w:bottom w:val="nil"/>
              <w:right w:val="nil"/>
            </w:tcBorders>
          </w:tcPr>
          <w:p w14:paraId="7979442D" w14:textId="77777777" w:rsidR="003735A8" w:rsidRPr="005C7CE0" w:rsidRDefault="003735A8" w:rsidP="003735A8">
            <w:pPr>
              <w:rPr>
                <w:sz w:val="20"/>
                <w:szCs w:val="20"/>
                <w:lang w:val="en-GB"/>
              </w:rPr>
            </w:pPr>
            <w:r w:rsidRPr="005C7CE0">
              <w:rPr>
                <w:sz w:val="20"/>
                <w:szCs w:val="20"/>
                <w:lang w:val="en-GB"/>
              </w:rPr>
              <w:t>Number of paediatric patients</w:t>
            </w:r>
            <w:r w:rsidRPr="005C7CE0">
              <w:rPr>
                <w:sz w:val="20"/>
                <w:szCs w:val="20"/>
                <w:vertAlign w:val="superscript"/>
                <w:lang w:val="en-GB"/>
              </w:rPr>
              <w:t>#</w:t>
            </w:r>
            <w:r w:rsidRPr="005C7CE0">
              <w:rPr>
                <w:sz w:val="20"/>
                <w:szCs w:val="20"/>
                <w:lang w:val="en-GB"/>
              </w:rPr>
              <w:t xml:space="preserve"> </w:t>
            </w:r>
          </w:p>
        </w:tc>
        <w:tc>
          <w:tcPr>
            <w:tcW w:w="2801" w:type="pct"/>
            <w:tcBorders>
              <w:top w:val="nil"/>
              <w:left w:val="nil"/>
              <w:bottom w:val="nil"/>
              <w:right w:val="nil"/>
            </w:tcBorders>
          </w:tcPr>
          <w:p w14:paraId="3C3973F9" w14:textId="77777777" w:rsidR="003735A8" w:rsidRPr="005C7CE0" w:rsidRDefault="003735A8" w:rsidP="003735A8">
            <w:pPr>
              <w:rPr>
                <w:sz w:val="20"/>
                <w:szCs w:val="20"/>
                <w:lang w:val="en-GB"/>
              </w:rPr>
            </w:pPr>
          </w:p>
        </w:tc>
      </w:tr>
      <w:tr w:rsidR="003735A8" w:rsidRPr="000A6F76" w14:paraId="67CBABCC" w14:textId="77777777" w:rsidTr="003735A8">
        <w:trPr>
          <w:trHeight w:hRule="exact" w:val="284"/>
        </w:trPr>
        <w:tc>
          <w:tcPr>
            <w:tcW w:w="155" w:type="pct"/>
            <w:tcBorders>
              <w:top w:val="nil"/>
              <w:left w:val="nil"/>
              <w:bottom w:val="nil"/>
              <w:right w:val="nil"/>
            </w:tcBorders>
          </w:tcPr>
          <w:p w14:paraId="6FF4323E" w14:textId="77777777" w:rsidR="003735A8" w:rsidRPr="005C7CE0" w:rsidRDefault="003735A8" w:rsidP="003735A8">
            <w:pPr>
              <w:rPr>
                <w:sz w:val="20"/>
                <w:szCs w:val="20"/>
                <w:lang w:val="en-GB"/>
              </w:rPr>
            </w:pPr>
          </w:p>
        </w:tc>
        <w:tc>
          <w:tcPr>
            <w:tcW w:w="2044" w:type="pct"/>
            <w:tcBorders>
              <w:top w:val="nil"/>
              <w:left w:val="nil"/>
              <w:bottom w:val="nil"/>
              <w:right w:val="nil"/>
            </w:tcBorders>
          </w:tcPr>
          <w:p w14:paraId="063867FE" w14:textId="77777777" w:rsidR="003735A8" w:rsidRPr="005C7CE0" w:rsidRDefault="003735A8" w:rsidP="003735A8">
            <w:pPr>
              <w:rPr>
                <w:sz w:val="20"/>
                <w:szCs w:val="20"/>
                <w:lang w:val="en-GB"/>
              </w:rPr>
            </w:pPr>
            <w:r w:rsidRPr="005C7CE0">
              <w:rPr>
                <w:sz w:val="20"/>
                <w:szCs w:val="20"/>
                <w:lang w:val="en-GB"/>
              </w:rPr>
              <w:t>&lt; 18 years (% of total patients)</w:t>
            </w:r>
          </w:p>
        </w:tc>
        <w:tc>
          <w:tcPr>
            <w:tcW w:w="2801" w:type="pct"/>
            <w:tcBorders>
              <w:top w:val="nil"/>
              <w:left w:val="nil"/>
              <w:bottom w:val="nil"/>
              <w:right w:val="nil"/>
            </w:tcBorders>
          </w:tcPr>
          <w:p w14:paraId="3CFA423B" w14:textId="77777777" w:rsidR="003735A8" w:rsidRPr="005C7CE0" w:rsidRDefault="003735A8" w:rsidP="003735A8">
            <w:pPr>
              <w:rPr>
                <w:sz w:val="20"/>
                <w:szCs w:val="20"/>
                <w:lang w:val="en-GB"/>
              </w:rPr>
            </w:pPr>
            <w:r w:rsidRPr="005C7CE0">
              <w:rPr>
                <w:sz w:val="20"/>
                <w:szCs w:val="20"/>
                <w:lang w:val="en-GB"/>
              </w:rPr>
              <w:t>19 (51%)</w:t>
            </w:r>
          </w:p>
        </w:tc>
      </w:tr>
      <w:tr w:rsidR="003735A8" w:rsidRPr="000A6F76" w14:paraId="19AA306F" w14:textId="77777777" w:rsidTr="003735A8">
        <w:trPr>
          <w:trHeight w:hRule="exact" w:val="284"/>
        </w:trPr>
        <w:tc>
          <w:tcPr>
            <w:tcW w:w="155" w:type="pct"/>
            <w:tcBorders>
              <w:top w:val="nil"/>
              <w:left w:val="nil"/>
              <w:bottom w:val="nil"/>
              <w:right w:val="nil"/>
            </w:tcBorders>
          </w:tcPr>
          <w:p w14:paraId="0B8A8D33" w14:textId="77777777" w:rsidR="003735A8" w:rsidRPr="005C7CE0" w:rsidRDefault="003735A8" w:rsidP="003735A8">
            <w:pPr>
              <w:rPr>
                <w:sz w:val="20"/>
                <w:szCs w:val="20"/>
                <w:lang w:val="en-GB"/>
              </w:rPr>
            </w:pPr>
          </w:p>
        </w:tc>
        <w:tc>
          <w:tcPr>
            <w:tcW w:w="2044" w:type="pct"/>
            <w:tcBorders>
              <w:top w:val="nil"/>
              <w:left w:val="nil"/>
              <w:bottom w:val="nil"/>
              <w:right w:val="nil"/>
            </w:tcBorders>
          </w:tcPr>
          <w:p w14:paraId="5D579A11" w14:textId="77777777" w:rsidR="003735A8" w:rsidRPr="005C7CE0" w:rsidRDefault="003735A8" w:rsidP="003735A8">
            <w:pPr>
              <w:rPr>
                <w:sz w:val="20"/>
                <w:szCs w:val="20"/>
                <w:lang w:val="en-GB"/>
              </w:rPr>
            </w:pPr>
            <w:r w:rsidRPr="005C7CE0">
              <w:rPr>
                <w:sz w:val="20"/>
                <w:szCs w:val="20"/>
                <w:lang w:val="en-GB"/>
              </w:rPr>
              <w:t>&lt; 12 years</w:t>
            </w:r>
          </w:p>
        </w:tc>
        <w:tc>
          <w:tcPr>
            <w:tcW w:w="2801" w:type="pct"/>
            <w:tcBorders>
              <w:top w:val="nil"/>
              <w:left w:val="nil"/>
              <w:bottom w:val="nil"/>
              <w:right w:val="nil"/>
            </w:tcBorders>
          </w:tcPr>
          <w:p w14:paraId="04BE7564" w14:textId="77777777" w:rsidR="003735A8" w:rsidRPr="005C7CE0" w:rsidRDefault="003735A8" w:rsidP="003735A8">
            <w:pPr>
              <w:rPr>
                <w:sz w:val="20"/>
                <w:szCs w:val="20"/>
                <w:lang w:val="en-GB"/>
              </w:rPr>
            </w:pPr>
            <w:r w:rsidRPr="005C7CE0">
              <w:rPr>
                <w:sz w:val="20"/>
                <w:szCs w:val="20"/>
                <w:lang w:val="en-GB"/>
              </w:rPr>
              <w:t>14 (38%)</w:t>
            </w:r>
          </w:p>
        </w:tc>
      </w:tr>
      <w:tr w:rsidR="003735A8" w:rsidRPr="000A6F76" w14:paraId="3D84D41C" w14:textId="77777777" w:rsidTr="003735A8">
        <w:trPr>
          <w:trHeight w:hRule="exact" w:val="284"/>
        </w:trPr>
        <w:tc>
          <w:tcPr>
            <w:tcW w:w="155" w:type="pct"/>
            <w:tcBorders>
              <w:top w:val="nil"/>
              <w:left w:val="nil"/>
              <w:bottom w:val="nil"/>
              <w:right w:val="nil"/>
            </w:tcBorders>
          </w:tcPr>
          <w:p w14:paraId="3110C128" w14:textId="77777777" w:rsidR="003735A8" w:rsidRPr="005C7CE0" w:rsidRDefault="003735A8" w:rsidP="003735A8">
            <w:pPr>
              <w:rPr>
                <w:sz w:val="20"/>
                <w:szCs w:val="20"/>
                <w:lang w:val="en-GB"/>
              </w:rPr>
            </w:pPr>
          </w:p>
        </w:tc>
        <w:tc>
          <w:tcPr>
            <w:tcW w:w="2044" w:type="pct"/>
            <w:tcBorders>
              <w:top w:val="nil"/>
              <w:left w:val="nil"/>
              <w:bottom w:val="nil"/>
              <w:right w:val="nil"/>
            </w:tcBorders>
          </w:tcPr>
          <w:p w14:paraId="6ACEE329" w14:textId="77777777" w:rsidR="003735A8" w:rsidRPr="005C7CE0" w:rsidRDefault="003735A8" w:rsidP="003735A8">
            <w:pPr>
              <w:rPr>
                <w:sz w:val="20"/>
                <w:szCs w:val="20"/>
                <w:lang w:val="en-GB"/>
              </w:rPr>
            </w:pPr>
            <w:r w:rsidRPr="005C7CE0">
              <w:rPr>
                <w:sz w:val="20"/>
                <w:szCs w:val="20"/>
                <w:lang w:val="en-GB"/>
              </w:rPr>
              <w:t>&lt; 6 years</w:t>
            </w:r>
          </w:p>
        </w:tc>
        <w:tc>
          <w:tcPr>
            <w:tcW w:w="2801" w:type="pct"/>
            <w:tcBorders>
              <w:top w:val="nil"/>
              <w:left w:val="nil"/>
              <w:bottom w:val="nil"/>
              <w:right w:val="nil"/>
            </w:tcBorders>
          </w:tcPr>
          <w:p w14:paraId="1DED8E9D" w14:textId="77777777" w:rsidR="003735A8" w:rsidRPr="005C7CE0" w:rsidRDefault="003735A8" w:rsidP="003735A8">
            <w:pPr>
              <w:rPr>
                <w:sz w:val="20"/>
                <w:szCs w:val="20"/>
                <w:lang w:val="en-GB"/>
              </w:rPr>
            </w:pPr>
            <w:r w:rsidRPr="005C7CE0">
              <w:rPr>
                <w:sz w:val="20"/>
                <w:szCs w:val="20"/>
                <w:lang w:val="en-GB"/>
              </w:rPr>
              <w:t>7 (19%)</w:t>
            </w:r>
          </w:p>
        </w:tc>
      </w:tr>
      <w:tr w:rsidR="003735A8" w:rsidRPr="000A6F76" w14:paraId="6AF3AFE4" w14:textId="77777777" w:rsidTr="003735A8">
        <w:trPr>
          <w:trHeight w:hRule="exact" w:val="284"/>
        </w:trPr>
        <w:tc>
          <w:tcPr>
            <w:tcW w:w="2199" w:type="pct"/>
            <w:gridSpan w:val="2"/>
            <w:tcBorders>
              <w:top w:val="nil"/>
              <w:left w:val="nil"/>
              <w:bottom w:val="nil"/>
              <w:right w:val="nil"/>
            </w:tcBorders>
          </w:tcPr>
          <w:p w14:paraId="2BC9FD0E" w14:textId="77777777" w:rsidR="003735A8" w:rsidRPr="005C7CE0" w:rsidRDefault="003735A8" w:rsidP="003735A8">
            <w:pPr>
              <w:rPr>
                <w:sz w:val="20"/>
                <w:szCs w:val="20"/>
                <w:lang w:val="en-GB"/>
              </w:rPr>
            </w:pPr>
            <w:r w:rsidRPr="005C7CE0">
              <w:rPr>
                <w:sz w:val="20"/>
                <w:szCs w:val="20"/>
                <w:lang w:val="en-GB"/>
              </w:rPr>
              <w:t>Age (years)</w:t>
            </w:r>
          </w:p>
        </w:tc>
        <w:tc>
          <w:tcPr>
            <w:tcW w:w="2801" w:type="pct"/>
            <w:tcBorders>
              <w:top w:val="nil"/>
              <w:left w:val="nil"/>
              <w:bottom w:val="nil"/>
              <w:right w:val="nil"/>
            </w:tcBorders>
          </w:tcPr>
          <w:p w14:paraId="7EFDD57A" w14:textId="77777777" w:rsidR="003735A8" w:rsidRPr="005C7CE0" w:rsidRDefault="003735A8" w:rsidP="003735A8">
            <w:pPr>
              <w:rPr>
                <w:sz w:val="20"/>
                <w:szCs w:val="20"/>
                <w:lang w:val="en-GB"/>
              </w:rPr>
            </w:pPr>
            <w:r w:rsidRPr="005C7CE0">
              <w:rPr>
                <w:sz w:val="20"/>
                <w:szCs w:val="20"/>
                <w:lang w:val="en-GB"/>
              </w:rPr>
              <w:t>11.0 [3.6-12.3] (2.3-15.8)</w:t>
            </w:r>
          </w:p>
        </w:tc>
      </w:tr>
      <w:tr w:rsidR="003735A8" w:rsidRPr="000A6F76" w14:paraId="1DC2D550" w14:textId="77777777" w:rsidTr="003735A8">
        <w:trPr>
          <w:trHeight w:hRule="exact" w:val="284"/>
        </w:trPr>
        <w:tc>
          <w:tcPr>
            <w:tcW w:w="2199" w:type="pct"/>
            <w:gridSpan w:val="2"/>
            <w:tcBorders>
              <w:top w:val="nil"/>
              <w:left w:val="nil"/>
              <w:bottom w:val="nil"/>
              <w:right w:val="nil"/>
            </w:tcBorders>
          </w:tcPr>
          <w:p w14:paraId="21AFA05C" w14:textId="77777777" w:rsidR="003735A8" w:rsidRPr="005C7CE0" w:rsidRDefault="003735A8" w:rsidP="003735A8">
            <w:pPr>
              <w:rPr>
                <w:sz w:val="20"/>
                <w:szCs w:val="20"/>
                <w:lang w:val="en-GB"/>
              </w:rPr>
            </w:pPr>
            <w:r w:rsidRPr="005C7CE0">
              <w:rPr>
                <w:sz w:val="20"/>
                <w:szCs w:val="20"/>
                <w:lang w:val="en-GB"/>
              </w:rPr>
              <w:t>Body weight (kg)</w:t>
            </w:r>
          </w:p>
          <w:p w14:paraId="69A7BDDD" w14:textId="77777777" w:rsidR="003735A8" w:rsidRPr="005C7CE0" w:rsidRDefault="003735A8" w:rsidP="003735A8">
            <w:pPr>
              <w:rPr>
                <w:sz w:val="20"/>
                <w:szCs w:val="20"/>
                <w:lang w:val="en-GB"/>
              </w:rPr>
            </w:pPr>
            <w:r w:rsidRPr="005C7CE0">
              <w:rPr>
                <w:sz w:val="20"/>
                <w:szCs w:val="20"/>
                <w:lang w:val="en-GB"/>
              </w:rPr>
              <w:t>BMI (kg/m</w:t>
            </w:r>
            <w:r w:rsidRPr="005C7CE0">
              <w:rPr>
                <w:sz w:val="20"/>
                <w:szCs w:val="20"/>
                <w:vertAlign w:val="superscript"/>
                <w:lang w:val="en-GB"/>
              </w:rPr>
              <w:t>2</w:t>
            </w:r>
            <w:r w:rsidRPr="005C7CE0">
              <w:rPr>
                <w:sz w:val="20"/>
                <w:szCs w:val="20"/>
                <w:lang w:val="en-GB"/>
              </w:rPr>
              <w:t>)**</w:t>
            </w:r>
          </w:p>
        </w:tc>
        <w:tc>
          <w:tcPr>
            <w:tcW w:w="2801" w:type="pct"/>
            <w:tcBorders>
              <w:top w:val="nil"/>
              <w:left w:val="nil"/>
              <w:bottom w:val="nil"/>
              <w:right w:val="nil"/>
            </w:tcBorders>
          </w:tcPr>
          <w:p w14:paraId="632BBC52" w14:textId="77777777" w:rsidR="003735A8" w:rsidRPr="005C7CE0" w:rsidRDefault="003735A8" w:rsidP="003735A8">
            <w:pPr>
              <w:rPr>
                <w:sz w:val="20"/>
                <w:szCs w:val="20"/>
                <w:lang w:val="en-GB"/>
              </w:rPr>
            </w:pPr>
            <w:r w:rsidRPr="005C7CE0">
              <w:rPr>
                <w:sz w:val="20"/>
                <w:szCs w:val="20"/>
                <w:lang w:val="en-GB"/>
              </w:rPr>
              <w:t>32.8 [16.3-32.4] (11.90-51.74)</w:t>
            </w:r>
          </w:p>
          <w:p w14:paraId="1FE48B5B" w14:textId="77777777" w:rsidR="003735A8" w:rsidRPr="005C7CE0" w:rsidRDefault="003735A8" w:rsidP="003735A8">
            <w:pPr>
              <w:rPr>
                <w:sz w:val="20"/>
                <w:szCs w:val="20"/>
                <w:lang w:val="en-GB"/>
              </w:rPr>
            </w:pPr>
            <w:r w:rsidRPr="005C7CE0">
              <w:rPr>
                <w:sz w:val="20"/>
                <w:szCs w:val="20"/>
                <w:lang w:val="en-GB"/>
              </w:rPr>
              <w:t>17.67 [16.7-19.0] (13.2-29.9)</w:t>
            </w:r>
          </w:p>
        </w:tc>
      </w:tr>
      <w:tr w:rsidR="003735A8" w:rsidRPr="000A6F76" w14:paraId="03D47EAC" w14:textId="77777777" w:rsidTr="003735A8">
        <w:trPr>
          <w:trHeight w:hRule="exact" w:val="284"/>
        </w:trPr>
        <w:tc>
          <w:tcPr>
            <w:tcW w:w="2199" w:type="pct"/>
            <w:gridSpan w:val="2"/>
            <w:tcBorders>
              <w:top w:val="nil"/>
              <w:left w:val="nil"/>
              <w:bottom w:val="single" w:sz="4" w:space="0" w:color="auto"/>
              <w:right w:val="nil"/>
            </w:tcBorders>
          </w:tcPr>
          <w:p w14:paraId="567E1AD4" w14:textId="77777777" w:rsidR="003735A8" w:rsidRPr="005C7CE0" w:rsidRDefault="003735A8" w:rsidP="003735A8">
            <w:pPr>
              <w:rPr>
                <w:color w:val="000000" w:themeColor="text1"/>
                <w:sz w:val="20"/>
                <w:szCs w:val="20"/>
                <w:lang w:val="en-GB"/>
              </w:rPr>
            </w:pPr>
            <w:r w:rsidRPr="005C7CE0">
              <w:rPr>
                <w:color w:val="000000" w:themeColor="text1"/>
                <w:sz w:val="20"/>
                <w:szCs w:val="20"/>
                <w:lang w:val="en-GB"/>
              </w:rPr>
              <w:t>Fat free mass (kg)</w:t>
            </w:r>
          </w:p>
        </w:tc>
        <w:tc>
          <w:tcPr>
            <w:tcW w:w="2801" w:type="pct"/>
            <w:tcBorders>
              <w:top w:val="nil"/>
              <w:left w:val="nil"/>
              <w:bottom w:val="single" w:sz="4" w:space="0" w:color="auto"/>
              <w:right w:val="nil"/>
            </w:tcBorders>
          </w:tcPr>
          <w:p w14:paraId="3ED81CC5" w14:textId="77777777" w:rsidR="003735A8" w:rsidRPr="005C7CE0" w:rsidRDefault="003735A8" w:rsidP="003735A8">
            <w:pPr>
              <w:rPr>
                <w:color w:val="000000" w:themeColor="text1"/>
                <w:sz w:val="20"/>
                <w:szCs w:val="20"/>
                <w:lang w:val="en-GB"/>
              </w:rPr>
            </w:pPr>
            <w:r w:rsidRPr="005C7CE0">
              <w:rPr>
                <w:color w:val="000000" w:themeColor="text1"/>
                <w:sz w:val="20"/>
                <w:szCs w:val="20"/>
                <w:lang w:val="en-GB"/>
              </w:rPr>
              <w:t>29.5 [14.83-43.8] (11.2-51.7)</w:t>
            </w:r>
          </w:p>
        </w:tc>
      </w:tr>
      <w:tr w:rsidR="003735A8" w:rsidRPr="000A6F76" w14:paraId="1277781F" w14:textId="77777777" w:rsidTr="003735A8">
        <w:trPr>
          <w:trHeight w:hRule="exact" w:val="284"/>
        </w:trPr>
        <w:tc>
          <w:tcPr>
            <w:tcW w:w="5000" w:type="pct"/>
            <w:gridSpan w:val="3"/>
            <w:tcBorders>
              <w:top w:val="single" w:sz="4" w:space="0" w:color="auto"/>
              <w:left w:val="nil"/>
              <w:bottom w:val="single" w:sz="4" w:space="0" w:color="auto"/>
              <w:right w:val="nil"/>
            </w:tcBorders>
            <w:shd w:val="clear" w:color="auto" w:fill="F2F2F2" w:themeFill="background1" w:themeFillShade="F2"/>
          </w:tcPr>
          <w:p w14:paraId="0A0C3C71" w14:textId="77777777" w:rsidR="003735A8" w:rsidRPr="005C7CE0" w:rsidRDefault="003735A8" w:rsidP="003735A8">
            <w:pPr>
              <w:rPr>
                <w:b/>
                <w:bCs/>
                <w:sz w:val="20"/>
                <w:szCs w:val="20"/>
                <w:lang w:val="en-GB"/>
              </w:rPr>
            </w:pPr>
            <w:r w:rsidRPr="005C7CE0">
              <w:rPr>
                <w:b/>
                <w:bCs/>
                <w:sz w:val="20"/>
                <w:szCs w:val="20"/>
                <w:lang w:val="en-GB"/>
              </w:rPr>
              <w:t>Treatment</w:t>
            </w:r>
          </w:p>
        </w:tc>
      </w:tr>
      <w:tr w:rsidR="003735A8" w:rsidRPr="000A6F76" w14:paraId="1448F632" w14:textId="77777777" w:rsidTr="003735A8">
        <w:trPr>
          <w:trHeight w:hRule="exact" w:val="284"/>
        </w:trPr>
        <w:tc>
          <w:tcPr>
            <w:tcW w:w="2199" w:type="pct"/>
            <w:gridSpan w:val="2"/>
            <w:tcBorders>
              <w:top w:val="single" w:sz="4" w:space="0" w:color="auto"/>
              <w:left w:val="nil"/>
              <w:bottom w:val="nil"/>
              <w:right w:val="nil"/>
            </w:tcBorders>
          </w:tcPr>
          <w:p w14:paraId="0C47F22A" w14:textId="77777777" w:rsidR="003735A8" w:rsidRPr="005C7CE0" w:rsidRDefault="003735A8" w:rsidP="003735A8">
            <w:pPr>
              <w:rPr>
                <w:sz w:val="20"/>
                <w:szCs w:val="20"/>
                <w:lang w:val="en-GB"/>
              </w:rPr>
            </w:pPr>
            <w:r w:rsidRPr="005C7CE0">
              <w:rPr>
                <w:sz w:val="20"/>
                <w:szCs w:val="20"/>
                <w:lang w:val="en-GB"/>
              </w:rPr>
              <w:t>Dose (IU/kg)</w:t>
            </w:r>
          </w:p>
        </w:tc>
        <w:tc>
          <w:tcPr>
            <w:tcW w:w="2801" w:type="pct"/>
            <w:tcBorders>
              <w:top w:val="single" w:sz="4" w:space="0" w:color="auto"/>
              <w:left w:val="nil"/>
              <w:bottom w:val="nil"/>
              <w:right w:val="nil"/>
            </w:tcBorders>
          </w:tcPr>
          <w:p w14:paraId="3F21F1E0" w14:textId="77777777" w:rsidR="003735A8" w:rsidRPr="005C7CE0" w:rsidRDefault="003735A8" w:rsidP="003735A8">
            <w:pPr>
              <w:rPr>
                <w:sz w:val="20"/>
                <w:szCs w:val="20"/>
                <w:lang w:val="en-GB"/>
              </w:rPr>
            </w:pPr>
            <w:r w:rsidRPr="005C7CE0">
              <w:rPr>
                <w:sz w:val="20"/>
                <w:szCs w:val="20"/>
                <w:lang w:val="en-GB"/>
              </w:rPr>
              <w:t>36 (10-132)</w:t>
            </w:r>
          </w:p>
        </w:tc>
      </w:tr>
      <w:tr w:rsidR="003735A8" w:rsidRPr="000A6F76" w14:paraId="44CB1573" w14:textId="77777777" w:rsidTr="003735A8">
        <w:trPr>
          <w:trHeight w:hRule="exact" w:val="284"/>
        </w:trPr>
        <w:tc>
          <w:tcPr>
            <w:tcW w:w="2199" w:type="pct"/>
            <w:gridSpan w:val="2"/>
            <w:tcBorders>
              <w:top w:val="nil"/>
              <w:left w:val="nil"/>
              <w:bottom w:val="single" w:sz="4" w:space="0" w:color="auto"/>
              <w:right w:val="nil"/>
            </w:tcBorders>
          </w:tcPr>
          <w:p w14:paraId="4E198B25" w14:textId="6353D964" w:rsidR="003735A8" w:rsidRPr="005C7CE0" w:rsidRDefault="003735A8" w:rsidP="003735A8">
            <w:pPr>
              <w:rPr>
                <w:sz w:val="20"/>
                <w:szCs w:val="20"/>
                <w:lang w:val="en-GB"/>
              </w:rPr>
            </w:pPr>
            <w:r w:rsidRPr="005C7CE0">
              <w:rPr>
                <w:sz w:val="20"/>
                <w:szCs w:val="20"/>
                <w:lang w:val="en-GB"/>
              </w:rPr>
              <w:t xml:space="preserve">Blood samples at PK </w:t>
            </w:r>
            <w:r w:rsidR="008F2815">
              <w:rPr>
                <w:sz w:val="20"/>
                <w:szCs w:val="20"/>
                <w:lang w:val="en-GB"/>
              </w:rPr>
              <w:t>profiling</w:t>
            </w:r>
            <w:r w:rsidR="00F4032B" w:rsidRPr="002F7A5C">
              <w:rPr>
                <w:sz w:val="20"/>
                <w:szCs w:val="20"/>
                <w:vertAlign w:val="superscript"/>
                <w:lang w:val="en-GB"/>
              </w:rPr>
              <w:t>^</w:t>
            </w:r>
          </w:p>
          <w:p w14:paraId="44FBE002" w14:textId="77777777" w:rsidR="003735A8" w:rsidRPr="005C7CE0" w:rsidRDefault="003735A8" w:rsidP="003735A8">
            <w:pPr>
              <w:rPr>
                <w:sz w:val="20"/>
                <w:szCs w:val="20"/>
                <w:lang w:val="en-GB"/>
              </w:rPr>
            </w:pPr>
            <w:r w:rsidRPr="005C7CE0">
              <w:rPr>
                <w:sz w:val="20"/>
                <w:szCs w:val="20"/>
                <w:lang w:val="en-GB"/>
              </w:rPr>
              <w:t>Total PK samples</w:t>
            </w:r>
          </w:p>
        </w:tc>
        <w:tc>
          <w:tcPr>
            <w:tcW w:w="2801" w:type="pct"/>
            <w:tcBorders>
              <w:top w:val="nil"/>
              <w:left w:val="nil"/>
              <w:bottom w:val="single" w:sz="4" w:space="0" w:color="auto"/>
              <w:right w:val="nil"/>
            </w:tcBorders>
          </w:tcPr>
          <w:p w14:paraId="0DCD9734" w14:textId="77777777" w:rsidR="003735A8" w:rsidRPr="005C7CE0" w:rsidRDefault="003735A8" w:rsidP="003735A8">
            <w:pPr>
              <w:rPr>
                <w:sz w:val="20"/>
                <w:szCs w:val="20"/>
                <w:lang w:val="en-GB"/>
              </w:rPr>
            </w:pPr>
            <w:r w:rsidRPr="005C7CE0">
              <w:rPr>
                <w:sz w:val="20"/>
                <w:szCs w:val="20"/>
                <w:lang w:val="en-GB"/>
              </w:rPr>
              <w:t>5 (3-7)</w:t>
            </w:r>
          </w:p>
          <w:p w14:paraId="232E5DA4" w14:textId="77777777" w:rsidR="003735A8" w:rsidRPr="005C7CE0" w:rsidRDefault="003735A8" w:rsidP="003735A8">
            <w:pPr>
              <w:rPr>
                <w:sz w:val="20"/>
                <w:szCs w:val="20"/>
                <w:lang w:val="en-GB"/>
              </w:rPr>
            </w:pPr>
            <w:r w:rsidRPr="005C7CE0">
              <w:rPr>
                <w:sz w:val="20"/>
                <w:szCs w:val="20"/>
                <w:lang w:val="en-GB"/>
              </w:rPr>
              <w:t>7 median [6-10] (4-12)</w:t>
            </w:r>
          </w:p>
        </w:tc>
      </w:tr>
    </w:tbl>
    <w:p w14:paraId="2B4A7DF8" w14:textId="17741ED8" w:rsidR="00653F26" w:rsidRDefault="005C7CE0" w:rsidP="005C7CE0">
      <w:pPr>
        <w:pStyle w:val="NoSpacing"/>
        <w:jc w:val="both"/>
        <w:rPr>
          <w:sz w:val="20"/>
          <w:szCs w:val="20"/>
          <w:lang w:val="en-GB"/>
        </w:rPr>
      </w:pPr>
      <w:r>
        <w:rPr>
          <w:sz w:val="20"/>
          <w:szCs w:val="20"/>
          <w:lang w:val="en-GB"/>
        </w:rPr>
        <w:t xml:space="preserve">* </w:t>
      </w:r>
      <w:r w:rsidR="00653F26" w:rsidRPr="005C7CE0">
        <w:rPr>
          <w:sz w:val="20"/>
          <w:szCs w:val="20"/>
          <w:lang w:val="en-GB"/>
        </w:rPr>
        <w:t xml:space="preserve">No data available in two patients. </w:t>
      </w:r>
    </w:p>
    <w:p w14:paraId="63CF6058" w14:textId="6C92A26C" w:rsidR="00653F26" w:rsidRDefault="00653F26" w:rsidP="005C7CE0">
      <w:pPr>
        <w:pStyle w:val="NoSpacing"/>
        <w:jc w:val="both"/>
        <w:rPr>
          <w:sz w:val="20"/>
          <w:szCs w:val="20"/>
          <w:lang w:val="en-GB"/>
        </w:rPr>
      </w:pPr>
      <w:r w:rsidRPr="005C7CE0">
        <w:rPr>
          <w:sz w:val="20"/>
          <w:szCs w:val="20"/>
          <w:lang w:val="en-GB"/>
        </w:rPr>
        <w:t># Percentages reflect  proportions of the total population (n=37)</w:t>
      </w:r>
    </w:p>
    <w:p w14:paraId="237EF823" w14:textId="5F4D1E53" w:rsidR="00F4032B" w:rsidRPr="005C7CE0" w:rsidRDefault="00F4032B" w:rsidP="00F4032B">
      <w:pPr>
        <w:pStyle w:val="NoSpacing"/>
        <w:jc w:val="both"/>
        <w:rPr>
          <w:sz w:val="20"/>
          <w:szCs w:val="20"/>
          <w:lang w:val="en-GB"/>
        </w:rPr>
      </w:pPr>
      <w:r>
        <w:rPr>
          <w:sz w:val="20"/>
          <w:szCs w:val="20"/>
          <w:lang w:val="en-GB"/>
        </w:rPr>
        <w:t>^ No first PK</w:t>
      </w:r>
      <w:r w:rsidR="00751B5C">
        <w:rPr>
          <w:sz w:val="20"/>
          <w:szCs w:val="20"/>
          <w:lang w:val="en-GB"/>
        </w:rPr>
        <w:t xml:space="preserve"> profile</w:t>
      </w:r>
      <w:r>
        <w:rPr>
          <w:sz w:val="20"/>
          <w:szCs w:val="20"/>
          <w:lang w:val="en-GB"/>
        </w:rPr>
        <w:t xml:space="preserve"> assessment in one patient. </w:t>
      </w:r>
    </w:p>
    <w:p w14:paraId="506DE88B" w14:textId="77777777" w:rsidR="00F4032B" w:rsidRPr="005C7CE0" w:rsidRDefault="00F4032B" w:rsidP="005C7CE0">
      <w:pPr>
        <w:pStyle w:val="NoSpacing"/>
        <w:jc w:val="both"/>
        <w:rPr>
          <w:sz w:val="20"/>
          <w:szCs w:val="20"/>
          <w:lang w:val="en-GB"/>
        </w:rPr>
      </w:pPr>
    </w:p>
    <w:p w14:paraId="1B2AC622" w14:textId="77777777" w:rsidR="00653F26" w:rsidRPr="000A6F76" w:rsidRDefault="00653F26" w:rsidP="008762F8">
      <w:pPr>
        <w:widowControl w:val="0"/>
        <w:autoSpaceDE w:val="0"/>
        <w:autoSpaceDN w:val="0"/>
        <w:adjustRightInd w:val="0"/>
        <w:spacing w:after="0" w:line="360" w:lineRule="auto"/>
        <w:ind w:left="640" w:hanging="640"/>
        <w:rPr>
          <w:bCs/>
          <w:lang w:val="en-GB"/>
        </w:rPr>
      </w:pPr>
    </w:p>
    <w:p w14:paraId="4B2066E4" w14:textId="351807CE" w:rsidR="00653F26" w:rsidRPr="000A6F76" w:rsidRDefault="00653F26">
      <w:pPr>
        <w:spacing w:after="0" w:line="240" w:lineRule="auto"/>
        <w:rPr>
          <w:b/>
          <w:bCs/>
          <w:lang w:val="en-GB"/>
        </w:rPr>
      </w:pPr>
      <w:r w:rsidRPr="000A6F76">
        <w:rPr>
          <w:b/>
          <w:bCs/>
          <w:lang w:val="en-GB"/>
        </w:rPr>
        <w:br w:type="page"/>
      </w:r>
    </w:p>
    <w:p w14:paraId="05452CFD" w14:textId="127370A7" w:rsidR="00132B42" w:rsidRPr="000A6F76" w:rsidRDefault="008762F8" w:rsidP="008762F8">
      <w:pPr>
        <w:pStyle w:val="NoSpacing"/>
        <w:rPr>
          <w:lang w:val="en-GB"/>
        </w:rPr>
      </w:pPr>
      <w:r w:rsidRPr="005C7CE0">
        <w:rPr>
          <w:b/>
          <w:bCs/>
          <w:sz w:val="20"/>
          <w:szCs w:val="20"/>
          <w:lang w:val="en-GB"/>
        </w:rPr>
        <w:lastRenderedPageBreak/>
        <w:t xml:space="preserve">Table </w:t>
      </w:r>
      <w:r w:rsidR="00BE61A5" w:rsidRPr="005C7CE0">
        <w:rPr>
          <w:b/>
          <w:bCs/>
          <w:sz w:val="20"/>
          <w:szCs w:val="20"/>
          <w:lang w:val="en-GB"/>
        </w:rPr>
        <w:t>2</w:t>
      </w:r>
      <w:r w:rsidRPr="005C7CE0">
        <w:rPr>
          <w:b/>
          <w:bCs/>
          <w:sz w:val="20"/>
          <w:szCs w:val="20"/>
          <w:lang w:val="en-GB"/>
        </w:rPr>
        <w:t xml:space="preserve">. </w:t>
      </w:r>
      <w:r w:rsidR="00AF4F6F" w:rsidRPr="005C7CE0">
        <w:rPr>
          <w:b/>
          <w:bCs/>
          <w:sz w:val="20"/>
          <w:szCs w:val="20"/>
          <w:lang w:val="en-GB"/>
        </w:rPr>
        <w:t>rFIX-Fc population pharmacokinetic</w:t>
      </w:r>
      <w:r w:rsidRPr="005C7CE0">
        <w:rPr>
          <w:b/>
          <w:bCs/>
          <w:sz w:val="20"/>
          <w:szCs w:val="20"/>
          <w:lang w:val="en-GB"/>
        </w:rPr>
        <w:t xml:space="preserve"> parameters </w:t>
      </w:r>
      <w:r w:rsidR="00882937" w:rsidRPr="005C7CE0">
        <w:rPr>
          <w:b/>
          <w:bCs/>
          <w:sz w:val="20"/>
          <w:szCs w:val="20"/>
          <w:lang w:val="en-GB"/>
        </w:rPr>
        <w:t xml:space="preserve">from the published </w:t>
      </w:r>
      <w:r w:rsidRPr="005C7CE0">
        <w:rPr>
          <w:b/>
          <w:bCs/>
          <w:sz w:val="20"/>
          <w:szCs w:val="20"/>
          <w:lang w:val="en-GB"/>
        </w:rPr>
        <w:t xml:space="preserve">and </w:t>
      </w:r>
      <w:r w:rsidR="00882937" w:rsidRPr="005C7CE0">
        <w:rPr>
          <w:b/>
          <w:bCs/>
          <w:sz w:val="20"/>
          <w:szCs w:val="20"/>
          <w:lang w:val="en-GB"/>
        </w:rPr>
        <w:t>n</w:t>
      </w:r>
      <w:r w:rsidR="00CD4085" w:rsidRPr="005C7CE0">
        <w:rPr>
          <w:b/>
          <w:bCs/>
          <w:sz w:val="20"/>
          <w:szCs w:val="20"/>
          <w:lang w:val="en-GB"/>
        </w:rPr>
        <w:t>ovel</w:t>
      </w:r>
      <w:r w:rsidR="00882937" w:rsidRPr="005C7CE0">
        <w:rPr>
          <w:b/>
          <w:bCs/>
          <w:sz w:val="20"/>
          <w:szCs w:val="20"/>
          <w:lang w:val="en-GB"/>
        </w:rPr>
        <w:t xml:space="preserve"> model</w:t>
      </w:r>
    </w:p>
    <w:tbl>
      <w:tblPr>
        <w:tblStyle w:val="TableGrid"/>
        <w:tblW w:w="9209" w:type="dxa"/>
        <w:tblLook w:val="04A0" w:firstRow="1" w:lastRow="0" w:firstColumn="1" w:lastColumn="0" w:noHBand="0" w:noVBand="1"/>
      </w:tblPr>
      <w:tblGrid>
        <w:gridCol w:w="2689"/>
        <w:gridCol w:w="1701"/>
        <w:gridCol w:w="2126"/>
        <w:gridCol w:w="2693"/>
      </w:tblGrid>
      <w:tr w:rsidR="008762F8" w:rsidRPr="000A6F76" w14:paraId="2BA4A392" w14:textId="77777777" w:rsidTr="00AF4F6F">
        <w:trPr>
          <w:trHeight w:hRule="exact" w:val="284"/>
        </w:trPr>
        <w:tc>
          <w:tcPr>
            <w:tcW w:w="2689" w:type="dxa"/>
            <w:tcBorders>
              <w:top w:val="single" w:sz="4" w:space="0" w:color="auto"/>
              <w:left w:val="single" w:sz="4" w:space="0" w:color="auto"/>
            </w:tcBorders>
            <w:shd w:val="clear" w:color="auto" w:fill="BFBFBF" w:themeFill="background1" w:themeFillShade="BF"/>
          </w:tcPr>
          <w:p w14:paraId="3DB25E7A" w14:textId="12D1FDAF" w:rsidR="008762F8" w:rsidRPr="005C7CE0" w:rsidRDefault="00132B42" w:rsidP="004769FD">
            <w:pPr>
              <w:rPr>
                <w:b/>
                <w:sz w:val="20"/>
                <w:szCs w:val="20"/>
                <w:lang w:val="en-GB"/>
              </w:rPr>
            </w:pPr>
            <w:r w:rsidRPr="005C7CE0">
              <w:rPr>
                <w:b/>
                <w:sz w:val="20"/>
                <w:szCs w:val="20"/>
                <w:lang w:val="en-GB"/>
              </w:rPr>
              <w:t xml:space="preserve">Population PK model </w:t>
            </w:r>
          </w:p>
          <w:p w14:paraId="59949BF6" w14:textId="5DAFD605" w:rsidR="00132B42" w:rsidRPr="000A6F76" w:rsidRDefault="00132B42" w:rsidP="004769FD">
            <w:pPr>
              <w:rPr>
                <w:sz w:val="20"/>
                <w:szCs w:val="20"/>
                <w:lang w:val="en-GB"/>
              </w:rPr>
            </w:pPr>
          </w:p>
        </w:tc>
        <w:tc>
          <w:tcPr>
            <w:tcW w:w="1701" w:type="dxa"/>
            <w:shd w:val="clear" w:color="auto" w:fill="BFBFBF" w:themeFill="background1" w:themeFillShade="BF"/>
          </w:tcPr>
          <w:p w14:paraId="2B5C7FA9" w14:textId="718B0E04" w:rsidR="00132B42" w:rsidRPr="000A6F76" w:rsidRDefault="00882937" w:rsidP="004769FD">
            <w:pPr>
              <w:rPr>
                <w:b/>
                <w:sz w:val="20"/>
                <w:szCs w:val="20"/>
                <w:lang w:val="en-GB"/>
              </w:rPr>
            </w:pPr>
            <w:r w:rsidRPr="000A6F76">
              <w:rPr>
                <w:b/>
                <w:sz w:val="20"/>
                <w:szCs w:val="20"/>
                <w:lang w:val="en-GB"/>
              </w:rPr>
              <w:t>Published model</w:t>
            </w:r>
            <w:r w:rsidR="00132B42" w:rsidRPr="000A6F76">
              <w:rPr>
                <w:b/>
                <w:sz w:val="20"/>
                <w:szCs w:val="20"/>
                <w:lang w:val="en-GB"/>
              </w:rPr>
              <w:t xml:space="preserve"> version</w:t>
            </w:r>
          </w:p>
          <w:p w14:paraId="35300E60" w14:textId="1307BFF9" w:rsidR="008762F8" w:rsidRPr="000A6F76" w:rsidRDefault="00132B42" w:rsidP="004769FD">
            <w:pPr>
              <w:rPr>
                <w:b/>
                <w:sz w:val="20"/>
                <w:szCs w:val="20"/>
                <w:lang w:val="en-GB"/>
              </w:rPr>
            </w:pPr>
            <w:r w:rsidRPr="000A6F76">
              <w:rPr>
                <w:b/>
                <w:sz w:val="20"/>
                <w:szCs w:val="20"/>
                <w:lang w:val="en-GB"/>
              </w:rPr>
              <w:t xml:space="preserve">Original </w:t>
            </w:r>
            <w:r w:rsidR="008762F8" w:rsidRPr="000A6F76">
              <w:rPr>
                <w:b/>
                <w:sz w:val="20"/>
                <w:szCs w:val="20"/>
                <w:lang w:val="en-GB"/>
              </w:rPr>
              <w:t>Model</w:t>
            </w:r>
          </w:p>
        </w:tc>
        <w:tc>
          <w:tcPr>
            <w:tcW w:w="4819" w:type="dxa"/>
            <w:gridSpan w:val="2"/>
            <w:shd w:val="clear" w:color="auto" w:fill="BFBFBF" w:themeFill="background1" w:themeFillShade="BF"/>
          </w:tcPr>
          <w:p w14:paraId="7CE42096" w14:textId="2F079834" w:rsidR="00132B42" w:rsidRPr="000A6F76" w:rsidRDefault="00882937" w:rsidP="004769FD">
            <w:pPr>
              <w:rPr>
                <w:b/>
                <w:sz w:val="20"/>
                <w:szCs w:val="20"/>
                <w:lang w:val="en-GB"/>
              </w:rPr>
            </w:pPr>
            <w:r w:rsidRPr="000A6F76">
              <w:rPr>
                <w:b/>
                <w:sz w:val="20"/>
                <w:szCs w:val="20"/>
                <w:lang w:val="en-GB"/>
              </w:rPr>
              <w:t>N</w:t>
            </w:r>
            <w:r w:rsidR="00CD4085" w:rsidRPr="000A6F76">
              <w:rPr>
                <w:b/>
                <w:sz w:val="20"/>
                <w:szCs w:val="20"/>
                <w:lang w:val="en-GB"/>
              </w:rPr>
              <w:t>ovel</w:t>
            </w:r>
            <w:r w:rsidRPr="000A6F76">
              <w:rPr>
                <w:b/>
                <w:sz w:val="20"/>
                <w:szCs w:val="20"/>
                <w:lang w:val="en-GB"/>
              </w:rPr>
              <w:t xml:space="preserve"> </w:t>
            </w:r>
            <w:r w:rsidR="00132B42" w:rsidRPr="000A6F76">
              <w:rPr>
                <w:b/>
                <w:sz w:val="20"/>
                <w:szCs w:val="20"/>
                <w:lang w:val="en-GB"/>
              </w:rPr>
              <w:t xml:space="preserve">model </w:t>
            </w:r>
          </w:p>
          <w:p w14:paraId="1265F88F" w14:textId="77777777" w:rsidR="00132B42" w:rsidRPr="000A6F76" w:rsidRDefault="00132B42" w:rsidP="004769FD">
            <w:pPr>
              <w:rPr>
                <w:b/>
                <w:sz w:val="20"/>
                <w:szCs w:val="20"/>
                <w:lang w:val="en-GB"/>
              </w:rPr>
            </w:pPr>
          </w:p>
          <w:p w14:paraId="0FA442D5" w14:textId="56C30364" w:rsidR="00132B42" w:rsidRPr="000A6F76" w:rsidRDefault="00132B42" w:rsidP="004769FD">
            <w:pPr>
              <w:rPr>
                <w:b/>
                <w:sz w:val="20"/>
                <w:szCs w:val="20"/>
                <w:lang w:val="en-GB"/>
              </w:rPr>
            </w:pPr>
          </w:p>
        </w:tc>
      </w:tr>
      <w:tr w:rsidR="008762F8" w:rsidRPr="000A6F76" w14:paraId="15F7AB60" w14:textId="77777777" w:rsidTr="00AF4F6F">
        <w:trPr>
          <w:trHeight w:hRule="exact" w:val="284"/>
        </w:trPr>
        <w:tc>
          <w:tcPr>
            <w:tcW w:w="2689" w:type="dxa"/>
            <w:shd w:val="clear" w:color="auto" w:fill="E7E6E6" w:themeFill="background2"/>
          </w:tcPr>
          <w:p w14:paraId="6623E8BC" w14:textId="0456A82E" w:rsidR="008762F8" w:rsidRPr="000A6F76" w:rsidRDefault="008762F8" w:rsidP="004769FD">
            <w:pPr>
              <w:rPr>
                <w:b/>
                <w:sz w:val="20"/>
                <w:szCs w:val="20"/>
                <w:lang w:val="en-GB"/>
              </w:rPr>
            </w:pPr>
            <w:r w:rsidRPr="000A6F76">
              <w:rPr>
                <w:b/>
                <w:sz w:val="20"/>
                <w:szCs w:val="20"/>
                <w:lang w:val="en-GB"/>
              </w:rPr>
              <w:t>Parameter</w:t>
            </w:r>
            <w:r w:rsidR="00132B42" w:rsidRPr="000A6F76">
              <w:rPr>
                <w:b/>
                <w:sz w:val="20"/>
                <w:szCs w:val="20"/>
                <w:lang w:val="en-GB"/>
              </w:rPr>
              <w:t>s</w:t>
            </w:r>
          </w:p>
        </w:tc>
        <w:tc>
          <w:tcPr>
            <w:tcW w:w="1701" w:type="dxa"/>
            <w:shd w:val="clear" w:color="auto" w:fill="F2F2F2" w:themeFill="background1" w:themeFillShade="F2"/>
          </w:tcPr>
          <w:p w14:paraId="0AA46631" w14:textId="77777777" w:rsidR="008762F8" w:rsidRPr="000A6F76" w:rsidRDefault="008762F8" w:rsidP="004769FD">
            <w:pPr>
              <w:rPr>
                <w:b/>
                <w:sz w:val="20"/>
                <w:szCs w:val="20"/>
                <w:lang w:val="en-GB"/>
              </w:rPr>
            </w:pPr>
            <w:r w:rsidRPr="000A6F76">
              <w:rPr>
                <w:b/>
                <w:sz w:val="20"/>
                <w:szCs w:val="20"/>
                <w:lang w:val="en-GB"/>
              </w:rPr>
              <w:t>Estimate</w:t>
            </w:r>
          </w:p>
        </w:tc>
        <w:tc>
          <w:tcPr>
            <w:tcW w:w="2126" w:type="dxa"/>
            <w:shd w:val="clear" w:color="auto" w:fill="F2F2F2" w:themeFill="background1" w:themeFillShade="F2"/>
          </w:tcPr>
          <w:p w14:paraId="5FF11CDF" w14:textId="77777777" w:rsidR="008762F8" w:rsidRPr="000A6F76" w:rsidRDefault="008762F8" w:rsidP="004769FD">
            <w:pPr>
              <w:rPr>
                <w:b/>
                <w:sz w:val="20"/>
                <w:szCs w:val="20"/>
                <w:lang w:val="en-GB"/>
              </w:rPr>
            </w:pPr>
            <w:r w:rsidRPr="000A6F76">
              <w:rPr>
                <w:b/>
                <w:sz w:val="20"/>
                <w:szCs w:val="20"/>
                <w:lang w:val="en-GB"/>
              </w:rPr>
              <w:t>Estimate (RSE %) [Shr.]</w:t>
            </w:r>
          </w:p>
        </w:tc>
        <w:tc>
          <w:tcPr>
            <w:tcW w:w="2693" w:type="dxa"/>
            <w:tcBorders>
              <w:bottom w:val="nil"/>
            </w:tcBorders>
            <w:shd w:val="clear" w:color="auto" w:fill="F2F2F2" w:themeFill="background1" w:themeFillShade="F2"/>
          </w:tcPr>
          <w:p w14:paraId="3FED8442" w14:textId="649FE03A" w:rsidR="008762F8" w:rsidRPr="000A6F76" w:rsidRDefault="008762F8" w:rsidP="004769FD">
            <w:pPr>
              <w:rPr>
                <w:b/>
                <w:sz w:val="20"/>
                <w:szCs w:val="20"/>
                <w:lang w:val="en-GB"/>
              </w:rPr>
            </w:pPr>
            <w:r w:rsidRPr="000A6F76">
              <w:rPr>
                <w:b/>
                <w:sz w:val="20"/>
                <w:szCs w:val="20"/>
                <w:lang w:val="en-GB"/>
              </w:rPr>
              <w:t>Bootstrap estimate (95%</w:t>
            </w:r>
            <w:r w:rsidR="005C7CE0">
              <w:rPr>
                <w:b/>
                <w:sz w:val="20"/>
                <w:szCs w:val="20"/>
                <w:lang w:val="en-GB"/>
              </w:rPr>
              <w:t xml:space="preserve"> </w:t>
            </w:r>
            <w:r w:rsidRPr="000A6F76">
              <w:rPr>
                <w:b/>
                <w:sz w:val="20"/>
                <w:szCs w:val="20"/>
                <w:lang w:val="en-GB"/>
              </w:rPr>
              <w:t>CI</w:t>
            </w:r>
            <w:r w:rsidR="005C7CE0">
              <w:rPr>
                <w:b/>
                <w:sz w:val="20"/>
                <w:szCs w:val="20"/>
                <w:vertAlign w:val="superscript"/>
                <w:lang w:val="en-GB"/>
              </w:rPr>
              <w:t>*</w:t>
            </w:r>
            <w:r w:rsidRPr="000A6F76">
              <w:rPr>
                <w:b/>
                <w:sz w:val="20"/>
                <w:szCs w:val="20"/>
                <w:lang w:val="en-GB"/>
              </w:rPr>
              <w:t>)</w:t>
            </w:r>
          </w:p>
        </w:tc>
      </w:tr>
      <w:tr w:rsidR="008762F8" w:rsidRPr="000A6F76" w14:paraId="34F4958A" w14:textId="77777777" w:rsidTr="00AF4F6F">
        <w:trPr>
          <w:trHeight w:hRule="exact" w:val="284"/>
        </w:trPr>
        <w:tc>
          <w:tcPr>
            <w:tcW w:w="2689" w:type="dxa"/>
          </w:tcPr>
          <w:p w14:paraId="59763BB8" w14:textId="77777777" w:rsidR="008762F8" w:rsidRPr="000A6F76" w:rsidRDefault="008762F8" w:rsidP="004769FD">
            <w:pPr>
              <w:rPr>
                <w:sz w:val="20"/>
                <w:szCs w:val="20"/>
                <w:lang w:val="en-GB"/>
              </w:rPr>
            </w:pPr>
            <w:r w:rsidRPr="000A6F76">
              <w:rPr>
                <w:sz w:val="20"/>
                <w:szCs w:val="20"/>
                <w:lang w:val="en-GB"/>
              </w:rPr>
              <w:t>CL (</w:t>
            </w:r>
            <w:proofErr w:type="spellStart"/>
            <w:r w:rsidRPr="000A6F76">
              <w:rPr>
                <w:sz w:val="20"/>
                <w:szCs w:val="20"/>
                <w:lang w:val="en-GB"/>
              </w:rPr>
              <w:t>dL</w:t>
            </w:r>
            <w:proofErr w:type="spellEnd"/>
            <w:r w:rsidRPr="000A6F76">
              <w:rPr>
                <w:sz w:val="20"/>
                <w:szCs w:val="20"/>
                <w:lang w:val="en-GB"/>
              </w:rPr>
              <w:t>/h)</w:t>
            </w:r>
          </w:p>
        </w:tc>
        <w:tc>
          <w:tcPr>
            <w:tcW w:w="1701" w:type="dxa"/>
          </w:tcPr>
          <w:p w14:paraId="27DDE460" w14:textId="77777777" w:rsidR="008762F8" w:rsidRPr="000A6F76" w:rsidRDefault="008762F8" w:rsidP="004769FD">
            <w:pPr>
              <w:rPr>
                <w:sz w:val="20"/>
                <w:szCs w:val="20"/>
                <w:lang w:val="en-GB"/>
              </w:rPr>
            </w:pPr>
            <w:r w:rsidRPr="000A6F76">
              <w:rPr>
                <w:sz w:val="20"/>
                <w:szCs w:val="20"/>
                <w:lang w:val="en-GB"/>
              </w:rPr>
              <w:t>2.39</w:t>
            </w:r>
          </w:p>
        </w:tc>
        <w:tc>
          <w:tcPr>
            <w:tcW w:w="2126" w:type="dxa"/>
          </w:tcPr>
          <w:p w14:paraId="068F0B40" w14:textId="68696C81" w:rsidR="008762F8" w:rsidRPr="000A6F76" w:rsidRDefault="008762F8" w:rsidP="004769FD">
            <w:pPr>
              <w:rPr>
                <w:sz w:val="20"/>
                <w:szCs w:val="20"/>
                <w:lang w:val="en-GB"/>
              </w:rPr>
            </w:pPr>
            <w:r w:rsidRPr="000A6F76">
              <w:rPr>
                <w:sz w:val="20"/>
                <w:szCs w:val="20"/>
                <w:lang w:val="en-GB"/>
              </w:rPr>
              <w:t>1.</w:t>
            </w:r>
            <w:r w:rsidR="00B24854">
              <w:rPr>
                <w:sz w:val="20"/>
                <w:szCs w:val="20"/>
                <w:lang w:val="en-GB"/>
              </w:rPr>
              <w:t>41</w:t>
            </w:r>
            <w:r w:rsidRPr="000A6F76">
              <w:rPr>
                <w:sz w:val="20"/>
                <w:szCs w:val="20"/>
                <w:lang w:val="en-GB"/>
              </w:rPr>
              <w:t xml:space="preserve"> (</w:t>
            </w:r>
            <w:r w:rsidR="003369EB">
              <w:rPr>
                <w:sz w:val="20"/>
                <w:szCs w:val="20"/>
                <w:lang w:val="en-GB"/>
              </w:rPr>
              <w:t>5</w:t>
            </w:r>
            <w:r w:rsidRPr="000A6F76">
              <w:rPr>
                <w:sz w:val="20"/>
                <w:szCs w:val="20"/>
                <w:lang w:val="en-GB"/>
              </w:rPr>
              <w:t>)</w:t>
            </w:r>
          </w:p>
        </w:tc>
        <w:tc>
          <w:tcPr>
            <w:tcW w:w="2693" w:type="dxa"/>
          </w:tcPr>
          <w:p w14:paraId="38AF3798" w14:textId="69A11787" w:rsidR="008762F8" w:rsidRPr="000A6F76" w:rsidRDefault="008762F8" w:rsidP="004769FD">
            <w:pPr>
              <w:rPr>
                <w:sz w:val="20"/>
                <w:szCs w:val="20"/>
                <w:lang w:val="en-GB"/>
              </w:rPr>
            </w:pPr>
            <w:r w:rsidRPr="000A6F76">
              <w:rPr>
                <w:sz w:val="20"/>
                <w:szCs w:val="20"/>
                <w:lang w:val="en-GB"/>
              </w:rPr>
              <w:t>1.4</w:t>
            </w:r>
            <w:r w:rsidR="00A25770">
              <w:rPr>
                <w:sz w:val="20"/>
                <w:szCs w:val="20"/>
                <w:lang w:val="en-GB"/>
              </w:rPr>
              <w:t>1</w:t>
            </w:r>
            <w:r w:rsidRPr="000A6F76">
              <w:rPr>
                <w:sz w:val="20"/>
                <w:szCs w:val="20"/>
                <w:lang w:val="en-GB"/>
              </w:rPr>
              <w:t xml:space="preserve"> (1.2</w:t>
            </w:r>
            <w:r w:rsidR="00A25770">
              <w:rPr>
                <w:sz w:val="20"/>
                <w:szCs w:val="20"/>
                <w:lang w:val="en-GB"/>
              </w:rPr>
              <w:t>7</w:t>
            </w:r>
            <w:r w:rsidRPr="000A6F76">
              <w:rPr>
                <w:sz w:val="20"/>
                <w:szCs w:val="20"/>
                <w:lang w:val="en-GB"/>
              </w:rPr>
              <w:t>-1.5</w:t>
            </w:r>
            <w:r w:rsidR="00A25770">
              <w:rPr>
                <w:sz w:val="20"/>
                <w:szCs w:val="20"/>
                <w:lang w:val="en-GB"/>
              </w:rPr>
              <w:t>7</w:t>
            </w:r>
            <w:r w:rsidRPr="000A6F76">
              <w:rPr>
                <w:sz w:val="20"/>
                <w:szCs w:val="20"/>
                <w:lang w:val="en-GB"/>
              </w:rPr>
              <w:t>)</w:t>
            </w:r>
          </w:p>
        </w:tc>
      </w:tr>
      <w:tr w:rsidR="008762F8" w:rsidRPr="000A6F76" w14:paraId="4CDCB608" w14:textId="77777777" w:rsidTr="00AF4F6F">
        <w:trPr>
          <w:trHeight w:hRule="exact" w:val="284"/>
        </w:trPr>
        <w:tc>
          <w:tcPr>
            <w:tcW w:w="2689" w:type="dxa"/>
          </w:tcPr>
          <w:p w14:paraId="2619A860" w14:textId="77777777" w:rsidR="008762F8" w:rsidRPr="000A6F76" w:rsidRDefault="008762F8" w:rsidP="004769FD">
            <w:pPr>
              <w:rPr>
                <w:sz w:val="20"/>
                <w:szCs w:val="20"/>
                <w:lang w:val="en-GB"/>
              </w:rPr>
            </w:pPr>
            <w:r w:rsidRPr="000A6F76">
              <w:rPr>
                <w:sz w:val="20"/>
                <w:szCs w:val="20"/>
                <w:lang w:val="en-GB"/>
              </w:rPr>
              <w:t>Body weight exponent on CL</w:t>
            </w:r>
          </w:p>
        </w:tc>
        <w:tc>
          <w:tcPr>
            <w:tcW w:w="1701" w:type="dxa"/>
          </w:tcPr>
          <w:p w14:paraId="415D2B2A" w14:textId="77777777" w:rsidR="008762F8" w:rsidRPr="000A6F76" w:rsidRDefault="008762F8" w:rsidP="004769FD">
            <w:pPr>
              <w:rPr>
                <w:sz w:val="20"/>
                <w:szCs w:val="20"/>
                <w:lang w:val="en-GB"/>
              </w:rPr>
            </w:pPr>
            <w:r w:rsidRPr="000A6F76">
              <w:rPr>
                <w:sz w:val="20"/>
                <w:szCs w:val="20"/>
                <w:lang w:val="en-GB"/>
              </w:rPr>
              <w:t>0.436</w:t>
            </w:r>
          </w:p>
        </w:tc>
        <w:tc>
          <w:tcPr>
            <w:tcW w:w="2126" w:type="dxa"/>
          </w:tcPr>
          <w:p w14:paraId="2E4DBE41" w14:textId="77777777" w:rsidR="008762F8" w:rsidRPr="000A6F76" w:rsidRDefault="008762F8" w:rsidP="004769FD">
            <w:pPr>
              <w:rPr>
                <w:sz w:val="20"/>
                <w:szCs w:val="20"/>
                <w:lang w:val="en-GB"/>
              </w:rPr>
            </w:pPr>
            <w:r w:rsidRPr="000A6F76">
              <w:rPr>
                <w:sz w:val="20"/>
                <w:szCs w:val="20"/>
                <w:lang w:val="en-GB"/>
              </w:rPr>
              <w:t>0.75</w:t>
            </w:r>
          </w:p>
        </w:tc>
        <w:tc>
          <w:tcPr>
            <w:tcW w:w="2693" w:type="dxa"/>
          </w:tcPr>
          <w:p w14:paraId="77888ED7" w14:textId="77777777" w:rsidR="008762F8" w:rsidRPr="000A6F76" w:rsidRDefault="008762F8" w:rsidP="004769FD">
            <w:pPr>
              <w:rPr>
                <w:sz w:val="20"/>
                <w:szCs w:val="20"/>
                <w:lang w:val="en-GB"/>
              </w:rPr>
            </w:pPr>
          </w:p>
        </w:tc>
      </w:tr>
      <w:tr w:rsidR="008762F8" w:rsidRPr="000A6F76" w14:paraId="5B2F21D2" w14:textId="77777777" w:rsidTr="00AF4F6F">
        <w:trPr>
          <w:trHeight w:hRule="exact" w:val="284"/>
        </w:trPr>
        <w:tc>
          <w:tcPr>
            <w:tcW w:w="2689" w:type="dxa"/>
          </w:tcPr>
          <w:p w14:paraId="4A402859" w14:textId="77777777" w:rsidR="008762F8" w:rsidRPr="000A6F76" w:rsidRDefault="008762F8" w:rsidP="004769FD">
            <w:pPr>
              <w:rPr>
                <w:sz w:val="20"/>
                <w:szCs w:val="20"/>
                <w:lang w:val="en-GB"/>
              </w:rPr>
            </w:pPr>
            <w:r w:rsidRPr="000A6F76">
              <w:rPr>
                <w:sz w:val="20"/>
                <w:szCs w:val="20"/>
                <w:lang w:val="en-GB"/>
              </w:rPr>
              <w:t>Age exponent on CL</w:t>
            </w:r>
          </w:p>
        </w:tc>
        <w:tc>
          <w:tcPr>
            <w:tcW w:w="1701" w:type="dxa"/>
          </w:tcPr>
          <w:p w14:paraId="1A58B733" w14:textId="77777777" w:rsidR="008762F8" w:rsidRPr="000A6F76" w:rsidRDefault="008762F8" w:rsidP="004769FD">
            <w:pPr>
              <w:rPr>
                <w:sz w:val="20"/>
                <w:szCs w:val="20"/>
                <w:lang w:val="en-GB"/>
              </w:rPr>
            </w:pPr>
          </w:p>
        </w:tc>
        <w:tc>
          <w:tcPr>
            <w:tcW w:w="2126" w:type="dxa"/>
          </w:tcPr>
          <w:p w14:paraId="5878E356" w14:textId="6786CCEA" w:rsidR="008762F8" w:rsidRPr="000A6F76" w:rsidRDefault="008762F8" w:rsidP="004769FD">
            <w:pPr>
              <w:rPr>
                <w:sz w:val="20"/>
                <w:szCs w:val="20"/>
                <w:lang w:val="en-GB"/>
              </w:rPr>
            </w:pPr>
            <w:r w:rsidRPr="000A6F76">
              <w:rPr>
                <w:sz w:val="20"/>
                <w:szCs w:val="20"/>
                <w:lang w:val="en-GB"/>
              </w:rPr>
              <w:t>0.00</w:t>
            </w:r>
            <w:r w:rsidR="00B24854">
              <w:rPr>
                <w:sz w:val="20"/>
                <w:szCs w:val="20"/>
                <w:lang w:val="en-GB"/>
              </w:rPr>
              <w:t>47</w:t>
            </w:r>
            <w:r w:rsidRPr="000A6F76">
              <w:rPr>
                <w:sz w:val="20"/>
                <w:szCs w:val="20"/>
                <w:lang w:val="en-GB"/>
              </w:rPr>
              <w:t xml:space="preserve"> (</w:t>
            </w:r>
            <w:r w:rsidR="003369EB">
              <w:rPr>
                <w:sz w:val="20"/>
                <w:szCs w:val="20"/>
                <w:lang w:val="en-GB"/>
              </w:rPr>
              <w:t>11</w:t>
            </w:r>
            <w:r w:rsidRPr="000A6F76">
              <w:rPr>
                <w:sz w:val="20"/>
                <w:szCs w:val="20"/>
                <w:lang w:val="en-GB"/>
              </w:rPr>
              <w:t>)</w:t>
            </w:r>
          </w:p>
        </w:tc>
        <w:tc>
          <w:tcPr>
            <w:tcW w:w="2693" w:type="dxa"/>
          </w:tcPr>
          <w:p w14:paraId="30B642D8" w14:textId="6C31C190" w:rsidR="008762F8" w:rsidRPr="000A6F76" w:rsidRDefault="008762F8" w:rsidP="004769FD">
            <w:pPr>
              <w:rPr>
                <w:sz w:val="20"/>
                <w:szCs w:val="20"/>
                <w:lang w:val="en-GB"/>
              </w:rPr>
            </w:pPr>
            <w:r w:rsidRPr="000A6F76">
              <w:rPr>
                <w:sz w:val="20"/>
                <w:szCs w:val="20"/>
                <w:lang w:val="en-GB"/>
              </w:rPr>
              <w:t>0.005</w:t>
            </w:r>
            <w:r w:rsidR="00CD2D31">
              <w:rPr>
                <w:sz w:val="20"/>
                <w:szCs w:val="20"/>
                <w:lang w:val="en-GB"/>
              </w:rPr>
              <w:t>0</w:t>
            </w:r>
            <w:r w:rsidRPr="000A6F76">
              <w:rPr>
                <w:sz w:val="20"/>
                <w:szCs w:val="20"/>
                <w:lang w:val="en-GB"/>
              </w:rPr>
              <w:t xml:space="preserve"> (0.00</w:t>
            </w:r>
            <w:r w:rsidR="00A25770">
              <w:rPr>
                <w:sz w:val="20"/>
                <w:szCs w:val="20"/>
                <w:lang w:val="en-GB"/>
              </w:rPr>
              <w:t>1</w:t>
            </w:r>
            <w:r w:rsidRPr="000A6F76">
              <w:rPr>
                <w:sz w:val="20"/>
                <w:szCs w:val="20"/>
                <w:lang w:val="en-GB"/>
              </w:rPr>
              <w:t>-0.01</w:t>
            </w:r>
            <w:r w:rsidR="00882937" w:rsidRPr="000A6F76">
              <w:rPr>
                <w:sz w:val="20"/>
                <w:szCs w:val="20"/>
                <w:lang w:val="en-GB"/>
              </w:rPr>
              <w:t>0</w:t>
            </w:r>
            <w:r w:rsidRPr="000A6F76">
              <w:rPr>
                <w:sz w:val="20"/>
                <w:szCs w:val="20"/>
                <w:lang w:val="en-GB"/>
              </w:rPr>
              <w:t>)</w:t>
            </w:r>
          </w:p>
        </w:tc>
      </w:tr>
      <w:tr w:rsidR="008762F8" w:rsidRPr="000A6F76" w14:paraId="79D00CB9" w14:textId="77777777" w:rsidTr="00AF4F6F">
        <w:trPr>
          <w:trHeight w:hRule="exact" w:val="284"/>
        </w:trPr>
        <w:tc>
          <w:tcPr>
            <w:tcW w:w="2689" w:type="dxa"/>
          </w:tcPr>
          <w:p w14:paraId="3A316ED3" w14:textId="77777777" w:rsidR="008762F8" w:rsidRPr="000A6F76" w:rsidRDefault="008762F8" w:rsidP="004769FD">
            <w:pPr>
              <w:rPr>
                <w:sz w:val="20"/>
                <w:szCs w:val="20"/>
                <w:lang w:val="en-GB"/>
              </w:rPr>
            </w:pPr>
            <w:r w:rsidRPr="000A6F76">
              <w:rPr>
                <w:sz w:val="20"/>
                <w:szCs w:val="20"/>
                <w:lang w:val="en-GB"/>
              </w:rPr>
              <w:t>V1 (</w:t>
            </w:r>
            <w:proofErr w:type="spellStart"/>
            <w:r w:rsidRPr="000A6F76">
              <w:rPr>
                <w:sz w:val="20"/>
                <w:szCs w:val="20"/>
                <w:lang w:val="en-GB"/>
              </w:rPr>
              <w:t>dL</w:t>
            </w:r>
            <w:proofErr w:type="spellEnd"/>
            <w:r w:rsidRPr="000A6F76">
              <w:rPr>
                <w:sz w:val="20"/>
                <w:szCs w:val="20"/>
                <w:lang w:val="en-GB"/>
              </w:rPr>
              <w:t>)</w:t>
            </w:r>
          </w:p>
        </w:tc>
        <w:tc>
          <w:tcPr>
            <w:tcW w:w="1701" w:type="dxa"/>
          </w:tcPr>
          <w:p w14:paraId="15755FF5" w14:textId="77777777" w:rsidR="008762F8" w:rsidRPr="000A6F76" w:rsidRDefault="008762F8" w:rsidP="004769FD">
            <w:pPr>
              <w:rPr>
                <w:sz w:val="20"/>
                <w:szCs w:val="20"/>
                <w:lang w:val="en-GB"/>
              </w:rPr>
            </w:pPr>
            <w:r w:rsidRPr="000A6F76">
              <w:rPr>
                <w:sz w:val="20"/>
                <w:szCs w:val="20"/>
                <w:lang w:val="en-GB"/>
              </w:rPr>
              <w:t>71.4</w:t>
            </w:r>
          </w:p>
        </w:tc>
        <w:tc>
          <w:tcPr>
            <w:tcW w:w="2126" w:type="dxa"/>
          </w:tcPr>
          <w:p w14:paraId="52EF0289" w14:textId="522C20D2" w:rsidR="008762F8" w:rsidRPr="000A6F76" w:rsidRDefault="008762F8" w:rsidP="004769FD">
            <w:pPr>
              <w:rPr>
                <w:sz w:val="20"/>
                <w:szCs w:val="20"/>
                <w:lang w:val="en-GB"/>
              </w:rPr>
            </w:pPr>
            <w:r w:rsidRPr="000A6F76">
              <w:rPr>
                <w:sz w:val="20"/>
                <w:szCs w:val="20"/>
                <w:lang w:val="en-GB"/>
              </w:rPr>
              <w:t>7</w:t>
            </w:r>
            <w:r w:rsidR="00B24854">
              <w:rPr>
                <w:sz w:val="20"/>
                <w:szCs w:val="20"/>
                <w:lang w:val="en-GB"/>
              </w:rPr>
              <w:t>3</w:t>
            </w:r>
            <w:r w:rsidRPr="000A6F76">
              <w:rPr>
                <w:sz w:val="20"/>
                <w:szCs w:val="20"/>
                <w:lang w:val="en-GB"/>
              </w:rPr>
              <w:t>.</w:t>
            </w:r>
            <w:r w:rsidR="00B24854">
              <w:rPr>
                <w:sz w:val="20"/>
                <w:szCs w:val="20"/>
                <w:lang w:val="en-GB"/>
              </w:rPr>
              <w:t>1</w:t>
            </w:r>
            <w:r w:rsidRPr="000A6F76">
              <w:rPr>
                <w:sz w:val="20"/>
                <w:szCs w:val="20"/>
                <w:lang w:val="en-GB"/>
              </w:rPr>
              <w:t xml:space="preserve"> (</w:t>
            </w:r>
            <w:r w:rsidR="003369EB">
              <w:rPr>
                <w:sz w:val="20"/>
                <w:szCs w:val="20"/>
                <w:lang w:val="en-GB"/>
              </w:rPr>
              <w:t>5</w:t>
            </w:r>
            <w:r w:rsidRPr="000A6F76">
              <w:rPr>
                <w:sz w:val="20"/>
                <w:szCs w:val="20"/>
                <w:lang w:val="en-GB"/>
              </w:rPr>
              <w:t>)</w:t>
            </w:r>
          </w:p>
        </w:tc>
        <w:tc>
          <w:tcPr>
            <w:tcW w:w="2693" w:type="dxa"/>
          </w:tcPr>
          <w:p w14:paraId="36411504" w14:textId="531A66E7" w:rsidR="008762F8" w:rsidRPr="000A6F76" w:rsidRDefault="008762F8" w:rsidP="004769FD">
            <w:pPr>
              <w:rPr>
                <w:sz w:val="20"/>
                <w:szCs w:val="20"/>
                <w:lang w:val="en-GB"/>
              </w:rPr>
            </w:pPr>
            <w:r w:rsidRPr="000A6F76">
              <w:rPr>
                <w:sz w:val="20"/>
                <w:szCs w:val="20"/>
                <w:lang w:val="en-GB"/>
              </w:rPr>
              <w:t>7</w:t>
            </w:r>
            <w:r w:rsidR="00A25770">
              <w:rPr>
                <w:sz w:val="20"/>
                <w:szCs w:val="20"/>
                <w:lang w:val="en-GB"/>
              </w:rPr>
              <w:t>2</w:t>
            </w:r>
            <w:r w:rsidRPr="000A6F76">
              <w:rPr>
                <w:sz w:val="20"/>
                <w:szCs w:val="20"/>
                <w:lang w:val="en-GB"/>
              </w:rPr>
              <w:t>.</w:t>
            </w:r>
            <w:r w:rsidR="00A25770">
              <w:rPr>
                <w:sz w:val="20"/>
                <w:szCs w:val="20"/>
                <w:lang w:val="en-GB"/>
              </w:rPr>
              <w:t>5</w:t>
            </w:r>
            <w:r w:rsidRPr="000A6F76">
              <w:rPr>
                <w:sz w:val="20"/>
                <w:szCs w:val="20"/>
                <w:lang w:val="en-GB"/>
              </w:rPr>
              <w:t xml:space="preserve"> (6</w:t>
            </w:r>
            <w:r w:rsidR="00A25770">
              <w:rPr>
                <w:sz w:val="20"/>
                <w:szCs w:val="20"/>
                <w:lang w:val="en-GB"/>
              </w:rPr>
              <w:t>4</w:t>
            </w:r>
            <w:r w:rsidRPr="000A6F76">
              <w:rPr>
                <w:sz w:val="20"/>
                <w:szCs w:val="20"/>
                <w:lang w:val="en-GB"/>
              </w:rPr>
              <w:t>.</w:t>
            </w:r>
            <w:r w:rsidR="00A25770">
              <w:rPr>
                <w:sz w:val="20"/>
                <w:szCs w:val="20"/>
                <w:lang w:val="en-GB"/>
              </w:rPr>
              <w:t>9</w:t>
            </w:r>
            <w:r w:rsidRPr="000A6F76">
              <w:rPr>
                <w:sz w:val="20"/>
                <w:szCs w:val="20"/>
                <w:lang w:val="en-GB"/>
              </w:rPr>
              <w:t>-8</w:t>
            </w:r>
            <w:r w:rsidR="00A25770">
              <w:rPr>
                <w:sz w:val="20"/>
                <w:szCs w:val="20"/>
                <w:lang w:val="en-GB"/>
              </w:rPr>
              <w:t>0</w:t>
            </w:r>
            <w:r w:rsidRPr="000A6F76">
              <w:rPr>
                <w:sz w:val="20"/>
                <w:szCs w:val="20"/>
                <w:lang w:val="en-GB"/>
              </w:rPr>
              <w:t>.4)</w:t>
            </w:r>
          </w:p>
        </w:tc>
      </w:tr>
      <w:tr w:rsidR="008762F8" w:rsidRPr="000A6F76" w14:paraId="3AD3BD17" w14:textId="77777777" w:rsidTr="00AF4F6F">
        <w:trPr>
          <w:trHeight w:hRule="exact" w:val="284"/>
        </w:trPr>
        <w:tc>
          <w:tcPr>
            <w:tcW w:w="2689" w:type="dxa"/>
          </w:tcPr>
          <w:p w14:paraId="3D84FFFB" w14:textId="77777777" w:rsidR="008762F8" w:rsidRPr="000A6F76" w:rsidRDefault="008762F8" w:rsidP="004769FD">
            <w:pPr>
              <w:rPr>
                <w:sz w:val="20"/>
                <w:szCs w:val="20"/>
                <w:lang w:val="en-GB"/>
              </w:rPr>
            </w:pPr>
            <w:r w:rsidRPr="000A6F76">
              <w:rPr>
                <w:sz w:val="20"/>
                <w:szCs w:val="20"/>
                <w:lang w:val="en-GB"/>
              </w:rPr>
              <w:t>Body weight exponent on V1</w:t>
            </w:r>
          </w:p>
        </w:tc>
        <w:tc>
          <w:tcPr>
            <w:tcW w:w="1701" w:type="dxa"/>
          </w:tcPr>
          <w:p w14:paraId="325D13E1" w14:textId="77777777" w:rsidR="008762F8" w:rsidRPr="000A6F76" w:rsidRDefault="008762F8" w:rsidP="004769FD">
            <w:pPr>
              <w:rPr>
                <w:sz w:val="20"/>
                <w:szCs w:val="20"/>
                <w:lang w:val="en-GB"/>
              </w:rPr>
            </w:pPr>
            <w:r w:rsidRPr="000A6F76">
              <w:rPr>
                <w:sz w:val="20"/>
                <w:szCs w:val="20"/>
                <w:lang w:val="en-GB"/>
              </w:rPr>
              <w:t>0.396</w:t>
            </w:r>
          </w:p>
        </w:tc>
        <w:tc>
          <w:tcPr>
            <w:tcW w:w="2126" w:type="dxa"/>
          </w:tcPr>
          <w:p w14:paraId="37D07475" w14:textId="77777777" w:rsidR="008762F8" w:rsidRPr="000A6F76" w:rsidRDefault="008762F8" w:rsidP="004769FD">
            <w:pPr>
              <w:rPr>
                <w:sz w:val="20"/>
                <w:szCs w:val="20"/>
                <w:lang w:val="en-GB"/>
              </w:rPr>
            </w:pPr>
            <w:r w:rsidRPr="000A6F76">
              <w:rPr>
                <w:sz w:val="20"/>
                <w:szCs w:val="20"/>
                <w:lang w:val="en-GB"/>
              </w:rPr>
              <w:t>1.00</w:t>
            </w:r>
          </w:p>
        </w:tc>
        <w:tc>
          <w:tcPr>
            <w:tcW w:w="2693" w:type="dxa"/>
          </w:tcPr>
          <w:p w14:paraId="53107E8D" w14:textId="77777777" w:rsidR="008762F8" w:rsidRPr="000A6F76" w:rsidRDefault="008762F8" w:rsidP="004769FD">
            <w:pPr>
              <w:rPr>
                <w:sz w:val="20"/>
                <w:szCs w:val="20"/>
                <w:lang w:val="en-GB"/>
              </w:rPr>
            </w:pPr>
          </w:p>
        </w:tc>
      </w:tr>
      <w:tr w:rsidR="008762F8" w:rsidRPr="000A6F76" w14:paraId="20E196C7" w14:textId="77777777" w:rsidTr="00AF4F6F">
        <w:trPr>
          <w:trHeight w:hRule="exact" w:val="284"/>
        </w:trPr>
        <w:tc>
          <w:tcPr>
            <w:tcW w:w="2689" w:type="dxa"/>
          </w:tcPr>
          <w:p w14:paraId="6809FB56" w14:textId="3B706EDE" w:rsidR="008762F8" w:rsidRPr="000A6F76" w:rsidRDefault="008762F8" w:rsidP="004769FD">
            <w:pPr>
              <w:rPr>
                <w:sz w:val="20"/>
                <w:szCs w:val="20"/>
                <w:lang w:val="en-GB"/>
              </w:rPr>
            </w:pPr>
            <w:r w:rsidRPr="000A6F76">
              <w:rPr>
                <w:sz w:val="20"/>
                <w:szCs w:val="20"/>
                <w:lang w:val="en-GB"/>
              </w:rPr>
              <w:t>Q2 (</w:t>
            </w:r>
            <w:proofErr w:type="spellStart"/>
            <w:r w:rsidRPr="000A6F76">
              <w:rPr>
                <w:sz w:val="20"/>
                <w:szCs w:val="20"/>
                <w:lang w:val="en-GB"/>
              </w:rPr>
              <w:t>dL</w:t>
            </w:r>
            <w:proofErr w:type="spellEnd"/>
            <w:r w:rsidRPr="000A6F76">
              <w:rPr>
                <w:sz w:val="20"/>
                <w:szCs w:val="20"/>
                <w:lang w:val="en-GB"/>
              </w:rPr>
              <w:t>/h)</w:t>
            </w:r>
          </w:p>
        </w:tc>
        <w:tc>
          <w:tcPr>
            <w:tcW w:w="1701" w:type="dxa"/>
          </w:tcPr>
          <w:p w14:paraId="61FC063B" w14:textId="77777777" w:rsidR="008762F8" w:rsidRPr="000A6F76" w:rsidRDefault="008762F8" w:rsidP="004769FD">
            <w:pPr>
              <w:rPr>
                <w:sz w:val="20"/>
                <w:szCs w:val="20"/>
                <w:lang w:val="en-GB"/>
              </w:rPr>
            </w:pPr>
            <w:r w:rsidRPr="000A6F76">
              <w:rPr>
                <w:sz w:val="20"/>
                <w:szCs w:val="20"/>
                <w:lang w:val="en-GB"/>
              </w:rPr>
              <w:t>1.67</w:t>
            </w:r>
          </w:p>
        </w:tc>
        <w:tc>
          <w:tcPr>
            <w:tcW w:w="2126" w:type="dxa"/>
          </w:tcPr>
          <w:p w14:paraId="1C87E62B" w14:textId="5E31341D" w:rsidR="008762F8" w:rsidRPr="000A6F76" w:rsidRDefault="008762F8" w:rsidP="004769FD">
            <w:pPr>
              <w:rPr>
                <w:sz w:val="20"/>
                <w:szCs w:val="20"/>
                <w:lang w:val="en-GB"/>
              </w:rPr>
            </w:pPr>
            <w:r w:rsidRPr="000A6F76">
              <w:rPr>
                <w:sz w:val="20"/>
                <w:szCs w:val="20"/>
                <w:lang w:val="en-GB"/>
              </w:rPr>
              <w:t>2.</w:t>
            </w:r>
            <w:r w:rsidR="00B24854">
              <w:rPr>
                <w:sz w:val="20"/>
                <w:szCs w:val="20"/>
                <w:lang w:val="en-GB"/>
              </w:rPr>
              <w:t>7</w:t>
            </w:r>
            <w:r w:rsidRPr="000A6F76">
              <w:rPr>
                <w:sz w:val="20"/>
                <w:szCs w:val="20"/>
                <w:lang w:val="en-GB"/>
              </w:rPr>
              <w:t>7 (</w:t>
            </w:r>
            <w:r w:rsidR="003369EB">
              <w:rPr>
                <w:sz w:val="20"/>
                <w:szCs w:val="20"/>
                <w:lang w:val="en-GB"/>
              </w:rPr>
              <w:t>14</w:t>
            </w:r>
            <w:r w:rsidRPr="000A6F76">
              <w:rPr>
                <w:sz w:val="20"/>
                <w:szCs w:val="20"/>
                <w:lang w:val="en-GB"/>
              </w:rPr>
              <w:t>)</w:t>
            </w:r>
          </w:p>
        </w:tc>
        <w:tc>
          <w:tcPr>
            <w:tcW w:w="2693" w:type="dxa"/>
          </w:tcPr>
          <w:p w14:paraId="2495C635" w14:textId="4FE34B08" w:rsidR="008762F8" w:rsidRPr="000A6F76" w:rsidRDefault="008762F8" w:rsidP="004769FD">
            <w:pPr>
              <w:rPr>
                <w:sz w:val="20"/>
                <w:szCs w:val="20"/>
                <w:lang w:val="en-GB"/>
              </w:rPr>
            </w:pPr>
            <w:r w:rsidRPr="000A6F76">
              <w:rPr>
                <w:sz w:val="20"/>
                <w:szCs w:val="20"/>
                <w:lang w:val="en-GB"/>
              </w:rPr>
              <w:t>2.</w:t>
            </w:r>
            <w:r w:rsidR="00A25770">
              <w:rPr>
                <w:sz w:val="20"/>
                <w:szCs w:val="20"/>
                <w:lang w:val="en-GB"/>
              </w:rPr>
              <w:t>87</w:t>
            </w:r>
            <w:r w:rsidRPr="000A6F76">
              <w:rPr>
                <w:sz w:val="20"/>
                <w:szCs w:val="20"/>
                <w:lang w:val="en-GB"/>
              </w:rPr>
              <w:t xml:space="preserve"> (2.</w:t>
            </w:r>
            <w:r w:rsidR="00A25770">
              <w:rPr>
                <w:sz w:val="20"/>
                <w:szCs w:val="20"/>
                <w:lang w:val="en-GB"/>
              </w:rPr>
              <w:t>06</w:t>
            </w:r>
            <w:r w:rsidRPr="000A6F76">
              <w:rPr>
                <w:sz w:val="20"/>
                <w:szCs w:val="20"/>
                <w:lang w:val="en-GB"/>
              </w:rPr>
              <w:t>-6.</w:t>
            </w:r>
            <w:r w:rsidR="00A25770">
              <w:rPr>
                <w:sz w:val="20"/>
                <w:szCs w:val="20"/>
                <w:lang w:val="en-GB"/>
              </w:rPr>
              <w:t>22</w:t>
            </w:r>
            <w:r w:rsidRPr="000A6F76">
              <w:rPr>
                <w:sz w:val="20"/>
                <w:szCs w:val="20"/>
                <w:lang w:val="en-GB"/>
              </w:rPr>
              <w:t>)</w:t>
            </w:r>
          </w:p>
        </w:tc>
      </w:tr>
      <w:tr w:rsidR="008762F8" w:rsidRPr="000A6F76" w14:paraId="719E3D12" w14:textId="77777777" w:rsidTr="00AF4F6F">
        <w:trPr>
          <w:trHeight w:hRule="exact" w:val="284"/>
        </w:trPr>
        <w:tc>
          <w:tcPr>
            <w:tcW w:w="2689" w:type="dxa"/>
          </w:tcPr>
          <w:p w14:paraId="09621AA0" w14:textId="77777777" w:rsidR="008762F8" w:rsidRPr="000A6F76" w:rsidRDefault="008762F8" w:rsidP="004769FD">
            <w:pPr>
              <w:rPr>
                <w:sz w:val="20"/>
                <w:szCs w:val="20"/>
                <w:lang w:val="en-GB"/>
              </w:rPr>
            </w:pPr>
            <w:r w:rsidRPr="000A6F76">
              <w:rPr>
                <w:sz w:val="20"/>
                <w:szCs w:val="20"/>
                <w:lang w:val="en-GB"/>
              </w:rPr>
              <w:t>Body weight exponent on Q2</w:t>
            </w:r>
          </w:p>
        </w:tc>
        <w:tc>
          <w:tcPr>
            <w:tcW w:w="1701" w:type="dxa"/>
          </w:tcPr>
          <w:p w14:paraId="13A426CC" w14:textId="77777777" w:rsidR="008762F8" w:rsidRPr="000A6F76" w:rsidRDefault="008762F8" w:rsidP="004769FD">
            <w:pPr>
              <w:rPr>
                <w:sz w:val="20"/>
                <w:szCs w:val="20"/>
                <w:lang w:val="en-GB"/>
              </w:rPr>
            </w:pPr>
          </w:p>
        </w:tc>
        <w:tc>
          <w:tcPr>
            <w:tcW w:w="2126" w:type="dxa"/>
          </w:tcPr>
          <w:p w14:paraId="1B711C34" w14:textId="77777777" w:rsidR="008762F8" w:rsidRPr="000A6F76" w:rsidRDefault="008762F8" w:rsidP="004769FD">
            <w:pPr>
              <w:rPr>
                <w:sz w:val="20"/>
                <w:szCs w:val="20"/>
                <w:lang w:val="en-GB"/>
              </w:rPr>
            </w:pPr>
            <w:r w:rsidRPr="000A6F76">
              <w:rPr>
                <w:sz w:val="20"/>
                <w:szCs w:val="20"/>
                <w:lang w:val="en-GB"/>
              </w:rPr>
              <w:t>0.75</w:t>
            </w:r>
          </w:p>
        </w:tc>
        <w:tc>
          <w:tcPr>
            <w:tcW w:w="2693" w:type="dxa"/>
          </w:tcPr>
          <w:p w14:paraId="5D53C44A" w14:textId="77777777" w:rsidR="008762F8" w:rsidRPr="000A6F76" w:rsidRDefault="008762F8" w:rsidP="004769FD">
            <w:pPr>
              <w:rPr>
                <w:sz w:val="20"/>
                <w:szCs w:val="20"/>
                <w:lang w:val="en-GB"/>
              </w:rPr>
            </w:pPr>
          </w:p>
        </w:tc>
      </w:tr>
      <w:tr w:rsidR="008762F8" w:rsidRPr="000A6F76" w14:paraId="0B991113" w14:textId="77777777" w:rsidTr="00AF4F6F">
        <w:trPr>
          <w:trHeight w:hRule="exact" w:val="284"/>
        </w:trPr>
        <w:tc>
          <w:tcPr>
            <w:tcW w:w="2689" w:type="dxa"/>
          </w:tcPr>
          <w:p w14:paraId="5E99D4D9" w14:textId="635A1250" w:rsidR="008762F8" w:rsidRPr="000A6F76" w:rsidRDefault="008762F8" w:rsidP="004769FD">
            <w:pPr>
              <w:rPr>
                <w:sz w:val="20"/>
                <w:szCs w:val="20"/>
                <w:lang w:val="en-GB"/>
              </w:rPr>
            </w:pPr>
            <w:r w:rsidRPr="000A6F76">
              <w:rPr>
                <w:sz w:val="20"/>
                <w:szCs w:val="20"/>
                <w:lang w:val="en-GB"/>
              </w:rPr>
              <w:t>V2 (</w:t>
            </w:r>
            <w:proofErr w:type="spellStart"/>
            <w:r w:rsidRPr="000A6F76">
              <w:rPr>
                <w:sz w:val="20"/>
                <w:szCs w:val="20"/>
                <w:lang w:val="en-GB"/>
              </w:rPr>
              <w:t>dL</w:t>
            </w:r>
            <w:proofErr w:type="spellEnd"/>
            <w:r w:rsidRPr="000A6F76">
              <w:rPr>
                <w:sz w:val="20"/>
                <w:szCs w:val="20"/>
                <w:lang w:val="en-GB"/>
              </w:rPr>
              <w:t>)</w:t>
            </w:r>
          </w:p>
        </w:tc>
        <w:tc>
          <w:tcPr>
            <w:tcW w:w="1701" w:type="dxa"/>
          </w:tcPr>
          <w:p w14:paraId="4E8765AB" w14:textId="77777777" w:rsidR="008762F8" w:rsidRPr="000A6F76" w:rsidRDefault="008762F8" w:rsidP="004769FD">
            <w:pPr>
              <w:rPr>
                <w:sz w:val="20"/>
                <w:szCs w:val="20"/>
                <w:lang w:val="en-GB"/>
              </w:rPr>
            </w:pPr>
            <w:r w:rsidRPr="000A6F76">
              <w:rPr>
                <w:sz w:val="20"/>
                <w:szCs w:val="20"/>
                <w:lang w:val="en-GB"/>
              </w:rPr>
              <w:t>87.0</w:t>
            </w:r>
          </w:p>
        </w:tc>
        <w:tc>
          <w:tcPr>
            <w:tcW w:w="2126" w:type="dxa"/>
          </w:tcPr>
          <w:p w14:paraId="3B542CFC" w14:textId="03D7B96E" w:rsidR="008762F8" w:rsidRPr="000A6F76" w:rsidRDefault="008762F8" w:rsidP="004769FD">
            <w:pPr>
              <w:rPr>
                <w:sz w:val="20"/>
                <w:szCs w:val="20"/>
                <w:lang w:val="en-GB"/>
              </w:rPr>
            </w:pPr>
            <w:r w:rsidRPr="000A6F76">
              <w:rPr>
                <w:sz w:val="20"/>
                <w:szCs w:val="20"/>
                <w:lang w:val="en-GB"/>
              </w:rPr>
              <w:t>80.</w:t>
            </w:r>
            <w:r w:rsidR="00B24854">
              <w:rPr>
                <w:sz w:val="20"/>
                <w:szCs w:val="20"/>
                <w:lang w:val="en-GB"/>
              </w:rPr>
              <w:t>1</w:t>
            </w:r>
            <w:r w:rsidRPr="000A6F76">
              <w:rPr>
                <w:sz w:val="20"/>
                <w:szCs w:val="20"/>
                <w:lang w:val="en-GB"/>
              </w:rPr>
              <w:t xml:space="preserve"> (1</w:t>
            </w:r>
            <w:r w:rsidR="003369EB">
              <w:rPr>
                <w:sz w:val="20"/>
                <w:szCs w:val="20"/>
                <w:lang w:val="en-GB"/>
              </w:rPr>
              <w:t>1</w:t>
            </w:r>
            <w:r w:rsidRPr="000A6F76">
              <w:rPr>
                <w:sz w:val="20"/>
                <w:szCs w:val="20"/>
                <w:lang w:val="en-GB"/>
              </w:rPr>
              <w:t>)</w:t>
            </w:r>
          </w:p>
        </w:tc>
        <w:tc>
          <w:tcPr>
            <w:tcW w:w="2693" w:type="dxa"/>
          </w:tcPr>
          <w:p w14:paraId="274E8D8D" w14:textId="62C1F8ED" w:rsidR="008762F8" w:rsidRPr="000A6F76" w:rsidRDefault="00A25770" w:rsidP="004769FD">
            <w:pPr>
              <w:rPr>
                <w:sz w:val="20"/>
                <w:szCs w:val="20"/>
                <w:lang w:val="en-GB"/>
              </w:rPr>
            </w:pPr>
            <w:r>
              <w:rPr>
                <w:sz w:val="20"/>
                <w:szCs w:val="20"/>
                <w:lang w:val="en-GB"/>
              </w:rPr>
              <w:t>80</w:t>
            </w:r>
            <w:r w:rsidR="008762F8" w:rsidRPr="000A6F76">
              <w:rPr>
                <w:sz w:val="20"/>
                <w:szCs w:val="20"/>
                <w:lang w:val="en-GB"/>
              </w:rPr>
              <w:t>.</w:t>
            </w:r>
            <w:r>
              <w:rPr>
                <w:sz w:val="20"/>
                <w:szCs w:val="20"/>
                <w:lang w:val="en-GB"/>
              </w:rPr>
              <w:t>6</w:t>
            </w:r>
            <w:r w:rsidR="008762F8" w:rsidRPr="000A6F76">
              <w:rPr>
                <w:sz w:val="20"/>
                <w:szCs w:val="20"/>
                <w:lang w:val="en-GB"/>
              </w:rPr>
              <w:t xml:space="preserve"> (6</w:t>
            </w:r>
            <w:r>
              <w:rPr>
                <w:sz w:val="20"/>
                <w:szCs w:val="20"/>
                <w:lang w:val="en-GB"/>
              </w:rPr>
              <w:t>5</w:t>
            </w:r>
            <w:r w:rsidR="008762F8" w:rsidRPr="000A6F76">
              <w:rPr>
                <w:sz w:val="20"/>
                <w:szCs w:val="20"/>
                <w:lang w:val="en-GB"/>
              </w:rPr>
              <w:t>.</w:t>
            </w:r>
            <w:r>
              <w:rPr>
                <w:sz w:val="20"/>
                <w:szCs w:val="20"/>
                <w:lang w:val="en-GB"/>
              </w:rPr>
              <w:t>6</w:t>
            </w:r>
            <w:r w:rsidR="008762F8" w:rsidRPr="000A6F76">
              <w:rPr>
                <w:sz w:val="20"/>
                <w:szCs w:val="20"/>
                <w:lang w:val="en-GB"/>
              </w:rPr>
              <w:t>-</w:t>
            </w:r>
            <w:r>
              <w:rPr>
                <w:sz w:val="20"/>
                <w:szCs w:val="20"/>
                <w:lang w:val="en-GB"/>
              </w:rPr>
              <w:t>99.8</w:t>
            </w:r>
            <w:r w:rsidR="008762F8" w:rsidRPr="000A6F76">
              <w:rPr>
                <w:sz w:val="20"/>
                <w:szCs w:val="20"/>
                <w:lang w:val="en-GB"/>
              </w:rPr>
              <w:t>)</w:t>
            </w:r>
          </w:p>
        </w:tc>
      </w:tr>
      <w:tr w:rsidR="008762F8" w:rsidRPr="000A6F76" w14:paraId="7CC0DA82" w14:textId="77777777" w:rsidTr="00AF4F6F">
        <w:trPr>
          <w:trHeight w:hRule="exact" w:val="284"/>
        </w:trPr>
        <w:tc>
          <w:tcPr>
            <w:tcW w:w="2689" w:type="dxa"/>
          </w:tcPr>
          <w:p w14:paraId="0A30B7E2" w14:textId="77777777" w:rsidR="008762F8" w:rsidRPr="000A6F76" w:rsidRDefault="008762F8" w:rsidP="004769FD">
            <w:pPr>
              <w:rPr>
                <w:sz w:val="20"/>
                <w:szCs w:val="20"/>
                <w:lang w:val="en-GB"/>
              </w:rPr>
            </w:pPr>
            <w:r w:rsidRPr="000A6F76">
              <w:rPr>
                <w:sz w:val="20"/>
                <w:szCs w:val="20"/>
                <w:lang w:val="en-GB"/>
              </w:rPr>
              <w:t>Body weight exponent on V2</w:t>
            </w:r>
          </w:p>
        </w:tc>
        <w:tc>
          <w:tcPr>
            <w:tcW w:w="1701" w:type="dxa"/>
          </w:tcPr>
          <w:p w14:paraId="0A0B1280" w14:textId="77777777" w:rsidR="008762F8" w:rsidRPr="000A6F76" w:rsidRDefault="008762F8" w:rsidP="004769FD">
            <w:pPr>
              <w:rPr>
                <w:sz w:val="20"/>
                <w:szCs w:val="20"/>
                <w:lang w:val="en-GB"/>
              </w:rPr>
            </w:pPr>
          </w:p>
        </w:tc>
        <w:tc>
          <w:tcPr>
            <w:tcW w:w="2126" w:type="dxa"/>
          </w:tcPr>
          <w:p w14:paraId="65D17138" w14:textId="77777777" w:rsidR="008762F8" w:rsidRPr="000A6F76" w:rsidRDefault="008762F8" w:rsidP="004769FD">
            <w:pPr>
              <w:rPr>
                <w:sz w:val="20"/>
                <w:szCs w:val="20"/>
                <w:lang w:val="en-GB"/>
              </w:rPr>
            </w:pPr>
            <w:r w:rsidRPr="000A6F76">
              <w:rPr>
                <w:sz w:val="20"/>
                <w:szCs w:val="20"/>
                <w:lang w:val="en-GB"/>
              </w:rPr>
              <w:t>1.00</w:t>
            </w:r>
          </w:p>
        </w:tc>
        <w:tc>
          <w:tcPr>
            <w:tcW w:w="2693" w:type="dxa"/>
          </w:tcPr>
          <w:p w14:paraId="2EF15E71" w14:textId="77777777" w:rsidR="008762F8" w:rsidRPr="000A6F76" w:rsidRDefault="008762F8" w:rsidP="004769FD">
            <w:pPr>
              <w:rPr>
                <w:sz w:val="20"/>
                <w:szCs w:val="20"/>
                <w:lang w:val="en-GB"/>
              </w:rPr>
            </w:pPr>
          </w:p>
        </w:tc>
      </w:tr>
      <w:tr w:rsidR="008762F8" w:rsidRPr="000A6F76" w14:paraId="685217EF" w14:textId="77777777" w:rsidTr="00AF4F6F">
        <w:trPr>
          <w:trHeight w:hRule="exact" w:val="284"/>
        </w:trPr>
        <w:tc>
          <w:tcPr>
            <w:tcW w:w="2689" w:type="dxa"/>
          </w:tcPr>
          <w:p w14:paraId="0D8B95AE" w14:textId="77777777" w:rsidR="008762F8" w:rsidRPr="000A6F76" w:rsidRDefault="008762F8" w:rsidP="004769FD">
            <w:pPr>
              <w:rPr>
                <w:sz w:val="20"/>
                <w:szCs w:val="20"/>
                <w:lang w:val="en-GB"/>
              </w:rPr>
            </w:pPr>
            <w:r w:rsidRPr="000A6F76">
              <w:rPr>
                <w:sz w:val="20"/>
                <w:szCs w:val="20"/>
                <w:lang w:val="en-GB"/>
              </w:rPr>
              <w:t>Q3 (</w:t>
            </w:r>
            <w:proofErr w:type="spellStart"/>
            <w:r w:rsidRPr="000A6F76">
              <w:rPr>
                <w:sz w:val="20"/>
                <w:szCs w:val="20"/>
                <w:lang w:val="en-GB"/>
              </w:rPr>
              <w:t>dL</w:t>
            </w:r>
            <w:proofErr w:type="spellEnd"/>
            <w:r w:rsidRPr="000A6F76">
              <w:rPr>
                <w:sz w:val="20"/>
                <w:szCs w:val="20"/>
                <w:lang w:val="en-GB"/>
              </w:rPr>
              <w:t>/h)</w:t>
            </w:r>
          </w:p>
        </w:tc>
        <w:tc>
          <w:tcPr>
            <w:tcW w:w="1701" w:type="dxa"/>
          </w:tcPr>
          <w:p w14:paraId="3EF9EFC8" w14:textId="77777777" w:rsidR="008762F8" w:rsidRPr="000A6F76" w:rsidRDefault="008762F8" w:rsidP="004769FD">
            <w:pPr>
              <w:rPr>
                <w:sz w:val="20"/>
                <w:szCs w:val="20"/>
                <w:lang w:val="en-GB"/>
              </w:rPr>
            </w:pPr>
            <w:r w:rsidRPr="000A6F76">
              <w:rPr>
                <w:sz w:val="20"/>
                <w:szCs w:val="20"/>
                <w:lang w:val="en-GB"/>
              </w:rPr>
              <w:t>39.3</w:t>
            </w:r>
          </w:p>
        </w:tc>
        <w:tc>
          <w:tcPr>
            <w:tcW w:w="2126" w:type="dxa"/>
          </w:tcPr>
          <w:p w14:paraId="15708EA5" w14:textId="77777777" w:rsidR="008762F8" w:rsidRPr="000A6F76" w:rsidRDefault="008762F8" w:rsidP="004769FD">
            <w:pPr>
              <w:rPr>
                <w:sz w:val="20"/>
                <w:szCs w:val="20"/>
                <w:lang w:val="en-GB"/>
              </w:rPr>
            </w:pPr>
          </w:p>
        </w:tc>
        <w:tc>
          <w:tcPr>
            <w:tcW w:w="2693" w:type="dxa"/>
          </w:tcPr>
          <w:p w14:paraId="1A1D1241" w14:textId="77777777" w:rsidR="008762F8" w:rsidRPr="000A6F76" w:rsidRDefault="008762F8" w:rsidP="004769FD">
            <w:pPr>
              <w:rPr>
                <w:sz w:val="20"/>
                <w:szCs w:val="20"/>
                <w:lang w:val="en-GB"/>
              </w:rPr>
            </w:pPr>
          </w:p>
        </w:tc>
      </w:tr>
      <w:tr w:rsidR="008762F8" w:rsidRPr="000A6F76" w14:paraId="0812EC48" w14:textId="77777777" w:rsidTr="00AF4F6F">
        <w:trPr>
          <w:trHeight w:hRule="exact" w:val="284"/>
        </w:trPr>
        <w:tc>
          <w:tcPr>
            <w:tcW w:w="2689" w:type="dxa"/>
          </w:tcPr>
          <w:p w14:paraId="306D213D" w14:textId="77777777" w:rsidR="008762F8" w:rsidRPr="000A6F76" w:rsidRDefault="008762F8" w:rsidP="004769FD">
            <w:pPr>
              <w:rPr>
                <w:sz w:val="20"/>
                <w:szCs w:val="20"/>
                <w:lang w:val="en-GB"/>
              </w:rPr>
            </w:pPr>
            <w:r w:rsidRPr="000A6F76">
              <w:rPr>
                <w:sz w:val="20"/>
                <w:szCs w:val="20"/>
                <w:lang w:val="en-GB"/>
              </w:rPr>
              <w:t>V3 (</w:t>
            </w:r>
            <w:proofErr w:type="spellStart"/>
            <w:r w:rsidRPr="000A6F76">
              <w:rPr>
                <w:sz w:val="20"/>
                <w:szCs w:val="20"/>
                <w:lang w:val="en-GB"/>
              </w:rPr>
              <w:t>dL</w:t>
            </w:r>
            <w:proofErr w:type="spellEnd"/>
            <w:r w:rsidRPr="000A6F76">
              <w:rPr>
                <w:sz w:val="20"/>
                <w:szCs w:val="20"/>
                <w:lang w:val="en-GB"/>
              </w:rPr>
              <w:t>)</w:t>
            </w:r>
          </w:p>
        </w:tc>
        <w:tc>
          <w:tcPr>
            <w:tcW w:w="1701" w:type="dxa"/>
          </w:tcPr>
          <w:p w14:paraId="65A0ECD6" w14:textId="77777777" w:rsidR="008762F8" w:rsidRPr="000A6F76" w:rsidRDefault="008762F8" w:rsidP="004769FD">
            <w:pPr>
              <w:rPr>
                <w:sz w:val="20"/>
                <w:szCs w:val="20"/>
                <w:lang w:val="en-GB"/>
              </w:rPr>
            </w:pPr>
            <w:r w:rsidRPr="000A6F76">
              <w:rPr>
                <w:sz w:val="20"/>
                <w:szCs w:val="20"/>
                <w:lang w:val="en-GB"/>
              </w:rPr>
              <w:t>39.9</w:t>
            </w:r>
          </w:p>
        </w:tc>
        <w:tc>
          <w:tcPr>
            <w:tcW w:w="2126" w:type="dxa"/>
          </w:tcPr>
          <w:p w14:paraId="69AAB91D" w14:textId="77777777" w:rsidR="008762F8" w:rsidRPr="000A6F76" w:rsidRDefault="008762F8" w:rsidP="004769FD">
            <w:pPr>
              <w:rPr>
                <w:sz w:val="20"/>
                <w:szCs w:val="20"/>
                <w:lang w:val="en-GB"/>
              </w:rPr>
            </w:pPr>
          </w:p>
        </w:tc>
        <w:tc>
          <w:tcPr>
            <w:tcW w:w="2693" w:type="dxa"/>
          </w:tcPr>
          <w:p w14:paraId="558C728A" w14:textId="77777777" w:rsidR="008762F8" w:rsidRPr="000A6F76" w:rsidRDefault="008762F8" w:rsidP="004769FD">
            <w:pPr>
              <w:rPr>
                <w:sz w:val="20"/>
                <w:szCs w:val="20"/>
                <w:lang w:val="en-GB"/>
              </w:rPr>
            </w:pPr>
          </w:p>
        </w:tc>
      </w:tr>
      <w:tr w:rsidR="008762F8" w:rsidRPr="000A6F76" w14:paraId="5238EEB0" w14:textId="77777777" w:rsidTr="00AF4F6F">
        <w:trPr>
          <w:trHeight w:hRule="exact" w:val="284"/>
        </w:trPr>
        <w:tc>
          <w:tcPr>
            <w:tcW w:w="9209" w:type="dxa"/>
            <w:gridSpan w:val="4"/>
            <w:shd w:val="clear" w:color="auto" w:fill="F2F2F2" w:themeFill="background1" w:themeFillShade="F2"/>
          </w:tcPr>
          <w:p w14:paraId="58FF38F5" w14:textId="77777777" w:rsidR="008762F8" w:rsidRPr="000A6F76" w:rsidRDefault="008762F8" w:rsidP="004769FD">
            <w:pPr>
              <w:rPr>
                <w:b/>
                <w:bCs/>
                <w:sz w:val="20"/>
                <w:szCs w:val="20"/>
                <w:lang w:val="en-GB"/>
              </w:rPr>
            </w:pPr>
            <w:r w:rsidRPr="000A6F76">
              <w:rPr>
                <w:b/>
                <w:bCs/>
                <w:sz w:val="20"/>
                <w:szCs w:val="20"/>
                <w:lang w:val="en-GB"/>
              </w:rPr>
              <w:t>Interindividual variability (IIV)</w:t>
            </w:r>
          </w:p>
        </w:tc>
      </w:tr>
      <w:tr w:rsidR="008762F8" w:rsidRPr="009A20D2" w14:paraId="5F4BD183" w14:textId="77777777" w:rsidTr="00AF4F6F">
        <w:trPr>
          <w:trHeight w:hRule="exact" w:val="284"/>
        </w:trPr>
        <w:tc>
          <w:tcPr>
            <w:tcW w:w="2689" w:type="dxa"/>
          </w:tcPr>
          <w:p w14:paraId="6D29AE0D" w14:textId="208A0309" w:rsidR="008762F8" w:rsidRPr="000A6F76" w:rsidRDefault="008762F8" w:rsidP="004769FD">
            <w:pPr>
              <w:rPr>
                <w:sz w:val="20"/>
                <w:szCs w:val="20"/>
                <w:lang w:val="en-GB"/>
              </w:rPr>
            </w:pPr>
            <w:r w:rsidRPr="000A6F76">
              <w:rPr>
                <w:sz w:val="20"/>
                <w:szCs w:val="20"/>
                <w:lang w:val="en-GB"/>
              </w:rPr>
              <w:t>IIV</w:t>
            </w:r>
            <w:r w:rsidR="005C7CE0">
              <w:rPr>
                <w:sz w:val="20"/>
                <w:szCs w:val="20"/>
                <w:vertAlign w:val="superscript"/>
                <w:lang w:val="en-GB"/>
              </w:rPr>
              <w:t>#</w:t>
            </w:r>
            <w:r w:rsidRPr="000A6F76">
              <w:rPr>
                <w:sz w:val="20"/>
                <w:szCs w:val="20"/>
                <w:lang w:val="en-GB"/>
              </w:rPr>
              <w:t xml:space="preserve"> on CL (%)</w:t>
            </w:r>
          </w:p>
        </w:tc>
        <w:tc>
          <w:tcPr>
            <w:tcW w:w="1701" w:type="dxa"/>
          </w:tcPr>
          <w:p w14:paraId="730719F0" w14:textId="77777777" w:rsidR="008762F8" w:rsidRPr="000A6F76" w:rsidRDefault="008762F8" w:rsidP="004769FD">
            <w:pPr>
              <w:rPr>
                <w:sz w:val="20"/>
                <w:szCs w:val="20"/>
                <w:lang w:val="en-GB"/>
              </w:rPr>
            </w:pPr>
            <w:r w:rsidRPr="000A6F76">
              <w:rPr>
                <w:sz w:val="20"/>
                <w:szCs w:val="20"/>
                <w:lang w:val="en-GB"/>
              </w:rPr>
              <w:t>17.7</w:t>
            </w:r>
          </w:p>
        </w:tc>
        <w:tc>
          <w:tcPr>
            <w:tcW w:w="2126" w:type="dxa"/>
          </w:tcPr>
          <w:p w14:paraId="727AF7B5" w14:textId="6DAC8022" w:rsidR="008762F8" w:rsidRPr="000A6F76" w:rsidRDefault="008762F8" w:rsidP="004769FD">
            <w:pPr>
              <w:rPr>
                <w:sz w:val="20"/>
                <w:szCs w:val="20"/>
                <w:lang w:val="en-GB"/>
              </w:rPr>
            </w:pPr>
            <w:r w:rsidRPr="000A6F76">
              <w:rPr>
                <w:sz w:val="20"/>
                <w:szCs w:val="20"/>
                <w:lang w:val="en-GB"/>
              </w:rPr>
              <w:t>2</w:t>
            </w:r>
            <w:r w:rsidR="00B24854">
              <w:rPr>
                <w:sz w:val="20"/>
                <w:szCs w:val="20"/>
                <w:lang w:val="en-GB"/>
              </w:rPr>
              <w:t>3.6</w:t>
            </w:r>
            <w:r w:rsidRPr="000A6F76">
              <w:rPr>
                <w:sz w:val="20"/>
                <w:szCs w:val="20"/>
                <w:lang w:val="en-GB"/>
              </w:rPr>
              <w:t xml:space="preserve"> (</w:t>
            </w:r>
            <w:r w:rsidR="00B24854">
              <w:rPr>
                <w:sz w:val="20"/>
                <w:szCs w:val="20"/>
                <w:lang w:val="en-GB"/>
              </w:rPr>
              <w:t>20</w:t>
            </w:r>
            <w:r w:rsidRPr="000A6F76">
              <w:rPr>
                <w:sz w:val="20"/>
                <w:szCs w:val="20"/>
                <w:lang w:val="en-GB"/>
              </w:rPr>
              <w:t>) [</w:t>
            </w:r>
            <w:r w:rsidR="00B24854">
              <w:rPr>
                <w:sz w:val="20"/>
                <w:szCs w:val="20"/>
                <w:lang w:val="en-GB"/>
              </w:rPr>
              <w:t>14</w:t>
            </w:r>
            <w:r w:rsidRPr="000A6F76">
              <w:rPr>
                <w:sz w:val="20"/>
                <w:szCs w:val="20"/>
                <w:lang w:val="en-GB"/>
              </w:rPr>
              <w:t>]</w:t>
            </w:r>
          </w:p>
        </w:tc>
        <w:tc>
          <w:tcPr>
            <w:tcW w:w="2693" w:type="dxa"/>
          </w:tcPr>
          <w:p w14:paraId="727DCDC4" w14:textId="6A39D021" w:rsidR="008762F8" w:rsidRPr="000A6F76" w:rsidRDefault="008762F8" w:rsidP="004769FD">
            <w:pPr>
              <w:rPr>
                <w:sz w:val="20"/>
                <w:szCs w:val="20"/>
                <w:lang w:val="en-GB"/>
              </w:rPr>
            </w:pPr>
            <w:r w:rsidRPr="000A6F76">
              <w:rPr>
                <w:sz w:val="20"/>
                <w:szCs w:val="20"/>
                <w:lang w:val="en-GB"/>
              </w:rPr>
              <w:t>2</w:t>
            </w:r>
            <w:r w:rsidR="009A20D2">
              <w:rPr>
                <w:sz w:val="20"/>
                <w:szCs w:val="20"/>
                <w:lang w:val="en-GB"/>
              </w:rPr>
              <w:t>2.0</w:t>
            </w:r>
            <w:r w:rsidRPr="000A6F76">
              <w:rPr>
                <w:sz w:val="20"/>
                <w:szCs w:val="20"/>
                <w:lang w:val="en-GB"/>
              </w:rPr>
              <w:t xml:space="preserve"> (1</w:t>
            </w:r>
            <w:r w:rsidR="009A20D2">
              <w:rPr>
                <w:sz w:val="20"/>
                <w:szCs w:val="20"/>
                <w:lang w:val="en-GB"/>
              </w:rPr>
              <w:t>3.9</w:t>
            </w:r>
            <w:r w:rsidRPr="000A6F76">
              <w:rPr>
                <w:sz w:val="20"/>
                <w:szCs w:val="20"/>
                <w:lang w:val="en-GB"/>
              </w:rPr>
              <w:t>-3</w:t>
            </w:r>
            <w:r w:rsidR="009A20D2">
              <w:rPr>
                <w:sz w:val="20"/>
                <w:szCs w:val="20"/>
                <w:lang w:val="en-GB"/>
              </w:rPr>
              <w:t>2.1</w:t>
            </w:r>
            <w:r w:rsidRPr="000A6F76">
              <w:rPr>
                <w:sz w:val="20"/>
                <w:szCs w:val="20"/>
                <w:lang w:val="en-GB"/>
              </w:rPr>
              <w:t>)</w:t>
            </w:r>
          </w:p>
        </w:tc>
      </w:tr>
      <w:tr w:rsidR="008762F8" w:rsidRPr="009A20D2" w14:paraId="269D4D32" w14:textId="77777777" w:rsidTr="00AF4F6F">
        <w:trPr>
          <w:trHeight w:hRule="exact" w:val="284"/>
        </w:trPr>
        <w:tc>
          <w:tcPr>
            <w:tcW w:w="2689" w:type="dxa"/>
          </w:tcPr>
          <w:p w14:paraId="7AB16B6C" w14:textId="77777777" w:rsidR="008762F8" w:rsidRPr="000A6F76" w:rsidRDefault="008762F8" w:rsidP="004769FD">
            <w:pPr>
              <w:rPr>
                <w:sz w:val="20"/>
                <w:szCs w:val="20"/>
                <w:lang w:val="en-GB"/>
              </w:rPr>
            </w:pPr>
            <w:r w:rsidRPr="000A6F76">
              <w:rPr>
                <w:sz w:val="20"/>
                <w:szCs w:val="20"/>
                <w:lang w:val="en-GB"/>
              </w:rPr>
              <w:t xml:space="preserve">IIV on V1 (%) </w:t>
            </w:r>
          </w:p>
        </w:tc>
        <w:tc>
          <w:tcPr>
            <w:tcW w:w="1701" w:type="dxa"/>
          </w:tcPr>
          <w:p w14:paraId="03731077" w14:textId="77777777" w:rsidR="008762F8" w:rsidRPr="000A6F76" w:rsidRDefault="008762F8" w:rsidP="004769FD">
            <w:pPr>
              <w:rPr>
                <w:sz w:val="20"/>
                <w:szCs w:val="20"/>
                <w:lang w:val="en-GB"/>
              </w:rPr>
            </w:pPr>
            <w:r w:rsidRPr="000A6F76">
              <w:rPr>
                <w:sz w:val="20"/>
                <w:szCs w:val="20"/>
                <w:lang w:val="en-GB"/>
              </w:rPr>
              <w:t>21.7</w:t>
            </w:r>
          </w:p>
        </w:tc>
        <w:tc>
          <w:tcPr>
            <w:tcW w:w="2126" w:type="dxa"/>
          </w:tcPr>
          <w:p w14:paraId="704B4D04" w14:textId="2E4D4AD7" w:rsidR="008762F8" w:rsidRPr="000A6F76" w:rsidRDefault="00B24854" w:rsidP="004769FD">
            <w:pPr>
              <w:rPr>
                <w:sz w:val="20"/>
                <w:szCs w:val="20"/>
                <w:lang w:val="en-GB"/>
              </w:rPr>
            </w:pPr>
            <w:r>
              <w:rPr>
                <w:sz w:val="20"/>
                <w:szCs w:val="20"/>
                <w:lang w:val="en-GB"/>
              </w:rPr>
              <w:t>31.6</w:t>
            </w:r>
            <w:r w:rsidR="008762F8" w:rsidRPr="000A6F76">
              <w:rPr>
                <w:sz w:val="20"/>
                <w:szCs w:val="20"/>
                <w:lang w:val="en-GB"/>
              </w:rPr>
              <w:t xml:space="preserve"> (</w:t>
            </w:r>
            <w:r>
              <w:rPr>
                <w:sz w:val="20"/>
                <w:szCs w:val="20"/>
                <w:lang w:val="en-GB"/>
              </w:rPr>
              <w:t>16</w:t>
            </w:r>
            <w:r w:rsidR="008762F8" w:rsidRPr="000A6F76">
              <w:rPr>
                <w:sz w:val="20"/>
                <w:szCs w:val="20"/>
                <w:lang w:val="en-GB"/>
              </w:rPr>
              <w:t>) [</w:t>
            </w:r>
            <w:r>
              <w:rPr>
                <w:sz w:val="20"/>
                <w:szCs w:val="20"/>
                <w:lang w:val="en-GB"/>
              </w:rPr>
              <w:t>8</w:t>
            </w:r>
            <w:r w:rsidR="008762F8" w:rsidRPr="000A6F76">
              <w:rPr>
                <w:sz w:val="20"/>
                <w:szCs w:val="20"/>
                <w:lang w:val="en-GB"/>
              </w:rPr>
              <w:t>]</w:t>
            </w:r>
          </w:p>
        </w:tc>
        <w:tc>
          <w:tcPr>
            <w:tcW w:w="2693" w:type="dxa"/>
          </w:tcPr>
          <w:p w14:paraId="13D67D9B" w14:textId="20966C6F" w:rsidR="008762F8" w:rsidRPr="000A6F76" w:rsidRDefault="008762F8" w:rsidP="005557A3">
            <w:pPr>
              <w:rPr>
                <w:sz w:val="20"/>
                <w:szCs w:val="20"/>
                <w:lang w:val="en-GB"/>
              </w:rPr>
            </w:pPr>
            <w:r w:rsidRPr="000A6F76">
              <w:rPr>
                <w:sz w:val="20"/>
                <w:szCs w:val="20"/>
                <w:lang w:val="en-GB"/>
              </w:rPr>
              <w:t>29.</w:t>
            </w:r>
            <w:r w:rsidR="009A20D2">
              <w:rPr>
                <w:sz w:val="20"/>
                <w:szCs w:val="20"/>
                <w:lang w:val="en-GB"/>
              </w:rPr>
              <w:t>8</w:t>
            </w:r>
            <w:r w:rsidRPr="000A6F76">
              <w:rPr>
                <w:sz w:val="20"/>
                <w:szCs w:val="20"/>
                <w:lang w:val="en-GB"/>
              </w:rPr>
              <w:t xml:space="preserve"> (</w:t>
            </w:r>
            <w:r w:rsidR="009A20D2">
              <w:rPr>
                <w:sz w:val="20"/>
                <w:szCs w:val="20"/>
                <w:lang w:val="en-GB"/>
              </w:rPr>
              <w:t>20</w:t>
            </w:r>
            <w:r w:rsidRPr="000A6F76">
              <w:rPr>
                <w:sz w:val="20"/>
                <w:szCs w:val="20"/>
                <w:lang w:val="en-GB"/>
              </w:rPr>
              <w:t>.</w:t>
            </w:r>
            <w:r w:rsidR="009A20D2">
              <w:rPr>
                <w:sz w:val="20"/>
                <w:szCs w:val="20"/>
                <w:lang w:val="en-GB"/>
              </w:rPr>
              <w:t>5</w:t>
            </w:r>
            <w:r w:rsidRPr="000A6F76">
              <w:rPr>
                <w:sz w:val="20"/>
                <w:szCs w:val="20"/>
                <w:lang w:val="en-GB"/>
              </w:rPr>
              <w:t>-40.</w:t>
            </w:r>
            <w:r w:rsidR="009A20D2">
              <w:rPr>
                <w:sz w:val="20"/>
                <w:szCs w:val="20"/>
                <w:lang w:val="en-GB"/>
              </w:rPr>
              <w:t>0</w:t>
            </w:r>
            <w:r w:rsidRPr="000A6F76">
              <w:rPr>
                <w:sz w:val="20"/>
                <w:szCs w:val="20"/>
                <w:lang w:val="en-GB"/>
              </w:rPr>
              <w:t>)</w:t>
            </w:r>
          </w:p>
        </w:tc>
      </w:tr>
      <w:tr w:rsidR="008762F8" w:rsidRPr="009A20D2" w14:paraId="6983DEF3" w14:textId="77777777" w:rsidTr="005C7CE0">
        <w:trPr>
          <w:trHeight w:hRule="exact" w:val="284"/>
        </w:trPr>
        <w:tc>
          <w:tcPr>
            <w:tcW w:w="2689" w:type="dxa"/>
          </w:tcPr>
          <w:p w14:paraId="7BA73F3E" w14:textId="6F193571" w:rsidR="008762F8" w:rsidRPr="000A6F76" w:rsidRDefault="008762F8" w:rsidP="004769FD">
            <w:pPr>
              <w:rPr>
                <w:sz w:val="20"/>
                <w:szCs w:val="20"/>
                <w:lang w:val="en-GB"/>
              </w:rPr>
            </w:pPr>
            <w:r w:rsidRPr="000A6F76">
              <w:rPr>
                <w:sz w:val="20"/>
                <w:szCs w:val="20"/>
                <w:lang w:val="en-GB"/>
              </w:rPr>
              <w:t>Correlation</w:t>
            </w:r>
            <w:r w:rsidR="005C7CE0">
              <w:rPr>
                <w:sz w:val="20"/>
                <w:szCs w:val="20"/>
                <w:vertAlign w:val="superscript"/>
                <w:lang w:val="en-GB"/>
              </w:rPr>
              <w:t>^</w:t>
            </w:r>
            <w:r w:rsidRPr="000A6F76">
              <w:rPr>
                <w:sz w:val="20"/>
                <w:szCs w:val="20"/>
                <w:lang w:val="en-GB"/>
              </w:rPr>
              <w:t xml:space="preserve"> IIV CL and V1 (%)</w:t>
            </w:r>
          </w:p>
        </w:tc>
        <w:tc>
          <w:tcPr>
            <w:tcW w:w="1701" w:type="dxa"/>
          </w:tcPr>
          <w:p w14:paraId="5A3223AF" w14:textId="77777777" w:rsidR="008762F8" w:rsidRPr="000A6F76" w:rsidRDefault="008762F8" w:rsidP="004769FD">
            <w:pPr>
              <w:rPr>
                <w:sz w:val="20"/>
                <w:szCs w:val="20"/>
                <w:lang w:val="en-GB"/>
              </w:rPr>
            </w:pPr>
            <w:r w:rsidRPr="000A6F76">
              <w:rPr>
                <w:sz w:val="20"/>
                <w:szCs w:val="20"/>
                <w:lang w:val="en-GB"/>
              </w:rPr>
              <w:t>75.6</w:t>
            </w:r>
          </w:p>
        </w:tc>
        <w:tc>
          <w:tcPr>
            <w:tcW w:w="2126" w:type="dxa"/>
          </w:tcPr>
          <w:p w14:paraId="508FDBA5" w14:textId="45CAABA6" w:rsidR="008762F8" w:rsidRPr="005C7CE0" w:rsidRDefault="008762F8" w:rsidP="004769FD">
            <w:pPr>
              <w:rPr>
                <w:sz w:val="20"/>
                <w:szCs w:val="20"/>
                <w:lang w:val="en-GB"/>
              </w:rPr>
            </w:pPr>
            <w:r w:rsidRPr="005C7CE0">
              <w:rPr>
                <w:sz w:val="20"/>
                <w:szCs w:val="20"/>
                <w:lang w:val="en-GB"/>
              </w:rPr>
              <w:t>4</w:t>
            </w:r>
            <w:r w:rsidR="00B24854">
              <w:rPr>
                <w:sz w:val="20"/>
                <w:szCs w:val="20"/>
                <w:lang w:val="en-GB"/>
              </w:rPr>
              <w:t>4</w:t>
            </w:r>
            <w:r w:rsidRPr="005C7CE0">
              <w:rPr>
                <w:sz w:val="20"/>
                <w:szCs w:val="20"/>
                <w:lang w:val="en-GB"/>
              </w:rPr>
              <w:t>.0</w:t>
            </w:r>
          </w:p>
        </w:tc>
        <w:tc>
          <w:tcPr>
            <w:tcW w:w="2693" w:type="dxa"/>
            <w:shd w:val="clear" w:color="auto" w:fill="auto"/>
          </w:tcPr>
          <w:p w14:paraId="39EA386F" w14:textId="751DA682" w:rsidR="008762F8" w:rsidRPr="005C7CE0" w:rsidRDefault="008762F8" w:rsidP="005C7CE0">
            <w:pPr>
              <w:rPr>
                <w:sz w:val="20"/>
                <w:szCs w:val="20"/>
                <w:lang w:val="en-GB"/>
              </w:rPr>
            </w:pPr>
            <w:r w:rsidRPr="005C7CE0">
              <w:rPr>
                <w:sz w:val="20"/>
                <w:szCs w:val="20"/>
                <w:lang w:val="en-GB"/>
              </w:rPr>
              <w:t>4</w:t>
            </w:r>
            <w:r w:rsidR="00194B13">
              <w:rPr>
                <w:sz w:val="20"/>
                <w:szCs w:val="20"/>
                <w:lang w:val="en-GB"/>
              </w:rPr>
              <w:t>2</w:t>
            </w:r>
            <w:r w:rsidR="005C7CE0">
              <w:rPr>
                <w:sz w:val="20"/>
                <w:szCs w:val="20"/>
                <w:lang w:val="en-GB"/>
              </w:rPr>
              <w:t>.</w:t>
            </w:r>
            <w:r w:rsidR="00194B13">
              <w:rPr>
                <w:sz w:val="20"/>
                <w:szCs w:val="20"/>
                <w:lang w:val="en-GB"/>
              </w:rPr>
              <w:t>0</w:t>
            </w:r>
            <w:r w:rsidR="005C7CE0">
              <w:rPr>
                <w:sz w:val="20"/>
                <w:szCs w:val="20"/>
                <w:lang w:val="en-GB"/>
              </w:rPr>
              <w:t xml:space="preserve"> (-</w:t>
            </w:r>
            <w:r w:rsidR="00194B13">
              <w:rPr>
                <w:sz w:val="20"/>
                <w:szCs w:val="20"/>
                <w:lang w:val="en-GB"/>
              </w:rPr>
              <w:t>9</w:t>
            </w:r>
            <w:r w:rsidR="005C7CE0">
              <w:rPr>
                <w:sz w:val="20"/>
                <w:szCs w:val="20"/>
                <w:lang w:val="en-GB"/>
              </w:rPr>
              <w:t>.</w:t>
            </w:r>
            <w:r w:rsidR="00194B13">
              <w:rPr>
                <w:sz w:val="20"/>
                <w:szCs w:val="20"/>
                <w:lang w:val="en-GB"/>
              </w:rPr>
              <w:t>4</w:t>
            </w:r>
            <w:r w:rsidR="005C7CE0">
              <w:rPr>
                <w:sz w:val="20"/>
                <w:szCs w:val="20"/>
                <w:lang w:val="en-GB"/>
              </w:rPr>
              <w:t>-62.</w:t>
            </w:r>
            <w:r w:rsidR="00194B13">
              <w:rPr>
                <w:sz w:val="20"/>
                <w:szCs w:val="20"/>
                <w:lang w:val="en-GB"/>
              </w:rPr>
              <w:t>4</w:t>
            </w:r>
            <w:r w:rsidR="005C7CE0">
              <w:rPr>
                <w:sz w:val="20"/>
                <w:szCs w:val="20"/>
                <w:lang w:val="en-GB"/>
              </w:rPr>
              <w:t>)</w:t>
            </w:r>
          </w:p>
        </w:tc>
      </w:tr>
      <w:tr w:rsidR="008762F8" w:rsidRPr="00194B13" w14:paraId="77BA52B5" w14:textId="77777777" w:rsidTr="00AF4F6F">
        <w:trPr>
          <w:trHeight w:hRule="exact" w:val="284"/>
        </w:trPr>
        <w:tc>
          <w:tcPr>
            <w:tcW w:w="2689" w:type="dxa"/>
          </w:tcPr>
          <w:p w14:paraId="030D0E50" w14:textId="77777777" w:rsidR="008762F8" w:rsidRPr="000A6F76" w:rsidRDefault="008762F8" w:rsidP="004769FD">
            <w:pPr>
              <w:rPr>
                <w:sz w:val="20"/>
                <w:szCs w:val="20"/>
                <w:lang w:val="en-GB"/>
              </w:rPr>
            </w:pPr>
            <w:r w:rsidRPr="000A6F76">
              <w:rPr>
                <w:sz w:val="20"/>
                <w:szCs w:val="20"/>
                <w:lang w:val="en-GB"/>
              </w:rPr>
              <w:t>IIV on Q2 (%)</w:t>
            </w:r>
          </w:p>
        </w:tc>
        <w:tc>
          <w:tcPr>
            <w:tcW w:w="1701" w:type="dxa"/>
          </w:tcPr>
          <w:p w14:paraId="26EAB41C" w14:textId="77777777" w:rsidR="008762F8" w:rsidRPr="000A6F76" w:rsidRDefault="008762F8" w:rsidP="004769FD">
            <w:pPr>
              <w:rPr>
                <w:sz w:val="20"/>
                <w:szCs w:val="20"/>
                <w:lang w:val="en-GB"/>
              </w:rPr>
            </w:pPr>
            <w:r w:rsidRPr="000A6F76">
              <w:rPr>
                <w:sz w:val="20"/>
                <w:szCs w:val="20"/>
                <w:lang w:val="en-GB"/>
              </w:rPr>
              <w:t>35.8</w:t>
            </w:r>
          </w:p>
        </w:tc>
        <w:tc>
          <w:tcPr>
            <w:tcW w:w="2126" w:type="dxa"/>
          </w:tcPr>
          <w:p w14:paraId="150C4DA0" w14:textId="77777777" w:rsidR="008762F8" w:rsidRPr="000A6F76" w:rsidRDefault="008762F8" w:rsidP="004769FD">
            <w:pPr>
              <w:rPr>
                <w:sz w:val="20"/>
                <w:szCs w:val="20"/>
                <w:lang w:val="en-GB"/>
              </w:rPr>
            </w:pPr>
          </w:p>
        </w:tc>
        <w:tc>
          <w:tcPr>
            <w:tcW w:w="2693" w:type="dxa"/>
          </w:tcPr>
          <w:p w14:paraId="140AA721" w14:textId="77777777" w:rsidR="008762F8" w:rsidRPr="000A6F76" w:rsidRDefault="008762F8" w:rsidP="004769FD">
            <w:pPr>
              <w:rPr>
                <w:sz w:val="20"/>
                <w:szCs w:val="20"/>
                <w:lang w:val="en-GB"/>
              </w:rPr>
            </w:pPr>
          </w:p>
        </w:tc>
      </w:tr>
      <w:tr w:rsidR="008762F8" w:rsidRPr="00194B13" w14:paraId="6BCDAE5D" w14:textId="77777777" w:rsidTr="00AF4F6F">
        <w:trPr>
          <w:trHeight w:hRule="exact" w:val="284"/>
        </w:trPr>
        <w:tc>
          <w:tcPr>
            <w:tcW w:w="2689" w:type="dxa"/>
          </w:tcPr>
          <w:p w14:paraId="4203F306" w14:textId="77777777" w:rsidR="008762F8" w:rsidRPr="000A6F76" w:rsidRDefault="008762F8" w:rsidP="004769FD">
            <w:pPr>
              <w:rPr>
                <w:sz w:val="20"/>
                <w:szCs w:val="20"/>
                <w:lang w:val="en-GB"/>
              </w:rPr>
            </w:pPr>
            <w:r w:rsidRPr="000A6F76">
              <w:rPr>
                <w:sz w:val="20"/>
                <w:szCs w:val="20"/>
                <w:lang w:val="en-GB"/>
              </w:rPr>
              <w:t>IIV on V2 (%)</w:t>
            </w:r>
          </w:p>
        </w:tc>
        <w:tc>
          <w:tcPr>
            <w:tcW w:w="1701" w:type="dxa"/>
          </w:tcPr>
          <w:p w14:paraId="2C8EFE07" w14:textId="77777777" w:rsidR="008762F8" w:rsidRPr="000A6F76" w:rsidRDefault="008762F8" w:rsidP="004769FD">
            <w:pPr>
              <w:rPr>
                <w:sz w:val="20"/>
                <w:szCs w:val="20"/>
                <w:lang w:val="en-GB"/>
              </w:rPr>
            </w:pPr>
            <w:r w:rsidRPr="000A6F76">
              <w:rPr>
                <w:sz w:val="20"/>
                <w:szCs w:val="20"/>
                <w:lang w:val="en-GB"/>
              </w:rPr>
              <w:t>46.2</w:t>
            </w:r>
          </w:p>
        </w:tc>
        <w:tc>
          <w:tcPr>
            <w:tcW w:w="2126" w:type="dxa"/>
          </w:tcPr>
          <w:p w14:paraId="04B42C03" w14:textId="15F1DE58" w:rsidR="008762F8" w:rsidRPr="000A6F76" w:rsidRDefault="008762F8" w:rsidP="004769FD">
            <w:pPr>
              <w:rPr>
                <w:sz w:val="20"/>
                <w:szCs w:val="20"/>
                <w:lang w:val="en-GB"/>
              </w:rPr>
            </w:pPr>
            <w:r w:rsidRPr="000A6F76">
              <w:rPr>
                <w:sz w:val="20"/>
                <w:szCs w:val="20"/>
                <w:lang w:val="en-GB"/>
              </w:rPr>
              <w:t>4</w:t>
            </w:r>
            <w:r w:rsidR="00B24854">
              <w:rPr>
                <w:sz w:val="20"/>
                <w:szCs w:val="20"/>
                <w:lang w:val="en-GB"/>
              </w:rPr>
              <w:t>1.2</w:t>
            </w:r>
            <w:r w:rsidRPr="000A6F76">
              <w:rPr>
                <w:sz w:val="20"/>
                <w:szCs w:val="20"/>
                <w:lang w:val="en-GB"/>
              </w:rPr>
              <w:t xml:space="preserve"> (</w:t>
            </w:r>
            <w:r w:rsidR="003369EB">
              <w:rPr>
                <w:sz w:val="20"/>
                <w:szCs w:val="20"/>
                <w:lang w:val="en-GB"/>
              </w:rPr>
              <w:t>17</w:t>
            </w:r>
            <w:r w:rsidRPr="000A6F76">
              <w:rPr>
                <w:sz w:val="20"/>
                <w:szCs w:val="20"/>
                <w:lang w:val="en-GB"/>
              </w:rPr>
              <w:t>) [3</w:t>
            </w:r>
            <w:r w:rsidR="00B24854">
              <w:rPr>
                <w:sz w:val="20"/>
                <w:szCs w:val="20"/>
                <w:lang w:val="en-GB"/>
              </w:rPr>
              <w:t>9</w:t>
            </w:r>
            <w:r w:rsidRPr="000A6F76">
              <w:rPr>
                <w:sz w:val="20"/>
                <w:szCs w:val="20"/>
                <w:lang w:val="en-GB"/>
              </w:rPr>
              <w:t>]</w:t>
            </w:r>
          </w:p>
        </w:tc>
        <w:tc>
          <w:tcPr>
            <w:tcW w:w="2693" w:type="dxa"/>
          </w:tcPr>
          <w:p w14:paraId="0F091DEC" w14:textId="1468A61C" w:rsidR="008762F8" w:rsidRPr="000A6F76" w:rsidRDefault="00194B13" w:rsidP="004769FD">
            <w:pPr>
              <w:rPr>
                <w:sz w:val="20"/>
                <w:szCs w:val="20"/>
                <w:lang w:val="en-GB"/>
              </w:rPr>
            </w:pPr>
            <w:r>
              <w:rPr>
                <w:sz w:val="20"/>
                <w:szCs w:val="20"/>
                <w:lang w:val="en-GB"/>
              </w:rPr>
              <w:t>38.1</w:t>
            </w:r>
            <w:r w:rsidR="008762F8" w:rsidRPr="000A6F76">
              <w:rPr>
                <w:sz w:val="20"/>
                <w:szCs w:val="20"/>
                <w:lang w:val="en-GB"/>
              </w:rPr>
              <w:t xml:space="preserve"> (1</w:t>
            </w:r>
            <w:r>
              <w:rPr>
                <w:sz w:val="20"/>
                <w:szCs w:val="20"/>
                <w:lang w:val="en-GB"/>
              </w:rPr>
              <w:t>9.0</w:t>
            </w:r>
            <w:r w:rsidR="008762F8" w:rsidRPr="000A6F76">
              <w:rPr>
                <w:sz w:val="20"/>
                <w:szCs w:val="20"/>
                <w:lang w:val="en-GB"/>
              </w:rPr>
              <w:t>-5</w:t>
            </w:r>
            <w:r>
              <w:rPr>
                <w:sz w:val="20"/>
                <w:szCs w:val="20"/>
                <w:lang w:val="en-GB"/>
              </w:rPr>
              <w:t>3.2</w:t>
            </w:r>
            <w:r w:rsidR="008762F8" w:rsidRPr="000A6F76">
              <w:rPr>
                <w:sz w:val="20"/>
                <w:szCs w:val="20"/>
                <w:lang w:val="en-GB"/>
              </w:rPr>
              <w:t>)</w:t>
            </w:r>
          </w:p>
        </w:tc>
      </w:tr>
      <w:tr w:rsidR="008762F8" w:rsidRPr="00194B13" w14:paraId="4567FF08" w14:textId="77777777" w:rsidTr="00AF4F6F">
        <w:trPr>
          <w:trHeight w:hRule="exact" w:val="284"/>
        </w:trPr>
        <w:tc>
          <w:tcPr>
            <w:tcW w:w="2689" w:type="dxa"/>
          </w:tcPr>
          <w:p w14:paraId="4CA71880" w14:textId="77777777" w:rsidR="008762F8" w:rsidRPr="000A6F76" w:rsidRDefault="008762F8" w:rsidP="004769FD">
            <w:pPr>
              <w:rPr>
                <w:sz w:val="20"/>
                <w:szCs w:val="20"/>
                <w:lang w:val="en-GB"/>
              </w:rPr>
            </w:pPr>
            <w:r w:rsidRPr="000A6F76">
              <w:rPr>
                <w:sz w:val="20"/>
                <w:szCs w:val="20"/>
                <w:lang w:val="en-GB"/>
              </w:rPr>
              <w:t>IIV on V3 (%)</w:t>
            </w:r>
          </w:p>
        </w:tc>
        <w:tc>
          <w:tcPr>
            <w:tcW w:w="1701" w:type="dxa"/>
          </w:tcPr>
          <w:p w14:paraId="4163C3F0" w14:textId="77777777" w:rsidR="008762F8" w:rsidRPr="000A6F76" w:rsidRDefault="008762F8" w:rsidP="004769FD">
            <w:pPr>
              <w:rPr>
                <w:sz w:val="20"/>
                <w:szCs w:val="20"/>
                <w:lang w:val="en-GB"/>
              </w:rPr>
            </w:pPr>
            <w:r w:rsidRPr="000A6F76">
              <w:rPr>
                <w:sz w:val="20"/>
                <w:szCs w:val="20"/>
                <w:lang w:val="en-GB"/>
              </w:rPr>
              <w:t>37.7</w:t>
            </w:r>
          </w:p>
        </w:tc>
        <w:tc>
          <w:tcPr>
            <w:tcW w:w="2126" w:type="dxa"/>
          </w:tcPr>
          <w:p w14:paraId="2B609512" w14:textId="77777777" w:rsidR="008762F8" w:rsidRPr="000A6F76" w:rsidRDefault="008762F8" w:rsidP="004769FD">
            <w:pPr>
              <w:rPr>
                <w:sz w:val="20"/>
                <w:szCs w:val="20"/>
                <w:lang w:val="en-GB"/>
              </w:rPr>
            </w:pPr>
          </w:p>
        </w:tc>
        <w:tc>
          <w:tcPr>
            <w:tcW w:w="2693" w:type="dxa"/>
          </w:tcPr>
          <w:p w14:paraId="3343A6EF" w14:textId="77777777" w:rsidR="008762F8" w:rsidRPr="000A6F76" w:rsidRDefault="008762F8" w:rsidP="004769FD">
            <w:pPr>
              <w:rPr>
                <w:sz w:val="20"/>
                <w:szCs w:val="20"/>
                <w:lang w:val="en-GB"/>
              </w:rPr>
            </w:pPr>
          </w:p>
        </w:tc>
      </w:tr>
      <w:tr w:rsidR="008762F8" w:rsidRPr="00194B13" w14:paraId="0D43750F" w14:textId="77777777" w:rsidTr="00AF4F6F">
        <w:trPr>
          <w:trHeight w:hRule="exact" w:val="284"/>
        </w:trPr>
        <w:tc>
          <w:tcPr>
            <w:tcW w:w="9209" w:type="dxa"/>
            <w:gridSpan w:val="4"/>
            <w:shd w:val="clear" w:color="auto" w:fill="F2F2F2" w:themeFill="background1" w:themeFillShade="F2"/>
          </w:tcPr>
          <w:p w14:paraId="41AFB870" w14:textId="77777777" w:rsidR="008762F8" w:rsidRPr="000A6F76" w:rsidRDefault="008762F8" w:rsidP="004769FD">
            <w:pPr>
              <w:rPr>
                <w:b/>
                <w:bCs/>
                <w:sz w:val="20"/>
                <w:szCs w:val="20"/>
                <w:lang w:val="en-GB"/>
              </w:rPr>
            </w:pPr>
            <w:proofErr w:type="spellStart"/>
            <w:r w:rsidRPr="000A6F76">
              <w:rPr>
                <w:b/>
                <w:bCs/>
                <w:sz w:val="20"/>
                <w:szCs w:val="20"/>
                <w:lang w:val="en-GB"/>
              </w:rPr>
              <w:t>Interoccasion</w:t>
            </w:r>
            <w:proofErr w:type="spellEnd"/>
            <w:r w:rsidRPr="000A6F76">
              <w:rPr>
                <w:b/>
                <w:bCs/>
                <w:sz w:val="20"/>
                <w:szCs w:val="20"/>
                <w:lang w:val="en-GB"/>
              </w:rPr>
              <w:t xml:space="preserve"> variability (IOV)</w:t>
            </w:r>
          </w:p>
        </w:tc>
      </w:tr>
      <w:tr w:rsidR="008762F8" w:rsidRPr="00194B13" w14:paraId="1C6873D1" w14:textId="77777777" w:rsidTr="00AF4F6F">
        <w:trPr>
          <w:trHeight w:hRule="exact" w:val="284"/>
        </w:trPr>
        <w:tc>
          <w:tcPr>
            <w:tcW w:w="2689" w:type="dxa"/>
          </w:tcPr>
          <w:p w14:paraId="6FEE8827" w14:textId="51E99F9C" w:rsidR="008762F8" w:rsidRPr="000A6F76" w:rsidRDefault="008762F8" w:rsidP="004769FD">
            <w:pPr>
              <w:rPr>
                <w:sz w:val="20"/>
                <w:szCs w:val="20"/>
                <w:lang w:val="en-GB"/>
              </w:rPr>
            </w:pPr>
            <w:r w:rsidRPr="000A6F76">
              <w:rPr>
                <w:sz w:val="20"/>
                <w:szCs w:val="20"/>
                <w:lang w:val="en-GB"/>
              </w:rPr>
              <w:t>IOV</w:t>
            </w:r>
            <w:r w:rsidR="009917B6" w:rsidRPr="009917B6">
              <w:rPr>
                <w:sz w:val="20"/>
                <w:szCs w:val="20"/>
                <w:vertAlign w:val="superscript"/>
                <w:lang w:val="en-GB"/>
              </w:rPr>
              <w:t>#</w:t>
            </w:r>
            <w:r w:rsidRPr="000A6F76">
              <w:rPr>
                <w:sz w:val="20"/>
                <w:szCs w:val="20"/>
                <w:lang w:val="en-GB"/>
              </w:rPr>
              <w:t xml:space="preserve"> on CL (%)</w:t>
            </w:r>
          </w:p>
        </w:tc>
        <w:tc>
          <w:tcPr>
            <w:tcW w:w="1701" w:type="dxa"/>
          </w:tcPr>
          <w:p w14:paraId="2CEA39DA" w14:textId="77777777" w:rsidR="008762F8" w:rsidRPr="000A6F76" w:rsidRDefault="008762F8" w:rsidP="004769FD">
            <w:pPr>
              <w:rPr>
                <w:sz w:val="20"/>
                <w:szCs w:val="20"/>
                <w:lang w:val="en-GB"/>
              </w:rPr>
            </w:pPr>
            <w:r w:rsidRPr="000A6F76">
              <w:rPr>
                <w:sz w:val="20"/>
                <w:szCs w:val="20"/>
                <w:lang w:val="en-GB"/>
              </w:rPr>
              <w:t>15.1</w:t>
            </w:r>
          </w:p>
        </w:tc>
        <w:tc>
          <w:tcPr>
            <w:tcW w:w="2126" w:type="dxa"/>
          </w:tcPr>
          <w:p w14:paraId="30BA3970" w14:textId="0FE0EC84" w:rsidR="008762F8" w:rsidRPr="000A6F76" w:rsidRDefault="0085221D" w:rsidP="004769FD">
            <w:pPr>
              <w:rPr>
                <w:sz w:val="20"/>
                <w:szCs w:val="20"/>
                <w:lang w:val="en-GB"/>
              </w:rPr>
            </w:pPr>
            <w:r>
              <w:rPr>
                <w:sz w:val="20"/>
                <w:szCs w:val="20"/>
                <w:lang w:val="en-GB"/>
              </w:rPr>
              <w:t>19.8 (22) [36]</w:t>
            </w:r>
          </w:p>
        </w:tc>
        <w:tc>
          <w:tcPr>
            <w:tcW w:w="2693" w:type="dxa"/>
          </w:tcPr>
          <w:p w14:paraId="733A3DF9" w14:textId="247CC2CD" w:rsidR="008762F8" w:rsidRPr="000A6F76" w:rsidRDefault="00194B13" w:rsidP="004769FD">
            <w:pPr>
              <w:rPr>
                <w:sz w:val="20"/>
                <w:szCs w:val="20"/>
                <w:lang w:val="en-GB"/>
              </w:rPr>
            </w:pPr>
            <w:r>
              <w:rPr>
                <w:sz w:val="20"/>
                <w:szCs w:val="20"/>
                <w:lang w:val="en-GB"/>
              </w:rPr>
              <w:t>19.8 (8.4-27.2)</w:t>
            </w:r>
          </w:p>
        </w:tc>
      </w:tr>
      <w:tr w:rsidR="008762F8" w:rsidRPr="00194B13" w14:paraId="74C32720" w14:textId="77777777" w:rsidTr="00AF4F6F">
        <w:trPr>
          <w:trHeight w:hRule="exact" w:val="284"/>
        </w:trPr>
        <w:tc>
          <w:tcPr>
            <w:tcW w:w="2689" w:type="dxa"/>
          </w:tcPr>
          <w:p w14:paraId="6E2FE43A" w14:textId="77777777" w:rsidR="008762F8" w:rsidRPr="000A6F76" w:rsidRDefault="008762F8" w:rsidP="004769FD">
            <w:pPr>
              <w:rPr>
                <w:sz w:val="20"/>
                <w:szCs w:val="20"/>
                <w:lang w:val="en-GB"/>
              </w:rPr>
            </w:pPr>
            <w:r w:rsidRPr="000A6F76">
              <w:rPr>
                <w:sz w:val="20"/>
                <w:szCs w:val="20"/>
                <w:lang w:val="en-GB"/>
              </w:rPr>
              <w:t>IOV on V1 (%)</w:t>
            </w:r>
          </w:p>
        </w:tc>
        <w:tc>
          <w:tcPr>
            <w:tcW w:w="1701" w:type="dxa"/>
          </w:tcPr>
          <w:p w14:paraId="3E5373F7" w14:textId="77777777" w:rsidR="008762F8" w:rsidRPr="000A6F76" w:rsidRDefault="008762F8" w:rsidP="004769FD">
            <w:pPr>
              <w:rPr>
                <w:sz w:val="20"/>
                <w:szCs w:val="20"/>
                <w:lang w:val="en-GB"/>
              </w:rPr>
            </w:pPr>
            <w:r w:rsidRPr="000A6F76">
              <w:rPr>
                <w:sz w:val="20"/>
                <w:szCs w:val="20"/>
                <w:lang w:val="en-GB"/>
              </w:rPr>
              <w:t>17.4</w:t>
            </w:r>
          </w:p>
        </w:tc>
        <w:tc>
          <w:tcPr>
            <w:tcW w:w="2126" w:type="dxa"/>
          </w:tcPr>
          <w:p w14:paraId="22949DFA" w14:textId="77777777" w:rsidR="008762F8" w:rsidRPr="000A6F76" w:rsidRDefault="008762F8" w:rsidP="004769FD">
            <w:pPr>
              <w:rPr>
                <w:sz w:val="20"/>
                <w:szCs w:val="20"/>
                <w:lang w:val="en-GB"/>
              </w:rPr>
            </w:pPr>
          </w:p>
        </w:tc>
        <w:tc>
          <w:tcPr>
            <w:tcW w:w="2693" w:type="dxa"/>
          </w:tcPr>
          <w:p w14:paraId="3A7D5218" w14:textId="77777777" w:rsidR="008762F8" w:rsidRPr="000A6F76" w:rsidRDefault="008762F8" w:rsidP="004769FD">
            <w:pPr>
              <w:rPr>
                <w:sz w:val="20"/>
                <w:szCs w:val="20"/>
                <w:lang w:val="en-GB"/>
              </w:rPr>
            </w:pPr>
          </w:p>
        </w:tc>
      </w:tr>
      <w:tr w:rsidR="008762F8" w:rsidRPr="000A6F76" w14:paraId="6DDB5F6B" w14:textId="77777777" w:rsidTr="00AF4F6F">
        <w:trPr>
          <w:trHeight w:hRule="exact" w:val="284"/>
        </w:trPr>
        <w:tc>
          <w:tcPr>
            <w:tcW w:w="9209" w:type="dxa"/>
            <w:gridSpan w:val="4"/>
            <w:shd w:val="clear" w:color="auto" w:fill="F2F2F2" w:themeFill="background1" w:themeFillShade="F2"/>
          </w:tcPr>
          <w:p w14:paraId="7DC0F09B" w14:textId="77777777" w:rsidR="008762F8" w:rsidRPr="000A6F76" w:rsidRDefault="008762F8" w:rsidP="004769FD">
            <w:pPr>
              <w:rPr>
                <w:b/>
                <w:bCs/>
                <w:sz w:val="20"/>
                <w:szCs w:val="20"/>
                <w:lang w:val="en-GB"/>
              </w:rPr>
            </w:pPr>
            <w:r w:rsidRPr="000A6F76">
              <w:rPr>
                <w:b/>
                <w:bCs/>
                <w:sz w:val="20"/>
                <w:szCs w:val="20"/>
                <w:lang w:val="en-GB"/>
              </w:rPr>
              <w:t>Residual variability</w:t>
            </w:r>
          </w:p>
        </w:tc>
      </w:tr>
      <w:tr w:rsidR="008762F8" w:rsidRPr="00A10471" w14:paraId="0A8E3DB4" w14:textId="77777777" w:rsidTr="00AF4F6F">
        <w:trPr>
          <w:trHeight w:hRule="exact" w:val="284"/>
        </w:trPr>
        <w:tc>
          <w:tcPr>
            <w:tcW w:w="2689" w:type="dxa"/>
          </w:tcPr>
          <w:p w14:paraId="13E8887B" w14:textId="77777777" w:rsidR="008762F8" w:rsidRPr="000A6F76" w:rsidRDefault="008762F8" w:rsidP="004769FD">
            <w:pPr>
              <w:rPr>
                <w:sz w:val="20"/>
                <w:szCs w:val="20"/>
                <w:lang w:val="en-GB"/>
              </w:rPr>
            </w:pPr>
            <w:r w:rsidRPr="000A6F76">
              <w:rPr>
                <w:sz w:val="20"/>
                <w:szCs w:val="20"/>
                <w:lang w:val="en-GB"/>
              </w:rPr>
              <w:t>Proportional error (%)</w:t>
            </w:r>
          </w:p>
        </w:tc>
        <w:tc>
          <w:tcPr>
            <w:tcW w:w="1701" w:type="dxa"/>
          </w:tcPr>
          <w:p w14:paraId="5AC88CDB" w14:textId="77777777" w:rsidR="008762F8" w:rsidRPr="000A6F76" w:rsidRDefault="008762F8" w:rsidP="004769FD">
            <w:pPr>
              <w:rPr>
                <w:sz w:val="20"/>
                <w:szCs w:val="20"/>
                <w:lang w:val="en-GB"/>
              </w:rPr>
            </w:pPr>
            <w:r w:rsidRPr="000A6F76">
              <w:rPr>
                <w:sz w:val="20"/>
                <w:szCs w:val="20"/>
                <w:lang w:val="en-GB"/>
              </w:rPr>
              <w:t>10.6</w:t>
            </w:r>
          </w:p>
        </w:tc>
        <w:tc>
          <w:tcPr>
            <w:tcW w:w="2126" w:type="dxa"/>
          </w:tcPr>
          <w:p w14:paraId="5AD093E9" w14:textId="1649CA1B" w:rsidR="008762F8" w:rsidRPr="000A6F76" w:rsidRDefault="00B24854" w:rsidP="004769FD">
            <w:pPr>
              <w:rPr>
                <w:sz w:val="20"/>
                <w:szCs w:val="20"/>
                <w:lang w:val="en-GB"/>
              </w:rPr>
            </w:pPr>
            <w:r>
              <w:rPr>
                <w:sz w:val="20"/>
                <w:szCs w:val="20"/>
                <w:lang w:val="en-GB"/>
              </w:rPr>
              <w:t>16.3</w:t>
            </w:r>
            <w:r w:rsidR="008762F8" w:rsidRPr="000A6F76">
              <w:rPr>
                <w:sz w:val="20"/>
                <w:szCs w:val="20"/>
                <w:lang w:val="en-GB"/>
              </w:rPr>
              <w:t xml:space="preserve"> (</w:t>
            </w:r>
            <w:r w:rsidR="002F5878">
              <w:rPr>
                <w:sz w:val="20"/>
                <w:szCs w:val="20"/>
                <w:lang w:val="en-GB"/>
              </w:rPr>
              <w:t>14</w:t>
            </w:r>
            <w:r w:rsidR="008762F8" w:rsidRPr="000A6F76">
              <w:rPr>
                <w:sz w:val="20"/>
                <w:szCs w:val="20"/>
                <w:lang w:val="en-GB"/>
              </w:rPr>
              <w:t>)</w:t>
            </w:r>
          </w:p>
        </w:tc>
        <w:tc>
          <w:tcPr>
            <w:tcW w:w="2693" w:type="dxa"/>
          </w:tcPr>
          <w:p w14:paraId="0EC73022" w14:textId="5A82BBEC" w:rsidR="008762F8" w:rsidRPr="000A6F76" w:rsidRDefault="00A10471" w:rsidP="004769FD">
            <w:pPr>
              <w:rPr>
                <w:sz w:val="20"/>
                <w:szCs w:val="20"/>
                <w:lang w:val="en-GB"/>
              </w:rPr>
            </w:pPr>
            <w:r>
              <w:rPr>
                <w:sz w:val="20"/>
                <w:szCs w:val="20"/>
                <w:lang w:val="en-GB"/>
              </w:rPr>
              <w:t>15.7</w:t>
            </w:r>
            <w:r w:rsidR="008762F8" w:rsidRPr="000A6F76">
              <w:rPr>
                <w:sz w:val="20"/>
                <w:szCs w:val="20"/>
                <w:lang w:val="en-GB"/>
              </w:rPr>
              <w:t xml:space="preserve"> (</w:t>
            </w:r>
            <w:r>
              <w:rPr>
                <w:sz w:val="20"/>
                <w:szCs w:val="20"/>
                <w:lang w:val="en-GB"/>
              </w:rPr>
              <w:t>8.7</w:t>
            </w:r>
            <w:r w:rsidR="008762F8" w:rsidRPr="000A6F76">
              <w:rPr>
                <w:sz w:val="20"/>
                <w:szCs w:val="20"/>
                <w:lang w:val="en-GB"/>
              </w:rPr>
              <w:t>-2</w:t>
            </w:r>
            <w:r>
              <w:rPr>
                <w:sz w:val="20"/>
                <w:szCs w:val="20"/>
                <w:lang w:val="en-GB"/>
              </w:rPr>
              <w:t>1</w:t>
            </w:r>
            <w:r w:rsidR="008762F8" w:rsidRPr="000A6F76">
              <w:rPr>
                <w:sz w:val="20"/>
                <w:szCs w:val="20"/>
                <w:lang w:val="en-GB"/>
              </w:rPr>
              <w:t>.</w:t>
            </w:r>
            <w:r>
              <w:rPr>
                <w:sz w:val="20"/>
                <w:szCs w:val="20"/>
                <w:lang w:val="en-GB"/>
              </w:rPr>
              <w:t>8</w:t>
            </w:r>
            <w:r w:rsidR="008762F8" w:rsidRPr="000A6F76">
              <w:rPr>
                <w:sz w:val="20"/>
                <w:szCs w:val="20"/>
                <w:lang w:val="en-GB"/>
              </w:rPr>
              <w:t>)</w:t>
            </w:r>
          </w:p>
        </w:tc>
      </w:tr>
      <w:tr w:rsidR="008762F8" w:rsidRPr="00A10471" w14:paraId="270D90EF" w14:textId="77777777" w:rsidTr="00AF4F6F">
        <w:trPr>
          <w:trHeight w:hRule="exact" w:val="284"/>
        </w:trPr>
        <w:tc>
          <w:tcPr>
            <w:tcW w:w="2689" w:type="dxa"/>
          </w:tcPr>
          <w:p w14:paraId="0DE1E275" w14:textId="77777777" w:rsidR="008762F8" w:rsidRPr="000A6F76" w:rsidRDefault="008762F8" w:rsidP="005C7CE0">
            <w:pPr>
              <w:spacing w:line="240" w:lineRule="auto"/>
              <w:rPr>
                <w:sz w:val="20"/>
                <w:szCs w:val="20"/>
                <w:lang w:val="en-GB"/>
              </w:rPr>
            </w:pPr>
            <w:r w:rsidRPr="000A6F76">
              <w:rPr>
                <w:sz w:val="20"/>
                <w:szCs w:val="20"/>
                <w:lang w:val="en-GB"/>
              </w:rPr>
              <w:t>Additive error (IU/</w:t>
            </w:r>
            <w:proofErr w:type="spellStart"/>
            <w:r w:rsidRPr="000A6F76">
              <w:rPr>
                <w:sz w:val="20"/>
                <w:szCs w:val="20"/>
                <w:lang w:val="en-GB"/>
              </w:rPr>
              <w:t>dL</w:t>
            </w:r>
            <w:proofErr w:type="spellEnd"/>
            <w:r w:rsidRPr="000A6F76">
              <w:rPr>
                <w:sz w:val="20"/>
                <w:szCs w:val="20"/>
                <w:lang w:val="en-GB"/>
              </w:rPr>
              <w:t>)</w:t>
            </w:r>
          </w:p>
        </w:tc>
        <w:tc>
          <w:tcPr>
            <w:tcW w:w="1701" w:type="dxa"/>
          </w:tcPr>
          <w:p w14:paraId="2DB96198" w14:textId="77777777" w:rsidR="008762F8" w:rsidRPr="000A6F76" w:rsidRDefault="008762F8" w:rsidP="005C7CE0">
            <w:pPr>
              <w:spacing w:line="240" w:lineRule="auto"/>
              <w:rPr>
                <w:sz w:val="20"/>
                <w:szCs w:val="20"/>
                <w:lang w:val="en-GB"/>
              </w:rPr>
            </w:pPr>
            <w:r w:rsidRPr="000A6F76">
              <w:rPr>
                <w:sz w:val="20"/>
                <w:szCs w:val="20"/>
                <w:lang w:val="en-GB"/>
              </w:rPr>
              <w:t>0.24</w:t>
            </w:r>
          </w:p>
        </w:tc>
        <w:tc>
          <w:tcPr>
            <w:tcW w:w="2126" w:type="dxa"/>
          </w:tcPr>
          <w:p w14:paraId="3BE1DBCF" w14:textId="421C522E" w:rsidR="008762F8" w:rsidRPr="000A6F76" w:rsidRDefault="008762F8" w:rsidP="005C7CE0">
            <w:pPr>
              <w:spacing w:line="240" w:lineRule="auto"/>
              <w:rPr>
                <w:sz w:val="20"/>
                <w:szCs w:val="20"/>
                <w:lang w:val="en-GB"/>
              </w:rPr>
            </w:pPr>
            <w:r w:rsidRPr="000A6F76">
              <w:rPr>
                <w:sz w:val="20"/>
                <w:szCs w:val="20"/>
                <w:lang w:val="en-GB"/>
              </w:rPr>
              <w:t>1.</w:t>
            </w:r>
            <w:r w:rsidR="00B24854">
              <w:rPr>
                <w:sz w:val="20"/>
                <w:szCs w:val="20"/>
                <w:lang w:val="en-GB"/>
              </w:rPr>
              <w:t>04</w:t>
            </w:r>
            <w:r w:rsidRPr="000A6F76">
              <w:rPr>
                <w:sz w:val="20"/>
                <w:szCs w:val="20"/>
                <w:lang w:val="en-GB"/>
              </w:rPr>
              <w:t xml:space="preserve"> (</w:t>
            </w:r>
            <w:r w:rsidR="002F5878">
              <w:rPr>
                <w:sz w:val="20"/>
                <w:szCs w:val="20"/>
                <w:lang w:val="en-GB"/>
              </w:rPr>
              <w:t>21</w:t>
            </w:r>
            <w:r w:rsidRPr="000A6F76">
              <w:rPr>
                <w:sz w:val="20"/>
                <w:szCs w:val="20"/>
                <w:lang w:val="en-GB"/>
              </w:rPr>
              <w:t>)</w:t>
            </w:r>
          </w:p>
        </w:tc>
        <w:tc>
          <w:tcPr>
            <w:tcW w:w="2693" w:type="dxa"/>
          </w:tcPr>
          <w:p w14:paraId="62BA7B00" w14:textId="3A4107A1" w:rsidR="008762F8" w:rsidRPr="000A6F76" w:rsidRDefault="008762F8" w:rsidP="005C7CE0">
            <w:pPr>
              <w:spacing w:line="240" w:lineRule="auto"/>
              <w:rPr>
                <w:sz w:val="20"/>
                <w:szCs w:val="20"/>
                <w:lang w:val="en-GB"/>
              </w:rPr>
            </w:pPr>
            <w:r w:rsidRPr="000A6F76">
              <w:rPr>
                <w:sz w:val="20"/>
                <w:szCs w:val="20"/>
                <w:lang w:val="en-GB"/>
              </w:rPr>
              <w:t>1.</w:t>
            </w:r>
            <w:r w:rsidR="00A10471">
              <w:rPr>
                <w:sz w:val="20"/>
                <w:szCs w:val="20"/>
                <w:lang w:val="en-GB"/>
              </w:rPr>
              <w:t>0</w:t>
            </w:r>
            <w:r w:rsidRPr="000A6F76">
              <w:rPr>
                <w:sz w:val="20"/>
                <w:szCs w:val="20"/>
                <w:lang w:val="en-GB"/>
              </w:rPr>
              <w:t>8 (0.</w:t>
            </w:r>
            <w:r w:rsidR="00A10471">
              <w:rPr>
                <w:sz w:val="20"/>
                <w:szCs w:val="20"/>
                <w:lang w:val="en-GB"/>
              </w:rPr>
              <w:t>25</w:t>
            </w:r>
            <w:r w:rsidRPr="000A6F76">
              <w:rPr>
                <w:sz w:val="20"/>
                <w:szCs w:val="20"/>
                <w:lang w:val="en-GB"/>
              </w:rPr>
              <w:t>-1.</w:t>
            </w:r>
            <w:r w:rsidR="00A10471">
              <w:rPr>
                <w:sz w:val="20"/>
                <w:szCs w:val="20"/>
                <w:lang w:val="en-GB"/>
              </w:rPr>
              <w:t>52</w:t>
            </w:r>
            <w:r w:rsidRPr="000A6F76">
              <w:rPr>
                <w:sz w:val="20"/>
                <w:szCs w:val="20"/>
                <w:lang w:val="en-GB"/>
              </w:rPr>
              <w:t>)</w:t>
            </w:r>
          </w:p>
        </w:tc>
      </w:tr>
    </w:tbl>
    <w:p w14:paraId="52BCC991" w14:textId="42F84842" w:rsidR="001C01B8" w:rsidRPr="005C7CE0" w:rsidRDefault="001C01B8">
      <w:pPr>
        <w:pStyle w:val="NoSpacing"/>
        <w:jc w:val="both"/>
        <w:rPr>
          <w:sz w:val="20"/>
          <w:szCs w:val="20"/>
          <w:lang w:val="en-GB"/>
        </w:rPr>
      </w:pPr>
      <w:r w:rsidRPr="005C7CE0">
        <w:rPr>
          <w:sz w:val="20"/>
          <w:szCs w:val="20"/>
          <w:lang w:val="en-GB"/>
        </w:rPr>
        <w:t>CL and V1 and V2 were scaled and normalized for an average patient with a body weight of 73kg.</w:t>
      </w:r>
    </w:p>
    <w:p w14:paraId="4E7DE3CF" w14:textId="016AEB3C" w:rsidR="008762F8" w:rsidRPr="005C7CE0" w:rsidRDefault="008762F8">
      <w:pPr>
        <w:pStyle w:val="NoSpacing"/>
        <w:jc w:val="both"/>
        <w:rPr>
          <w:rFonts w:eastAsiaTheme="minorEastAsia"/>
          <w:sz w:val="20"/>
          <w:szCs w:val="20"/>
          <w:lang w:val="en-GB"/>
        </w:rPr>
      </w:pPr>
      <w:r w:rsidRPr="005C7CE0">
        <w:rPr>
          <w:sz w:val="20"/>
          <w:szCs w:val="20"/>
          <w:lang w:val="en-GB"/>
        </w:rPr>
        <w:t xml:space="preserve">CL, clearance; V1, central volume of distribution; V2, volume of compartment 2; V3, Volume of compartment 3; Q2, </w:t>
      </w:r>
      <w:r w:rsidRPr="005C7CE0">
        <w:rPr>
          <w:rFonts w:eastAsiaTheme="minorEastAsia"/>
          <w:sz w:val="20"/>
          <w:szCs w:val="20"/>
          <w:lang w:val="en-GB"/>
        </w:rPr>
        <w:t xml:space="preserve">intercompartmental clearance between compartments 1 and 2; </w:t>
      </w:r>
      <w:r w:rsidRPr="005C7CE0">
        <w:rPr>
          <w:sz w:val="20"/>
          <w:szCs w:val="20"/>
          <w:lang w:val="en-GB"/>
        </w:rPr>
        <w:t xml:space="preserve">Q3, </w:t>
      </w:r>
      <w:r w:rsidRPr="005C7CE0">
        <w:rPr>
          <w:rFonts w:eastAsiaTheme="minorEastAsia"/>
          <w:sz w:val="20"/>
          <w:szCs w:val="20"/>
          <w:lang w:val="en-GB"/>
        </w:rPr>
        <w:t xml:space="preserve">inter-compartmental clearance between compartments 1 and 3; RSE, relative standard error; </w:t>
      </w:r>
      <w:proofErr w:type="spellStart"/>
      <w:r w:rsidRPr="005C7CE0">
        <w:rPr>
          <w:rFonts w:eastAsiaTheme="minorEastAsia"/>
          <w:sz w:val="20"/>
          <w:szCs w:val="20"/>
          <w:lang w:val="en-GB"/>
        </w:rPr>
        <w:t>Shr</w:t>
      </w:r>
      <w:proofErr w:type="spellEnd"/>
      <w:r w:rsidRPr="005C7CE0">
        <w:rPr>
          <w:rFonts w:eastAsiaTheme="minorEastAsia"/>
          <w:sz w:val="20"/>
          <w:szCs w:val="20"/>
          <w:lang w:val="en-GB"/>
        </w:rPr>
        <w:t xml:space="preserve">, shrinkage. </w:t>
      </w:r>
    </w:p>
    <w:p w14:paraId="7C44A659" w14:textId="7D9E3643" w:rsidR="0089737B" w:rsidRPr="005C7CE0" w:rsidRDefault="005C7CE0">
      <w:pPr>
        <w:pStyle w:val="NoSpacing"/>
        <w:jc w:val="both"/>
        <w:rPr>
          <w:rFonts w:eastAsiaTheme="minorEastAsia"/>
          <w:sz w:val="20"/>
          <w:szCs w:val="20"/>
          <w:lang w:val="en-GB"/>
        </w:rPr>
      </w:pPr>
      <w:r>
        <w:rPr>
          <w:rFonts w:eastAsiaTheme="minorEastAsia"/>
          <w:sz w:val="20"/>
          <w:szCs w:val="20"/>
          <w:lang w:val="en-GB"/>
        </w:rPr>
        <w:t>*</w:t>
      </w:r>
      <w:r w:rsidR="0089737B" w:rsidRPr="005C7CE0">
        <w:rPr>
          <w:rFonts w:eastAsiaTheme="minorEastAsia"/>
          <w:sz w:val="20"/>
          <w:szCs w:val="20"/>
          <w:lang w:val="en-GB"/>
        </w:rPr>
        <w:t xml:space="preserve"> 95% CI, non-parametric 95% </w:t>
      </w:r>
      <w:r w:rsidR="00AF0DA5" w:rsidRPr="005C7CE0">
        <w:rPr>
          <w:rFonts w:eastAsiaTheme="minorEastAsia"/>
          <w:sz w:val="20"/>
          <w:szCs w:val="20"/>
          <w:lang w:val="en-GB"/>
        </w:rPr>
        <w:t>confidence interval</w:t>
      </w:r>
      <w:r w:rsidR="0089737B" w:rsidRPr="005C7CE0">
        <w:rPr>
          <w:rFonts w:eastAsiaTheme="minorEastAsia"/>
          <w:sz w:val="20"/>
          <w:szCs w:val="20"/>
          <w:lang w:val="en-GB"/>
        </w:rPr>
        <w:t xml:space="preserve"> from bootstrap results with 2000 datasets</w:t>
      </w:r>
    </w:p>
    <w:p w14:paraId="2B9A283D" w14:textId="122F1997" w:rsidR="0089737B" w:rsidRPr="005C7CE0" w:rsidRDefault="005C7CE0">
      <w:pPr>
        <w:pStyle w:val="NoSpacing"/>
        <w:jc w:val="both"/>
        <w:rPr>
          <w:rFonts w:eastAsiaTheme="minorEastAsia"/>
          <w:sz w:val="20"/>
          <w:szCs w:val="20"/>
          <w:lang w:val="en-GB"/>
        </w:rPr>
      </w:pPr>
      <w:r>
        <w:rPr>
          <w:rFonts w:eastAsiaTheme="minorEastAsia"/>
          <w:sz w:val="20"/>
          <w:szCs w:val="20"/>
          <w:lang w:val="en-GB"/>
        </w:rPr>
        <w:t>#</w:t>
      </w:r>
      <w:r w:rsidR="0089737B" w:rsidRPr="005C7CE0">
        <w:rPr>
          <w:rFonts w:eastAsiaTheme="minorEastAsia"/>
          <w:sz w:val="20"/>
          <w:szCs w:val="20"/>
          <w:lang w:val="en-GB"/>
        </w:rPr>
        <w:t xml:space="preserve"> IIV</w:t>
      </w:r>
      <w:r w:rsidR="009917B6">
        <w:rPr>
          <w:rFonts w:eastAsiaTheme="minorEastAsia"/>
          <w:sz w:val="20"/>
          <w:szCs w:val="20"/>
          <w:lang w:val="en-GB"/>
        </w:rPr>
        <w:t xml:space="preserve"> and IOV</w:t>
      </w:r>
      <w:bookmarkStart w:id="0" w:name="_GoBack"/>
      <w:bookmarkEnd w:id="0"/>
      <w:r w:rsidR="0089737B" w:rsidRPr="005C7CE0">
        <w:rPr>
          <w:rFonts w:eastAsiaTheme="minorEastAsia"/>
          <w:sz w:val="20"/>
          <w:szCs w:val="20"/>
          <w:lang w:val="en-GB"/>
        </w:rPr>
        <w:t xml:space="preserve"> </w:t>
      </w:r>
      <w:r w:rsidR="00AF0DA5" w:rsidRPr="005C7CE0">
        <w:rPr>
          <w:rFonts w:eastAsiaTheme="minorEastAsia"/>
          <w:sz w:val="20"/>
          <w:szCs w:val="20"/>
          <w:lang w:val="en-GB"/>
        </w:rPr>
        <w:t xml:space="preserve">coefficient of variation </w:t>
      </w:r>
      <w:r w:rsidR="0089737B" w:rsidRPr="005C7CE0">
        <w:rPr>
          <w:rFonts w:eastAsiaTheme="minorEastAsia"/>
          <w:sz w:val="20"/>
          <w:szCs w:val="20"/>
          <w:lang w:val="en-GB"/>
        </w:rPr>
        <w:t>calculated as</w:t>
      </w:r>
      <w:r w:rsidR="00392F14" w:rsidRPr="005C7CE0">
        <w:rPr>
          <w:rFonts w:eastAsiaTheme="minorEastAsia"/>
          <w:sz w:val="20"/>
          <w:szCs w:val="20"/>
          <w:lang w:val="en-GB"/>
        </w:rPr>
        <w:t>:</w:t>
      </w:r>
      <w:r w:rsidR="0089737B" w:rsidRPr="005C7CE0">
        <w:rPr>
          <w:rFonts w:eastAsiaTheme="minorEastAsia"/>
          <w:sz w:val="20"/>
          <w:szCs w:val="20"/>
          <w:lang w:val="en-GB"/>
        </w:rPr>
        <w:t xml:space="preserve"> </w:t>
      </w:r>
      <w:r w:rsidR="0089737B" w:rsidRPr="005C7CE0">
        <w:rPr>
          <w:rFonts w:eastAsiaTheme="minorEastAsia" w:cstheme="minorHAnsi"/>
          <w:sz w:val="20"/>
          <w:szCs w:val="20"/>
          <w:lang w:val="en-GB"/>
        </w:rPr>
        <w:t>√(</w:t>
      </w:r>
      <w:r w:rsidR="0089737B" w:rsidRPr="005C7CE0">
        <w:rPr>
          <w:rFonts w:eastAsiaTheme="minorEastAsia"/>
          <w:sz w:val="20"/>
          <w:szCs w:val="20"/>
          <w:lang w:val="en-GB"/>
        </w:rPr>
        <w:t>variance) *100%</w:t>
      </w:r>
    </w:p>
    <w:p w14:paraId="4F2DA892" w14:textId="3F574638" w:rsidR="00ED63D0" w:rsidRPr="005C7CE0" w:rsidRDefault="005C7CE0" w:rsidP="000818D0">
      <w:pPr>
        <w:spacing w:after="0" w:line="240" w:lineRule="auto"/>
        <w:jc w:val="both"/>
        <w:rPr>
          <w:bCs/>
          <w:sz w:val="20"/>
          <w:szCs w:val="20"/>
          <w:lang w:val="en-GB"/>
        </w:rPr>
      </w:pPr>
      <w:r>
        <w:rPr>
          <w:bCs/>
          <w:sz w:val="20"/>
          <w:szCs w:val="20"/>
          <w:lang w:val="en-GB"/>
        </w:rPr>
        <w:t>^</w:t>
      </w:r>
      <w:r w:rsidR="00883B68" w:rsidRPr="005C7CE0">
        <w:rPr>
          <w:bCs/>
          <w:sz w:val="20"/>
          <w:szCs w:val="20"/>
          <w:lang w:val="en-GB"/>
        </w:rPr>
        <w:t xml:space="preserve"> Correlation calculated as</w:t>
      </w:r>
      <w:r w:rsidR="00392F14" w:rsidRPr="005C7CE0">
        <w:rPr>
          <w:bCs/>
          <w:sz w:val="20"/>
          <w:szCs w:val="20"/>
          <w:lang w:val="en-GB"/>
        </w:rPr>
        <w:t>:</w:t>
      </w:r>
      <w:r w:rsidR="00883B68" w:rsidRPr="005C7CE0">
        <w:rPr>
          <w:bCs/>
          <w:sz w:val="20"/>
          <w:szCs w:val="20"/>
          <w:lang w:val="en-GB"/>
        </w:rPr>
        <w:t xml:space="preserve"> </w:t>
      </w:r>
      <w:r w:rsidR="00392F14" w:rsidRPr="005C7CE0">
        <w:rPr>
          <w:bCs/>
          <w:sz w:val="20"/>
          <w:szCs w:val="20"/>
          <w:lang w:val="en-GB"/>
        </w:rPr>
        <w:t>covariance/(</w:t>
      </w:r>
      <w:r w:rsidR="00392F14" w:rsidRPr="005C7CE0">
        <w:rPr>
          <w:rFonts w:cstheme="minorHAnsi"/>
          <w:bCs/>
          <w:sz w:val="20"/>
          <w:szCs w:val="20"/>
          <w:lang w:val="en-GB"/>
        </w:rPr>
        <w:t>√</w:t>
      </w:r>
      <w:r w:rsidR="00392F14" w:rsidRPr="005C7CE0">
        <w:rPr>
          <w:bCs/>
          <w:sz w:val="20"/>
          <w:szCs w:val="20"/>
          <w:lang w:val="en-GB"/>
        </w:rPr>
        <w:t>(variance</w:t>
      </w:r>
      <w:r w:rsidR="00392F14" w:rsidRPr="005C7CE0">
        <w:rPr>
          <w:bCs/>
          <w:sz w:val="20"/>
          <w:szCs w:val="20"/>
          <w:vertAlign w:val="subscript"/>
          <w:lang w:val="en-GB"/>
        </w:rPr>
        <w:t>1</w:t>
      </w:r>
      <w:r w:rsidR="00392F14" w:rsidRPr="005C7CE0">
        <w:rPr>
          <w:bCs/>
          <w:sz w:val="20"/>
          <w:szCs w:val="20"/>
          <w:lang w:val="en-GB"/>
        </w:rPr>
        <w:t xml:space="preserve">)* </w:t>
      </w:r>
      <w:r w:rsidR="00392F14" w:rsidRPr="005C7CE0">
        <w:rPr>
          <w:rFonts w:cstheme="minorHAnsi"/>
          <w:bCs/>
          <w:sz w:val="20"/>
          <w:szCs w:val="20"/>
          <w:lang w:val="en-GB"/>
        </w:rPr>
        <w:t>√</w:t>
      </w:r>
      <w:r w:rsidR="00392F14" w:rsidRPr="005C7CE0">
        <w:rPr>
          <w:bCs/>
          <w:sz w:val="20"/>
          <w:szCs w:val="20"/>
          <w:lang w:val="en-GB"/>
        </w:rPr>
        <w:t>(variance</w:t>
      </w:r>
      <w:r w:rsidR="00392F14" w:rsidRPr="005C7CE0">
        <w:rPr>
          <w:bCs/>
          <w:sz w:val="20"/>
          <w:szCs w:val="20"/>
          <w:vertAlign w:val="subscript"/>
          <w:lang w:val="en-GB"/>
        </w:rPr>
        <w:t>2</w:t>
      </w:r>
      <w:r w:rsidR="00392F14" w:rsidRPr="005C7CE0">
        <w:rPr>
          <w:bCs/>
          <w:sz w:val="20"/>
          <w:szCs w:val="20"/>
          <w:lang w:val="en-GB"/>
        </w:rPr>
        <w:t xml:space="preserve">)) </w:t>
      </w:r>
      <w:r w:rsidR="005B11C3" w:rsidRPr="005C7CE0">
        <w:rPr>
          <w:bCs/>
          <w:sz w:val="20"/>
          <w:szCs w:val="20"/>
          <w:lang w:val="en-GB"/>
        </w:rPr>
        <w:t>*100%</w:t>
      </w:r>
    </w:p>
    <w:p w14:paraId="391BD7CE" w14:textId="77777777" w:rsidR="00883B68" w:rsidRPr="000A6F76" w:rsidRDefault="00883B68">
      <w:pPr>
        <w:spacing w:after="0" w:line="240" w:lineRule="auto"/>
        <w:rPr>
          <w:bCs/>
          <w:lang w:val="en-GB"/>
        </w:rPr>
      </w:pPr>
    </w:p>
    <w:p w14:paraId="47EE6B5E" w14:textId="77777777" w:rsidR="003735A8" w:rsidRDefault="003735A8">
      <w:pPr>
        <w:spacing w:after="0" w:line="240" w:lineRule="auto"/>
        <w:rPr>
          <w:bCs/>
          <w:lang w:val="en-GB"/>
        </w:rPr>
        <w:sectPr w:rsidR="003735A8" w:rsidSect="00F02A04">
          <w:pgSz w:w="11900" w:h="16840"/>
          <w:pgMar w:top="1417" w:right="1417" w:bottom="1417" w:left="1417" w:header="708" w:footer="708" w:gutter="0"/>
          <w:cols w:space="708"/>
          <w:docGrid w:linePitch="360"/>
        </w:sectPr>
      </w:pPr>
    </w:p>
    <w:p w14:paraId="6D35AF6E" w14:textId="51085695" w:rsidR="007B3D6E" w:rsidRPr="000A6F76" w:rsidRDefault="007B3D6E">
      <w:pPr>
        <w:spacing w:after="0" w:line="240" w:lineRule="auto"/>
        <w:rPr>
          <w:bCs/>
          <w:lang w:val="en-GB"/>
        </w:rPr>
      </w:pPr>
      <w:r w:rsidRPr="000A6F76">
        <w:rPr>
          <w:bCs/>
          <w:lang w:val="en-GB"/>
        </w:rPr>
        <w:t>Published model:</w:t>
      </w:r>
    </w:p>
    <w:p w14:paraId="22FE90BB" w14:textId="2F2597E1" w:rsidR="007B3D6E" w:rsidRPr="000A6F76" w:rsidRDefault="007B3D6E">
      <w:pPr>
        <w:spacing w:after="0" w:line="240" w:lineRule="auto"/>
        <w:rPr>
          <w:rFonts w:eastAsiaTheme="minorEastAsia"/>
          <w:bCs/>
          <w:lang w:val="en-GB"/>
        </w:rPr>
      </w:pPr>
      <m:oMathPara>
        <m:oMathParaPr>
          <m:jc m:val="left"/>
        </m:oMathParaPr>
        <m:oMath>
          <m:r>
            <w:rPr>
              <w:rFonts w:ascii="Cambria Math" w:hAnsi="Cambria Math"/>
              <w:lang w:val="en-GB"/>
            </w:rPr>
            <m:t xml:space="preserve">CL= </m:t>
          </m:r>
          <m:sSub>
            <m:sSubPr>
              <m:ctrlPr>
                <w:rPr>
                  <w:rFonts w:ascii="Cambria Math" w:hAnsi="Cambria Math"/>
                  <w:bCs/>
                  <w:i/>
                  <w:lang w:val="en-GB"/>
                </w:rPr>
              </m:ctrlPr>
            </m:sSubPr>
            <m:e>
              <m:r>
                <w:rPr>
                  <w:rFonts w:ascii="Cambria Math" w:hAnsi="Cambria Math"/>
                  <w:lang w:val="en-GB"/>
                </w:rPr>
                <m:t>θ</m:t>
              </m:r>
            </m:e>
            <m:sub>
              <m:r>
                <w:rPr>
                  <w:rFonts w:ascii="Cambria Math" w:hAnsi="Cambria Math"/>
                  <w:lang w:val="en-GB"/>
                </w:rPr>
                <m:t>CL</m:t>
              </m:r>
            </m:sub>
          </m:sSub>
          <m:r>
            <w:rPr>
              <w:rFonts w:ascii="Cambria Math" w:hAnsi="Cambria Math"/>
              <w:lang w:val="en-GB"/>
            </w:rPr>
            <m:t>*</m:t>
          </m:r>
          <m:sSup>
            <m:sSupPr>
              <m:ctrlPr>
                <w:rPr>
                  <w:rFonts w:ascii="Cambria Math" w:hAnsi="Cambria Math"/>
                  <w:bCs/>
                  <w:i/>
                  <w:lang w:val="en-GB"/>
                </w:rPr>
              </m:ctrlPr>
            </m:sSupPr>
            <m:e>
              <m:d>
                <m:dPr>
                  <m:ctrlPr>
                    <w:rPr>
                      <w:rFonts w:ascii="Cambria Math" w:hAnsi="Cambria Math"/>
                      <w:bCs/>
                      <w:i/>
                      <w:lang w:val="en-GB"/>
                    </w:rPr>
                  </m:ctrlPr>
                </m:dPr>
                <m:e>
                  <m:f>
                    <m:fPr>
                      <m:ctrlPr>
                        <w:rPr>
                          <w:rFonts w:ascii="Cambria Math" w:hAnsi="Cambria Math"/>
                          <w:bCs/>
                          <w:i/>
                          <w:lang w:val="en-GB"/>
                        </w:rPr>
                      </m:ctrlPr>
                    </m:fPr>
                    <m:num>
                      <m:r>
                        <w:rPr>
                          <w:rFonts w:ascii="Cambria Math" w:hAnsi="Cambria Math"/>
                          <w:lang w:val="en-GB"/>
                        </w:rPr>
                        <m:t>BW</m:t>
                      </m:r>
                    </m:num>
                    <m:den>
                      <m:r>
                        <w:rPr>
                          <w:rFonts w:ascii="Cambria Math" w:hAnsi="Cambria Math"/>
                          <w:lang w:val="en-GB"/>
                        </w:rPr>
                        <m:t>73</m:t>
                      </m:r>
                    </m:den>
                  </m:f>
                </m:e>
              </m:d>
            </m:e>
            <m:sup>
              <m:r>
                <w:rPr>
                  <w:rFonts w:ascii="Cambria Math" w:hAnsi="Cambria Math"/>
                  <w:lang w:val="en-GB"/>
                </w:rPr>
                <m:t>0.436</m:t>
              </m:r>
            </m:sup>
          </m:sSup>
          <m:r>
            <w:rPr>
              <w:rFonts w:ascii="Cambria Math" w:eastAsiaTheme="minorEastAsia" w:hAnsi="Cambria Math"/>
              <w:lang w:val="en-GB"/>
            </w:rPr>
            <m:t>*</m:t>
          </m:r>
          <m:sSup>
            <m:sSupPr>
              <m:ctrlPr>
                <w:rPr>
                  <w:rFonts w:ascii="Cambria Math" w:eastAsiaTheme="minorEastAsia" w:hAnsi="Cambria Math"/>
                  <w:bCs/>
                  <w:i/>
                  <w:lang w:val="en-GB"/>
                </w:rPr>
              </m:ctrlPr>
            </m:sSupPr>
            <m:e>
              <m:r>
                <w:rPr>
                  <w:rFonts w:ascii="Cambria Math" w:eastAsiaTheme="minorEastAsia" w:hAnsi="Cambria Math"/>
                  <w:lang w:val="en-GB"/>
                </w:rPr>
                <m:t>e</m:t>
              </m:r>
            </m:e>
            <m:sup>
              <m:sSub>
                <m:sSubPr>
                  <m:ctrlPr>
                    <w:rPr>
                      <w:rFonts w:ascii="Cambria Math" w:eastAsiaTheme="minorEastAsia" w:hAnsi="Cambria Math"/>
                      <w:bCs/>
                      <w:i/>
                      <w:lang w:val="en-GB"/>
                    </w:rPr>
                  </m:ctrlPr>
                </m:sSubPr>
                <m:e>
                  <m:r>
                    <w:rPr>
                      <w:rFonts w:ascii="Cambria Math" w:eastAsiaTheme="minorEastAsia" w:hAnsi="Cambria Math"/>
                      <w:lang w:val="en-GB"/>
                    </w:rPr>
                    <m:t>η</m:t>
                  </m:r>
                </m:e>
                <m:sub>
                  <m:r>
                    <w:rPr>
                      <w:rFonts w:ascii="Cambria Math" w:eastAsiaTheme="minorEastAsia" w:hAnsi="Cambria Math"/>
                      <w:lang w:val="en-GB"/>
                    </w:rPr>
                    <m:t>CL</m:t>
                  </m:r>
                </m:sub>
              </m:sSub>
            </m:sup>
          </m:sSup>
        </m:oMath>
      </m:oMathPara>
    </w:p>
    <w:p w14:paraId="5C998715" w14:textId="638CEE03" w:rsidR="007B3D6E" w:rsidRPr="000A6F76" w:rsidRDefault="007B3D6E">
      <w:pPr>
        <w:spacing w:after="0" w:line="240" w:lineRule="auto"/>
        <w:rPr>
          <w:rFonts w:eastAsiaTheme="minorEastAsia"/>
          <w:bCs/>
          <w:lang w:val="en-GB"/>
        </w:rPr>
      </w:pPr>
      <m:oMathPara>
        <m:oMathParaPr>
          <m:jc m:val="left"/>
        </m:oMathParaPr>
        <m:oMath>
          <m:r>
            <w:rPr>
              <w:rFonts w:ascii="Cambria Math" w:hAnsi="Cambria Math"/>
              <w:lang w:val="en-GB"/>
            </w:rPr>
            <m:t xml:space="preserve">V1= </m:t>
          </m:r>
          <m:sSub>
            <m:sSubPr>
              <m:ctrlPr>
                <w:rPr>
                  <w:rFonts w:ascii="Cambria Math" w:hAnsi="Cambria Math"/>
                  <w:bCs/>
                  <w:i/>
                  <w:lang w:val="en-GB"/>
                </w:rPr>
              </m:ctrlPr>
            </m:sSubPr>
            <m:e>
              <m:r>
                <w:rPr>
                  <w:rFonts w:ascii="Cambria Math" w:hAnsi="Cambria Math"/>
                  <w:lang w:val="en-GB"/>
                </w:rPr>
                <m:t>θ</m:t>
              </m:r>
            </m:e>
            <m:sub>
              <m:r>
                <w:rPr>
                  <w:rFonts w:ascii="Cambria Math" w:hAnsi="Cambria Math"/>
                  <w:lang w:val="en-GB"/>
                </w:rPr>
                <m:t>V1</m:t>
              </m:r>
            </m:sub>
          </m:sSub>
          <m:r>
            <w:rPr>
              <w:rFonts w:ascii="Cambria Math" w:hAnsi="Cambria Math"/>
              <w:lang w:val="en-GB"/>
            </w:rPr>
            <m:t>*</m:t>
          </m:r>
          <m:sSup>
            <m:sSupPr>
              <m:ctrlPr>
                <w:rPr>
                  <w:rFonts w:ascii="Cambria Math" w:hAnsi="Cambria Math"/>
                  <w:bCs/>
                  <w:i/>
                  <w:lang w:val="en-GB"/>
                </w:rPr>
              </m:ctrlPr>
            </m:sSupPr>
            <m:e>
              <m:d>
                <m:dPr>
                  <m:ctrlPr>
                    <w:rPr>
                      <w:rFonts w:ascii="Cambria Math" w:hAnsi="Cambria Math"/>
                      <w:bCs/>
                      <w:i/>
                      <w:lang w:val="en-GB"/>
                    </w:rPr>
                  </m:ctrlPr>
                </m:dPr>
                <m:e>
                  <m:f>
                    <m:fPr>
                      <m:ctrlPr>
                        <w:rPr>
                          <w:rFonts w:ascii="Cambria Math" w:hAnsi="Cambria Math"/>
                          <w:bCs/>
                          <w:i/>
                          <w:lang w:val="en-GB"/>
                        </w:rPr>
                      </m:ctrlPr>
                    </m:fPr>
                    <m:num>
                      <m:r>
                        <w:rPr>
                          <w:rFonts w:ascii="Cambria Math" w:hAnsi="Cambria Math"/>
                          <w:lang w:val="en-GB"/>
                        </w:rPr>
                        <m:t>BW</m:t>
                      </m:r>
                    </m:num>
                    <m:den>
                      <m:r>
                        <w:rPr>
                          <w:rFonts w:ascii="Cambria Math" w:hAnsi="Cambria Math"/>
                          <w:lang w:val="en-GB"/>
                        </w:rPr>
                        <m:t>73</m:t>
                      </m:r>
                    </m:den>
                  </m:f>
                </m:e>
              </m:d>
            </m:e>
            <m:sup>
              <m:r>
                <w:rPr>
                  <w:rFonts w:ascii="Cambria Math" w:hAnsi="Cambria Math"/>
                  <w:lang w:val="en-GB"/>
                </w:rPr>
                <m:t>0.396</m:t>
              </m:r>
            </m:sup>
          </m:sSup>
          <m:r>
            <w:rPr>
              <w:rFonts w:ascii="Cambria Math" w:eastAsiaTheme="minorEastAsia" w:hAnsi="Cambria Math"/>
              <w:lang w:val="en-GB"/>
            </w:rPr>
            <m:t>*</m:t>
          </m:r>
          <m:sSup>
            <m:sSupPr>
              <m:ctrlPr>
                <w:rPr>
                  <w:rFonts w:ascii="Cambria Math" w:eastAsiaTheme="minorEastAsia" w:hAnsi="Cambria Math"/>
                  <w:bCs/>
                  <w:i/>
                  <w:lang w:val="en-GB"/>
                </w:rPr>
              </m:ctrlPr>
            </m:sSupPr>
            <m:e>
              <m:r>
                <w:rPr>
                  <w:rFonts w:ascii="Cambria Math" w:eastAsiaTheme="minorEastAsia" w:hAnsi="Cambria Math"/>
                  <w:lang w:val="en-GB"/>
                </w:rPr>
                <m:t>e</m:t>
              </m:r>
            </m:e>
            <m:sup>
              <m:sSub>
                <m:sSubPr>
                  <m:ctrlPr>
                    <w:rPr>
                      <w:rFonts w:ascii="Cambria Math" w:eastAsiaTheme="minorEastAsia" w:hAnsi="Cambria Math"/>
                      <w:bCs/>
                      <w:i/>
                      <w:lang w:val="en-GB"/>
                    </w:rPr>
                  </m:ctrlPr>
                </m:sSubPr>
                <m:e>
                  <m:r>
                    <w:rPr>
                      <w:rFonts w:ascii="Cambria Math" w:eastAsiaTheme="minorEastAsia" w:hAnsi="Cambria Math"/>
                      <w:lang w:val="en-GB"/>
                    </w:rPr>
                    <m:t>η</m:t>
                  </m:r>
                </m:e>
                <m:sub>
                  <m:r>
                    <w:rPr>
                      <w:rFonts w:ascii="Cambria Math" w:eastAsiaTheme="minorEastAsia" w:hAnsi="Cambria Math"/>
                      <w:lang w:val="en-GB"/>
                    </w:rPr>
                    <m:t>V1</m:t>
                  </m:r>
                </m:sub>
              </m:sSub>
            </m:sup>
          </m:sSup>
        </m:oMath>
      </m:oMathPara>
    </w:p>
    <w:p w14:paraId="33616B54" w14:textId="3130826A" w:rsidR="007B3D6E" w:rsidRPr="000A6F76" w:rsidRDefault="007B3D6E" w:rsidP="007B3D6E">
      <w:pPr>
        <w:spacing w:after="0" w:line="240" w:lineRule="auto"/>
        <w:rPr>
          <w:rFonts w:eastAsiaTheme="minorEastAsia"/>
          <w:bCs/>
          <w:lang w:val="en-GB"/>
        </w:rPr>
      </w:pPr>
      <m:oMathPara>
        <m:oMathParaPr>
          <m:jc m:val="left"/>
        </m:oMathParaPr>
        <m:oMath>
          <m:r>
            <w:rPr>
              <w:rFonts w:ascii="Cambria Math" w:hAnsi="Cambria Math"/>
              <w:lang w:val="en-GB"/>
            </w:rPr>
            <m:t xml:space="preserve">Q2= </m:t>
          </m:r>
          <m:sSub>
            <m:sSubPr>
              <m:ctrlPr>
                <w:rPr>
                  <w:rFonts w:ascii="Cambria Math" w:hAnsi="Cambria Math"/>
                  <w:bCs/>
                  <w:i/>
                  <w:lang w:val="en-GB"/>
                </w:rPr>
              </m:ctrlPr>
            </m:sSubPr>
            <m:e>
              <m:r>
                <w:rPr>
                  <w:rFonts w:ascii="Cambria Math" w:hAnsi="Cambria Math"/>
                  <w:lang w:val="en-GB"/>
                </w:rPr>
                <m:t>θ</m:t>
              </m:r>
            </m:e>
            <m:sub>
              <m:r>
                <w:rPr>
                  <w:rFonts w:ascii="Cambria Math" w:hAnsi="Cambria Math"/>
                  <w:lang w:val="en-GB"/>
                </w:rPr>
                <m:t>Q2</m:t>
              </m:r>
            </m:sub>
          </m:sSub>
          <m:r>
            <w:rPr>
              <w:rFonts w:ascii="Cambria Math" w:eastAsiaTheme="minorEastAsia" w:hAnsi="Cambria Math"/>
              <w:lang w:val="en-GB"/>
            </w:rPr>
            <m:t>*</m:t>
          </m:r>
          <m:sSup>
            <m:sSupPr>
              <m:ctrlPr>
                <w:rPr>
                  <w:rFonts w:ascii="Cambria Math" w:eastAsiaTheme="minorEastAsia" w:hAnsi="Cambria Math"/>
                  <w:bCs/>
                  <w:i/>
                  <w:lang w:val="en-GB"/>
                </w:rPr>
              </m:ctrlPr>
            </m:sSupPr>
            <m:e>
              <m:r>
                <w:rPr>
                  <w:rFonts w:ascii="Cambria Math" w:eastAsiaTheme="minorEastAsia" w:hAnsi="Cambria Math"/>
                  <w:lang w:val="en-GB"/>
                </w:rPr>
                <m:t>e</m:t>
              </m:r>
            </m:e>
            <m:sup>
              <m:sSub>
                <m:sSubPr>
                  <m:ctrlPr>
                    <w:rPr>
                      <w:rFonts w:ascii="Cambria Math" w:eastAsiaTheme="minorEastAsia" w:hAnsi="Cambria Math"/>
                      <w:bCs/>
                      <w:i/>
                      <w:lang w:val="en-GB"/>
                    </w:rPr>
                  </m:ctrlPr>
                </m:sSubPr>
                <m:e>
                  <m:r>
                    <w:rPr>
                      <w:rFonts w:ascii="Cambria Math" w:eastAsiaTheme="minorEastAsia" w:hAnsi="Cambria Math"/>
                      <w:lang w:val="en-GB"/>
                    </w:rPr>
                    <m:t>η</m:t>
                  </m:r>
                </m:e>
                <m:sub>
                  <m:r>
                    <w:rPr>
                      <w:rFonts w:ascii="Cambria Math" w:eastAsiaTheme="minorEastAsia" w:hAnsi="Cambria Math"/>
                      <w:lang w:val="en-GB"/>
                    </w:rPr>
                    <m:t>Q2</m:t>
                  </m:r>
                </m:sub>
              </m:sSub>
            </m:sup>
          </m:sSup>
        </m:oMath>
      </m:oMathPara>
    </w:p>
    <w:p w14:paraId="3B5F398D" w14:textId="4741E150" w:rsidR="007B3D6E" w:rsidRPr="000A6F76" w:rsidRDefault="007B3D6E" w:rsidP="007B3D6E">
      <w:pPr>
        <w:spacing w:after="0" w:line="240" w:lineRule="auto"/>
        <w:rPr>
          <w:rFonts w:eastAsiaTheme="minorEastAsia"/>
          <w:bCs/>
          <w:lang w:val="en-GB"/>
        </w:rPr>
      </w:pPr>
      <m:oMathPara>
        <m:oMathParaPr>
          <m:jc m:val="left"/>
        </m:oMathParaPr>
        <m:oMath>
          <m:r>
            <w:rPr>
              <w:rFonts w:ascii="Cambria Math" w:hAnsi="Cambria Math"/>
              <w:lang w:val="en-GB"/>
            </w:rPr>
            <m:t xml:space="preserve">V2= </m:t>
          </m:r>
          <m:sSub>
            <m:sSubPr>
              <m:ctrlPr>
                <w:rPr>
                  <w:rFonts w:ascii="Cambria Math" w:hAnsi="Cambria Math"/>
                  <w:bCs/>
                  <w:i/>
                  <w:lang w:val="en-GB"/>
                </w:rPr>
              </m:ctrlPr>
            </m:sSubPr>
            <m:e>
              <m:r>
                <w:rPr>
                  <w:rFonts w:ascii="Cambria Math" w:hAnsi="Cambria Math"/>
                  <w:lang w:val="en-GB"/>
                </w:rPr>
                <m:t>θ</m:t>
              </m:r>
            </m:e>
            <m:sub>
              <m:r>
                <w:rPr>
                  <w:rFonts w:ascii="Cambria Math" w:hAnsi="Cambria Math"/>
                  <w:lang w:val="en-GB"/>
                </w:rPr>
                <m:t>V2</m:t>
              </m:r>
            </m:sub>
          </m:sSub>
          <m:r>
            <w:rPr>
              <w:rFonts w:ascii="Cambria Math" w:eastAsiaTheme="minorEastAsia" w:hAnsi="Cambria Math"/>
              <w:lang w:val="en-GB"/>
            </w:rPr>
            <m:t>*</m:t>
          </m:r>
          <m:sSup>
            <m:sSupPr>
              <m:ctrlPr>
                <w:rPr>
                  <w:rFonts w:ascii="Cambria Math" w:eastAsiaTheme="minorEastAsia" w:hAnsi="Cambria Math"/>
                  <w:bCs/>
                  <w:i/>
                  <w:lang w:val="en-GB"/>
                </w:rPr>
              </m:ctrlPr>
            </m:sSupPr>
            <m:e>
              <m:r>
                <w:rPr>
                  <w:rFonts w:ascii="Cambria Math" w:eastAsiaTheme="minorEastAsia" w:hAnsi="Cambria Math"/>
                  <w:lang w:val="en-GB"/>
                </w:rPr>
                <m:t>e</m:t>
              </m:r>
            </m:e>
            <m:sup>
              <m:sSub>
                <m:sSubPr>
                  <m:ctrlPr>
                    <w:rPr>
                      <w:rFonts w:ascii="Cambria Math" w:eastAsiaTheme="minorEastAsia" w:hAnsi="Cambria Math"/>
                      <w:bCs/>
                      <w:i/>
                      <w:lang w:val="en-GB"/>
                    </w:rPr>
                  </m:ctrlPr>
                </m:sSubPr>
                <m:e>
                  <m:r>
                    <w:rPr>
                      <w:rFonts w:ascii="Cambria Math" w:eastAsiaTheme="minorEastAsia" w:hAnsi="Cambria Math"/>
                      <w:lang w:val="en-GB"/>
                    </w:rPr>
                    <m:t>η</m:t>
                  </m:r>
                </m:e>
                <m:sub>
                  <m:r>
                    <w:rPr>
                      <w:rFonts w:ascii="Cambria Math" w:eastAsiaTheme="minorEastAsia" w:hAnsi="Cambria Math"/>
                      <w:lang w:val="en-GB"/>
                    </w:rPr>
                    <m:t>V2</m:t>
                  </m:r>
                </m:sub>
              </m:sSub>
            </m:sup>
          </m:sSup>
        </m:oMath>
      </m:oMathPara>
    </w:p>
    <w:p w14:paraId="4F2FAD5D" w14:textId="2FFD7505" w:rsidR="007B3D6E" w:rsidRPr="000A6F76" w:rsidRDefault="007B3D6E" w:rsidP="007B3D6E">
      <w:pPr>
        <w:spacing w:after="0" w:line="240" w:lineRule="auto"/>
        <w:rPr>
          <w:rFonts w:eastAsiaTheme="minorEastAsia"/>
          <w:bCs/>
          <w:lang w:val="en-GB"/>
        </w:rPr>
      </w:pPr>
      <m:oMathPara>
        <m:oMathParaPr>
          <m:jc m:val="left"/>
        </m:oMathParaPr>
        <m:oMath>
          <m:r>
            <w:rPr>
              <w:rFonts w:ascii="Cambria Math" w:hAnsi="Cambria Math"/>
              <w:lang w:val="en-GB"/>
            </w:rPr>
            <m:t xml:space="preserve">Q3= </m:t>
          </m:r>
          <m:sSub>
            <m:sSubPr>
              <m:ctrlPr>
                <w:rPr>
                  <w:rFonts w:ascii="Cambria Math" w:hAnsi="Cambria Math"/>
                  <w:bCs/>
                  <w:i/>
                  <w:lang w:val="en-GB"/>
                </w:rPr>
              </m:ctrlPr>
            </m:sSubPr>
            <m:e>
              <m:r>
                <w:rPr>
                  <w:rFonts w:ascii="Cambria Math" w:hAnsi="Cambria Math"/>
                  <w:lang w:val="en-GB"/>
                </w:rPr>
                <m:t>θ</m:t>
              </m:r>
            </m:e>
            <m:sub>
              <m:r>
                <w:rPr>
                  <w:rFonts w:ascii="Cambria Math" w:hAnsi="Cambria Math"/>
                  <w:lang w:val="en-GB"/>
                </w:rPr>
                <m:t>Q3</m:t>
              </m:r>
            </m:sub>
          </m:sSub>
        </m:oMath>
      </m:oMathPara>
    </w:p>
    <w:p w14:paraId="731AAC23" w14:textId="0C41FC47" w:rsidR="007B3D6E" w:rsidRPr="000A6F76" w:rsidRDefault="007B3D6E" w:rsidP="007B3D6E">
      <w:pPr>
        <w:spacing w:after="0" w:line="240" w:lineRule="auto"/>
        <w:rPr>
          <w:rFonts w:eastAsiaTheme="minorEastAsia"/>
          <w:bCs/>
          <w:lang w:val="en-GB"/>
        </w:rPr>
      </w:pPr>
      <m:oMathPara>
        <m:oMathParaPr>
          <m:jc m:val="left"/>
        </m:oMathParaPr>
        <m:oMath>
          <m:r>
            <w:rPr>
              <w:rFonts w:ascii="Cambria Math" w:hAnsi="Cambria Math"/>
              <w:lang w:val="en-GB"/>
            </w:rPr>
            <m:t xml:space="preserve">V3= </m:t>
          </m:r>
          <m:sSub>
            <m:sSubPr>
              <m:ctrlPr>
                <w:rPr>
                  <w:rFonts w:ascii="Cambria Math" w:hAnsi="Cambria Math"/>
                  <w:bCs/>
                  <w:i/>
                  <w:lang w:val="en-GB"/>
                </w:rPr>
              </m:ctrlPr>
            </m:sSubPr>
            <m:e>
              <m:r>
                <w:rPr>
                  <w:rFonts w:ascii="Cambria Math" w:hAnsi="Cambria Math"/>
                  <w:lang w:val="en-GB"/>
                </w:rPr>
                <m:t>θ</m:t>
              </m:r>
            </m:e>
            <m:sub>
              <m:r>
                <w:rPr>
                  <w:rFonts w:ascii="Cambria Math" w:hAnsi="Cambria Math"/>
                  <w:lang w:val="en-GB"/>
                </w:rPr>
                <m:t>V3</m:t>
              </m:r>
            </m:sub>
          </m:sSub>
          <m:r>
            <w:rPr>
              <w:rFonts w:ascii="Cambria Math" w:eastAsiaTheme="minorEastAsia" w:hAnsi="Cambria Math"/>
              <w:lang w:val="en-GB"/>
            </w:rPr>
            <m:t>*</m:t>
          </m:r>
          <m:sSup>
            <m:sSupPr>
              <m:ctrlPr>
                <w:rPr>
                  <w:rFonts w:ascii="Cambria Math" w:eastAsiaTheme="minorEastAsia" w:hAnsi="Cambria Math"/>
                  <w:bCs/>
                  <w:i/>
                  <w:lang w:val="en-GB"/>
                </w:rPr>
              </m:ctrlPr>
            </m:sSupPr>
            <m:e>
              <m:r>
                <w:rPr>
                  <w:rFonts w:ascii="Cambria Math" w:eastAsiaTheme="minorEastAsia" w:hAnsi="Cambria Math"/>
                  <w:lang w:val="en-GB"/>
                </w:rPr>
                <m:t>e</m:t>
              </m:r>
            </m:e>
            <m:sup>
              <m:sSub>
                <m:sSubPr>
                  <m:ctrlPr>
                    <w:rPr>
                      <w:rFonts w:ascii="Cambria Math" w:eastAsiaTheme="minorEastAsia" w:hAnsi="Cambria Math"/>
                      <w:bCs/>
                      <w:i/>
                      <w:lang w:val="en-GB"/>
                    </w:rPr>
                  </m:ctrlPr>
                </m:sSubPr>
                <m:e>
                  <m:r>
                    <w:rPr>
                      <w:rFonts w:ascii="Cambria Math" w:eastAsiaTheme="minorEastAsia" w:hAnsi="Cambria Math"/>
                      <w:lang w:val="en-GB"/>
                    </w:rPr>
                    <m:t>η</m:t>
                  </m:r>
                </m:e>
                <m:sub>
                  <m:r>
                    <w:rPr>
                      <w:rFonts w:ascii="Cambria Math" w:eastAsiaTheme="minorEastAsia" w:hAnsi="Cambria Math"/>
                      <w:lang w:val="en-GB"/>
                    </w:rPr>
                    <m:t>V3</m:t>
                  </m:r>
                </m:sub>
              </m:sSub>
            </m:sup>
          </m:sSup>
        </m:oMath>
      </m:oMathPara>
    </w:p>
    <w:p w14:paraId="3093DBBB" w14:textId="247095F6" w:rsidR="007B3D6E" w:rsidRPr="000A6F76" w:rsidRDefault="007B3D6E">
      <w:pPr>
        <w:spacing w:after="0" w:line="240" w:lineRule="auto"/>
        <w:rPr>
          <w:rFonts w:eastAsiaTheme="minorEastAsia"/>
          <w:bCs/>
          <w:sz w:val="20"/>
          <w:lang w:val="en-GB"/>
        </w:rPr>
      </w:pPr>
    </w:p>
    <w:p w14:paraId="0E35D2E4" w14:textId="4AB5CF88" w:rsidR="00654C56" w:rsidRPr="000A6F76" w:rsidRDefault="00654C56">
      <w:pPr>
        <w:spacing w:after="0" w:line="240" w:lineRule="auto"/>
        <w:rPr>
          <w:rFonts w:eastAsiaTheme="minorEastAsia"/>
          <w:bCs/>
          <w:sz w:val="20"/>
          <w:lang w:val="en-GB"/>
        </w:rPr>
      </w:pPr>
    </w:p>
    <w:p w14:paraId="504E9CFD" w14:textId="77AA9A09" w:rsidR="007B3D6E" w:rsidRPr="000A6F76" w:rsidRDefault="007B3D6E">
      <w:pPr>
        <w:spacing w:after="0" w:line="240" w:lineRule="auto"/>
        <w:rPr>
          <w:rFonts w:eastAsiaTheme="minorEastAsia"/>
          <w:bCs/>
          <w:lang w:val="en-GB"/>
        </w:rPr>
      </w:pPr>
      <w:r w:rsidRPr="000A6F76">
        <w:rPr>
          <w:rFonts w:eastAsiaTheme="minorEastAsia"/>
          <w:bCs/>
          <w:lang w:val="en-GB"/>
        </w:rPr>
        <w:t>Novel model:</w:t>
      </w:r>
    </w:p>
    <w:p w14:paraId="581C7147" w14:textId="5BBEEFAD" w:rsidR="007B3D6E" w:rsidRPr="000A6F76" w:rsidRDefault="007B3D6E" w:rsidP="007B3D6E">
      <w:pPr>
        <w:spacing w:after="0" w:line="240" w:lineRule="auto"/>
        <w:rPr>
          <w:rFonts w:eastAsiaTheme="minorEastAsia"/>
          <w:bCs/>
          <w:lang w:val="en-GB"/>
        </w:rPr>
      </w:pPr>
      <m:oMathPara>
        <m:oMathParaPr>
          <m:jc m:val="left"/>
        </m:oMathParaPr>
        <m:oMath>
          <m:r>
            <w:rPr>
              <w:rFonts w:ascii="Cambria Math" w:hAnsi="Cambria Math"/>
              <w:lang w:val="en-GB"/>
            </w:rPr>
            <m:t xml:space="preserve">CL= </m:t>
          </m:r>
          <m:sSub>
            <m:sSubPr>
              <m:ctrlPr>
                <w:rPr>
                  <w:rFonts w:ascii="Cambria Math" w:hAnsi="Cambria Math"/>
                  <w:bCs/>
                  <w:i/>
                  <w:lang w:val="en-GB"/>
                </w:rPr>
              </m:ctrlPr>
            </m:sSubPr>
            <m:e>
              <m:r>
                <w:rPr>
                  <w:rFonts w:ascii="Cambria Math" w:hAnsi="Cambria Math"/>
                  <w:lang w:val="en-GB"/>
                </w:rPr>
                <m:t>θ</m:t>
              </m:r>
            </m:e>
            <m:sub>
              <m:r>
                <w:rPr>
                  <w:rFonts w:ascii="Cambria Math" w:hAnsi="Cambria Math"/>
                  <w:lang w:val="en-GB"/>
                </w:rPr>
                <m:t>CL</m:t>
              </m:r>
            </m:sub>
          </m:sSub>
          <m:r>
            <w:rPr>
              <w:rFonts w:ascii="Cambria Math" w:hAnsi="Cambria Math"/>
              <w:lang w:val="en-GB"/>
            </w:rPr>
            <m:t>*</m:t>
          </m:r>
          <m:sSup>
            <m:sSupPr>
              <m:ctrlPr>
                <w:rPr>
                  <w:rFonts w:ascii="Cambria Math" w:hAnsi="Cambria Math"/>
                  <w:bCs/>
                  <w:i/>
                  <w:lang w:val="en-GB"/>
                </w:rPr>
              </m:ctrlPr>
            </m:sSupPr>
            <m:e>
              <m:d>
                <m:dPr>
                  <m:ctrlPr>
                    <w:rPr>
                      <w:rFonts w:ascii="Cambria Math" w:hAnsi="Cambria Math"/>
                      <w:bCs/>
                      <w:i/>
                      <w:lang w:val="en-GB"/>
                    </w:rPr>
                  </m:ctrlPr>
                </m:dPr>
                <m:e>
                  <m:f>
                    <m:fPr>
                      <m:ctrlPr>
                        <w:rPr>
                          <w:rFonts w:ascii="Cambria Math" w:hAnsi="Cambria Math"/>
                          <w:bCs/>
                          <w:i/>
                          <w:lang w:val="en-GB"/>
                        </w:rPr>
                      </m:ctrlPr>
                    </m:fPr>
                    <m:num>
                      <m:r>
                        <w:rPr>
                          <w:rFonts w:ascii="Cambria Math" w:hAnsi="Cambria Math"/>
                          <w:lang w:val="en-GB"/>
                        </w:rPr>
                        <m:t>BW</m:t>
                      </m:r>
                    </m:num>
                    <m:den>
                      <m:r>
                        <w:rPr>
                          <w:rFonts w:ascii="Cambria Math" w:hAnsi="Cambria Math"/>
                          <w:lang w:val="en-GB"/>
                        </w:rPr>
                        <m:t>73</m:t>
                      </m:r>
                    </m:den>
                  </m:f>
                </m:e>
              </m:d>
            </m:e>
            <m:sup>
              <m:r>
                <w:rPr>
                  <w:rFonts w:ascii="Cambria Math" w:hAnsi="Cambria Math"/>
                  <w:lang w:val="en-GB"/>
                </w:rPr>
                <m:t>0.75</m:t>
              </m:r>
            </m:sup>
          </m:sSup>
          <m:r>
            <w:rPr>
              <w:rFonts w:ascii="Cambria Math" w:eastAsiaTheme="minorEastAsia" w:hAnsi="Cambria Math"/>
              <w:lang w:val="en-GB"/>
            </w:rPr>
            <m:t>*(1-0.00</m:t>
          </m:r>
          <m:r>
            <w:rPr>
              <w:rFonts w:ascii="Cambria Math" w:eastAsiaTheme="minorEastAsia" w:hAnsi="Cambria Math"/>
              <w:lang w:val="en-GB"/>
            </w:rPr>
            <m:t>47</m:t>
          </m:r>
          <m:r>
            <w:rPr>
              <w:rFonts w:ascii="Cambria Math" w:eastAsiaTheme="minorEastAsia" w:hAnsi="Cambria Math"/>
              <w:lang w:val="en-GB"/>
            </w:rPr>
            <m:t>*</m:t>
          </m:r>
          <m:d>
            <m:dPr>
              <m:ctrlPr>
                <w:rPr>
                  <w:rFonts w:ascii="Cambria Math" w:eastAsiaTheme="minorEastAsia" w:hAnsi="Cambria Math"/>
                  <w:bCs/>
                  <w:i/>
                  <w:lang w:val="en-GB"/>
                </w:rPr>
              </m:ctrlPr>
            </m:dPr>
            <m:e>
              <m:r>
                <w:rPr>
                  <w:rFonts w:ascii="Cambria Math" w:eastAsiaTheme="minorEastAsia" w:hAnsi="Cambria Math"/>
                  <w:lang w:val="en-GB"/>
                </w:rPr>
                <m:t>AGE-15.8</m:t>
              </m:r>
            </m:e>
          </m:d>
          <m:r>
            <w:rPr>
              <w:rFonts w:ascii="Cambria Math" w:eastAsiaTheme="minorEastAsia" w:hAnsi="Cambria Math"/>
              <w:lang w:val="en-GB"/>
            </w:rPr>
            <m:t>)*</m:t>
          </m:r>
          <m:sSup>
            <m:sSupPr>
              <m:ctrlPr>
                <w:rPr>
                  <w:rFonts w:ascii="Cambria Math" w:eastAsiaTheme="minorEastAsia" w:hAnsi="Cambria Math"/>
                  <w:bCs/>
                  <w:i/>
                  <w:lang w:val="en-GB"/>
                </w:rPr>
              </m:ctrlPr>
            </m:sSupPr>
            <m:e>
              <m:r>
                <w:rPr>
                  <w:rFonts w:ascii="Cambria Math" w:eastAsiaTheme="minorEastAsia" w:hAnsi="Cambria Math"/>
                  <w:lang w:val="en-GB"/>
                </w:rPr>
                <m:t>e</m:t>
              </m:r>
            </m:e>
            <m:sup>
              <m:sSub>
                <m:sSubPr>
                  <m:ctrlPr>
                    <w:rPr>
                      <w:rFonts w:ascii="Cambria Math" w:eastAsiaTheme="minorEastAsia" w:hAnsi="Cambria Math"/>
                      <w:bCs/>
                      <w:i/>
                      <w:lang w:val="en-GB"/>
                    </w:rPr>
                  </m:ctrlPr>
                </m:sSubPr>
                <m:e>
                  <m:r>
                    <w:rPr>
                      <w:rFonts w:ascii="Cambria Math" w:eastAsiaTheme="minorEastAsia" w:hAnsi="Cambria Math"/>
                      <w:lang w:val="en-GB"/>
                    </w:rPr>
                    <m:t>η</m:t>
                  </m:r>
                </m:e>
                <m:sub>
                  <m:r>
                    <w:rPr>
                      <w:rFonts w:ascii="Cambria Math" w:eastAsiaTheme="minorEastAsia" w:hAnsi="Cambria Math"/>
                      <w:lang w:val="en-GB"/>
                    </w:rPr>
                    <m:t>CL</m:t>
                  </m:r>
                </m:sub>
              </m:sSub>
            </m:sup>
          </m:sSup>
        </m:oMath>
      </m:oMathPara>
    </w:p>
    <w:p w14:paraId="5B8A120F" w14:textId="278E3DA1" w:rsidR="005523C9" w:rsidRPr="000A6F76" w:rsidRDefault="005523C9" w:rsidP="005523C9">
      <w:pPr>
        <w:spacing w:after="0" w:line="240" w:lineRule="auto"/>
        <w:rPr>
          <w:rFonts w:eastAsiaTheme="minorEastAsia"/>
          <w:bCs/>
          <w:lang w:val="en-GB"/>
        </w:rPr>
      </w:pPr>
      <m:oMathPara>
        <m:oMathParaPr>
          <m:jc m:val="left"/>
        </m:oMathParaPr>
        <m:oMath>
          <m:r>
            <w:rPr>
              <w:rFonts w:ascii="Cambria Math" w:hAnsi="Cambria Math"/>
              <w:lang w:val="en-GB"/>
            </w:rPr>
            <m:t xml:space="preserve">V1= </m:t>
          </m:r>
          <m:sSub>
            <m:sSubPr>
              <m:ctrlPr>
                <w:rPr>
                  <w:rFonts w:ascii="Cambria Math" w:hAnsi="Cambria Math"/>
                  <w:bCs/>
                  <w:i/>
                  <w:lang w:val="en-GB"/>
                </w:rPr>
              </m:ctrlPr>
            </m:sSubPr>
            <m:e>
              <m:r>
                <w:rPr>
                  <w:rFonts w:ascii="Cambria Math" w:hAnsi="Cambria Math"/>
                  <w:lang w:val="en-GB"/>
                </w:rPr>
                <m:t>θ</m:t>
              </m:r>
            </m:e>
            <m:sub>
              <m:r>
                <w:rPr>
                  <w:rFonts w:ascii="Cambria Math" w:hAnsi="Cambria Math"/>
                  <w:lang w:val="en-GB"/>
                </w:rPr>
                <m:t>V1</m:t>
              </m:r>
            </m:sub>
          </m:sSub>
          <m:r>
            <w:rPr>
              <w:rFonts w:ascii="Cambria Math" w:hAnsi="Cambria Math"/>
              <w:lang w:val="en-GB"/>
            </w:rPr>
            <m:t>*</m:t>
          </m:r>
          <m:sSup>
            <m:sSupPr>
              <m:ctrlPr>
                <w:rPr>
                  <w:rFonts w:ascii="Cambria Math" w:hAnsi="Cambria Math"/>
                  <w:bCs/>
                  <w:i/>
                  <w:lang w:val="en-GB"/>
                </w:rPr>
              </m:ctrlPr>
            </m:sSupPr>
            <m:e>
              <m:d>
                <m:dPr>
                  <m:ctrlPr>
                    <w:rPr>
                      <w:rFonts w:ascii="Cambria Math" w:hAnsi="Cambria Math"/>
                      <w:bCs/>
                      <w:i/>
                      <w:lang w:val="en-GB"/>
                    </w:rPr>
                  </m:ctrlPr>
                </m:dPr>
                <m:e>
                  <m:f>
                    <m:fPr>
                      <m:ctrlPr>
                        <w:rPr>
                          <w:rFonts w:ascii="Cambria Math" w:hAnsi="Cambria Math"/>
                          <w:bCs/>
                          <w:i/>
                          <w:lang w:val="en-GB"/>
                        </w:rPr>
                      </m:ctrlPr>
                    </m:fPr>
                    <m:num>
                      <m:r>
                        <w:rPr>
                          <w:rFonts w:ascii="Cambria Math" w:hAnsi="Cambria Math"/>
                          <w:lang w:val="en-GB"/>
                        </w:rPr>
                        <m:t>BW</m:t>
                      </m:r>
                    </m:num>
                    <m:den>
                      <m:r>
                        <w:rPr>
                          <w:rFonts w:ascii="Cambria Math" w:hAnsi="Cambria Math"/>
                          <w:lang w:val="en-GB"/>
                        </w:rPr>
                        <m:t>73</m:t>
                      </m:r>
                    </m:den>
                  </m:f>
                </m:e>
              </m:d>
            </m:e>
            <m:sup>
              <m:r>
                <w:rPr>
                  <w:rFonts w:ascii="Cambria Math" w:hAnsi="Cambria Math"/>
                  <w:lang w:val="en-GB"/>
                </w:rPr>
                <m:t>1.00</m:t>
              </m:r>
            </m:sup>
          </m:sSup>
          <m:r>
            <w:rPr>
              <w:rFonts w:ascii="Cambria Math" w:eastAsiaTheme="minorEastAsia" w:hAnsi="Cambria Math"/>
              <w:lang w:val="en-GB"/>
            </w:rPr>
            <m:t>*</m:t>
          </m:r>
          <m:sSup>
            <m:sSupPr>
              <m:ctrlPr>
                <w:rPr>
                  <w:rFonts w:ascii="Cambria Math" w:eastAsiaTheme="minorEastAsia" w:hAnsi="Cambria Math"/>
                  <w:bCs/>
                  <w:i/>
                  <w:lang w:val="en-GB"/>
                </w:rPr>
              </m:ctrlPr>
            </m:sSupPr>
            <m:e>
              <m:r>
                <w:rPr>
                  <w:rFonts w:ascii="Cambria Math" w:eastAsiaTheme="minorEastAsia" w:hAnsi="Cambria Math"/>
                  <w:lang w:val="en-GB"/>
                </w:rPr>
                <m:t>e</m:t>
              </m:r>
            </m:e>
            <m:sup>
              <m:sSub>
                <m:sSubPr>
                  <m:ctrlPr>
                    <w:rPr>
                      <w:rFonts w:ascii="Cambria Math" w:eastAsiaTheme="minorEastAsia" w:hAnsi="Cambria Math"/>
                      <w:bCs/>
                      <w:i/>
                      <w:lang w:val="en-GB"/>
                    </w:rPr>
                  </m:ctrlPr>
                </m:sSubPr>
                <m:e>
                  <m:r>
                    <w:rPr>
                      <w:rFonts w:ascii="Cambria Math" w:eastAsiaTheme="minorEastAsia" w:hAnsi="Cambria Math"/>
                      <w:lang w:val="en-GB"/>
                    </w:rPr>
                    <m:t>η</m:t>
                  </m:r>
                </m:e>
                <m:sub>
                  <m:r>
                    <w:rPr>
                      <w:rFonts w:ascii="Cambria Math" w:eastAsiaTheme="minorEastAsia" w:hAnsi="Cambria Math"/>
                      <w:lang w:val="en-GB"/>
                    </w:rPr>
                    <m:t>V1</m:t>
                  </m:r>
                </m:sub>
              </m:sSub>
            </m:sup>
          </m:sSup>
        </m:oMath>
      </m:oMathPara>
    </w:p>
    <w:p w14:paraId="16DF08F5" w14:textId="26215B75" w:rsidR="005523C9" w:rsidRPr="000A6F76" w:rsidRDefault="005523C9" w:rsidP="005523C9">
      <w:pPr>
        <w:spacing w:after="0" w:line="240" w:lineRule="auto"/>
        <w:rPr>
          <w:rFonts w:eastAsiaTheme="minorEastAsia"/>
          <w:bCs/>
          <w:lang w:val="en-GB"/>
        </w:rPr>
      </w:pPr>
      <m:oMathPara>
        <m:oMathParaPr>
          <m:jc m:val="left"/>
        </m:oMathParaPr>
        <m:oMath>
          <m:r>
            <w:rPr>
              <w:rFonts w:ascii="Cambria Math" w:hAnsi="Cambria Math"/>
              <w:lang w:val="en-GB"/>
            </w:rPr>
            <m:t xml:space="preserve">Q= </m:t>
          </m:r>
          <m:sSub>
            <m:sSubPr>
              <m:ctrlPr>
                <w:rPr>
                  <w:rFonts w:ascii="Cambria Math" w:hAnsi="Cambria Math"/>
                  <w:bCs/>
                  <w:i/>
                  <w:lang w:val="en-GB"/>
                </w:rPr>
              </m:ctrlPr>
            </m:sSubPr>
            <m:e>
              <m:r>
                <w:rPr>
                  <w:rFonts w:ascii="Cambria Math" w:hAnsi="Cambria Math"/>
                  <w:lang w:val="en-GB"/>
                </w:rPr>
                <m:t>θ</m:t>
              </m:r>
            </m:e>
            <m:sub>
              <m:r>
                <w:rPr>
                  <w:rFonts w:ascii="Cambria Math" w:hAnsi="Cambria Math"/>
                  <w:lang w:val="en-GB"/>
                </w:rPr>
                <m:t>Q</m:t>
              </m:r>
            </m:sub>
          </m:sSub>
          <m:r>
            <w:rPr>
              <w:rFonts w:ascii="Cambria Math" w:hAnsi="Cambria Math"/>
              <w:lang w:val="en-GB"/>
            </w:rPr>
            <m:t>*</m:t>
          </m:r>
          <m:sSup>
            <m:sSupPr>
              <m:ctrlPr>
                <w:rPr>
                  <w:rFonts w:ascii="Cambria Math" w:hAnsi="Cambria Math"/>
                  <w:bCs/>
                  <w:i/>
                  <w:lang w:val="en-GB"/>
                </w:rPr>
              </m:ctrlPr>
            </m:sSupPr>
            <m:e>
              <m:d>
                <m:dPr>
                  <m:ctrlPr>
                    <w:rPr>
                      <w:rFonts w:ascii="Cambria Math" w:hAnsi="Cambria Math"/>
                      <w:bCs/>
                      <w:i/>
                      <w:lang w:val="en-GB"/>
                    </w:rPr>
                  </m:ctrlPr>
                </m:dPr>
                <m:e>
                  <m:f>
                    <m:fPr>
                      <m:ctrlPr>
                        <w:rPr>
                          <w:rFonts w:ascii="Cambria Math" w:hAnsi="Cambria Math"/>
                          <w:bCs/>
                          <w:i/>
                          <w:lang w:val="en-GB"/>
                        </w:rPr>
                      </m:ctrlPr>
                    </m:fPr>
                    <m:num>
                      <m:r>
                        <w:rPr>
                          <w:rFonts w:ascii="Cambria Math" w:hAnsi="Cambria Math"/>
                          <w:lang w:val="en-GB"/>
                        </w:rPr>
                        <m:t>BW</m:t>
                      </m:r>
                    </m:num>
                    <m:den>
                      <m:r>
                        <w:rPr>
                          <w:rFonts w:ascii="Cambria Math" w:hAnsi="Cambria Math"/>
                          <w:lang w:val="en-GB"/>
                        </w:rPr>
                        <m:t>73</m:t>
                      </m:r>
                    </m:den>
                  </m:f>
                </m:e>
              </m:d>
            </m:e>
            <m:sup>
              <m:r>
                <w:rPr>
                  <w:rFonts w:ascii="Cambria Math" w:hAnsi="Cambria Math"/>
                  <w:lang w:val="en-GB"/>
                </w:rPr>
                <m:t>0.75</m:t>
              </m:r>
            </m:sup>
          </m:sSup>
        </m:oMath>
      </m:oMathPara>
    </w:p>
    <w:p w14:paraId="49921B78" w14:textId="77777777" w:rsidR="003735A8" w:rsidRPr="007522D2" w:rsidRDefault="005523C9">
      <w:pPr>
        <w:spacing w:after="0" w:line="240" w:lineRule="auto"/>
        <w:rPr>
          <w:rFonts w:ascii="Cambria Math" w:eastAsiaTheme="minorEastAsia" w:hAnsi="Cambria Math"/>
          <w:lang w:val="en-GB"/>
          <w:oMath/>
        </w:rPr>
        <w:sectPr w:rsidR="003735A8" w:rsidRPr="007522D2" w:rsidSect="003735A8">
          <w:type w:val="continuous"/>
          <w:pgSz w:w="11900" w:h="16840"/>
          <w:pgMar w:top="1417" w:right="1417" w:bottom="1417" w:left="1417" w:header="708" w:footer="708" w:gutter="0"/>
          <w:cols w:num="2" w:space="708"/>
          <w:docGrid w:linePitch="360"/>
        </w:sectPr>
      </w:pPr>
      <m:oMathPara>
        <m:oMathParaPr>
          <m:jc m:val="left"/>
        </m:oMathParaPr>
        <m:oMath>
          <m:r>
            <w:rPr>
              <w:rFonts w:ascii="Cambria Math" w:hAnsi="Cambria Math"/>
              <w:lang w:val="en-GB"/>
            </w:rPr>
            <m:t xml:space="preserve">V2= </m:t>
          </m:r>
          <m:sSub>
            <m:sSubPr>
              <m:ctrlPr>
                <w:rPr>
                  <w:rFonts w:ascii="Cambria Math" w:hAnsi="Cambria Math"/>
                  <w:bCs/>
                  <w:i/>
                  <w:lang w:val="en-GB"/>
                </w:rPr>
              </m:ctrlPr>
            </m:sSubPr>
            <m:e>
              <m:r>
                <w:rPr>
                  <w:rFonts w:ascii="Cambria Math" w:hAnsi="Cambria Math"/>
                  <w:lang w:val="en-GB"/>
                </w:rPr>
                <m:t>θ</m:t>
              </m:r>
            </m:e>
            <m:sub>
              <m:r>
                <w:rPr>
                  <w:rFonts w:ascii="Cambria Math" w:hAnsi="Cambria Math"/>
                  <w:lang w:val="en-GB"/>
                </w:rPr>
                <m:t>V2</m:t>
              </m:r>
            </m:sub>
          </m:sSub>
          <m:r>
            <w:rPr>
              <w:rFonts w:ascii="Cambria Math" w:hAnsi="Cambria Math"/>
              <w:lang w:val="en-GB"/>
            </w:rPr>
            <m:t>*</m:t>
          </m:r>
          <m:sSup>
            <m:sSupPr>
              <m:ctrlPr>
                <w:rPr>
                  <w:rFonts w:ascii="Cambria Math" w:hAnsi="Cambria Math"/>
                  <w:bCs/>
                  <w:i/>
                  <w:lang w:val="en-GB"/>
                </w:rPr>
              </m:ctrlPr>
            </m:sSupPr>
            <m:e>
              <m:d>
                <m:dPr>
                  <m:ctrlPr>
                    <w:rPr>
                      <w:rFonts w:ascii="Cambria Math" w:hAnsi="Cambria Math"/>
                      <w:bCs/>
                      <w:i/>
                      <w:lang w:val="en-GB"/>
                    </w:rPr>
                  </m:ctrlPr>
                </m:dPr>
                <m:e>
                  <m:f>
                    <m:fPr>
                      <m:ctrlPr>
                        <w:rPr>
                          <w:rFonts w:ascii="Cambria Math" w:hAnsi="Cambria Math"/>
                          <w:bCs/>
                          <w:i/>
                          <w:lang w:val="en-GB"/>
                        </w:rPr>
                      </m:ctrlPr>
                    </m:fPr>
                    <m:num>
                      <m:r>
                        <w:rPr>
                          <w:rFonts w:ascii="Cambria Math" w:hAnsi="Cambria Math"/>
                          <w:lang w:val="en-GB"/>
                        </w:rPr>
                        <m:t>BW</m:t>
                      </m:r>
                    </m:num>
                    <m:den>
                      <m:r>
                        <w:rPr>
                          <w:rFonts w:ascii="Cambria Math" w:hAnsi="Cambria Math"/>
                          <w:lang w:val="en-GB"/>
                        </w:rPr>
                        <m:t>73</m:t>
                      </m:r>
                    </m:den>
                  </m:f>
                </m:e>
              </m:d>
            </m:e>
            <m:sup>
              <m:r>
                <w:rPr>
                  <w:rFonts w:ascii="Cambria Math" w:hAnsi="Cambria Math"/>
                  <w:lang w:val="en-GB"/>
                </w:rPr>
                <m:t>1.00</m:t>
              </m:r>
            </m:sup>
          </m:sSup>
          <m:r>
            <w:rPr>
              <w:rFonts w:ascii="Cambria Math" w:eastAsiaTheme="minorEastAsia" w:hAnsi="Cambria Math"/>
              <w:lang w:val="en-GB"/>
            </w:rPr>
            <m:t>*</m:t>
          </m:r>
          <m:sSup>
            <m:sSupPr>
              <m:ctrlPr>
                <w:rPr>
                  <w:rFonts w:ascii="Cambria Math" w:eastAsiaTheme="minorEastAsia" w:hAnsi="Cambria Math"/>
                  <w:bCs/>
                  <w:i/>
                  <w:lang w:val="en-GB"/>
                </w:rPr>
              </m:ctrlPr>
            </m:sSupPr>
            <m:e>
              <m:r>
                <w:rPr>
                  <w:rFonts w:ascii="Cambria Math" w:eastAsiaTheme="minorEastAsia" w:hAnsi="Cambria Math"/>
                  <w:lang w:val="en-GB"/>
                </w:rPr>
                <m:t>e</m:t>
              </m:r>
            </m:e>
            <m:sup>
              <m:sSub>
                <m:sSubPr>
                  <m:ctrlPr>
                    <w:rPr>
                      <w:rFonts w:ascii="Cambria Math" w:eastAsiaTheme="minorEastAsia" w:hAnsi="Cambria Math"/>
                      <w:bCs/>
                      <w:i/>
                      <w:lang w:val="en-GB"/>
                    </w:rPr>
                  </m:ctrlPr>
                </m:sSubPr>
                <m:e>
                  <m:r>
                    <w:rPr>
                      <w:rFonts w:ascii="Cambria Math" w:eastAsiaTheme="minorEastAsia" w:hAnsi="Cambria Math"/>
                      <w:lang w:val="en-GB"/>
                    </w:rPr>
                    <m:t>η</m:t>
                  </m:r>
                </m:e>
                <m:sub>
                  <m:r>
                    <w:rPr>
                      <w:rFonts w:ascii="Cambria Math" w:eastAsiaTheme="minorEastAsia" w:hAnsi="Cambria Math"/>
                      <w:lang w:val="en-GB"/>
                    </w:rPr>
                    <m:t>V2</m:t>
                  </m:r>
                </m:sub>
              </m:sSub>
            </m:sup>
          </m:sSup>
        </m:oMath>
      </m:oMathPara>
    </w:p>
    <w:p w14:paraId="267A1489" w14:textId="2099DBCD" w:rsidR="008762F8" w:rsidRPr="000A6F76" w:rsidRDefault="008762F8">
      <w:pPr>
        <w:spacing w:after="0" w:line="240" w:lineRule="auto"/>
        <w:rPr>
          <w:b/>
          <w:bCs/>
          <w:lang w:val="en-GB"/>
        </w:rPr>
      </w:pPr>
      <w:r w:rsidRPr="000A6F76">
        <w:rPr>
          <w:b/>
          <w:bCs/>
          <w:lang w:val="en-GB"/>
        </w:rPr>
        <w:br w:type="page"/>
      </w:r>
    </w:p>
    <w:p w14:paraId="72F2329D" w14:textId="24785EE6" w:rsidR="008762F8" w:rsidRPr="000A6F76" w:rsidRDefault="008762F8" w:rsidP="005C7CE0">
      <w:pPr>
        <w:spacing w:line="240" w:lineRule="auto"/>
        <w:rPr>
          <w:lang w:val="en-GB"/>
        </w:rPr>
      </w:pPr>
      <w:r w:rsidRPr="000A6F76">
        <w:rPr>
          <w:noProof/>
          <w:lang w:val="en-GB" w:eastAsia="en-GB"/>
        </w:rPr>
        <w:lastRenderedPageBreak/>
        <w:drawing>
          <wp:inline distT="0" distB="0" distL="0" distR="0" wp14:anchorId="41753787" wp14:editId="29EEA3F9">
            <wp:extent cx="5731509" cy="3438906"/>
            <wp:effectExtent l="0" t="0" r="317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gure_R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1509" cy="3438906"/>
                    </a:xfrm>
                    <a:prstGeom prst="rect">
                      <a:avLst/>
                    </a:prstGeom>
                  </pic:spPr>
                </pic:pic>
              </a:graphicData>
            </a:graphic>
          </wp:inline>
        </w:drawing>
      </w:r>
    </w:p>
    <w:p w14:paraId="4158FE40" w14:textId="412C3975" w:rsidR="008762F8" w:rsidRPr="000A6F76" w:rsidRDefault="008762F8" w:rsidP="005C7CE0">
      <w:pPr>
        <w:pStyle w:val="NoSpacing"/>
        <w:jc w:val="both"/>
        <w:rPr>
          <w:sz w:val="18"/>
          <w:szCs w:val="18"/>
          <w:lang w:val="en-GB"/>
        </w:rPr>
      </w:pPr>
      <w:r w:rsidRPr="005C7CE0">
        <w:rPr>
          <w:b/>
          <w:iCs/>
          <w:sz w:val="20"/>
          <w:szCs w:val="20"/>
          <w:lang w:val="en-GB"/>
        </w:rPr>
        <w:t xml:space="preserve">Figure 1. </w:t>
      </w:r>
      <w:r w:rsidR="002B079C" w:rsidRPr="005C7CE0">
        <w:rPr>
          <w:b/>
          <w:iCs/>
          <w:sz w:val="20"/>
          <w:szCs w:val="20"/>
          <w:lang w:val="en-GB"/>
        </w:rPr>
        <w:t>Population g</w:t>
      </w:r>
      <w:r w:rsidRPr="005C7CE0">
        <w:rPr>
          <w:b/>
          <w:iCs/>
          <w:sz w:val="20"/>
          <w:szCs w:val="20"/>
          <w:lang w:val="en-GB"/>
        </w:rPr>
        <w:t xml:space="preserve">oodness of fit </w:t>
      </w:r>
      <w:r w:rsidR="00222634">
        <w:rPr>
          <w:b/>
          <w:iCs/>
          <w:sz w:val="20"/>
          <w:szCs w:val="20"/>
          <w:lang w:val="en-GB"/>
        </w:rPr>
        <w:t xml:space="preserve">(GOF) </w:t>
      </w:r>
      <w:r w:rsidRPr="005C7CE0">
        <w:rPr>
          <w:b/>
          <w:iCs/>
          <w:sz w:val="20"/>
          <w:szCs w:val="20"/>
          <w:lang w:val="en-GB"/>
        </w:rPr>
        <w:t xml:space="preserve">plots of both the </w:t>
      </w:r>
      <w:r w:rsidR="006672A0" w:rsidRPr="005C7CE0">
        <w:rPr>
          <w:b/>
          <w:iCs/>
          <w:sz w:val="20"/>
          <w:szCs w:val="20"/>
          <w:lang w:val="en-GB"/>
        </w:rPr>
        <w:t>published</w:t>
      </w:r>
      <w:r w:rsidRPr="005C7CE0">
        <w:rPr>
          <w:b/>
          <w:iCs/>
          <w:sz w:val="20"/>
          <w:szCs w:val="20"/>
          <w:lang w:val="en-GB"/>
        </w:rPr>
        <w:t xml:space="preserve"> model (A, B) and </w:t>
      </w:r>
      <w:r w:rsidR="006672A0" w:rsidRPr="005C7CE0">
        <w:rPr>
          <w:b/>
          <w:iCs/>
          <w:sz w:val="20"/>
          <w:szCs w:val="20"/>
          <w:lang w:val="en-GB"/>
        </w:rPr>
        <w:t>novel</w:t>
      </w:r>
      <w:r w:rsidRPr="005C7CE0">
        <w:rPr>
          <w:b/>
          <w:iCs/>
          <w:sz w:val="20"/>
          <w:szCs w:val="20"/>
          <w:lang w:val="en-GB"/>
        </w:rPr>
        <w:t xml:space="preserve"> model (C, D) using </w:t>
      </w:r>
      <w:r w:rsidR="00F90E28">
        <w:rPr>
          <w:b/>
          <w:iCs/>
          <w:sz w:val="20"/>
          <w:szCs w:val="20"/>
          <w:lang w:val="en-GB"/>
        </w:rPr>
        <w:t>real world</w:t>
      </w:r>
      <w:r w:rsidRPr="005C7CE0">
        <w:rPr>
          <w:b/>
          <w:iCs/>
          <w:sz w:val="20"/>
          <w:szCs w:val="20"/>
          <w:lang w:val="en-GB"/>
        </w:rPr>
        <w:t xml:space="preserve"> clinical data</w:t>
      </w:r>
      <w:r w:rsidR="003735A8" w:rsidRPr="005C7CE0">
        <w:rPr>
          <w:sz w:val="20"/>
          <w:szCs w:val="20"/>
          <w:lang w:val="en-GB"/>
        </w:rPr>
        <w:t xml:space="preserve">, </w:t>
      </w:r>
      <w:r w:rsidR="003735A8" w:rsidRPr="005C7CE0">
        <w:rPr>
          <w:b/>
          <w:iCs/>
          <w:sz w:val="20"/>
          <w:szCs w:val="20"/>
          <w:lang w:val="en-GB"/>
        </w:rPr>
        <w:t xml:space="preserve">including children &lt;12 years of age. </w:t>
      </w:r>
      <w:r w:rsidR="002B079C" w:rsidRPr="005C7CE0">
        <w:rPr>
          <w:sz w:val="20"/>
          <w:szCs w:val="20"/>
          <w:lang w:val="en-GB"/>
        </w:rPr>
        <w:t>Observed</w:t>
      </w:r>
      <w:r w:rsidRPr="005C7CE0">
        <w:rPr>
          <w:sz w:val="20"/>
          <w:szCs w:val="20"/>
          <w:lang w:val="en-GB"/>
        </w:rPr>
        <w:t xml:space="preserve"> FIX </w:t>
      </w:r>
      <w:r w:rsidR="002B079C" w:rsidRPr="005C7CE0">
        <w:rPr>
          <w:sz w:val="20"/>
          <w:szCs w:val="20"/>
          <w:lang w:val="en-GB"/>
        </w:rPr>
        <w:t xml:space="preserve">activity </w:t>
      </w:r>
      <w:r w:rsidRPr="005C7CE0">
        <w:rPr>
          <w:sz w:val="20"/>
          <w:szCs w:val="20"/>
          <w:lang w:val="en-GB"/>
        </w:rPr>
        <w:t>levels are plotted against the predicted FIX</w:t>
      </w:r>
      <w:r w:rsidR="002B079C" w:rsidRPr="005C7CE0">
        <w:rPr>
          <w:sz w:val="20"/>
          <w:szCs w:val="20"/>
          <w:lang w:val="en-GB"/>
        </w:rPr>
        <w:t xml:space="preserve"> activity</w:t>
      </w:r>
      <w:r w:rsidRPr="005C7CE0">
        <w:rPr>
          <w:sz w:val="20"/>
          <w:szCs w:val="20"/>
          <w:lang w:val="en-GB"/>
        </w:rPr>
        <w:t xml:space="preserve"> levels for all patients (A, C) and children &lt;12 years </w:t>
      </w:r>
      <w:r w:rsidR="0073131E" w:rsidRPr="005C7CE0">
        <w:rPr>
          <w:sz w:val="20"/>
          <w:szCs w:val="20"/>
          <w:lang w:val="en-GB"/>
        </w:rPr>
        <w:t xml:space="preserve">of age </w:t>
      </w:r>
      <w:r w:rsidRPr="005C7CE0">
        <w:rPr>
          <w:sz w:val="20"/>
          <w:szCs w:val="20"/>
          <w:lang w:val="en-GB"/>
        </w:rPr>
        <w:t>(B, D</w:t>
      </w:r>
      <w:r w:rsidR="006672A0" w:rsidRPr="005C7CE0">
        <w:rPr>
          <w:sz w:val="20"/>
          <w:szCs w:val="20"/>
          <w:lang w:val="en-GB"/>
        </w:rPr>
        <w:t xml:space="preserve">). </w:t>
      </w:r>
      <w:r w:rsidRPr="005C7CE0">
        <w:rPr>
          <w:sz w:val="20"/>
          <w:szCs w:val="20"/>
          <w:lang w:val="en-GB"/>
        </w:rPr>
        <w:t xml:space="preserve">The trend line (red line) combines all individual data points (blue circles) and should approximate the line of identity (black line). The </w:t>
      </w:r>
      <w:r w:rsidR="002B079C" w:rsidRPr="005C7CE0">
        <w:rPr>
          <w:sz w:val="20"/>
          <w:szCs w:val="20"/>
          <w:lang w:val="en-GB"/>
        </w:rPr>
        <w:t>novel</w:t>
      </w:r>
      <w:r w:rsidRPr="005C7CE0">
        <w:rPr>
          <w:sz w:val="20"/>
          <w:szCs w:val="20"/>
          <w:lang w:val="en-GB"/>
        </w:rPr>
        <w:t xml:space="preserve"> model shows an improved fit compared to the published model </w:t>
      </w:r>
      <w:r w:rsidR="003735A8" w:rsidRPr="005C7CE0">
        <w:rPr>
          <w:sz w:val="20"/>
          <w:szCs w:val="20"/>
          <w:lang w:val="en-GB"/>
        </w:rPr>
        <w:t xml:space="preserve">for all patients </w:t>
      </w:r>
      <w:r w:rsidRPr="005C7CE0">
        <w:rPr>
          <w:sz w:val="20"/>
          <w:szCs w:val="20"/>
          <w:lang w:val="en-GB"/>
        </w:rPr>
        <w:t xml:space="preserve">– </w:t>
      </w:r>
      <w:r w:rsidR="003735A8" w:rsidRPr="005C7CE0">
        <w:rPr>
          <w:sz w:val="20"/>
          <w:szCs w:val="20"/>
          <w:lang w:val="en-GB"/>
        </w:rPr>
        <w:t xml:space="preserve">but </w:t>
      </w:r>
      <w:r w:rsidRPr="005C7CE0">
        <w:rPr>
          <w:sz w:val="20"/>
          <w:szCs w:val="20"/>
          <w:lang w:val="en-GB"/>
        </w:rPr>
        <w:t xml:space="preserve">especially for children &lt;12 years </w:t>
      </w:r>
      <w:r w:rsidR="006F601F" w:rsidRPr="005C7CE0">
        <w:rPr>
          <w:sz w:val="20"/>
          <w:szCs w:val="20"/>
          <w:lang w:val="en-GB"/>
        </w:rPr>
        <w:t>–</w:t>
      </w:r>
      <w:r w:rsidRPr="005C7CE0">
        <w:rPr>
          <w:sz w:val="20"/>
          <w:szCs w:val="20"/>
          <w:lang w:val="en-GB"/>
        </w:rPr>
        <w:t xml:space="preserve"> as the trend lines better approximate the </w:t>
      </w:r>
      <w:r w:rsidR="002B079C" w:rsidRPr="005C7CE0">
        <w:rPr>
          <w:sz w:val="20"/>
          <w:szCs w:val="20"/>
          <w:lang w:val="en-GB"/>
        </w:rPr>
        <w:t>line of identity</w:t>
      </w:r>
      <w:r w:rsidR="006B5335">
        <w:rPr>
          <w:sz w:val="20"/>
          <w:szCs w:val="20"/>
          <w:lang w:val="en-GB"/>
        </w:rPr>
        <w:t>.</w:t>
      </w:r>
      <w:r w:rsidR="005C7CE0">
        <w:rPr>
          <w:sz w:val="20"/>
          <w:szCs w:val="20"/>
          <w:lang w:val="en-GB"/>
        </w:rPr>
        <w:t xml:space="preserve"> </w:t>
      </w:r>
      <w:r w:rsidR="001C01B8" w:rsidRPr="000A6F76">
        <w:rPr>
          <w:sz w:val="18"/>
          <w:szCs w:val="18"/>
          <w:lang w:val="en-GB"/>
        </w:rPr>
        <w:br w:type="page"/>
      </w:r>
    </w:p>
    <w:p w14:paraId="621C4365" w14:textId="77777777" w:rsidR="008762F8" w:rsidRPr="000A6F76" w:rsidRDefault="008762F8" w:rsidP="00AA4812">
      <w:pPr>
        <w:spacing w:after="0" w:line="240" w:lineRule="auto"/>
        <w:rPr>
          <w:lang w:val="en-GB"/>
        </w:rPr>
      </w:pPr>
      <w:r w:rsidRPr="000A6F76">
        <w:rPr>
          <w:noProof/>
          <w:lang w:val="en-GB" w:eastAsia="en-GB"/>
        </w:rPr>
        <w:lastRenderedPageBreak/>
        <w:drawing>
          <wp:inline distT="0" distB="0" distL="0" distR="0" wp14:anchorId="40D566A7" wp14:editId="7CBA78CC">
            <wp:extent cx="5731509" cy="3438906"/>
            <wp:effectExtent l="0" t="0" r="317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ure_WT_IIV_u1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09" cy="3438906"/>
                    </a:xfrm>
                    <a:prstGeom prst="rect">
                      <a:avLst/>
                    </a:prstGeom>
                  </pic:spPr>
                </pic:pic>
              </a:graphicData>
            </a:graphic>
          </wp:inline>
        </w:drawing>
      </w:r>
    </w:p>
    <w:p w14:paraId="59D371F7" w14:textId="75E58E5D" w:rsidR="009D03C7" w:rsidRPr="005C7CE0" w:rsidRDefault="008762F8" w:rsidP="005C7CE0">
      <w:pPr>
        <w:pStyle w:val="NoSpacing"/>
        <w:jc w:val="both"/>
        <w:rPr>
          <w:sz w:val="20"/>
          <w:szCs w:val="20"/>
          <w:lang w:val="en-GB"/>
        </w:rPr>
      </w:pPr>
      <w:r w:rsidRPr="005C7CE0">
        <w:rPr>
          <w:b/>
          <w:iCs/>
          <w:sz w:val="20"/>
          <w:szCs w:val="20"/>
          <w:lang w:val="en-GB"/>
        </w:rPr>
        <w:t xml:space="preserve">Figure </w:t>
      </w:r>
      <w:r w:rsidR="001F2896">
        <w:rPr>
          <w:b/>
          <w:iCs/>
          <w:sz w:val="20"/>
          <w:szCs w:val="20"/>
          <w:lang w:val="en-GB"/>
        </w:rPr>
        <w:t>2</w:t>
      </w:r>
      <w:r w:rsidR="000B603C" w:rsidRPr="005C7CE0">
        <w:rPr>
          <w:b/>
          <w:iCs/>
          <w:sz w:val="20"/>
          <w:szCs w:val="20"/>
          <w:lang w:val="en-GB"/>
        </w:rPr>
        <w:t>.</w:t>
      </w:r>
      <w:r w:rsidRPr="005C7CE0">
        <w:rPr>
          <w:b/>
          <w:iCs/>
          <w:sz w:val="20"/>
          <w:szCs w:val="20"/>
          <w:lang w:val="en-GB"/>
        </w:rPr>
        <w:t xml:space="preserve"> Interindividual variability of CL and V1 for the published (A, B) and</w:t>
      </w:r>
      <w:r w:rsidR="00054477" w:rsidRPr="005C7CE0">
        <w:rPr>
          <w:b/>
          <w:sz w:val="20"/>
          <w:szCs w:val="20"/>
          <w:lang w:val="en-GB"/>
        </w:rPr>
        <w:t xml:space="preserve"> novel</w:t>
      </w:r>
      <w:r w:rsidRPr="005C7CE0">
        <w:rPr>
          <w:b/>
          <w:sz w:val="20"/>
          <w:szCs w:val="20"/>
          <w:lang w:val="en-GB"/>
        </w:rPr>
        <w:t xml:space="preserve"> (C, D) model</w:t>
      </w:r>
      <w:r w:rsidR="0051391B" w:rsidRPr="005C7CE0">
        <w:rPr>
          <w:b/>
          <w:sz w:val="20"/>
          <w:szCs w:val="20"/>
          <w:lang w:val="en-GB"/>
        </w:rPr>
        <w:t xml:space="preserve"> </w:t>
      </w:r>
      <w:r w:rsidR="002C6CA9">
        <w:rPr>
          <w:b/>
          <w:sz w:val="20"/>
          <w:szCs w:val="20"/>
          <w:lang w:val="en-GB"/>
        </w:rPr>
        <w:t>exclusively</w:t>
      </w:r>
      <w:r w:rsidR="003F7C13" w:rsidRPr="005C7CE0">
        <w:rPr>
          <w:b/>
          <w:sz w:val="20"/>
          <w:szCs w:val="20"/>
          <w:lang w:val="en-GB"/>
        </w:rPr>
        <w:t xml:space="preserve"> </w:t>
      </w:r>
      <w:r w:rsidR="002C6CA9">
        <w:rPr>
          <w:b/>
          <w:sz w:val="20"/>
          <w:szCs w:val="20"/>
          <w:lang w:val="en-GB"/>
        </w:rPr>
        <w:t xml:space="preserve">for </w:t>
      </w:r>
      <w:r w:rsidR="0051391B" w:rsidRPr="005C7CE0">
        <w:rPr>
          <w:b/>
          <w:sz w:val="20"/>
          <w:szCs w:val="20"/>
          <w:lang w:val="en-GB"/>
        </w:rPr>
        <w:t>children &lt;12 years of age</w:t>
      </w:r>
      <w:r w:rsidR="004F455F" w:rsidRPr="005C7CE0">
        <w:rPr>
          <w:b/>
          <w:sz w:val="20"/>
          <w:szCs w:val="20"/>
          <w:lang w:val="en-GB"/>
        </w:rPr>
        <w:t xml:space="preserve">. </w:t>
      </w:r>
      <w:r w:rsidRPr="005C7CE0">
        <w:rPr>
          <w:sz w:val="20"/>
          <w:szCs w:val="20"/>
          <w:lang w:val="en-GB"/>
        </w:rPr>
        <w:t xml:space="preserve">Individual data (black dots) is visualized as a trend line (blue line) approximating the line of identity (black line). </w:t>
      </w:r>
      <w:r w:rsidR="006C6917" w:rsidRPr="005C7CE0">
        <w:rPr>
          <w:sz w:val="20"/>
          <w:szCs w:val="20"/>
          <w:lang w:val="en-GB"/>
        </w:rPr>
        <w:t>For an adequate population</w:t>
      </w:r>
      <w:r w:rsidR="00016CEC">
        <w:rPr>
          <w:sz w:val="20"/>
          <w:szCs w:val="20"/>
          <w:lang w:val="en-GB"/>
        </w:rPr>
        <w:t xml:space="preserve"> model,</w:t>
      </w:r>
      <w:r w:rsidR="006C6917" w:rsidRPr="005C7CE0">
        <w:rPr>
          <w:sz w:val="20"/>
          <w:szCs w:val="20"/>
          <w:lang w:val="en-GB"/>
        </w:rPr>
        <w:t xml:space="preserve"> interindividual variability should be randomly distributed around the axis y=0 with no apparent trend.</w:t>
      </w:r>
      <w:r w:rsidR="005C7CE0">
        <w:rPr>
          <w:sz w:val="20"/>
          <w:szCs w:val="20"/>
          <w:lang w:val="en-GB"/>
        </w:rPr>
        <w:t xml:space="preserve"> </w:t>
      </w:r>
      <w:r w:rsidRPr="005C7CE0">
        <w:rPr>
          <w:sz w:val="20"/>
          <w:szCs w:val="20"/>
          <w:lang w:val="en-GB"/>
        </w:rPr>
        <w:t xml:space="preserve">The </w:t>
      </w:r>
      <w:r w:rsidR="00AF4F6F" w:rsidRPr="005C7CE0">
        <w:rPr>
          <w:sz w:val="20"/>
          <w:szCs w:val="20"/>
          <w:lang w:val="en-GB"/>
        </w:rPr>
        <w:t>novel</w:t>
      </w:r>
      <w:r w:rsidR="00807311" w:rsidRPr="005C7CE0">
        <w:rPr>
          <w:sz w:val="20"/>
          <w:szCs w:val="20"/>
          <w:lang w:val="en-GB"/>
        </w:rPr>
        <w:t xml:space="preserve"> </w:t>
      </w:r>
      <w:r w:rsidRPr="005C7CE0">
        <w:rPr>
          <w:sz w:val="20"/>
          <w:szCs w:val="20"/>
          <w:lang w:val="en-GB"/>
        </w:rPr>
        <w:t>model shows an improved fit</w:t>
      </w:r>
      <w:r w:rsidR="00016CEC">
        <w:rPr>
          <w:sz w:val="20"/>
          <w:szCs w:val="20"/>
          <w:lang w:val="en-GB"/>
        </w:rPr>
        <w:t xml:space="preserve"> compared to the published model</w:t>
      </w:r>
      <w:r w:rsidRPr="005C7CE0">
        <w:rPr>
          <w:sz w:val="20"/>
          <w:szCs w:val="20"/>
          <w:lang w:val="en-GB"/>
        </w:rPr>
        <w:t xml:space="preserve"> for the IIV of CL, as the trend line is closer to the line of identity. </w:t>
      </w:r>
    </w:p>
    <w:p w14:paraId="6E9808AB" w14:textId="1A7F067A" w:rsidR="00E81B54" w:rsidRPr="000A6F76" w:rsidRDefault="00E81B54" w:rsidP="008762F8">
      <w:pPr>
        <w:pStyle w:val="NoSpacing"/>
        <w:spacing w:line="360" w:lineRule="auto"/>
        <w:jc w:val="both"/>
        <w:rPr>
          <w:sz w:val="18"/>
          <w:szCs w:val="18"/>
          <w:lang w:val="en-GB"/>
        </w:rPr>
      </w:pPr>
    </w:p>
    <w:p w14:paraId="05E10583" w14:textId="700C1498" w:rsidR="00F46897" w:rsidRPr="000A6F76" w:rsidRDefault="00F46897" w:rsidP="008762F8">
      <w:pPr>
        <w:pStyle w:val="NoSpacing"/>
        <w:spacing w:line="360" w:lineRule="auto"/>
        <w:jc w:val="both"/>
        <w:rPr>
          <w:sz w:val="18"/>
          <w:szCs w:val="18"/>
          <w:lang w:val="en-GB"/>
        </w:rPr>
      </w:pPr>
    </w:p>
    <w:p w14:paraId="4F4507CE" w14:textId="6684B530" w:rsidR="00E81B54" w:rsidRPr="000A6F76" w:rsidRDefault="008762F8">
      <w:pPr>
        <w:spacing w:after="0" w:line="240" w:lineRule="auto"/>
        <w:rPr>
          <w:sz w:val="18"/>
          <w:szCs w:val="18"/>
          <w:lang w:val="en-GB"/>
        </w:rPr>
      </w:pPr>
      <w:r w:rsidRPr="000A6F76">
        <w:rPr>
          <w:sz w:val="18"/>
          <w:szCs w:val="18"/>
          <w:lang w:val="en-GB"/>
        </w:rPr>
        <w:br w:type="page"/>
      </w:r>
    </w:p>
    <w:p w14:paraId="3AB65EBF" w14:textId="5BE7BC18" w:rsidR="00A5765C" w:rsidRPr="005C7CE0" w:rsidRDefault="002C6CA9" w:rsidP="00AA4812">
      <w:pPr>
        <w:pStyle w:val="NoSpacing"/>
        <w:jc w:val="both"/>
        <w:rPr>
          <w:rFonts w:cstheme="minorHAnsi"/>
          <w:color w:val="000000" w:themeColor="text1"/>
          <w:sz w:val="20"/>
          <w:szCs w:val="20"/>
          <w:lang w:val="en-GB"/>
        </w:rPr>
      </w:pPr>
      <w:r>
        <w:rPr>
          <w:rFonts w:cstheme="minorHAnsi"/>
          <w:noProof/>
          <w:color w:val="FF0000"/>
          <w:sz w:val="18"/>
          <w:szCs w:val="18"/>
          <w:lang w:val="en-GB" w:eastAsia="en-GB"/>
        </w:rPr>
        <w:lastRenderedPageBreak/>
        <w:drawing>
          <wp:inline distT="0" distB="0" distL="0" distR="0" wp14:anchorId="7BA9EDD6" wp14:editId="02824F6E">
            <wp:extent cx="5523865" cy="2323789"/>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046944\AppData\Local\Microsoft\Windows\INetCache\Content.Word\Figure_4_Alprolix_VPC.tiff"/>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1783" b="18104"/>
                    <a:stretch/>
                  </pic:blipFill>
                  <pic:spPr bwMode="auto">
                    <a:xfrm>
                      <a:off x="0" y="0"/>
                      <a:ext cx="5525518" cy="2324484"/>
                    </a:xfrm>
                    <a:prstGeom prst="rect">
                      <a:avLst/>
                    </a:prstGeom>
                    <a:noFill/>
                    <a:ln>
                      <a:noFill/>
                    </a:ln>
                    <a:extLst>
                      <a:ext uri="{53640926-AAD7-44D8-BBD7-CCE9431645EC}">
                        <a14:shadowObscured xmlns:a14="http://schemas.microsoft.com/office/drawing/2010/main"/>
                      </a:ext>
                    </a:extLst>
                  </pic:spPr>
                </pic:pic>
              </a:graphicData>
            </a:graphic>
          </wp:inline>
        </w:drawing>
      </w:r>
      <w:r w:rsidRPr="005C7CE0">
        <w:rPr>
          <w:rFonts w:eastAsiaTheme="minorEastAsia" w:cstheme="minorHAnsi"/>
          <w:b/>
          <w:bCs/>
          <w:color w:val="000000" w:themeColor="text1"/>
          <w:sz w:val="20"/>
          <w:szCs w:val="20"/>
          <w:lang w:val="en-GB"/>
        </w:rPr>
        <w:t xml:space="preserve">Figure </w:t>
      </w:r>
      <w:r w:rsidR="001F2896">
        <w:rPr>
          <w:rFonts w:eastAsiaTheme="minorEastAsia" w:cstheme="minorHAnsi"/>
          <w:b/>
          <w:bCs/>
          <w:color w:val="000000" w:themeColor="text1"/>
          <w:sz w:val="20"/>
          <w:szCs w:val="20"/>
          <w:lang w:val="en-GB"/>
        </w:rPr>
        <w:t>3</w:t>
      </w:r>
      <w:r w:rsidRPr="005C7CE0">
        <w:rPr>
          <w:rFonts w:eastAsiaTheme="minorEastAsia" w:cstheme="minorHAnsi"/>
          <w:b/>
          <w:bCs/>
          <w:color w:val="000000" w:themeColor="text1"/>
          <w:sz w:val="20"/>
          <w:szCs w:val="20"/>
          <w:lang w:val="en-GB"/>
        </w:rPr>
        <w:t xml:space="preserve">. </w:t>
      </w:r>
      <w:r w:rsidRPr="005C7CE0">
        <w:rPr>
          <w:rFonts w:cstheme="minorHAnsi"/>
          <w:b/>
          <w:bCs/>
          <w:color w:val="000000" w:themeColor="text1"/>
          <w:sz w:val="20"/>
          <w:szCs w:val="20"/>
          <w:lang w:val="en-GB"/>
        </w:rPr>
        <w:t>Visual predictive check of the novel rFIX-Fc model.</w:t>
      </w:r>
      <w:r w:rsidRPr="005C7CE0">
        <w:rPr>
          <w:rFonts w:cstheme="minorHAnsi"/>
          <w:color w:val="000000" w:themeColor="text1"/>
          <w:sz w:val="20"/>
          <w:szCs w:val="20"/>
          <w:lang w:val="en-GB"/>
        </w:rPr>
        <w:t xml:space="preserve"> The median (red line) and 95% confidence interval (blue lines) of the observed data (black dots) are plotted against the simulated data (n=1000) indicated as highlighted areas: the red area represents the median and the blue area the 90% prediction interval. A model predicts the factor concentrations adequately when the red and blue lines run through the corresponding areas. </w:t>
      </w:r>
    </w:p>
    <w:p w14:paraId="116FF80F" w14:textId="2F1C2C8C" w:rsidR="008762F8" w:rsidRPr="000A6F76" w:rsidRDefault="008762F8" w:rsidP="00AA4812">
      <w:pPr>
        <w:pStyle w:val="NoSpacing"/>
        <w:jc w:val="both"/>
        <w:rPr>
          <w:rFonts w:eastAsiaTheme="minorEastAsia"/>
          <w:b/>
          <w:bCs/>
          <w:lang w:val="en-GB"/>
        </w:rPr>
      </w:pPr>
    </w:p>
    <w:p w14:paraId="66E5BF2A" w14:textId="3C02A94B" w:rsidR="00C22438" w:rsidRPr="000A6F76" w:rsidRDefault="00C22438">
      <w:pPr>
        <w:spacing w:after="0" w:line="240" w:lineRule="auto"/>
        <w:rPr>
          <w:rFonts w:eastAsiaTheme="minorEastAsia"/>
          <w:b/>
          <w:bCs/>
          <w:lang w:val="en-GB"/>
        </w:rPr>
      </w:pPr>
      <w:r w:rsidRPr="000A6F76">
        <w:rPr>
          <w:rFonts w:eastAsiaTheme="minorEastAsia"/>
          <w:b/>
          <w:bCs/>
          <w:lang w:val="en-GB"/>
        </w:rPr>
        <w:br w:type="page"/>
      </w:r>
    </w:p>
    <w:p w14:paraId="26D949DB" w14:textId="006FE840" w:rsidR="00C22438" w:rsidRPr="000A6F76" w:rsidRDefault="00D31206">
      <w:pPr>
        <w:spacing w:after="0" w:line="240" w:lineRule="auto"/>
        <w:rPr>
          <w:rFonts w:eastAsiaTheme="minorEastAsia"/>
          <w:b/>
          <w:bCs/>
          <w:lang w:val="en-GB"/>
        </w:rPr>
      </w:pPr>
      <w:r>
        <w:rPr>
          <w:rFonts w:eastAsiaTheme="minorEastAsia"/>
          <w:b/>
          <w:bCs/>
          <w:noProof/>
          <w:lang w:val="en-GB" w:eastAsia="en-GB"/>
        </w:rPr>
        <w:lastRenderedPageBreak/>
        <w:drawing>
          <wp:inline distT="0" distB="0" distL="0" distR="0" wp14:anchorId="625DB824" wp14:editId="5909AD36">
            <wp:extent cx="5756910" cy="3454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_5_Alprolix_DoseInd.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6910" cy="3454400"/>
                    </a:xfrm>
                    <a:prstGeom prst="rect">
                      <a:avLst/>
                    </a:prstGeom>
                  </pic:spPr>
                </pic:pic>
              </a:graphicData>
            </a:graphic>
          </wp:inline>
        </w:drawing>
      </w:r>
    </w:p>
    <w:p w14:paraId="4D257770" w14:textId="437BFDE0" w:rsidR="00C22438" w:rsidRDefault="00C22438" w:rsidP="00AA4812">
      <w:pPr>
        <w:spacing w:after="0" w:line="240" w:lineRule="auto"/>
        <w:jc w:val="both"/>
        <w:rPr>
          <w:rFonts w:cstheme="minorHAnsi"/>
          <w:color w:val="000000" w:themeColor="text1"/>
          <w:sz w:val="20"/>
          <w:szCs w:val="20"/>
          <w:lang w:val="en-GB"/>
        </w:rPr>
      </w:pPr>
      <w:r w:rsidRPr="005C7CE0">
        <w:rPr>
          <w:rFonts w:eastAsiaTheme="minorEastAsia"/>
          <w:b/>
          <w:bCs/>
          <w:sz w:val="20"/>
          <w:szCs w:val="20"/>
          <w:lang w:val="en-GB"/>
        </w:rPr>
        <w:t xml:space="preserve">Figure </w:t>
      </w:r>
      <w:r w:rsidR="008A1741">
        <w:rPr>
          <w:rFonts w:eastAsiaTheme="minorEastAsia"/>
          <w:b/>
          <w:bCs/>
          <w:sz w:val="20"/>
          <w:szCs w:val="20"/>
          <w:lang w:val="en-GB"/>
        </w:rPr>
        <w:t>4</w:t>
      </w:r>
      <w:r w:rsidRPr="005C7CE0">
        <w:rPr>
          <w:rFonts w:eastAsiaTheme="minorEastAsia"/>
          <w:b/>
          <w:bCs/>
          <w:sz w:val="20"/>
          <w:szCs w:val="20"/>
          <w:lang w:val="en-GB"/>
        </w:rPr>
        <w:t xml:space="preserve">. </w:t>
      </w:r>
      <w:r w:rsidR="009C668A" w:rsidRPr="005C7CE0">
        <w:rPr>
          <w:rFonts w:eastAsiaTheme="minorEastAsia"/>
          <w:b/>
          <w:bCs/>
          <w:sz w:val="20"/>
          <w:szCs w:val="20"/>
          <w:lang w:val="en-GB"/>
        </w:rPr>
        <w:t>Individual dose calculations for both models to maintain a FIX level &gt;3 IU/</w:t>
      </w:r>
      <w:proofErr w:type="spellStart"/>
      <w:r w:rsidR="009C668A" w:rsidRPr="005C7CE0">
        <w:rPr>
          <w:rFonts w:eastAsiaTheme="minorEastAsia"/>
          <w:b/>
          <w:bCs/>
          <w:sz w:val="20"/>
          <w:szCs w:val="20"/>
          <w:lang w:val="en-GB"/>
        </w:rPr>
        <w:t>dL</w:t>
      </w:r>
      <w:proofErr w:type="spellEnd"/>
      <w:r w:rsidR="009C668A" w:rsidRPr="005C7CE0">
        <w:rPr>
          <w:rFonts w:eastAsiaTheme="minorEastAsia"/>
          <w:b/>
          <w:bCs/>
          <w:sz w:val="20"/>
          <w:szCs w:val="20"/>
          <w:lang w:val="en-GB"/>
        </w:rPr>
        <w:t xml:space="preserve"> 168h after infusion of rFIX</w:t>
      </w:r>
      <w:r w:rsidR="009E1C8A" w:rsidRPr="005C7CE0">
        <w:rPr>
          <w:rFonts w:eastAsiaTheme="minorEastAsia"/>
          <w:b/>
          <w:bCs/>
          <w:sz w:val="20"/>
          <w:szCs w:val="20"/>
          <w:lang w:val="en-GB"/>
        </w:rPr>
        <w:t>-</w:t>
      </w:r>
      <w:r w:rsidR="009C668A" w:rsidRPr="005C7CE0">
        <w:rPr>
          <w:rFonts w:eastAsiaTheme="minorEastAsia"/>
          <w:b/>
          <w:bCs/>
          <w:sz w:val="20"/>
          <w:szCs w:val="20"/>
          <w:lang w:val="en-GB"/>
        </w:rPr>
        <w:t>Fc</w:t>
      </w:r>
      <w:r w:rsidR="009C668A" w:rsidRPr="005C7CE0">
        <w:rPr>
          <w:rFonts w:eastAsiaTheme="minorEastAsia"/>
          <w:sz w:val="20"/>
          <w:szCs w:val="20"/>
          <w:lang w:val="en-GB"/>
        </w:rPr>
        <w:t xml:space="preserve">. </w:t>
      </w:r>
      <w:r w:rsidRPr="005C7CE0">
        <w:rPr>
          <w:rFonts w:eastAsiaTheme="minorEastAsia"/>
          <w:sz w:val="20"/>
          <w:szCs w:val="20"/>
          <w:lang w:val="en-GB"/>
        </w:rPr>
        <w:t>Calculat</w:t>
      </w:r>
      <w:r w:rsidR="009C668A" w:rsidRPr="005C7CE0">
        <w:rPr>
          <w:rFonts w:eastAsiaTheme="minorEastAsia"/>
          <w:sz w:val="20"/>
          <w:szCs w:val="20"/>
          <w:lang w:val="en-GB"/>
        </w:rPr>
        <w:t>ions</w:t>
      </w:r>
      <w:r w:rsidRPr="005C7CE0">
        <w:rPr>
          <w:rFonts w:eastAsiaTheme="minorEastAsia"/>
          <w:sz w:val="20"/>
          <w:szCs w:val="20"/>
          <w:lang w:val="en-GB"/>
        </w:rPr>
        <w:t xml:space="preserve"> </w:t>
      </w:r>
      <w:r w:rsidR="009C668A" w:rsidRPr="005C7CE0">
        <w:rPr>
          <w:rFonts w:eastAsiaTheme="minorEastAsia"/>
          <w:sz w:val="20"/>
          <w:szCs w:val="20"/>
          <w:lang w:val="en-GB"/>
        </w:rPr>
        <w:t>for all patients (A) and calculations for children &lt;12 years of age (B) are presented separately.</w:t>
      </w:r>
      <w:r w:rsidR="002E0DF9">
        <w:rPr>
          <w:rFonts w:eastAsiaTheme="minorEastAsia"/>
          <w:sz w:val="20"/>
          <w:szCs w:val="20"/>
          <w:lang w:val="en-GB"/>
        </w:rPr>
        <w:t xml:space="preserve"> Calculations are made based on a situation in which </w:t>
      </w:r>
      <w:r w:rsidR="006A1FEC">
        <w:rPr>
          <w:rFonts w:eastAsiaTheme="minorEastAsia"/>
          <w:sz w:val="20"/>
          <w:szCs w:val="20"/>
          <w:lang w:val="en-GB"/>
        </w:rPr>
        <w:t>three clinically relevant</w:t>
      </w:r>
      <w:r w:rsidR="002E0DF9">
        <w:rPr>
          <w:rFonts w:eastAsiaTheme="minorEastAsia"/>
          <w:sz w:val="20"/>
          <w:szCs w:val="20"/>
          <w:lang w:val="en-GB"/>
        </w:rPr>
        <w:t xml:space="preserve"> pharmacoki</w:t>
      </w:r>
      <w:r w:rsidR="006A1FEC">
        <w:rPr>
          <w:rFonts w:eastAsiaTheme="minorEastAsia"/>
          <w:sz w:val="20"/>
          <w:szCs w:val="20"/>
          <w:lang w:val="en-GB"/>
        </w:rPr>
        <w:t>netic profile</w:t>
      </w:r>
      <w:r w:rsidR="002E0DF9">
        <w:rPr>
          <w:rFonts w:eastAsiaTheme="minorEastAsia"/>
          <w:sz w:val="20"/>
          <w:szCs w:val="20"/>
          <w:lang w:val="en-GB"/>
        </w:rPr>
        <w:t xml:space="preserve"> measurements were </w:t>
      </w:r>
      <w:r w:rsidR="00D102DD">
        <w:rPr>
          <w:rFonts w:eastAsiaTheme="minorEastAsia"/>
          <w:sz w:val="20"/>
          <w:szCs w:val="20"/>
          <w:lang w:val="en-GB"/>
        </w:rPr>
        <w:t xml:space="preserve">used </w:t>
      </w:r>
      <w:r w:rsidR="00D55057">
        <w:rPr>
          <w:rFonts w:eastAsiaTheme="minorEastAsia"/>
          <w:sz w:val="20"/>
          <w:szCs w:val="20"/>
          <w:lang w:val="en-GB"/>
        </w:rPr>
        <w:t>for</w:t>
      </w:r>
      <w:r w:rsidR="002E0DF9">
        <w:rPr>
          <w:rFonts w:eastAsiaTheme="minorEastAsia"/>
          <w:sz w:val="20"/>
          <w:szCs w:val="20"/>
          <w:lang w:val="en-GB"/>
        </w:rPr>
        <w:t xml:space="preserve"> dose calculation.</w:t>
      </w:r>
      <w:r w:rsidR="009C668A" w:rsidRPr="005C7CE0">
        <w:rPr>
          <w:rFonts w:eastAsiaTheme="minorEastAsia"/>
          <w:sz w:val="20"/>
          <w:szCs w:val="20"/>
          <w:lang w:val="en-GB"/>
        </w:rPr>
        <w:t xml:space="preserve"> </w:t>
      </w:r>
      <w:r w:rsidR="009C668A" w:rsidRPr="005C7CE0">
        <w:rPr>
          <w:rFonts w:cstheme="minorHAnsi"/>
          <w:color w:val="000000"/>
          <w:sz w:val="20"/>
          <w:szCs w:val="20"/>
          <w:lang w:val="en-GB"/>
        </w:rPr>
        <w:t xml:space="preserve">The boxes of the boxplots present the median (middle line) and interquartile range (IQR) with whiskers </w:t>
      </w:r>
      <w:r w:rsidR="009C668A" w:rsidRPr="005C7CE0">
        <w:rPr>
          <w:rFonts w:cstheme="minorHAnsi"/>
          <w:color w:val="000000" w:themeColor="text1"/>
          <w:sz w:val="20"/>
          <w:szCs w:val="20"/>
          <w:lang w:val="en-GB"/>
        </w:rPr>
        <w:t>extending to Q1 or Q3 + 1.5 IQR. The lines represent individual patients, and darker lines indicate multiple patients. For all patients (A)</w:t>
      </w:r>
      <w:r w:rsidR="00201B6D">
        <w:rPr>
          <w:rFonts w:cstheme="minorHAnsi"/>
          <w:color w:val="000000" w:themeColor="text1"/>
          <w:sz w:val="20"/>
          <w:szCs w:val="20"/>
          <w:lang w:val="en-GB"/>
        </w:rPr>
        <w:t xml:space="preserve"> a significant difference was found </w:t>
      </w:r>
      <w:r w:rsidR="009C668A" w:rsidRPr="005C7CE0">
        <w:rPr>
          <w:rFonts w:cstheme="minorHAnsi"/>
          <w:color w:val="000000" w:themeColor="text1"/>
          <w:sz w:val="20"/>
          <w:szCs w:val="20"/>
          <w:lang w:val="en-GB"/>
        </w:rPr>
        <w:t>(p</w:t>
      </w:r>
      <w:r w:rsidR="00AA4812">
        <w:rPr>
          <w:rFonts w:cstheme="minorHAnsi"/>
          <w:color w:val="000000" w:themeColor="text1"/>
          <w:sz w:val="20"/>
          <w:szCs w:val="20"/>
          <w:lang w:val="en-GB"/>
        </w:rPr>
        <w:t>&lt;</w:t>
      </w:r>
      <w:r w:rsidR="00482848" w:rsidRPr="005C7CE0">
        <w:rPr>
          <w:rFonts w:cstheme="minorHAnsi"/>
          <w:color w:val="000000" w:themeColor="text1"/>
          <w:sz w:val="20"/>
          <w:szCs w:val="20"/>
          <w:lang w:val="en-GB"/>
        </w:rPr>
        <w:t>0.0</w:t>
      </w:r>
      <w:r w:rsidR="00AA4812">
        <w:rPr>
          <w:rFonts w:cstheme="minorHAnsi"/>
          <w:color w:val="000000" w:themeColor="text1"/>
          <w:sz w:val="20"/>
          <w:szCs w:val="20"/>
          <w:lang w:val="en-GB"/>
        </w:rPr>
        <w:t>1</w:t>
      </w:r>
      <w:r w:rsidR="009C668A" w:rsidRPr="005C7CE0">
        <w:rPr>
          <w:rFonts w:cstheme="minorHAnsi"/>
          <w:color w:val="000000" w:themeColor="text1"/>
          <w:sz w:val="20"/>
          <w:szCs w:val="20"/>
          <w:lang w:val="en-GB"/>
        </w:rPr>
        <w:t xml:space="preserve">). For </w:t>
      </w:r>
      <w:r w:rsidR="004C0DFD" w:rsidRPr="005C7CE0">
        <w:rPr>
          <w:rFonts w:cstheme="minorHAnsi"/>
          <w:color w:val="000000" w:themeColor="text1"/>
          <w:sz w:val="20"/>
          <w:szCs w:val="20"/>
          <w:lang w:val="en-GB"/>
        </w:rPr>
        <w:t>children &lt;12 years of age</w:t>
      </w:r>
      <w:r w:rsidR="00784B53">
        <w:rPr>
          <w:rFonts w:cstheme="minorHAnsi"/>
          <w:color w:val="000000" w:themeColor="text1"/>
          <w:sz w:val="20"/>
          <w:szCs w:val="20"/>
          <w:lang w:val="en-GB"/>
        </w:rPr>
        <w:t>,</w:t>
      </w:r>
      <w:r w:rsidR="004C0DFD" w:rsidRPr="005C7CE0">
        <w:rPr>
          <w:rFonts w:cstheme="minorHAnsi"/>
          <w:color w:val="000000" w:themeColor="text1"/>
          <w:sz w:val="20"/>
          <w:szCs w:val="20"/>
          <w:lang w:val="en-GB"/>
        </w:rPr>
        <w:t xml:space="preserve"> individual dose advices</w:t>
      </w:r>
      <w:r w:rsidR="002732F8" w:rsidRPr="005C7CE0">
        <w:rPr>
          <w:rFonts w:cstheme="minorHAnsi"/>
          <w:color w:val="000000" w:themeColor="text1"/>
          <w:sz w:val="20"/>
          <w:szCs w:val="20"/>
          <w:lang w:val="en-GB"/>
        </w:rPr>
        <w:t xml:space="preserve"> seemed higher</w:t>
      </w:r>
      <w:r w:rsidR="00AF0DA5" w:rsidRPr="005C7CE0">
        <w:rPr>
          <w:rFonts w:cstheme="minorHAnsi"/>
          <w:color w:val="000000" w:themeColor="text1"/>
          <w:sz w:val="20"/>
          <w:szCs w:val="20"/>
          <w:lang w:val="en-GB"/>
        </w:rPr>
        <w:t xml:space="preserve"> with the novel model</w:t>
      </w:r>
      <w:r w:rsidR="002732F8" w:rsidRPr="005C7CE0">
        <w:rPr>
          <w:rFonts w:cstheme="minorHAnsi"/>
          <w:color w:val="000000" w:themeColor="text1"/>
          <w:sz w:val="20"/>
          <w:szCs w:val="20"/>
          <w:lang w:val="en-GB"/>
        </w:rPr>
        <w:t>, but no significant differences</w:t>
      </w:r>
      <w:r w:rsidR="008029AF" w:rsidRPr="005C7CE0">
        <w:rPr>
          <w:rFonts w:cstheme="minorHAnsi"/>
          <w:color w:val="000000" w:themeColor="text1"/>
          <w:sz w:val="20"/>
          <w:szCs w:val="20"/>
          <w:lang w:val="en-GB"/>
        </w:rPr>
        <w:t xml:space="preserve"> </w:t>
      </w:r>
      <w:r w:rsidR="002732F8" w:rsidRPr="005C7CE0">
        <w:rPr>
          <w:rFonts w:cstheme="minorHAnsi"/>
          <w:color w:val="000000" w:themeColor="text1"/>
          <w:sz w:val="20"/>
          <w:szCs w:val="20"/>
          <w:lang w:val="en-GB"/>
        </w:rPr>
        <w:t>were found</w:t>
      </w:r>
      <w:r w:rsidR="004C0DFD" w:rsidRPr="005C7CE0">
        <w:rPr>
          <w:rFonts w:cstheme="minorHAnsi"/>
          <w:color w:val="000000" w:themeColor="text1"/>
          <w:sz w:val="20"/>
          <w:szCs w:val="20"/>
          <w:lang w:val="en-GB"/>
        </w:rPr>
        <w:t xml:space="preserve"> (p=</w:t>
      </w:r>
      <w:r w:rsidR="00784B53">
        <w:rPr>
          <w:rFonts w:cstheme="minorHAnsi"/>
          <w:color w:val="000000" w:themeColor="text1"/>
          <w:sz w:val="20"/>
          <w:szCs w:val="20"/>
          <w:lang w:val="en-GB"/>
        </w:rPr>
        <w:t>0.63</w:t>
      </w:r>
      <w:r w:rsidR="004C0DFD" w:rsidRPr="005C7CE0">
        <w:rPr>
          <w:rFonts w:cstheme="minorHAnsi"/>
          <w:color w:val="000000" w:themeColor="text1"/>
          <w:sz w:val="20"/>
          <w:szCs w:val="20"/>
          <w:lang w:val="en-GB"/>
        </w:rPr>
        <w:t>).</w:t>
      </w:r>
      <w:r w:rsidR="009C668A" w:rsidRPr="005C7CE0">
        <w:rPr>
          <w:rFonts w:cstheme="minorHAnsi"/>
          <w:color w:val="000000" w:themeColor="text1"/>
          <w:sz w:val="20"/>
          <w:szCs w:val="20"/>
          <w:lang w:val="en-GB"/>
        </w:rPr>
        <w:t xml:space="preserve"> </w:t>
      </w:r>
    </w:p>
    <w:p w14:paraId="7F4FBAD2" w14:textId="11E5BD9E" w:rsidR="00D31206" w:rsidRDefault="00D31206">
      <w:pPr>
        <w:spacing w:after="0" w:line="240" w:lineRule="auto"/>
        <w:rPr>
          <w:rFonts w:cstheme="minorHAnsi"/>
          <w:color w:val="000000" w:themeColor="text1"/>
          <w:sz w:val="20"/>
          <w:szCs w:val="20"/>
          <w:lang w:val="en-GB"/>
        </w:rPr>
      </w:pPr>
      <w:r>
        <w:rPr>
          <w:rFonts w:cstheme="minorHAnsi"/>
          <w:color w:val="000000" w:themeColor="text1"/>
          <w:sz w:val="20"/>
          <w:szCs w:val="20"/>
          <w:lang w:val="en-GB"/>
        </w:rPr>
        <w:br w:type="page"/>
      </w:r>
    </w:p>
    <w:p w14:paraId="35A81C9B" w14:textId="77777777" w:rsidR="00D31206" w:rsidRPr="005C7CE0" w:rsidRDefault="00D31206" w:rsidP="005C7CE0">
      <w:pPr>
        <w:spacing w:after="0" w:line="240" w:lineRule="auto"/>
        <w:rPr>
          <w:rFonts w:eastAsiaTheme="minorEastAsia"/>
          <w:b/>
          <w:bCs/>
          <w:color w:val="000000" w:themeColor="text1"/>
          <w:sz w:val="20"/>
          <w:szCs w:val="20"/>
          <w:lang w:val="en-GB"/>
        </w:rPr>
      </w:pPr>
    </w:p>
    <w:p w14:paraId="5CA8D4C2" w14:textId="77777777" w:rsidR="008762F8" w:rsidRPr="000A6F76" w:rsidRDefault="008762F8" w:rsidP="008762F8">
      <w:pPr>
        <w:pStyle w:val="NoSpacing"/>
        <w:spacing w:line="360" w:lineRule="auto"/>
        <w:jc w:val="both"/>
        <w:rPr>
          <w:b/>
          <w:bCs/>
          <w:iCs/>
          <w:lang w:val="en-GB"/>
        </w:rPr>
      </w:pPr>
      <w:r w:rsidRPr="000A6F76">
        <w:rPr>
          <w:b/>
          <w:bCs/>
          <w:iCs/>
          <w:lang w:val="en-GB"/>
        </w:rPr>
        <w:t>SUPPLEMENTARY FILES</w:t>
      </w:r>
    </w:p>
    <w:tbl>
      <w:tblPr>
        <w:tblStyle w:val="TableGrid"/>
        <w:tblpPr w:leftFromText="141" w:rightFromText="141" w:vertAnchor="text" w:horzAnchor="margin" w:tblpY="337"/>
        <w:tblW w:w="5000" w:type="pct"/>
        <w:tblLook w:val="04A0" w:firstRow="1" w:lastRow="0" w:firstColumn="1" w:lastColumn="0" w:noHBand="0" w:noVBand="1"/>
      </w:tblPr>
      <w:tblGrid>
        <w:gridCol w:w="1844"/>
        <w:gridCol w:w="717"/>
        <w:gridCol w:w="1422"/>
        <w:gridCol w:w="1706"/>
        <w:gridCol w:w="1643"/>
        <w:gridCol w:w="1724"/>
      </w:tblGrid>
      <w:tr w:rsidR="008762F8" w:rsidRPr="000A6F76" w14:paraId="386101E4" w14:textId="77777777" w:rsidTr="0084594A">
        <w:trPr>
          <w:trHeight w:hRule="exact" w:val="284"/>
        </w:trPr>
        <w:tc>
          <w:tcPr>
            <w:tcW w:w="1018" w:type="pct"/>
            <w:shd w:val="clear" w:color="auto" w:fill="BFBFBF" w:themeFill="background1" w:themeFillShade="BF"/>
          </w:tcPr>
          <w:p w14:paraId="53F70871" w14:textId="77777777" w:rsidR="008762F8" w:rsidRPr="000A6F76" w:rsidRDefault="008762F8" w:rsidP="004769FD">
            <w:pPr>
              <w:rPr>
                <w:b/>
                <w:sz w:val="20"/>
                <w:szCs w:val="20"/>
                <w:lang w:val="en-GB"/>
              </w:rPr>
            </w:pPr>
            <w:proofErr w:type="spellStart"/>
            <w:r w:rsidRPr="000A6F76">
              <w:rPr>
                <w:b/>
                <w:sz w:val="20"/>
                <w:szCs w:val="20"/>
                <w:lang w:val="en-GB"/>
              </w:rPr>
              <w:t>Center</w:t>
            </w:r>
            <w:proofErr w:type="spellEnd"/>
          </w:p>
        </w:tc>
        <w:tc>
          <w:tcPr>
            <w:tcW w:w="396" w:type="pct"/>
            <w:shd w:val="clear" w:color="auto" w:fill="BFBFBF" w:themeFill="background1" w:themeFillShade="BF"/>
          </w:tcPr>
          <w:p w14:paraId="470BBB74" w14:textId="77777777" w:rsidR="008762F8" w:rsidRPr="000A6F76" w:rsidRDefault="008762F8" w:rsidP="004769FD">
            <w:pPr>
              <w:rPr>
                <w:b/>
                <w:sz w:val="20"/>
                <w:szCs w:val="20"/>
                <w:lang w:val="en-GB"/>
              </w:rPr>
            </w:pPr>
            <w:r w:rsidRPr="000A6F76">
              <w:rPr>
                <w:b/>
                <w:sz w:val="20"/>
                <w:szCs w:val="20"/>
                <w:lang w:val="en-GB"/>
              </w:rPr>
              <w:t xml:space="preserve">Assay </w:t>
            </w:r>
          </w:p>
        </w:tc>
        <w:tc>
          <w:tcPr>
            <w:tcW w:w="785" w:type="pct"/>
            <w:shd w:val="clear" w:color="auto" w:fill="BFBFBF" w:themeFill="background1" w:themeFillShade="BF"/>
          </w:tcPr>
          <w:p w14:paraId="28233A44" w14:textId="77777777" w:rsidR="008762F8" w:rsidRPr="000A6F76" w:rsidRDefault="008762F8" w:rsidP="004769FD">
            <w:pPr>
              <w:rPr>
                <w:b/>
                <w:sz w:val="20"/>
                <w:szCs w:val="20"/>
                <w:lang w:val="en-GB"/>
              </w:rPr>
            </w:pPr>
            <w:r w:rsidRPr="000A6F76">
              <w:rPr>
                <w:b/>
                <w:sz w:val="20"/>
                <w:szCs w:val="20"/>
                <w:lang w:val="en-GB"/>
              </w:rPr>
              <w:t>Machine</w:t>
            </w:r>
          </w:p>
        </w:tc>
        <w:tc>
          <w:tcPr>
            <w:tcW w:w="942" w:type="pct"/>
            <w:shd w:val="clear" w:color="auto" w:fill="BFBFBF" w:themeFill="background1" w:themeFillShade="BF"/>
          </w:tcPr>
          <w:p w14:paraId="6A7F1678" w14:textId="77777777" w:rsidR="008762F8" w:rsidRPr="000A6F76" w:rsidRDefault="008762F8" w:rsidP="004769FD">
            <w:pPr>
              <w:rPr>
                <w:b/>
                <w:sz w:val="20"/>
                <w:szCs w:val="20"/>
                <w:lang w:val="en-GB"/>
              </w:rPr>
            </w:pPr>
            <w:r w:rsidRPr="000A6F76">
              <w:rPr>
                <w:b/>
                <w:sz w:val="20"/>
                <w:szCs w:val="20"/>
                <w:lang w:val="en-GB"/>
              </w:rPr>
              <w:t>Reagent</w:t>
            </w:r>
          </w:p>
        </w:tc>
        <w:tc>
          <w:tcPr>
            <w:tcW w:w="907" w:type="pct"/>
            <w:shd w:val="clear" w:color="auto" w:fill="BFBFBF" w:themeFill="background1" w:themeFillShade="BF"/>
          </w:tcPr>
          <w:p w14:paraId="288DFCA5" w14:textId="77777777" w:rsidR="008762F8" w:rsidRPr="000A6F76" w:rsidRDefault="008762F8" w:rsidP="004769FD">
            <w:pPr>
              <w:rPr>
                <w:b/>
                <w:sz w:val="20"/>
                <w:szCs w:val="20"/>
                <w:lang w:val="en-GB"/>
              </w:rPr>
            </w:pPr>
            <w:r w:rsidRPr="000A6F76">
              <w:rPr>
                <w:b/>
                <w:sz w:val="20"/>
                <w:szCs w:val="20"/>
                <w:lang w:val="en-GB"/>
              </w:rPr>
              <w:t>Calibrator</w:t>
            </w:r>
          </w:p>
        </w:tc>
        <w:tc>
          <w:tcPr>
            <w:tcW w:w="952" w:type="pct"/>
            <w:shd w:val="clear" w:color="auto" w:fill="BFBFBF" w:themeFill="background1" w:themeFillShade="BF"/>
          </w:tcPr>
          <w:p w14:paraId="6A2213DD" w14:textId="77777777" w:rsidR="008762F8" w:rsidRPr="000A6F76" w:rsidRDefault="008762F8" w:rsidP="004769FD">
            <w:pPr>
              <w:rPr>
                <w:b/>
                <w:sz w:val="20"/>
                <w:szCs w:val="20"/>
                <w:lang w:val="en-GB"/>
              </w:rPr>
            </w:pPr>
            <w:r w:rsidRPr="000A6F76">
              <w:rPr>
                <w:b/>
                <w:sz w:val="20"/>
                <w:szCs w:val="20"/>
                <w:lang w:val="en-GB"/>
              </w:rPr>
              <w:t>Deficient plasma</w:t>
            </w:r>
          </w:p>
        </w:tc>
      </w:tr>
      <w:tr w:rsidR="008762F8" w:rsidRPr="00B8203B" w14:paraId="171E4A45" w14:textId="77777777" w:rsidTr="0084594A">
        <w:trPr>
          <w:trHeight w:hRule="exact" w:val="284"/>
        </w:trPr>
        <w:tc>
          <w:tcPr>
            <w:tcW w:w="5000" w:type="pct"/>
            <w:gridSpan w:val="6"/>
            <w:shd w:val="clear" w:color="auto" w:fill="F2F2F2" w:themeFill="background1" w:themeFillShade="F2"/>
          </w:tcPr>
          <w:p w14:paraId="7C926449" w14:textId="77777777" w:rsidR="008762F8" w:rsidRPr="000A6F76" w:rsidRDefault="008762F8" w:rsidP="004769FD">
            <w:pPr>
              <w:rPr>
                <w:sz w:val="20"/>
                <w:szCs w:val="20"/>
                <w:lang w:val="en-GB"/>
              </w:rPr>
            </w:pPr>
            <w:r w:rsidRPr="000A6F76">
              <w:rPr>
                <w:b/>
                <w:sz w:val="20"/>
                <w:szCs w:val="20"/>
                <w:lang w:val="en-GB"/>
              </w:rPr>
              <w:t>United-Kingdom Extended Half-Life Outcome Registry</w:t>
            </w:r>
          </w:p>
        </w:tc>
      </w:tr>
      <w:tr w:rsidR="008762F8" w:rsidRPr="000A6F76" w14:paraId="6640D837" w14:textId="77777777" w:rsidTr="0084594A">
        <w:trPr>
          <w:trHeight w:hRule="exact" w:val="585"/>
        </w:trPr>
        <w:tc>
          <w:tcPr>
            <w:tcW w:w="1018" w:type="pct"/>
            <w:vMerge w:val="restart"/>
          </w:tcPr>
          <w:p w14:paraId="0013F563" w14:textId="77777777" w:rsidR="008762F8" w:rsidRPr="000A6F76" w:rsidRDefault="008762F8" w:rsidP="004769FD">
            <w:pPr>
              <w:rPr>
                <w:b/>
                <w:sz w:val="20"/>
                <w:szCs w:val="20"/>
                <w:lang w:val="en-GB"/>
              </w:rPr>
            </w:pPr>
            <w:r w:rsidRPr="000A6F76">
              <w:rPr>
                <w:b/>
                <w:sz w:val="20"/>
                <w:szCs w:val="20"/>
                <w:lang w:val="en-GB"/>
              </w:rPr>
              <w:t>Royal Free Hospital</w:t>
            </w:r>
          </w:p>
        </w:tc>
        <w:tc>
          <w:tcPr>
            <w:tcW w:w="396" w:type="pct"/>
          </w:tcPr>
          <w:p w14:paraId="18B992E9" w14:textId="77777777" w:rsidR="008762F8" w:rsidRPr="000A6F76" w:rsidRDefault="008762F8" w:rsidP="004769FD">
            <w:pPr>
              <w:rPr>
                <w:sz w:val="20"/>
                <w:szCs w:val="20"/>
                <w:lang w:val="en-GB"/>
              </w:rPr>
            </w:pPr>
            <w:r w:rsidRPr="000A6F76">
              <w:rPr>
                <w:sz w:val="20"/>
                <w:szCs w:val="20"/>
                <w:lang w:val="en-GB"/>
              </w:rPr>
              <w:t>OSA</w:t>
            </w:r>
          </w:p>
          <w:p w14:paraId="2245B41D" w14:textId="77777777" w:rsidR="008762F8" w:rsidRPr="000A6F76" w:rsidRDefault="008762F8" w:rsidP="004769FD">
            <w:pPr>
              <w:rPr>
                <w:sz w:val="20"/>
                <w:szCs w:val="20"/>
                <w:lang w:val="en-GB"/>
              </w:rPr>
            </w:pPr>
          </w:p>
        </w:tc>
        <w:tc>
          <w:tcPr>
            <w:tcW w:w="785" w:type="pct"/>
            <w:vMerge w:val="restart"/>
          </w:tcPr>
          <w:p w14:paraId="671B77E5" w14:textId="77777777" w:rsidR="008762F8" w:rsidRPr="000A6F76" w:rsidRDefault="008762F8" w:rsidP="004769FD">
            <w:pPr>
              <w:rPr>
                <w:sz w:val="20"/>
                <w:szCs w:val="20"/>
                <w:lang w:val="en-GB"/>
              </w:rPr>
            </w:pPr>
            <w:r w:rsidRPr="000A6F76">
              <w:rPr>
                <w:sz w:val="20"/>
                <w:szCs w:val="20"/>
                <w:lang w:val="en-GB"/>
              </w:rPr>
              <w:t>ACL TOP (</w:t>
            </w:r>
            <w:proofErr w:type="spellStart"/>
            <w:r w:rsidRPr="000A6F76">
              <w:rPr>
                <w:sz w:val="20"/>
                <w:szCs w:val="20"/>
                <w:lang w:val="en-GB"/>
              </w:rPr>
              <w:t>Werfen</w:t>
            </w:r>
            <w:proofErr w:type="spellEnd"/>
            <w:r w:rsidRPr="000A6F76">
              <w:rPr>
                <w:sz w:val="20"/>
                <w:szCs w:val="20"/>
                <w:lang w:val="en-GB"/>
              </w:rPr>
              <w:t>-IL)</w:t>
            </w:r>
          </w:p>
          <w:p w14:paraId="23D37F22" w14:textId="77777777" w:rsidR="008762F8" w:rsidRPr="000A6F76" w:rsidRDefault="008762F8" w:rsidP="004769FD">
            <w:pPr>
              <w:rPr>
                <w:sz w:val="20"/>
                <w:szCs w:val="20"/>
                <w:lang w:val="en-GB"/>
              </w:rPr>
            </w:pPr>
          </w:p>
        </w:tc>
        <w:tc>
          <w:tcPr>
            <w:tcW w:w="942" w:type="pct"/>
            <w:shd w:val="clear" w:color="auto" w:fill="auto"/>
          </w:tcPr>
          <w:p w14:paraId="03C10742" w14:textId="77777777" w:rsidR="008762F8" w:rsidRPr="000A6F76" w:rsidRDefault="008762F8" w:rsidP="004769FD">
            <w:pPr>
              <w:rPr>
                <w:color w:val="000000" w:themeColor="text1"/>
                <w:sz w:val="20"/>
                <w:szCs w:val="20"/>
                <w:lang w:val="en-GB"/>
              </w:rPr>
            </w:pPr>
            <w:r w:rsidRPr="000A6F76">
              <w:rPr>
                <w:color w:val="000000" w:themeColor="text1"/>
                <w:sz w:val="20"/>
                <w:szCs w:val="20"/>
                <w:lang w:val="en-GB"/>
              </w:rPr>
              <w:t xml:space="preserve">IL </w:t>
            </w:r>
            <w:proofErr w:type="spellStart"/>
            <w:r w:rsidRPr="000A6F76">
              <w:rPr>
                <w:color w:val="000000" w:themeColor="text1"/>
                <w:sz w:val="20"/>
                <w:szCs w:val="20"/>
                <w:lang w:val="en-GB"/>
              </w:rPr>
              <w:t>HemosIL</w:t>
            </w:r>
            <w:proofErr w:type="spellEnd"/>
            <w:r w:rsidRPr="000A6F76">
              <w:rPr>
                <w:color w:val="000000" w:themeColor="text1"/>
                <w:sz w:val="20"/>
                <w:szCs w:val="20"/>
                <w:lang w:val="en-GB"/>
              </w:rPr>
              <w:t xml:space="preserve"> </w:t>
            </w:r>
            <w:proofErr w:type="spellStart"/>
            <w:r w:rsidRPr="000A6F76">
              <w:rPr>
                <w:color w:val="000000" w:themeColor="text1"/>
                <w:sz w:val="20"/>
                <w:szCs w:val="20"/>
                <w:lang w:val="en-GB"/>
              </w:rPr>
              <w:t>Synthasil</w:t>
            </w:r>
            <w:proofErr w:type="spellEnd"/>
            <w:r w:rsidRPr="000A6F76">
              <w:rPr>
                <w:color w:val="000000" w:themeColor="text1"/>
                <w:sz w:val="20"/>
                <w:szCs w:val="20"/>
                <w:lang w:val="en-GB"/>
              </w:rPr>
              <w:t xml:space="preserve"> </w:t>
            </w:r>
          </w:p>
        </w:tc>
        <w:tc>
          <w:tcPr>
            <w:tcW w:w="907" w:type="pct"/>
          </w:tcPr>
          <w:p w14:paraId="1F402288" w14:textId="77777777" w:rsidR="008762F8" w:rsidRPr="000A6F76" w:rsidRDefault="008762F8" w:rsidP="004769FD">
            <w:pPr>
              <w:rPr>
                <w:color w:val="000000" w:themeColor="text1"/>
                <w:sz w:val="20"/>
                <w:szCs w:val="20"/>
                <w:lang w:val="en-GB"/>
              </w:rPr>
            </w:pPr>
            <w:proofErr w:type="spellStart"/>
            <w:r w:rsidRPr="000A6F76">
              <w:rPr>
                <w:color w:val="000000" w:themeColor="text1"/>
                <w:sz w:val="20"/>
                <w:szCs w:val="20"/>
                <w:lang w:val="en-GB"/>
              </w:rPr>
              <w:t>CRYOcheck</w:t>
            </w:r>
            <w:proofErr w:type="spellEnd"/>
            <w:r w:rsidRPr="000A6F76">
              <w:rPr>
                <w:color w:val="000000" w:themeColor="text1"/>
                <w:sz w:val="20"/>
                <w:szCs w:val="20"/>
                <w:lang w:val="en-GB"/>
              </w:rPr>
              <w:t xml:space="preserve"> </w:t>
            </w:r>
          </w:p>
        </w:tc>
        <w:tc>
          <w:tcPr>
            <w:tcW w:w="952" w:type="pct"/>
            <w:vMerge w:val="restart"/>
          </w:tcPr>
          <w:p w14:paraId="7A796DAE" w14:textId="77777777" w:rsidR="008762F8" w:rsidRPr="000A6F76" w:rsidRDefault="008762F8" w:rsidP="004769FD">
            <w:pPr>
              <w:rPr>
                <w:sz w:val="20"/>
                <w:szCs w:val="20"/>
                <w:lang w:val="en-GB"/>
              </w:rPr>
            </w:pPr>
            <w:proofErr w:type="spellStart"/>
            <w:r w:rsidRPr="000A6F76">
              <w:rPr>
                <w:sz w:val="20"/>
                <w:szCs w:val="20"/>
                <w:lang w:val="en-GB"/>
              </w:rPr>
              <w:t>HemosIL</w:t>
            </w:r>
            <w:proofErr w:type="spellEnd"/>
            <w:r w:rsidRPr="000A6F76">
              <w:rPr>
                <w:sz w:val="20"/>
                <w:szCs w:val="20"/>
                <w:lang w:val="en-GB"/>
              </w:rPr>
              <w:t xml:space="preserve"> FIX deficient plasma</w:t>
            </w:r>
          </w:p>
          <w:p w14:paraId="1F71A7D8" w14:textId="77777777" w:rsidR="008762F8" w:rsidRPr="000A6F76" w:rsidRDefault="008762F8" w:rsidP="004769FD">
            <w:pPr>
              <w:rPr>
                <w:sz w:val="20"/>
                <w:szCs w:val="20"/>
                <w:lang w:val="en-GB"/>
              </w:rPr>
            </w:pPr>
          </w:p>
        </w:tc>
      </w:tr>
      <w:tr w:rsidR="008762F8" w:rsidRPr="00B8203B" w14:paraId="2CD83B45" w14:textId="77777777" w:rsidTr="0084594A">
        <w:trPr>
          <w:trHeight w:hRule="exact" w:val="551"/>
        </w:trPr>
        <w:tc>
          <w:tcPr>
            <w:tcW w:w="1018" w:type="pct"/>
            <w:vMerge/>
          </w:tcPr>
          <w:p w14:paraId="60B3B282" w14:textId="77777777" w:rsidR="008762F8" w:rsidRPr="000A6F76" w:rsidRDefault="008762F8" w:rsidP="004769FD">
            <w:pPr>
              <w:rPr>
                <w:b/>
                <w:sz w:val="20"/>
                <w:szCs w:val="20"/>
                <w:lang w:val="en-GB"/>
              </w:rPr>
            </w:pPr>
          </w:p>
        </w:tc>
        <w:tc>
          <w:tcPr>
            <w:tcW w:w="396" w:type="pct"/>
          </w:tcPr>
          <w:p w14:paraId="68D42115" w14:textId="77777777" w:rsidR="008762F8" w:rsidRPr="000A6F76" w:rsidRDefault="008762F8" w:rsidP="004769FD">
            <w:pPr>
              <w:rPr>
                <w:sz w:val="20"/>
                <w:szCs w:val="20"/>
                <w:lang w:val="en-GB"/>
              </w:rPr>
            </w:pPr>
            <w:r w:rsidRPr="000A6F76">
              <w:rPr>
                <w:sz w:val="20"/>
                <w:szCs w:val="20"/>
                <w:lang w:val="en-GB"/>
              </w:rPr>
              <w:t>CSA</w:t>
            </w:r>
          </w:p>
        </w:tc>
        <w:tc>
          <w:tcPr>
            <w:tcW w:w="785" w:type="pct"/>
            <w:vMerge/>
          </w:tcPr>
          <w:p w14:paraId="2D060623" w14:textId="77777777" w:rsidR="008762F8" w:rsidRPr="000A6F76" w:rsidRDefault="008762F8" w:rsidP="004769FD">
            <w:pPr>
              <w:rPr>
                <w:sz w:val="20"/>
                <w:szCs w:val="20"/>
                <w:lang w:val="en-GB"/>
              </w:rPr>
            </w:pPr>
          </w:p>
        </w:tc>
        <w:tc>
          <w:tcPr>
            <w:tcW w:w="942" w:type="pct"/>
            <w:shd w:val="clear" w:color="auto" w:fill="auto"/>
          </w:tcPr>
          <w:p w14:paraId="5B262895" w14:textId="77777777" w:rsidR="008762F8" w:rsidRPr="000A6F76" w:rsidRDefault="008762F8" w:rsidP="004769FD">
            <w:pPr>
              <w:rPr>
                <w:color w:val="000000" w:themeColor="text1"/>
                <w:sz w:val="20"/>
                <w:szCs w:val="20"/>
                <w:lang w:val="en-GB"/>
              </w:rPr>
            </w:pPr>
            <w:r w:rsidRPr="000A6F76">
              <w:rPr>
                <w:color w:val="000000" w:themeColor="text1"/>
                <w:sz w:val="20"/>
                <w:szCs w:val="20"/>
                <w:lang w:val="en-GB"/>
              </w:rPr>
              <w:t xml:space="preserve">Hyphen </w:t>
            </w:r>
            <w:proofErr w:type="spellStart"/>
            <w:r w:rsidRPr="000A6F76">
              <w:rPr>
                <w:color w:val="000000" w:themeColor="text1"/>
                <w:sz w:val="20"/>
                <w:szCs w:val="20"/>
                <w:lang w:val="en-GB"/>
              </w:rPr>
              <w:t>Biophen</w:t>
            </w:r>
            <w:proofErr w:type="spellEnd"/>
            <w:r w:rsidRPr="000A6F76">
              <w:rPr>
                <w:color w:val="000000" w:themeColor="text1"/>
                <w:sz w:val="20"/>
                <w:szCs w:val="20"/>
                <w:lang w:val="en-GB"/>
              </w:rPr>
              <w:t xml:space="preserve"> FIX chromogenic </w:t>
            </w:r>
          </w:p>
        </w:tc>
        <w:tc>
          <w:tcPr>
            <w:tcW w:w="907" w:type="pct"/>
          </w:tcPr>
          <w:p w14:paraId="61EFBAFD" w14:textId="77777777" w:rsidR="008762F8" w:rsidRPr="000A6F76" w:rsidRDefault="008762F8" w:rsidP="004769FD">
            <w:pPr>
              <w:rPr>
                <w:color w:val="000000" w:themeColor="text1"/>
                <w:sz w:val="20"/>
                <w:szCs w:val="20"/>
                <w:lang w:val="en-GB"/>
              </w:rPr>
            </w:pPr>
            <w:r w:rsidRPr="000A6F76">
              <w:rPr>
                <w:color w:val="000000" w:themeColor="text1"/>
                <w:sz w:val="20"/>
                <w:szCs w:val="20"/>
                <w:lang w:val="en-GB"/>
              </w:rPr>
              <w:t xml:space="preserve">Hyphen Biomed – </w:t>
            </w:r>
            <w:proofErr w:type="spellStart"/>
            <w:r w:rsidRPr="000A6F76">
              <w:rPr>
                <w:color w:val="000000" w:themeColor="text1"/>
                <w:sz w:val="20"/>
                <w:szCs w:val="20"/>
                <w:lang w:val="en-GB"/>
              </w:rPr>
              <w:t>Biophen</w:t>
            </w:r>
            <w:proofErr w:type="spellEnd"/>
            <w:r w:rsidRPr="000A6F76">
              <w:rPr>
                <w:color w:val="000000" w:themeColor="text1"/>
                <w:sz w:val="20"/>
                <w:szCs w:val="20"/>
                <w:lang w:val="en-GB"/>
              </w:rPr>
              <w:t xml:space="preserve"> FIX kit</w:t>
            </w:r>
          </w:p>
        </w:tc>
        <w:tc>
          <w:tcPr>
            <w:tcW w:w="952" w:type="pct"/>
            <w:vMerge/>
          </w:tcPr>
          <w:p w14:paraId="44E5541A" w14:textId="77777777" w:rsidR="008762F8" w:rsidRPr="000A6F76" w:rsidRDefault="008762F8" w:rsidP="004769FD">
            <w:pPr>
              <w:rPr>
                <w:sz w:val="20"/>
                <w:szCs w:val="20"/>
                <w:lang w:val="en-GB"/>
              </w:rPr>
            </w:pPr>
          </w:p>
        </w:tc>
      </w:tr>
      <w:tr w:rsidR="008762F8" w:rsidRPr="000A6F76" w14:paraId="47A5A15C" w14:textId="77777777" w:rsidTr="0084594A">
        <w:trPr>
          <w:trHeight w:hRule="exact" w:val="574"/>
        </w:trPr>
        <w:tc>
          <w:tcPr>
            <w:tcW w:w="1018" w:type="pct"/>
          </w:tcPr>
          <w:p w14:paraId="7E668707" w14:textId="77777777" w:rsidR="008762F8" w:rsidRPr="000A6F76" w:rsidRDefault="008762F8" w:rsidP="004769FD">
            <w:pPr>
              <w:rPr>
                <w:b/>
                <w:sz w:val="20"/>
                <w:szCs w:val="20"/>
                <w:lang w:val="en-GB"/>
              </w:rPr>
            </w:pPr>
            <w:r w:rsidRPr="000A6F76">
              <w:rPr>
                <w:b/>
                <w:sz w:val="20"/>
                <w:szCs w:val="20"/>
                <w:lang w:val="en-GB"/>
              </w:rPr>
              <w:t>Glasgow Royal Infirmary</w:t>
            </w:r>
          </w:p>
        </w:tc>
        <w:tc>
          <w:tcPr>
            <w:tcW w:w="396" w:type="pct"/>
          </w:tcPr>
          <w:p w14:paraId="3E5703E4" w14:textId="77777777" w:rsidR="008762F8" w:rsidRPr="000A6F76" w:rsidRDefault="008762F8" w:rsidP="004769FD">
            <w:pPr>
              <w:rPr>
                <w:sz w:val="20"/>
                <w:szCs w:val="20"/>
                <w:lang w:val="en-GB"/>
              </w:rPr>
            </w:pPr>
            <w:r w:rsidRPr="000A6F76">
              <w:rPr>
                <w:sz w:val="20"/>
                <w:szCs w:val="20"/>
                <w:lang w:val="en-GB"/>
              </w:rPr>
              <w:t>OSA</w:t>
            </w:r>
          </w:p>
        </w:tc>
        <w:tc>
          <w:tcPr>
            <w:tcW w:w="785" w:type="pct"/>
          </w:tcPr>
          <w:p w14:paraId="2B3D0E7B" w14:textId="77777777" w:rsidR="008762F8" w:rsidRPr="000A6F76" w:rsidRDefault="008762F8" w:rsidP="004769FD">
            <w:pPr>
              <w:rPr>
                <w:sz w:val="20"/>
                <w:szCs w:val="20"/>
                <w:lang w:val="en-GB"/>
              </w:rPr>
            </w:pPr>
            <w:r w:rsidRPr="000A6F76">
              <w:rPr>
                <w:sz w:val="20"/>
                <w:szCs w:val="20"/>
                <w:lang w:val="en-GB"/>
              </w:rPr>
              <w:t>ACL TOP</w:t>
            </w:r>
          </w:p>
        </w:tc>
        <w:tc>
          <w:tcPr>
            <w:tcW w:w="942" w:type="pct"/>
            <w:shd w:val="clear" w:color="auto" w:fill="auto"/>
          </w:tcPr>
          <w:p w14:paraId="6061578D" w14:textId="77777777" w:rsidR="008762F8" w:rsidRPr="000A6F76" w:rsidRDefault="008762F8" w:rsidP="004769FD">
            <w:pPr>
              <w:rPr>
                <w:color w:val="000000" w:themeColor="text1"/>
                <w:sz w:val="20"/>
                <w:szCs w:val="20"/>
                <w:lang w:val="en-GB"/>
              </w:rPr>
            </w:pPr>
            <w:r w:rsidRPr="000A6F76">
              <w:rPr>
                <w:color w:val="000000" w:themeColor="text1"/>
                <w:sz w:val="20"/>
                <w:szCs w:val="20"/>
                <w:lang w:val="en-GB"/>
              </w:rPr>
              <w:t xml:space="preserve">IL </w:t>
            </w:r>
            <w:proofErr w:type="spellStart"/>
            <w:r w:rsidRPr="000A6F76">
              <w:rPr>
                <w:color w:val="000000" w:themeColor="text1"/>
                <w:sz w:val="20"/>
                <w:szCs w:val="20"/>
                <w:lang w:val="en-GB"/>
              </w:rPr>
              <w:t>HemosIL</w:t>
            </w:r>
            <w:proofErr w:type="spellEnd"/>
            <w:r w:rsidRPr="000A6F76">
              <w:rPr>
                <w:color w:val="000000" w:themeColor="text1"/>
                <w:sz w:val="20"/>
                <w:szCs w:val="20"/>
                <w:lang w:val="en-GB"/>
              </w:rPr>
              <w:t xml:space="preserve"> </w:t>
            </w:r>
            <w:proofErr w:type="spellStart"/>
            <w:r w:rsidRPr="000A6F76">
              <w:rPr>
                <w:color w:val="000000" w:themeColor="text1"/>
                <w:sz w:val="20"/>
                <w:szCs w:val="20"/>
                <w:lang w:val="en-GB"/>
              </w:rPr>
              <w:t>Synthasil</w:t>
            </w:r>
            <w:proofErr w:type="spellEnd"/>
          </w:p>
        </w:tc>
        <w:tc>
          <w:tcPr>
            <w:tcW w:w="907" w:type="pct"/>
          </w:tcPr>
          <w:p w14:paraId="1168B862" w14:textId="77777777" w:rsidR="008762F8" w:rsidRPr="000A6F76" w:rsidRDefault="008762F8" w:rsidP="004769FD">
            <w:pPr>
              <w:rPr>
                <w:color w:val="000000" w:themeColor="text1"/>
                <w:sz w:val="20"/>
                <w:szCs w:val="20"/>
                <w:lang w:val="en-GB"/>
              </w:rPr>
            </w:pPr>
            <w:proofErr w:type="spellStart"/>
            <w:r w:rsidRPr="000A6F76">
              <w:rPr>
                <w:color w:val="000000" w:themeColor="text1"/>
                <w:sz w:val="20"/>
                <w:szCs w:val="20"/>
                <w:lang w:val="en-GB"/>
              </w:rPr>
              <w:t>HemosIL</w:t>
            </w:r>
            <w:proofErr w:type="spellEnd"/>
          </w:p>
        </w:tc>
        <w:tc>
          <w:tcPr>
            <w:tcW w:w="952" w:type="pct"/>
          </w:tcPr>
          <w:p w14:paraId="79763A40" w14:textId="77777777" w:rsidR="008762F8" w:rsidRPr="000A6F76" w:rsidRDefault="008762F8" w:rsidP="004769FD">
            <w:pPr>
              <w:rPr>
                <w:sz w:val="20"/>
                <w:szCs w:val="20"/>
                <w:lang w:val="en-GB"/>
              </w:rPr>
            </w:pPr>
            <w:proofErr w:type="spellStart"/>
            <w:r w:rsidRPr="000A6F76">
              <w:rPr>
                <w:sz w:val="20"/>
                <w:szCs w:val="20"/>
                <w:lang w:val="en-GB"/>
              </w:rPr>
              <w:t>HemosIL</w:t>
            </w:r>
            <w:proofErr w:type="spellEnd"/>
            <w:r w:rsidRPr="000A6F76">
              <w:rPr>
                <w:sz w:val="20"/>
                <w:szCs w:val="20"/>
                <w:lang w:val="en-GB"/>
              </w:rPr>
              <w:t xml:space="preserve"> FIX deficient plasma</w:t>
            </w:r>
          </w:p>
        </w:tc>
      </w:tr>
      <w:tr w:rsidR="008762F8" w:rsidRPr="000A6F76" w14:paraId="3D6CB0E0" w14:textId="77777777" w:rsidTr="0084594A">
        <w:trPr>
          <w:trHeight w:hRule="exact" w:val="708"/>
        </w:trPr>
        <w:tc>
          <w:tcPr>
            <w:tcW w:w="1018" w:type="pct"/>
          </w:tcPr>
          <w:p w14:paraId="382C26DB" w14:textId="77777777" w:rsidR="008762F8" w:rsidRPr="000A6F76" w:rsidRDefault="008762F8" w:rsidP="004769FD">
            <w:pPr>
              <w:rPr>
                <w:b/>
                <w:sz w:val="20"/>
                <w:szCs w:val="20"/>
                <w:lang w:val="en-GB"/>
              </w:rPr>
            </w:pPr>
            <w:r w:rsidRPr="000A6F76">
              <w:rPr>
                <w:b/>
                <w:sz w:val="20"/>
                <w:szCs w:val="20"/>
                <w:lang w:val="en-GB"/>
              </w:rPr>
              <w:t>Oxford University Hospital</w:t>
            </w:r>
          </w:p>
        </w:tc>
        <w:tc>
          <w:tcPr>
            <w:tcW w:w="396" w:type="pct"/>
          </w:tcPr>
          <w:p w14:paraId="10DB70A2" w14:textId="77777777" w:rsidR="008762F8" w:rsidRPr="000A6F76" w:rsidRDefault="008762F8" w:rsidP="004769FD">
            <w:pPr>
              <w:rPr>
                <w:color w:val="000000" w:themeColor="text1"/>
                <w:sz w:val="20"/>
                <w:szCs w:val="20"/>
                <w:lang w:val="en-GB"/>
              </w:rPr>
            </w:pPr>
            <w:r w:rsidRPr="000A6F76">
              <w:rPr>
                <w:color w:val="000000" w:themeColor="text1"/>
                <w:sz w:val="20"/>
                <w:szCs w:val="20"/>
                <w:lang w:val="en-GB"/>
              </w:rPr>
              <w:t>OSA</w:t>
            </w:r>
          </w:p>
        </w:tc>
        <w:tc>
          <w:tcPr>
            <w:tcW w:w="785" w:type="pct"/>
          </w:tcPr>
          <w:p w14:paraId="45B2C6C1" w14:textId="22FF45C7" w:rsidR="008762F8" w:rsidRPr="000A6F76" w:rsidRDefault="008762F8" w:rsidP="0084594A">
            <w:pPr>
              <w:rPr>
                <w:color w:val="000000" w:themeColor="text1"/>
                <w:sz w:val="20"/>
                <w:szCs w:val="20"/>
                <w:lang w:val="en-GB"/>
              </w:rPr>
            </w:pPr>
            <w:proofErr w:type="spellStart"/>
            <w:r w:rsidRPr="000A6F76">
              <w:rPr>
                <w:color w:val="000000" w:themeColor="text1"/>
                <w:sz w:val="20"/>
                <w:szCs w:val="20"/>
                <w:lang w:val="en-GB"/>
              </w:rPr>
              <w:t>Sysmex</w:t>
            </w:r>
            <w:proofErr w:type="spellEnd"/>
            <w:r w:rsidR="0084594A" w:rsidRPr="000A6F76">
              <w:rPr>
                <w:color w:val="000000" w:themeColor="text1"/>
                <w:sz w:val="20"/>
                <w:szCs w:val="20"/>
                <w:lang w:val="en-GB"/>
              </w:rPr>
              <w:t xml:space="preserve"> </w:t>
            </w:r>
            <w:r w:rsidR="0084594A" w:rsidRPr="000A6F76">
              <w:rPr>
                <w:color w:val="000000" w:themeColor="text1"/>
                <w:sz w:val="20"/>
                <w:szCs w:val="20"/>
                <w:lang w:val="en-GB"/>
              </w:rPr>
              <w:br/>
            </w:r>
            <w:r w:rsidRPr="000A6F76">
              <w:rPr>
                <w:color w:val="000000" w:themeColor="text1"/>
                <w:sz w:val="20"/>
                <w:szCs w:val="20"/>
                <w:lang w:val="en-GB"/>
              </w:rPr>
              <w:t>OSCA</w:t>
            </w:r>
          </w:p>
        </w:tc>
        <w:tc>
          <w:tcPr>
            <w:tcW w:w="942" w:type="pct"/>
            <w:shd w:val="clear" w:color="auto" w:fill="auto"/>
          </w:tcPr>
          <w:p w14:paraId="767FA2DE" w14:textId="77777777" w:rsidR="008762F8" w:rsidRPr="000A6F76" w:rsidRDefault="008762F8" w:rsidP="004769FD">
            <w:pPr>
              <w:rPr>
                <w:color w:val="000000" w:themeColor="text1"/>
                <w:sz w:val="20"/>
                <w:szCs w:val="20"/>
                <w:lang w:val="en-GB"/>
              </w:rPr>
            </w:pPr>
            <w:r w:rsidRPr="000A6F76">
              <w:rPr>
                <w:color w:val="000000" w:themeColor="text1"/>
                <w:sz w:val="20"/>
                <w:szCs w:val="20"/>
                <w:lang w:val="en-GB"/>
              </w:rPr>
              <w:t>Actin FS Siemens</w:t>
            </w:r>
          </w:p>
        </w:tc>
        <w:tc>
          <w:tcPr>
            <w:tcW w:w="907" w:type="pct"/>
          </w:tcPr>
          <w:p w14:paraId="199806CD" w14:textId="77777777" w:rsidR="008762F8" w:rsidRPr="000A6F76" w:rsidRDefault="008762F8" w:rsidP="004769FD">
            <w:pPr>
              <w:rPr>
                <w:color w:val="000000" w:themeColor="text1"/>
                <w:sz w:val="20"/>
                <w:szCs w:val="20"/>
                <w:lang w:val="en-GB"/>
              </w:rPr>
            </w:pPr>
            <w:r w:rsidRPr="000A6F76">
              <w:rPr>
                <w:color w:val="000000" w:themeColor="text1"/>
                <w:sz w:val="20"/>
                <w:szCs w:val="20"/>
                <w:lang w:val="en-GB"/>
              </w:rPr>
              <w:t>Siemens</w:t>
            </w:r>
          </w:p>
        </w:tc>
        <w:tc>
          <w:tcPr>
            <w:tcW w:w="952" w:type="pct"/>
          </w:tcPr>
          <w:p w14:paraId="7849AC87" w14:textId="77777777" w:rsidR="008762F8" w:rsidRPr="000A6F76" w:rsidRDefault="008762F8" w:rsidP="004769FD">
            <w:pPr>
              <w:rPr>
                <w:color w:val="000000" w:themeColor="text1"/>
                <w:sz w:val="20"/>
                <w:szCs w:val="20"/>
                <w:lang w:val="en-GB"/>
              </w:rPr>
            </w:pPr>
            <w:proofErr w:type="spellStart"/>
            <w:r w:rsidRPr="000A6F76">
              <w:rPr>
                <w:color w:val="000000" w:themeColor="text1"/>
                <w:sz w:val="20"/>
                <w:szCs w:val="20"/>
                <w:lang w:val="en-GB"/>
              </w:rPr>
              <w:t>Technoclone</w:t>
            </w:r>
            <w:proofErr w:type="spellEnd"/>
          </w:p>
        </w:tc>
      </w:tr>
      <w:tr w:rsidR="008762F8" w:rsidRPr="000A6F76" w14:paraId="30DCBC6C" w14:textId="77777777" w:rsidTr="0084594A">
        <w:trPr>
          <w:trHeight w:hRule="exact" w:val="574"/>
        </w:trPr>
        <w:tc>
          <w:tcPr>
            <w:tcW w:w="1018" w:type="pct"/>
            <w:vMerge w:val="restart"/>
          </w:tcPr>
          <w:p w14:paraId="0DCA68B4" w14:textId="77777777" w:rsidR="008762F8" w:rsidRPr="000A6F76" w:rsidRDefault="008762F8" w:rsidP="004769FD">
            <w:pPr>
              <w:tabs>
                <w:tab w:val="left" w:pos="945"/>
              </w:tabs>
              <w:rPr>
                <w:sz w:val="20"/>
                <w:szCs w:val="20"/>
                <w:lang w:val="en-GB"/>
              </w:rPr>
            </w:pPr>
            <w:r w:rsidRPr="000A6F76">
              <w:rPr>
                <w:b/>
                <w:sz w:val="20"/>
                <w:szCs w:val="20"/>
                <w:lang w:val="en-GB"/>
              </w:rPr>
              <w:t>Great Ormond Street Hospital</w:t>
            </w:r>
          </w:p>
        </w:tc>
        <w:tc>
          <w:tcPr>
            <w:tcW w:w="396" w:type="pct"/>
          </w:tcPr>
          <w:p w14:paraId="291F8760" w14:textId="77777777" w:rsidR="008762F8" w:rsidRPr="000A6F76" w:rsidRDefault="008762F8" w:rsidP="004769FD">
            <w:pPr>
              <w:tabs>
                <w:tab w:val="left" w:pos="945"/>
              </w:tabs>
              <w:rPr>
                <w:sz w:val="20"/>
                <w:szCs w:val="20"/>
                <w:lang w:val="en-GB"/>
              </w:rPr>
            </w:pPr>
            <w:r w:rsidRPr="000A6F76">
              <w:rPr>
                <w:sz w:val="20"/>
                <w:szCs w:val="20"/>
                <w:lang w:val="en-GB"/>
              </w:rPr>
              <w:t>OSA</w:t>
            </w:r>
          </w:p>
        </w:tc>
        <w:tc>
          <w:tcPr>
            <w:tcW w:w="785" w:type="pct"/>
            <w:vMerge w:val="restart"/>
          </w:tcPr>
          <w:p w14:paraId="39993A61" w14:textId="77777777" w:rsidR="008762F8" w:rsidRPr="000A6F76" w:rsidRDefault="008762F8" w:rsidP="004769FD">
            <w:pPr>
              <w:tabs>
                <w:tab w:val="left" w:pos="945"/>
              </w:tabs>
              <w:rPr>
                <w:sz w:val="20"/>
                <w:szCs w:val="20"/>
                <w:lang w:val="en-GB"/>
              </w:rPr>
            </w:pPr>
            <w:proofErr w:type="spellStart"/>
            <w:r w:rsidRPr="000A6F76">
              <w:rPr>
                <w:sz w:val="20"/>
                <w:szCs w:val="20"/>
                <w:lang w:val="en-GB"/>
              </w:rPr>
              <w:t>Sysmex</w:t>
            </w:r>
            <w:proofErr w:type="spellEnd"/>
            <w:r w:rsidRPr="000A6F76">
              <w:rPr>
                <w:sz w:val="20"/>
                <w:szCs w:val="20"/>
                <w:lang w:val="en-GB"/>
              </w:rPr>
              <w:t xml:space="preserve"> CS2000i</w:t>
            </w:r>
          </w:p>
        </w:tc>
        <w:tc>
          <w:tcPr>
            <w:tcW w:w="942" w:type="pct"/>
            <w:shd w:val="clear" w:color="auto" w:fill="auto"/>
          </w:tcPr>
          <w:p w14:paraId="4661602C" w14:textId="77777777" w:rsidR="008762F8" w:rsidRPr="000A6F76" w:rsidRDefault="008762F8" w:rsidP="004769FD">
            <w:pPr>
              <w:tabs>
                <w:tab w:val="left" w:pos="1275"/>
              </w:tabs>
              <w:rPr>
                <w:color w:val="000000" w:themeColor="text1"/>
                <w:sz w:val="20"/>
                <w:szCs w:val="20"/>
                <w:lang w:val="en-GB"/>
              </w:rPr>
            </w:pPr>
            <w:r w:rsidRPr="000A6F76">
              <w:rPr>
                <w:color w:val="000000" w:themeColor="text1"/>
                <w:sz w:val="20"/>
                <w:szCs w:val="20"/>
                <w:lang w:val="en-GB"/>
              </w:rPr>
              <w:t>Actin FS Siemens</w:t>
            </w:r>
            <w:r w:rsidRPr="000A6F76">
              <w:rPr>
                <w:color w:val="000000" w:themeColor="text1"/>
                <w:sz w:val="20"/>
                <w:szCs w:val="20"/>
                <w:lang w:val="en-GB"/>
              </w:rPr>
              <w:tab/>
            </w:r>
          </w:p>
        </w:tc>
        <w:tc>
          <w:tcPr>
            <w:tcW w:w="907" w:type="pct"/>
          </w:tcPr>
          <w:p w14:paraId="20B35606" w14:textId="77777777" w:rsidR="008762F8" w:rsidRPr="000A6F76" w:rsidRDefault="008762F8" w:rsidP="004769FD">
            <w:pPr>
              <w:tabs>
                <w:tab w:val="left" w:pos="945"/>
              </w:tabs>
              <w:rPr>
                <w:color w:val="000000" w:themeColor="text1"/>
                <w:sz w:val="20"/>
                <w:szCs w:val="20"/>
                <w:lang w:val="en-GB"/>
              </w:rPr>
            </w:pPr>
            <w:r w:rsidRPr="000A6F76">
              <w:rPr>
                <w:color w:val="000000" w:themeColor="text1"/>
                <w:sz w:val="20"/>
                <w:szCs w:val="20"/>
                <w:lang w:val="en-GB"/>
              </w:rPr>
              <w:t>Standard Human Plasma</w:t>
            </w:r>
          </w:p>
        </w:tc>
        <w:tc>
          <w:tcPr>
            <w:tcW w:w="952" w:type="pct"/>
          </w:tcPr>
          <w:p w14:paraId="1AF7D616" w14:textId="77777777" w:rsidR="008762F8" w:rsidRPr="000A6F76" w:rsidRDefault="008762F8" w:rsidP="004769FD">
            <w:pPr>
              <w:tabs>
                <w:tab w:val="left" w:pos="945"/>
              </w:tabs>
              <w:rPr>
                <w:sz w:val="20"/>
                <w:szCs w:val="20"/>
                <w:lang w:val="en-GB"/>
              </w:rPr>
            </w:pPr>
            <w:r w:rsidRPr="000A6F76">
              <w:rPr>
                <w:sz w:val="20"/>
                <w:szCs w:val="20"/>
                <w:lang w:val="en-GB"/>
              </w:rPr>
              <w:t>Precision Biological FIX</w:t>
            </w:r>
          </w:p>
        </w:tc>
      </w:tr>
      <w:tr w:rsidR="008762F8" w:rsidRPr="000A6F76" w14:paraId="7A617B97" w14:textId="77777777" w:rsidTr="0084594A">
        <w:trPr>
          <w:trHeight w:hRule="exact" w:val="556"/>
        </w:trPr>
        <w:tc>
          <w:tcPr>
            <w:tcW w:w="1018" w:type="pct"/>
            <w:vMerge/>
          </w:tcPr>
          <w:p w14:paraId="1F353814" w14:textId="77777777" w:rsidR="008762F8" w:rsidRPr="000A6F76" w:rsidRDefault="008762F8" w:rsidP="004769FD">
            <w:pPr>
              <w:tabs>
                <w:tab w:val="left" w:pos="945"/>
              </w:tabs>
              <w:rPr>
                <w:sz w:val="20"/>
                <w:szCs w:val="20"/>
                <w:lang w:val="en-GB"/>
              </w:rPr>
            </w:pPr>
          </w:p>
        </w:tc>
        <w:tc>
          <w:tcPr>
            <w:tcW w:w="396" w:type="pct"/>
          </w:tcPr>
          <w:p w14:paraId="57B51D9F" w14:textId="77777777" w:rsidR="008762F8" w:rsidRPr="000A6F76" w:rsidRDefault="008762F8" w:rsidP="004769FD">
            <w:pPr>
              <w:tabs>
                <w:tab w:val="left" w:pos="945"/>
              </w:tabs>
              <w:rPr>
                <w:sz w:val="20"/>
                <w:szCs w:val="20"/>
                <w:lang w:val="en-GB"/>
              </w:rPr>
            </w:pPr>
            <w:r w:rsidRPr="000A6F76">
              <w:rPr>
                <w:sz w:val="20"/>
                <w:szCs w:val="20"/>
                <w:lang w:val="en-GB"/>
              </w:rPr>
              <w:t>CSA</w:t>
            </w:r>
          </w:p>
        </w:tc>
        <w:tc>
          <w:tcPr>
            <w:tcW w:w="785" w:type="pct"/>
            <w:vMerge/>
          </w:tcPr>
          <w:p w14:paraId="5A3E4C1B" w14:textId="77777777" w:rsidR="008762F8" w:rsidRPr="000A6F76" w:rsidRDefault="008762F8" w:rsidP="004769FD">
            <w:pPr>
              <w:tabs>
                <w:tab w:val="left" w:pos="945"/>
              </w:tabs>
              <w:rPr>
                <w:sz w:val="20"/>
                <w:szCs w:val="20"/>
                <w:lang w:val="en-GB"/>
              </w:rPr>
            </w:pPr>
          </w:p>
        </w:tc>
        <w:tc>
          <w:tcPr>
            <w:tcW w:w="942" w:type="pct"/>
            <w:shd w:val="clear" w:color="auto" w:fill="auto"/>
          </w:tcPr>
          <w:p w14:paraId="7ED3D468" w14:textId="3B967916" w:rsidR="008762F8" w:rsidRPr="000A6F76" w:rsidRDefault="008762F8" w:rsidP="0084594A">
            <w:pPr>
              <w:tabs>
                <w:tab w:val="left" w:pos="945"/>
              </w:tabs>
              <w:rPr>
                <w:color w:val="000000" w:themeColor="text1"/>
                <w:sz w:val="20"/>
                <w:szCs w:val="20"/>
                <w:lang w:val="en-GB"/>
              </w:rPr>
            </w:pPr>
            <w:proofErr w:type="spellStart"/>
            <w:r w:rsidRPr="000A6F76">
              <w:rPr>
                <w:color w:val="000000" w:themeColor="text1"/>
                <w:sz w:val="20"/>
                <w:szCs w:val="20"/>
                <w:lang w:val="en-GB"/>
              </w:rPr>
              <w:t>Rossix</w:t>
            </w:r>
            <w:proofErr w:type="spellEnd"/>
            <w:r w:rsidRPr="000A6F76">
              <w:rPr>
                <w:color w:val="000000" w:themeColor="text1"/>
                <w:sz w:val="20"/>
                <w:szCs w:val="20"/>
                <w:lang w:val="en-GB"/>
              </w:rPr>
              <w:t xml:space="preserve"> Factor IX</w:t>
            </w:r>
            <w:r w:rsidR="0084594A" w:rsidRPr="000A6F76">
              <w:rPr>
                <w:color w:val="000000" w:themeColor="text1"/>
                <w:sz w:val="20"/>
                <w:szCs w:val="20"/>
                <w:lang w:val="en-GB"/>
              </w:rPr>
              <w:t xml:space="preserve"> </w:t>
            </w:r>
            <w:r w:rsidRPr="000A6F76">
              <w:rPr>
                <w:color w:val="000000" w:themeColor="text1"/>
                <w:sz w:val="20"/>
                <w:szCs w:val="20"/>
                <w:lang w:val="en-GB"/>
              </w:rPr>
              <w:t xml:space="preserve">Human </w:t>
            </w:r>
            <w:proofErr w:type="spellStart"/>
            <w:r w:rsidRPr="000A6F76">
              <w:rPr>
                <w:color w:val="000000" w:themeColor="text1"/>
                <w:sz w:val="20"/>
                <w:szCs w:val="20"/>
                <w:lang w:val="en-GB"/>
              </w:rPr>
              <w:t>FXIa</w:t>
            </w:r>
            <w:proofErr w:type="spellEnd"/>
            <w:r w:rsidRPr="000A6F76">
              <w:rPr>
                <w:color w:val="000000" w:themeColor="text1"/>
                <w:sz w:val="20"/>
                <w:szCs w:val="20"/>
                <w:lang w:val="en-GB"/>
              </w:rPr>
              <w:t xml:space="preserve"> in kit</w:t>
            </w:r>
          </w:p>
        </w:tc>
        <w:tc>
          <w:tcPr>
            <w:tcW w:w="907" w:type="pct"/>
          </w:tcPr>
          <w:p w14:paraId="1F8886CE" w14:textId="77777777" w:rsidR="008762F8" w:rsidRPr="000A6F76" w:rsidRDefault="008762F8" w:rsidP="004769FD">
            <w:pPr>
              <w:tabs>
                <w:tab w:val="left" w:pos="945"/>
              </w:tabs>
              <w:rPr>
                <w:color w:val="000000" w:themeColor="text1"/>
                <w:sz w:val="20"/>
                <w:szCs w:val="20"/>
                <w:lang w:val="en-GB"/>
              </w:rPr>
            </w:pPr>
            <w:proofErr w:type="spellStart"/>
            <w:r w:rsidRPr="000A6F76">
              <w:rPr>
                <w:color w:val="000000" w:themeColor="text1"/>
                <w:sz w:val="20"/>
                <w:szCs w:val="20"/>
                <w:lang w:val="en-GB"/>
              </w:rPr>
              <w:t>Biophen</w:t>
            </w:r>
            <w:proofErr w:type="spellEnd"/>
            <w:r w:rsidRPr="000A6F76">
              <w:rPr>
                <w:color w:val="000000" w:themeColor="text1"/>
                <w:sz w:val="20"/>
                <w:szCs w:val="20"/>
                <w:lang w:val="en-GB"/>
              </w:rPr>
              <w:t xml:space="preserve"> Calibrator</w:t>
            </w:r>
          </w:p>
        </w:tc>
        <w:tc>
          <w:tcPr>
            <w:tcW w:w="952" w:type="pct"/>
          </w:tcPr>
          <w:p w14:paraId="53A84B66" w14:textId="77777777" w:rsidR="008762F8" w:rsidRPr="000A6F76" w:rsidRDefault="008762F8" w:rsidP="004769FD">
            <w:pPr>
              <w:tabs>
                <w:tab w:val="left" w:pos="945"/>
              </w:tabs>
              <w:rPr>
                <w:sz w:val="20"/>
                <w:szCs w:val="20"/>
                <w:lang w:val="en-GB"/>
              </w:rPr>
            </w:pPr>
            <w:r w:rsidRPr="000A6F76">
              <w:rPr>
                <w:sz w:val="20"/>
                <w:szCs w:val="20"/>
                <w:lang w:val="en-GB"/>
              </w:rPr>
              <w:t>Precision Biological FIX</w:t>
            </w:r>
          </w:p>
        </w:tc>
      </w:tr>
      <w:tr w:rsidR="008762F8" w:rsidRPr="00B8203B" w14:paraId="6B09D3B8" w14:textId="77777777" w:rsidTr="0084594A">
        <w:trPr>
          <w:trHeight w:hRule="exact" w:val="706"/>
        </w:trPr>
        <w:tc>
          <w:tcPr>
            <w:tcW w:w="1018" w:type="pct"/>
          </w:tcPr>
          <w:p w14:paraId="08CF5382" w14:textId="77777777" w:rsidR="008762F8" w:rsidRPr="000A6F76" w:rsidRDefault="008762F8" w:rsidP="004769FD">
            <w:pPr>
              <w:tabs>
                <w:tab w:val="left" w:pos="945"/>
              </w:tabs>
              <w:rPr>
                <w:sz w:val="20"/>
                <w:szCs w:val="20"/>
                <w:lang w:val="en-GB"/>
              </w:rPr>
            </w:pPr>
            <w:r w:rsidRPr="000A6F76">
              <w:rPr>
                <w:b/>
                <w:sz w:val="20"/>
                <w:szCs w:val="20"/>
                <w:lang w:val="en-GB"/>
              </w:rPr>
              <w:t>Sheffield Children’s Hospital</w:t>
            </w:r>
          </w:p>
        </w:tc>
        <w:tc>
          <w:tcPr>
            <w:tcW w:w="396" w:type="pct"/>
          </w:tcPr>
          <w:p w14:paraId="14C35B40" w14:textId="77777777" w:rsidR="008762F8" w:rsidRPr="000A6F76" w:rsidRDefault="008762F8" w:rsidP="004769FD">
            <w:pPr>
              <w:pStyle w:val="NormalWeb"/>
              <w:rPr>
                <w:rFonts w:ascii="Calibri" w:hAnsi="Calibri" w:cs="Calibri"/>
                <w:color w:val="323130"/>
                <w:sz w:val="20"/>
                <w:szCs w:val="20"/>
                <w:lang w:val="en-GB"/>
              </w:rPr>
            </w:pPr>
            <w:r w:rsidRPr="000A6F76">
              <w:rPr>
                <w:rFonts w:ascii="Calibri" w:hAnsi="Calibri" w:cs="Calibri"/>
                <w:color w:val="323130"/>
                <w:sz w:val="20"/>
                <w:szCs w:val="20"/>
                <w:lang w:val="en-GB"/>
              </w:rPr>
              <w:t>OSA</w:t>
            </w:r>
          </w:p>
        </w:tc>
        <w:tc>
          <w:tcPr>
            <w:tcW w:w="785" w:type="pct"/>
            <w:vMerge w:val="restart"/>
          </w:tcPr>
          <w:p w14:paraId="2590627F" w14:textId="77777777" w:rsidR="008762F8" w:rsidRPr="000A6F76" w:rsidRDefault="008762F8" w:rsidP="004769FD">
            <w:pPr>
              <w:tabs>
                <w:tab w:val="left" w:pos="945"/>
              </w:tabs>
              <w:rPr>
                <w:rFonts w:ascii="Calibri" w:hAnsi="Calibri" w:cs="Calibri"/>
                <w:color w:val="323130"/>
                <w:sz w:val="20"/>
                <w:szCs w:val="20"/>
                <w:lang w:val="en-GB"/>
              </w:rPr>
            </w:pPr>
            <w:proofErr w:type="spellStart"/>
            <w:r w:rsidRPr="000A6F76">
              <w:rPr>
                <w:sz w:val="20"/>
                <w:szCs w:val="20"/>
                <w:lang w:val="en-GB"/>
              </w:rPr>
              <w:t>Werfen</w:t>
            </w:r>
            <w:proofErr w:type="spellEnd"/>
            <w:r w:rsidRPr="000A6F76">
              <w:rPr>
                <w:sz w:val="20"/>
                <w:szCs w:val="20"/>
                <w:lang w:val="en-GB"/>
              </w:rPr>
              <w:t xml:space="preserve"> ACL TOP 550</w:t>
            </w:r>
          </w:p>
        </w:tc>
        <w:tc>
          <w:tcPr>
            <w:tcW w:w="942" w:type="pct"/>
            <w:shd w:val="clear" w:color="auto" w:fill="auto"/>
          </w:tcPr>
          <w:p w14:paraId="2F1F571D" w14:textId="77777777" w:rsidR="008762F8" w:rsidRPr="000A6F76" w:rsidRDefault="008762F8" w:rsidP="004769FD">
            <w:pPr>
              <w:pStyle w:val="NormalWeb"/>
              <w:rPr>
                <w:rFonts w:ascii="Calibri" w:hAnsi="Calibri" w:cs="Calibri"/>
                <w:color w:val="000000" w:themeColor="text1"/>
                <w:sz w:val="20"/>
                <w:szCs w:val="20"/>
                <w:lang w:val="en-GB"/>
              </w:rPr>
            </w:pPr>
            <w:r w:rsidRPr="000A6F76">
              <w:rPr>
                <w:rFonts w:ascii="Calibri" w:hAnsi="Calibri" w:cs="Calibri"/>
                <w:color w:val="000000" w:themeColor="text1"/>
                <w:sz w:val="20"/>
                <w:szCs w:val="20"/>
                <w:shd w:val="clear" w:color="auto" w:fill="FFFFFF"/>
                <w:lang w:val="en-GB"/>
              </w:rPr>
              <w:t xml:space="preserve">IL </w:t>
            </w:r>
            <w:proofErr w:type="spellStart"/>
            <w:r w:rsidRPr="000A6F76">
              <w:rPr>
                <w:rFonts w:ascii="Calibri" w:hAnsi="Calibri" w:cs="Calibri"/>
                <w:color w:val="000000" w:themeColor="text1"/>
                <w:sz w:val="20"/>
                <w:szCs w:val="20"/>
                <w:shd w:val="clear" w:color="auto" w:fill="FFFFFF"/>
                <w:lang w:val="en-GB"/>
              </w:rPr>
              <w:t>HemosIL</w:t>
            </w:r>
            <w:proofErr w:type="spellEnd"/>
            <w:r w:rsidRPr="000A6F76">
              <w:rPr>
                <w:rFonts w:ascii="Calibri" w:hAnsi="Calibri" w:cs="Calibri"/>
                <w:color w:val="000000" w:themeColor="text1"/>
                <w:sz w:val="20"/>
                <w:szCs w:val="20"/>
                <w:shd w:val="clear" w:color="auto" w:fill="FFFFFF"/>
                <w:lang w:val="en-GB"/>
              </w:rPr>
              <w:t xml:space="preserve"> </w:t>
            </w:r>
            <w:proofErr w:type="spellStart"/>
            <w:r w:rsidRPr="000A6F76">
              <w:rPr>
                <w:rFonts w:ascii="Calibri" w:hAnsi="Calibri" w:cs="Calibri"/>
                <w:color w:val="000000" w:themeColor="text1"/>
                <w:sz w:val="20"/>
                <w:szCs w:val="20"/>
                <w:shd w:val="clear" w:color="auto" w:fill="FFFFFF"/>
                <w:lang w:val="en-GB"/>
              </w:rPr>
              <w:t>Synthasil</w:t>
            </w:r>
            <w:proofErr w:type="spellEnd"/>
          </w:p>
        </w:tc>
        <w:tc>
          <w:tcPr>
            <w:tcW w:w="907" w:type="pct"/>
          </w:tcPr>
          <w:p w14:paraId="605DB71E" w14:textId="77777777" w:rsidR="008762F8" w:rsidRPr="000A6F76" w:rsidRDefault="008762F8" w:rsidP="004769FD">
            <w:pPr>
              <w:pStyle w:val="NormalWeb"/>
              <w:rPr>
                <w:rFonts w:ascii="Calibri" w:hAnsi="Calibri" w:cs="Calibri"/>
                <w:color w:val="000000" w:themeColor="text1"/>
                <w:sz w:val="20"/>
                <w:szCs w:val="20"/>
                <w:lang w:val="en-GB"/>
              </w:rPr>
            </w:pPr>
            <w:r w:rsidRPr="000A6F76">
              <w:rPr>
                <w:rFonts w:ascii="Calibri" w:hAnsi="Calibri" w:cs="Calibri"/>
                <w:color w:val="000000" w:themeColor="text1"/>
                <w:sz w:val="20"/>
                <w:szCs w:val="20"/>
                <w:shd w:val="clear" w:color="auto" w:fill="FFFFFF"/>
                <w:lang w:val="en-GB"/>
              </w:rPr>
              <w:t xml:space="preserve">IL </w:t>
            </w:r>
            <w:proofErr w:type="spellStart"/>
            <w:r w:rsidRPr="000A6F76">
              <w:rPr>
                <w:rFonts w:ascii="Calibri" w:hAnsi="Calibri" w:cs="Calibri"/>
                <w:color w:val="000000" w:themeColor="text1"/>
                <w:sz w:val="20"/>
                <w:szCs w:val="20"/>
                <w:shd w:val="clear" w:color="auto" w:fill="FFFFFF"/>
                <w:lang w:val="en-GB"/>
              </w:rPr>
              <w:t>Hemosil</w:t>
            </w:r>
            <w:proofErr w:type="spellEnd"/>
            <w:r w:rsidRPr="000A6F76">
              <w:rPr>
                <w:rFonts w:ascii="Calibri" w:hAnsi="Calibri" w:cs="Calibri"/>
                <w:color w:val="000000" w:themeColor="text1"/>
                <w:sz w:val="20"/>
                <w:szCs w:val="20"/>
                <w:shd w:val="clear" w:color="auto" w:fill="FFFFFF"/>
                <w:lang w:val="en-GB"/>
              </w:rPr>
              <w:t xml:space="preserve"> Calibration Plasma</w:t>
            </w:r>
          </w:p>
        </w:tc>
        <w:tc>
          <w:tcPr>
            <w:tcW w:w="952" w:type="pct"/>
          </w:tcPr>
          <w:p w14:paraId="0646F3F6" w14:textId="77777777" w:rsidR="008762F8" w:rsidRPr="000A6F76" w:rsidRDefault="008762F8" w:rsidP="004769FD">
            <w:pPr>
              <w:tabs>
                <w:tab w:val="left" w:pos="945"/>
              </w:tabs>
              <w:rPr>
                <w:rFonts w:cs="Calibri"/>
                <w:color w:val="323130"/>
                <w:sz w:val="20"/>
                <w:szCs w:val="20"/>
                <w:lang w:val="en-GB"/>
              </w:rPr>
            </w:pPr>
            <w:r w:rsidRPr="000A6F76">
              <w:rPr>
                <w:sz w:val="20"/>
                <w:szCs w:val="20"/>
                <w:lang w:val="en-GB"/>
              </w:rPr>
              <w:t>IL Factor IX deficient plasma</w:t>
            </w:r>
          </w:p>
        </w:tc>
      </w:tr>
      <w:tr w:rsidR="008762F8" w:rsidRPr="00B8203B" w14:paraId="3A905169" w14:textId="77777777" w:rsidTr="0084594A">
        <w:trPr>
          <w:trHeight w:hRule="exact" w:val="572"/>
        </w:trPr>
        <w:tc>
          <w:tcPr>
            <w:tcW w:w="1018" w:type="pct"/>
          </w:tcPr>
          <w:p w14:paraId="730C3240" w14:textId="77777777" w:rsidR="008762F8" w:rsidRPr="000A6F76" w:rsidRDefault="008762F8" w:rsidP="004769FD">
            <w:pPr>
              <w:tabs>
                <w:tab w:val="left" w:pos="945"/>
              </w:tabs>
              <w:rPr>
                <w:b/>
                <w:sz w:val="20"/>
                <w:szCs w:val="20"/>
                <w:lang w:val="en-GB"/>
              </w:rPr>
            </w:pPr>
            <w:r w:rsidRPr="000A6F76">
              <w:rPr>
                <w:b/>
                <w:sz w:val="20"/>
                <w:szCs w:val="20"/>
                <w:lang w:val="en-GB"/>
              </w:rPr>
              <w:t>University Hospital of Wales</w:t>
            </w:r>
          </w:p>
        </w:tc>
        <w:tc>
          <w:tcPr>
            <w:tcW w:w="396" w:type="pct"/>
          </w:tcPr>
          <w:p w14:paraId="35F0BD8F" w14:textId="77777777" w:rsidR="008762F8" w:rsidRPr="000A6F76" w:rsidRDefault="008762F8" w:rsidP="004769FD">
            <w:pPr>
              <w:tabs>
                <w:tab w:val="left" w:pos="945"/>
              </w:tabs>
              <w:rPr>
                <w:sz w:val="20"/>
                <w:szCs w:val="20"/>
                <w:lang w:val="en-GB"/>
              </w:rPr>
            </w:pPr>
            <w:r w:rsidRPr="000A6F76">
              <w:rPr>
                <w:sz w:val="20"/>
                <w:szCs w:val="20"/>
                <w:lang w:val="en-GB"/>
              </w:rPr>
              <w:t>OSA</w:t>
            </w:r>
          </w:p>
        </w:tc>
        <w:tc>
          <w:tcPr>
            <w:tcW w:w="785" w:type="pct"/>
            <w:vMerge/>
          </w:tcPr>
          <w:p w14:paraId="6FA4D79C" w14:textId="77777777" w:rsidR="008762F8" w:rsidRPr="000A6F76" w:rsidRDefault="008762F8" w:rsidP="004769FD">
            <w:pPr>
              <w:tabs>
                <w:tab w:val="left" w:pos="945"/>
              </w:tabs>
              <w:rPr>
                <w:sz w:val="20"/>
                <w:szCs w:val="20"/>
                <w:lang w:val="en-GB"/>
              </w:rPr>
            </w:pPr>
          </w:p>
        </w:tc>
        <w:tc>
          <w:tcPr>
            <w:tcW w:w="942" w:type="pct"/>
            <w:shd w:val="clear" w:color="auto" w:fill="auto"/>
          </w:tcPr>
          <w:p w14:paraId="21F07283" w14:textId="77777777" w:rsidR="008762F8" w:rsidRPr="000A6F76" w:rsidRDefault="008762F8" w:rsidP="004769FD">
            <w:pPr>
              <w:tabs>
                <w:tab w:val="left" w:pos="945"/>
              </w:tabs>
              <w:rPr>
                <w:sz w:val="20"/>
                <w:szCs w:val="20"/>
                <w:lang w:val="en-GB"/>
              </w:rPr>
            </w:pPr>
            <w:r w:rsidRPr="000A6F76">
              <w:rPr>
                <w:rFonts w:ascii="Calibri" w:hAnsi="Calibri" w:cs="Calibri"/>
                <w:color w:val="000000" w:themeColor="text1"/>
                <w:sz w:val="20"/>
                <w:szCs w:val="20"/>
                <w:shd w:val="clear" w:color="auto" w:fill="FFFFFF"/>
                <w:lang w:val="en-GB"/>
              </w:rPr>
              <w:t xml:space="preserve">IL </w:t>
            </w:r>
            <w:proofErr w:type="spellStart"/>
            <w:r w:rsidRPr="000A6F76">
              <w:rPr>
                <w:rFonts w:ascii="Calibri" w:hAnsi="Calibri" w:cs="Calibri"/>
                <w:color w:val="000000" w:themeColor="text1"/>
                <w:sz w:val="20"/>
                <w:szCs w:val="20"/>
                <w:shd w:val="clear" w:color="auto" w:fill="FFFFFF"/>
                <w:lang w:val="en-GB"/>
              </w:rPr>
              <w:t>HemosIL</w:t>
            </w:r>
            <w:proofErr w:type="spellEnd"/>
            <w:r w:rsidRPr="000A6F76">
              <w:rPr>
                <w:rFonts w:ascii="Calibri" w:hAnsi="Calibri" w:cs="Calibri"/>
                <w:color w:val="000000" w:themeColor="text1"/>
                <w:sz w:val="20"/>
                <w:szCs w:val="20"/>
                <w:shd w:val="clear" w:color="auto" w:fill="FFFFFF"/>
                <w:lang w:val="en-GB"/>
              </w:rPr>
              <w:t xml:space="preserve"> </w:t>
            </w:r>
            <w:proofErr w:type="spellStart"/>
            <w:r w:rsidRPr="000A6F76">
              <w:rPr>
                <w:rFonts w:ascii="Calibri" w:hAnsi="Calibri" w:cs="Calibri"/>
                <w:color w:val="000000" w:themeColor="text1"/>
                <w:sz w:val="20"/>
                <w:szCs w:val="20"/>
                <w:shd w:val="clear" w:color="auto" w:fill="FFFFFF"/>
                <w:lang w:val="en-GB"/>
              </w:rPr>
              <w:t>Synthasil</w:t>
            </w:r>
            <w:proofErr w:type="spellEnd"/>
          </w:p>
        </w:tc>
        <w:tc>
          <w:tcPr>
            <w:tcW w:w="907" w:type="pct"/>
          </w:tcPr>
          <w:p w14:paraId="2065C25D" w14:textId="77777777" w:rsidR="008762F8" w:rsidRPr="000A6F76" w:rsidRDefault="008762F8" w:rsidP="004769FD">
            <w:pPr>
              <w:tabs>
                <w:tab w:val="left" w:pos="945"/>
              </w:tabs>
              <w:rPr>
                <w:sz w:val="20"/>
                <w:szCs w:val="20"/>
                <w:lang w:val="en-GB"/>
              </w:rPr>
            </w:pPr>
            <w:r w:rsidRPr="000A6F76">
              <w:rPr>
                <w:sz w:val="20"/>
                <w:szCs w:val="20"/>
                <w:lang w:val="en-GB"/>
              </w:rPr>
              <w:t>IL Calibrator Plasma</w:t>
            </w:r>
          </w:p>
        </w:tc>
        <w:tc>
          <w:tcPr>
            <w:tcW w:w="952" w:type="pct"/>
          </w:tcPr>
          <w:p w14:paraId="7ADE3B27" w14:textId="77777777" w:rsidR="008762F8" w:rsidRPr="000A6F76" w:rsidRDefault="008762F8" w:rsidP="004769FD">
            <w:pPr>
              <w:tabs>
                <w:tab w:val="left" w:pos="945"/>
              </w:tabs>
              <w:rPr>
                <w:sz w:val="20"/>
                <w:szCs w:val="20"/>
                <w:lang w:val="en-GB"/>
              </w:rPr>
            </w:pPr>
            <w:r w:rsidRPr="000A6F76">
              <w:rPr>
                <w:sz w:val="20"/>
                <w:szCs w:val="20"/>
                <w:lang w:val="en-GB"/>
              </w:rPr>
              <w:t>IL Factor IX deficient plasma</w:t>
            </w:r>
          </w:p>
        </w:tc>
      </w:tr>
      <w:tr w:rsidR="008762F8" w:rsidRPr="00B64346" w14:paraId="298D06AF" w14:textId="77777777" w:rsidTr="0084594A">
        <w:trPr>
          <w:trHeight w:hRule="exact" w:val="284"/>
        </w:trPr>
        <w:tc>
          <w:tcPr>
            <w:tcW w:w="5000" w:type="pct"/>
            <w:gridSpan w:val="6"/>
            <w:shd w:val="clear" w:color="auto" w:fill="F2F2F2" w:themeFill="background1" w:themeFillShade="F2"/>
          </w:tcPr>
          <w:p w14:paraId="4D9007EE" w14:textId="1ACF764C" w:rsidR="008762F8" w:rsidRPr="000A6F76" w:rsidRDefault="008762F8" w:rsidP="00B64346">
            <w:pPr>
              <w:tabs>
                <w:tab w:val="left" w:pos="945"/>
              </w:tabs>
              <w:rPr>
                <w:b/>
                <w:bCs/>
                <w:sz w:val="20"/>
                <w:szCs w:val="20"/>
                <w:lang w:val="en-GB"/>
              </w:rPr>
            </w:pPr>
            <w:r w:rsidRPr="000A6F76">
              <w:rPr>
                <w:b/>
                <w:bCs/>
                <w:sz w:val="20"/>
                <w:szCs w:val="20"/>
                <w:lang w:val="en-GB"/>
              </w:rPr>
              <w:t>OPTI-CLOT TARGET study</w:t>
            </w:r>
            <w:r w:rsidR="00B64346">
              <w:rPr>
                <w:b/>
                <w:bCs/>
                <w:sz w:val="20"/>
                <w:szCs w:val="20"/>
                <w:lang w:val="en-GB"/>
              </w:rPr>
              <w:fldChar w:fldCharType="begin" w:fldLock="1"/>
            </w:r>
            <w:r w:rsidR="00B64346">
              <w:rPr>
                <w:b/>
                <w:bCs/>
                <w:sz w:val="20"/>
                <w:szCs w:val="20"/>
                <w:lang w:val="en-GB"/>
              </w:rPr>
              <w:instrText>ADDIN CSL_CITATION {"citationItems":[{"id":"ITEM-1","itemData":{"DOI":"10.1055/a-1760-0105","ISSN":"2512-9465","abstract":"In resource-rich countries, almost all severe hemophilia patients receive prophylactic replacement therapy with factor concentrates to prevent spontaneous bleeding in joints and muscles to decrease the development of arthropathy and risk of long-term disability. Pharmacokinetic (PK)-guided dosing can be applied to individualize factor replacement therapy, as interindividual differences in PK parameters influence factor VIII (FVIII) and FIX activity levels. PK-guided dosing may therefore lead to more optimal safeguarding of FVIII/FIX levels during prophylaxis and on demand treatment. The OPTI-CLOT TARGET study is a multicenter, nonrandomized, prospective cohort study that aims to investigate the reliability and feasibility of PK-guided prophylactic dosing of factor concentrates in hemophilia-A and -B patients in daily clinical practice. At least 50 patients of all ages on prophylactic treatment using standard half-life (SHL) and extended half-life (EHL) factor concentrates will be included during 9 months and will receive PK-guided treatment. As primary endpoint, a minimum of four FVIII/FIX levels will be compared with FVIII/FIX levels as predicted by Bayesian forecasting. Secondary endpoints are the association of FVIII and FIX levels with bleeding episodes and physical activity, expectations and experiences, economic analyses, and optimization of population PK models. This study will lead to more insight in the reliability and feasibility of PK-guided dosing in hemophilia patients. Moreover, it will contribute to personalization of treatment by greater knowledge of dosing regimens needed to prevent and treat bleeding in the individual patient and provide evidence to more clearly associate factor activity levels with bleeding risk.","author":[{"dropping-particle":"","family":"Goedhart","given":"Tine M.H.J.","non-dropping-particle":"","parse-names":false,"suffix":""},{"dropping-particle":"","family":"Bukkems","given":"Laura H.","non-dropping-particle":"","parse-names":false,"suffix":""},{"dropping-particle":"","family":"Coppens","given":"Michiel","non-dropping-particle":"","parse-names":false,"suffix":""},{"dropping-particle":"","family":"Fijnvandraat","given":"Karin J.","non-dropping-particle":"","parse-names":false,"suffix":""},{"dropping-particle":"","family":"Schols","given":"Saskia E.M.","non-dropping-particle":"","parse-names":false,"suffix":""},{"dropping-particle":"","family":"Schutgens","given":"Roger E.G.","non-dropping-particle":"","parse-names":false,"suffix":""},{"dropping-particle":"","family":"Eikenboom","given":"Jeroen","non-dropping-particle":"","parse-names":false,"suffix":""},{"dropping-particle":"","family":"Heubel-Moenen","given":"Floor C.J.I.","non-dropping-particle":"","parse-names":false,"suffix":""},{"dropping-particle":"","family":"Ypma","given":"Paula F.","non-dropping-particle":"","parse-names":false,"suffix":""},{"dropping-particle":"","family":"Nieuwenhuizen","given":"L.","non-dropping-particle":"","parse-names":false,"suffix":""},{"dropping-particle":"","family":"Meijer","given":"K.","non-dropping-particle":"","parse-names":false,"suffix":""},{"dropping-particle":"","family":"Leebeek","given":"Frank W. G.","non-dropping-particle":"","parse-names":false,"suffix":""},{"dropping-particle":"","family":"Mathôt","given":"Ron A.A.","non-dropping-particle":"","parse-names":false,"suffix":""},{"dropping-particle":"","family":"Cnossen","given":"Marjon H.","non-dropping-particle":"","parse-names":false,"suffix":""}],"container-title":"TH Open","id":"ITEM-1","issue":"01","issued":{"date-parts":[["2022"]]},"page":"e60-e69","title":"Design of a Prospective Study on Pharmacokinetic-Guided Dosing of Prophylactic Factor Replacement in Hemophilia A and B (OPTI-CLOT TARGET Study)","type":"article-journal","volume":"06"},"uris":["http://www.mendeley.com/documents/?uuid=3c067207-28e1-3b7b-8c9f-0f0e64125930"]}],"mendeley":{"formattedCitation":"&lt;sup&gt;1&lt;/sup&gt;","plainTextFormattedCitation":"1","previouslyFormattedCitation":"&lt;sup&gt;1&lt;/sup&gt;"},"properties":{"noteIndex":0},"schema":"https://github.com/citation-style-language/schema/raw/master/csl-citation.json"}</w:instrText>
            </w:r>
            <w:r w:rsidR="00B64346">
              <w:rPr>
                <w:b/>
                <w:bCs/>
                <w:sz w:val="20"/>
                <w:szCs w:val="20"/>
                <w:lang w:val="en-GB"/>
              </w:rPr>
              <w:fldChar w:fldCharType="separate"/>
            </w:r>
            <w:r w:rsidR="00B64346" w:rsidRPr="00B64346">
              <w:rPr>
                <w:bCs/>
                <w:noProof/>
                <w:sz w:val="20"/>
                <w:szCs w:val="20"/>
                <w:vertAlign w:val="superscript"/>
                <w:lang w:val="en-GB"/>
              </w:rPr>
              <w:t>1</w:t>
            </w:r>
            <w:r w:rsidR="00B64346">
              <w:rPr>
                <w:b/>
                <w:bCs/>
                <w:sz w:val="20"/>
                <w:szCs w:val="20"/>
                <w:lang w:val="en-GB"/>
              </w:rPr>
              <w:fldChar w:fldCharType="end"/>
            </w:r>
          </w:p>
        </w:tc>
      </w:tr>
      <w:tr w:rsidR="008762F8" w:rsidRPr="000A6F76" w14:paraId="10FCD3C5" w14:textId="77777777" w:rsidTr="0084594A">
        <w:trPr>
          <w:trHeight w:hRule="exact" w:val="284"/>
        </w:trPr>
        <w:tc>
          <w:tcPr>
            <w:tcW w:w="1018" w:type="pct"/>
            <w:vMerge w:val="restart"/>
          </w:tcPr>
          <w:p w14:paraId="22463D85" w14:textId="04E5108B" w:rsidR="008762F8" w:rsidRPr="000A6F76" w:rsidRDefault="008762F8" w:rsidP="004769FD">
            <w:pPr>
              <w:tabs>
                <w:tab w:val="left" w:pos="945"/>
              </w:tabs>
              <w:rPr>
                <w:b/>
                <w:sz w:val="20"/>
                <w:szCs w:val="20"/>
                <w:lang w:val="en-GB"/>
              </w:rPr>
            </w:pPr>
            <w:r w:rsidRPr="000A6F76">
              <w:rPr>
                <w:b/>
                <w:sz w:val="20"/>
                <w:szCs w:val="20"/>
                <w:lang w:val="en-GB"/>
              </w:rPr>
              <w:t xml:space="preserve">Erasmus </w:t>
            </w:r>
            <w:r w:rsidR="00437B76">
              <w:rPr>
                <w:b/>
                <w:sz w:val="20"/>
                <w:szCs w:val="20"/>
                <w:lang w:val="en-GB"/>
              </w:rPr>
              <w:t xml:space="preserve">University </w:t>
            </w:r>
            <w:r w:rsidRPr="000A6F76">
              <w:rPr>
                <w:b/>
                <w:sz w:val="20"/>
                <w:szCs w:val="20"/>
                <w:lang w:val="en-GB"/>
              </w:rPr>
              <w:t xml:space="preserve">Medical </w:t>
            </w:r>
            <w:proofErr w:type="spellStart"/>
            <w:r w:rsidRPr="000A6F76">
              <w:rPr>
                <w:b/>
                <w:sz w:val="20"/>
                <w:szCs w:val="20"/>
                <w:lang w:val="en-GB"/>
              </w:rPr>
              <w:t>Center</w:t>
            </w:r>
            <w:proofErr w:type="spellEnd"/>
          </w:p>
        </w:tc>
        <w:tc>
          <w:tcPr>
            <w:tcW w:w="396" w:type="pct"/>
          </w:tcPr>
          <w:p w14:paraId="7BB2D7E7" w14:textId="77777777" w:rsidR="008762F8" w:rsidRPr="000A6F76" w:rsidRDefault="008762F8" w:rsidP="004769FD">
            <w:pPr>
              <w:tabs>
                <w:tab w:val="left" w:pos="945"/>
              </w:tabs>
              <w:rPr>
                <w:sz w:val="20"/>
                <w:szCs w:val="20"/>
                <w:lang w:val="en-GB"/>
              </w:rPr>
            </w:pPr>
            <w:r w:rsidRPr="000A6F76">
              <w:rPr>
                <w:sz w:val="20"/>
                <w:szCs w:val="20"/>
                <w:lang w:val="en-GB"/>
              </w:rPr>
              <w:t>OSA</w:t>
            </w:r>
          </w:p>
        </w:tc>
        <w:tc>
          <w:tcPr>
            <w:tcW w:w="785" w:type="pct"/>
            <w:vMerge w:val="restart"/>
          </w:tcPr>
          <w:p w14:paraId="1711A8CA" w14:textId="77777777" w:rsidR="008762F8" w:rsidRPr="000A6F76" w:rsidRDefault="008762F8" w:rsidP="004769FD">
            <w:pPr>
              <w:tabs>
                <w:tab w:val="left" w:pos="945"/>
              </w:tabs>
              <w:rPr>
                <w:sz w:val="20"/>
                <w:szCs w:val="20"/>
                <w:lang w:val="en-GB"/>
              </w:rPr>
            </w:pPr>
            <w:proofErr w:type="spellStart"/>
            <w:r w:rsidRPr="000A6F76">
              <w:rPr>
                <w:rFonts w:cstheme="minorHAnsi"/>
                <w:color w:val="000000" w:themeColor="text1"/>
                <w:sz w:val="20"/>
                <w:szCs w:val="20"/>
                <w:lang w:val="en-GB"/>
              </w:rPr>
              <w:t>Sysmex</w:t>
            </w:r>
            <w:proofErr w:type="spellEnd"/>
            <w:r w:rsidRPr="000A6F76">
              <w:rPr>
                <w:rFonts w:cstheme="minorHAnsi"/>
                <w:color w:val="000000" w:themeColor="text1"/>
                <w:sz w:val="20"/>
                <w:szCs w:val="20"/>
                <w:lang w:val="en-GB"/>
              </w:rPr>
              <w:t xml:space="preserve"> CS5100</w:t>
            </w:r>
          </w:p>
        </w:tc>
        <w:tc>
          <w:tcPr>
            <w:tcW w:w="942" w:type="pct"/>
            <w:shd w:val="clear" w:color="auto" w:fill="auto"/>
          </w:tcPr>
          <w:p w14:paraId="1B850834" w14:textId="77777777" w:rsidR="008762F8" w:rsidRPr="000A6F76" w:rsidRDefault="008762F8" w:rsidP="004769FD">
            <w:pPr>
              <w:tabs>
                <w:tab w:val="left" w:pos="945"/>
              </w:tabs>
              <w:rPr>
                <w:rFonts w:cs="Calibri"/>
                <w:color w:val="000000" w:themeColor="text1"/>
                <w:sz w:val="20"/>
                <w:szCs w:val="20"/>
                <w:shd w:val="clear" w:color="auto" w:fill="FFFFFF"/>
                <w:lang w:val="en-GB"/>
              </w:rPr>
            </w:pPr>
            <w:r w:rsidRPr="000A6F76">
              <w:rPr>
                <w:sz w:val="20"/>
                <w:szCs w:val="20"/>
                <w:lang w:val="en-GB"/>
              </w:rPr>
              <w:t>Actin FS Siemens</w:t>
            </w:r>
          </w:p>
        </w:tc>
        <w:tc>
          <w:tcPr>
            <w:tcW w:w="907" w:type="pct"/>
            <w:vMerge w:val="restart"/>
          </w:tcPr>
          <w:p w14:paraId="59987CEB" w14:textId="77777777" w:rsidR="008762F8" w:rsidRPr="000A6F76" w:rsidRDefault="008762F8" w:rsidP="004769FD">
            <w:pPr>
              <w:tabs>
                <w:tab w:val="left" w:pos="945"/>
              </w:tabs>
              <w:rPr>
                <w:sz w:val="20"/>
                <w:szCs w:val="20"/>
                <w:lang w:val="en-GB"/>
              </w:rPr>
            </w:pPr>
            <w:r w:rsidRPr="000A6F76">
              <w:rPr>
                <w:rFonts w:cstheme="minorHAnsi"/>
                <w:color w:val="000000" w:themeColor="text1"/>
                <w:sz w:val="20"/>
                <w:szCs w:val="20"/>
                <w:lang w:val="en-GB"/>
              </w:rPr>
              <w:t>SHP Siemens</w:t>
            </w:r>
          </w:p>
        </w:tc>
        <w:tc>
          <w:tcPr>
            <w:tcW w:w="952" w:type="pct"/>
          </w:tcPr>
          <w:p w14:paraId="49FD2EE5" w14:textId="77777777" w:rsidR="008762F8" w:rsidRPr="000A6F76" w:rsidRDefault="008762F8" w:rsidP="004769FD">
            <w:pPr>
              <w:tabs>
                <w:tab w:val="left" w:pos="945"/>
              </w:tabs>
              <w:rPr>
                <w:sz w:val="20"/>
                <w:szCs w:val="20"/>
                <w:lang w:val="en-GB"/>
              </w:rPr>
            </w:pPr>
            <w:r w:rsidRPr="000A6F76">
              <w:rPr>
                <w:rFonts w:cstheme="minorHAnsi"/>
                <w:color w:val="000000" w:themeColor="text1"/>
                <w:sz w:val="20"/>
                <w:szCs w:val="20"/>
                <w:lang w:val="en-GB"/>
              </w:rPr>
              <w:t>FIX deficient plasma Siemens</w:t>
            </w:r>
          </w:p>
        </w:tc>
      </w:tr>
      <w:tr w:rsidR="008762F8" w:rsidRPr="000A6F76" w14:paraId="2E498BAD" w14:textId="77777777" w:rsidTr="0084594A">
        <w:trPr>
          <w:trHeight w:hRule="exact" w:val="562"/>
        </w:trPr>
        <w:tc>
          <w:tcPr>
            <w:tcW w:w="1018" w:type="pct"/>
            <w:vMerge/>
          </w:tcPr>
          <w:p w14:paraId="4E54F878" w14:textId="77777777" w:rsidR="008762F8" w:rsidRPr="000A6F76" w:rsidRDefault="008762F8" w:rsidP="004769FD">
            <w:pPr>
              <w:tabs>
                <w:tab w:val="left" w:pos="945"/>
              </w:tabs>
              <w:rPr>
                <w:b/>
                <w:sz w:val="20"/>
                <w:szCs w:val="20"/>
                <w:lang w:val="en-GB"/>
              </w:rPr>
            </w:pPr>
          </w:p>
        </w:tc>
        <w:tc>
          <w:tcPr>
            <w:tcW w:w="396" w:type="pct"/>
          </w:tcPr>
          <w:p w14:paraId="2CCCED82" w14:textId="77777777" w:rsidR="008762F8" w:rsidRPr="000A6F76" w:rsidRDefault="008762F8" w:rsidP="004769FD">
            <w:pPr>
              <w:tabs>
                <w:tab w:val="left" w:pos="945"/>
              </w:tabs>
              <w:rPr>
                <w:sz w:val="20"/>
                <w:szCs w:val="20"/>
                <w:lang w:val="en-GB"/>
              </w:rPr>
            </w:pPr>
            <w:r w:rsidRPr="000A6F76">
              <w:rPr>
                <w:sz w:val="20"/>
                <w:szCs w:val="20"/>
                <w:lang w:val="en-GB"/>
              </w:rPr>
              <w:t>CSA</w:t>
            </w:r>
          </w:p>
        </w:tc>
        <w:tc>
          <w:tcPr>
            <w:tcW w:w="785" w:type="pct"/>
            <w:vMerge/>
          </w:tcPr>
          <w:p w14:paraId="4CC06CDE" w14:textId="77777777" w:rsidR="008762F8" w:rsidRPr="000A6F76" w:rsidRDefault="008762F8" w:rsidP="004769FD">
            <w:pPr>
              <w:tabs>
                <w:tab w:val="left" w:pos="945"/>
              </w:tabs>
              <w:rPr>
                <w:sz w:val="20"/>
                <w:szCs w:val="20"/>
                <w:lang w:val="en-GB"/>
              </w:rPr>
            </w:pPr>
          </w:p>
        </w:tc>
        <w:tc>
          <w:tcPr>
            <w:tcW w:w="942" w:type="pct"/>
          </w:tcPr>
          <w:p w14:paraId="0D1D55EC" w14:textId="77777777" w:rsidR="008762F8" w:rsidRPr="000A6F76" w:rsidRDefault="008762F8" w:rsidP="004769FD">
            <w:pPr>
              <w:tabs>
                <w:tab w:val="left" w:pos="945"/>
              </w:tabs>
              <w:rPr>
                <w:rFonts w:cs="Calibri"/>
                <w:color w:val="000000" w:themeColor="text1"/>
                <w:sz w:val="20"/>
                <w:szCs w:val="20"/>
                <w:shd w:val="clear" w:color="auto" w:fill="FFFFFF"/>
                <w:lang w:val="en-GB"/>
              </w:rPr>
            </w:pPr>
            <w:proofErr w:type="spellStart"/>
            <w:r w:rsidRPr="000A6F76">
              <w:rPr>
                <w:rFonts w:cstheme="minorHAnsi"/>
                <w:color w:val="000000" w:themeColor="text1"/>
                <w:sz w:val="20"/>
                <w:szCs w:val="20"/>
                <w:lang w:val="en-GB"/>
              </w:rPr>
              <w:t>Rox</w:t>
            </w:r>
            <w:proofErr w:type="spellEnd"/>
            <w:r w:rsidRPr="000A6F76">
              <w:rPr>
                <w:rFonts w:cstheme="minorHAnsi"/>
                <w:color w:val="000000" w:themeColor="text1"/>
                <w:sz w:val="20"/>
                <w:szCs w:val="20"/>
                <w:lang w:val="en-GB"/>
              </w:rPr>
              <w:t xml:space="preserve"> FIX chromogenic kit.</w:t>
            </w:r>
          </w:p>
        </w:tc>
        <w:tc>
          <w:tcPr>
            <w:tcW w:w="907" w:type="pct"/>
            <w:vMerge/>
          </w:tcPr>
          <w:p w14:paraId="3975E6F9" w14:textId="77777777" w:rsidR="008762F8" w:rsidRPr="000A6F76" w:rsidRDefault="008762F8" w:rsidP="004769FD">
            <w:pPr>
              <w:tabs>
                <w:tab w:val="left" w:pos="945"/>
              </w:tabs>
              <w:rPr>
                <w:sz w:val="20"/>
                <w:szCs w:val="20"/>
                <w:lang w:val="en-GB"/>
              </w:rPr>
            </w:pPr>
          </w:p>
        </w:tc>
        <w:tc>
          <w:tcPr>
            <w:tcW w:w="952" w:type="pct"/>
          </w:tcPr>
          <w:p w14:paraId="7B2AA6AF" w14:textId="77777777" w:rsidR="008762F8" w:rsidRPr="000A6F76" w:rsidRDefault="008762F8" w:rsidP="004769FD">
            <w:pPr>
              <w:tabs>
                <w:tab w:val="left" w:pos="945"/>
              </w:tabs>
              <w:rPr>
                <w:sz w:val="20"/>
                <w:szCs w:val="20"/>
                <w:lang w:val="en-GB"/>
              </w:rPr>
            </w:pPr>
            <w:proofErr w:type="spellStart"/>
            <w:r w:rsidRPr="000A6F76">
              <w:rPr>
                <w:rFonts w:eastAsia="Times New Roman" w:cstheme="minorHAnsi"/>
                <w:color w:val="000000"/>
                <w:sz w:val="20"/>
                <w:szCs w:val="20"/>
                <w:lang w:val="en-GB"/>
              </w:rPr>
              <w:t>Rox</w:t>
            </w:r>
            <w:proofErr w:type="spellEnd"/>
            <w:r w:rsidRPr="000A6F76">
              <w:rPr>
                <w:rFonts w:eastAsia="Times New Roman" w:cstheme="minorHAnsi"/>
                <w:color w:val="000000"/>
                <w:sz w:val="20"/>
                <w:szCs w:val="20"/>
                <w:lang w:val="en-GB"/>
              </w:rPr>
              <w:t xml:space="preserve"> FIX chromogenic kit</w:t>
            </w:r>
          </w:p>
        </w:tc>
      </w:tr>
      <w:tr w:rsidR="008762F8" w:rsidRPr="000A6F76" w14:paraId="1FF66AFD" w14:textId="77777777" w:rsidTr="0084594A">
        <w:trPr>
          <w:trHeight w:hRule="exact" w:val="570"/>
        </w:trPr>
        <w:tc>
          <w:tcPr>
            <w:tcW w:w="1018" w:type="pct"/>
            <w:vMerge w:val="restart"/>
          </w:tcPr>
          <w:p w14:paraId="56802850" w14:textId="77777777" w:rsidR="008762F8" w:rsidRPr="000A6F76" w:rsidRDefault="008762F8" w:rsidP="004769FD">
            <w:pPr>
              <w:tabs>
                <w:tab w:val="left" w:pos="945"/>
              </w:tabs>
              <w:rPr>
                <w:b/>
                <w:sz w:val="20"/>
                <w:szCs w:val="20"/>
                <w:lang w:val="en-GB"/>
              </w:rPr>
            </w:pPr>
            <w:r w:rsidRPr="000A6F76">
              <w:rPr>
                <w:b/>
                <w:sz w:val="20"/>
                <w:szCs w:val="20"/>
                <w:lang w:val="en-GB"/>
              </w:rPr>
              <w:t xml:space="preserve">Amsterdam University Medical </w:t>
            </w:r>
            <w:proofErr w:type="spellStart"/>
            <w:r w:rsidRPr="000A6F76">
              <w:rPr>
                <w:b/>
                <w:sz w:val="20"/>
                <w:szCs w:val="20"/>
                <w:lang w:val="en-GB"/>
              </w:rPr>
              <w:t>Centers</w:t>
            </w:r>
            <w:proofErr w:type="spellEnd"/>
          </w:p>
        </w:tc>
        <w:tc>
          <w:tcPr>
            <w:tcW w:w="396" w:type="pct"/>
          </w:tcPr>
          <w:p w14:paraId="0D97754F" w14:textId="77777777" w:rsidR="008762F8" w:rsidRPr="000A6F76" w:rsidRDefault="008762F8" w:rsidP="004769FD">
            <w:pPr>
              <w:tabs>
                <w:tab w:val="left" w:pos="945"/>
              </w:tabs>
              <w:rPr>
                <w:sz w:val="20"/>
                <w:szCs w:val="20"/>
                <w:lang w:val="en-GB"/>
              </w:rPr>
            </w:pPr>
            <w:r w:rsidRPr="000A6F76">
              <w:rPr>
                <w:sz w:val="20"/>
                <w:szCs w:val="20"/>
                <w:lang w:val="en-GB"/>
              </w:rPr>
              <w:t>OSA</w:t>
            </w:r>
          </w:p>
        </w:tc>
        <w:tc>
          <w:tcPr>
            <w:tcW w:w="785" w:type="pct"/>
            <w:vMerge w:val="restart"/>
          </w:tcPr>
          <w:p w14:paraId="6055488D" w14:textId="238B6B84" w:rsidR="008762F8" w:rsidRPr="000A6F76" w:rsidRDefault="008762F8" w:rsidP="0084594A">
            <w:pPr>
              <w:tabs>
                <w:tab w:val="left" w:pos="945"/>
              </w:tabs>
              <w:rPr>
                <w:sz w:val="20"/>
                <w:szCs w:val="20"/>
                <w:lang w:val="en-GB"/>
              </w:rPr>
            </w:pPr>
            <w:r w:rsidRPr="000A6F76">
              <w:rPr>
                <w:rFonts w:eastAsia="Times New Roman" w:cstheme="minorHAnsi"/>
                <w:color w:val="000000"/>
                <w:sz w:val="20"/>
                <w:szCs w:val="20"/>
                <w:lang w:val="en-GB"/>
              </w:rPr>
              <w:t xml:space="preserve">Siemens </w:t>
            </w:r>
            <w:r w:rsidR="0084594A" w:rsidRPr="000A6F76">
              <w:rPr>
                <w:rFonts w:eastAsia="Times New Roman" w:cstheme="minorHAnsi"/>
                <w:color w:val="000000"/>
                <w:sz w:val="20"/>
                <w:szCs w:val="20"/>
                <w:lang w:val="en-GB"/>
              </w:rPr>
              <w:br/>
            </w:r>
            <w:r w:rsidRPr="000A6F76">
              <w:rPr>
                <w:rFonts w:eastAsia="Times New Roman" w:cstheme="minorHAnsi"/>
                <w:color w:val="000000"/>
                <w:sz w:val="20"/>
                <w:szCs w:val="20"/>
                <w:lang w:val="en-GB"/>
              </w:rPr>
              <w:t>CS-2500</w:t>
            </w:r>
          </w:p>
        </w:tc>
        <w:tc>
          <w:tcPr>
            <w:tcW w:w="942" w:type="pct"/>
          </w:tcPr>
          <w:p w14:paraId="42CD3ABD" w14:textId="77777777" w:rsidR="008762F8" w:rsidRPr="000A6F76" w:rsidRDefault="008762F8" w:rsidP="004769FD">
            <w:pPr>
              <w:tabs>
                <w:tab w:val="left" w:pos="945"/>
              </w:tabs>
              <w:rPr>
                <w:sz w:val="20"/>
                <w:szCs w:val="20"/>
                <w:lang w:val="en-GB"/>
              </w:rPr>
            </w:pPr>
            <w:r w:rsidRPr="000A6F76">
              <w:rPr>
                <w:sz w:val="20"/>
                <w:szCs w:val="20"/>
                <w:lang w:val="en-GB"/>
              </w:rPr>
              <w:t>Actin FS Siemens</w:t>
            </w:r>
          </w:p>
        </w:tc>
        <w:tc>
          <w:tcPr>
            <w:tcW w:w="907" w:type="pct"/>
          </w:tcPr>
          <w:p w14:paraId="5653459E" w14:textId="77777777" w:rsidR="008762F8" w:rsidRPr="000A6F76" w:rsidRDefault="008762F8" w:rsidP="004769FD">
            <w:pPr>
              <w:tabs>
                <w:tab w:val="left" w:pos="945"/>
              </w:tabs>
              <w:rPr>
                <w:sz w:val="20"/>
                <w:szCs w:val="20"/>
                <w:lang w:val="en-GB"/>
              </w:rPr>
            </w:pPr>
            <w:r w:rsidRPr="000A6F76">
              <w:rPr>
                <w:rFonts w:cstheme="minorHAnsi"/>
                <w:color w:val="000000" w:themeColor="text1"/>
                <w:sz w:val="20"/>
                <w:szCs w:val="20"/>
                <w:lang w:val="en-GB"/>
              </w:rPr>
              <w:t>SHP Siemens</w:t>
            </w:r>
          </w:p>
        </w:tc>
        <w:tc>
          <w:tcPr>
            <w:tcW w:w="952" w:type="pct"/>
          </w:tcPr>
          <w:p w14:paraId="53A299E3" w14:textId="77777777" w:rsidR="008762F8" w:rsidRPr="000A6F76" w:rsidRDefault="008762F8" w:rsidP="004769FD">
            <w:pPr>
              <w:tabs>
                <w:tab w:val="left" w:pos="945"/>
              </w:tabs>
              <w:rPr>
                <w:sz w:val="20"/>
                <w:szCs w:val="20"/>
                <w:lang w:val="en-GB"/>
              </w:rPr>
            </w:pPr>
            <w:r w:rsidRPr="000A6F76">
              <w:rPr>
                <w:rFonts w:cstheme="minorHAnsi"/>
                <w:color w:val="000000" w:themeColor="text1"/>
                <w:sz w:val="20"/>
                <w:szCs w:val="20"/>
                <w:lang w:val="en-GB"/>
              </w:rPr>
              <w:t>FIX deficient plasma Siemens</w:t>
            </w:r>
          </w:p>
        </w:tc>
      </w:tr>
      <w:tr w:rsidR="008762F8" w:rsidRPr="000A6F76" w14:paraId="1FF0BA58" w14:textId="77777777" w:rsidTr="0084594A">
        <w:trPr>
          <w:trHeight w:hRule="exact" w:val="578"/>
        </w:trPr>
        <w:tc>
          <w:tcPr>
            <w:tcW w:w="1018" w:type="pct"/>
            <w:vMerge/>
          </w:tcPr>
          <w:p w14:paraId="4B73375D" w14:textId="77777777" w:rsidR="008762F8" w:rsidRPr="000A6F76" w:rsidRDefault="008762F8" w:rsidP="004769FD">
            <w:pPr>
              <w:tabs>
                <w:tab w:val="left" w:pos="945"/>
              </w:tabs>
              <w:rPr>
                <w:b/>
                <w:sz w:val="20"/>
                <w:szCs w:val="20"/>
                <w:lang w:val="en-GB"/>
              </w:rPr>
            </w:pPr>
          </w:p>
        </w:tc>
        <w:tc>
          <w:tcPr>
            <w:tcW w:w="396" w:type="pct"/>
          </w:tcPr>
          <w:p w14:paraId="1E1FC141" w14:textId="77777777" w:rsidR="008762F8" w:rsidRPr="000A6F76" w:rsidRDefault="008762F8" w:rsidP="004769FD">
            <w:pPr>
              <w:tabs>
                <w:tab w:val="left" w:pos="945"/>
              </w:tabs>
              <w:rPr>
                <w:sz w:val="20"/>
                <w:szCs w:val="20"/>
                <w:lang w:val="en-GB"/>
              </w:rPr>
            </w:pPr>
            <w:r w:rsidRPr="000A6F76">
              <w:rPr>
                <w:sz w:val="20"/>
                <w:szCs w:val="20"/>
                <w:lang w:val="en-GB"/>
              </w:rPr>
              <w:t>CSA</w:t>
            </w:r>
          </w:p>
        </w:tc>
        <w:tc>
          <w:tcPr>
            <w:tcW w:w="785" w:type="pct"/>
            <w:vMerge/>
          </w:tcPr>
          <w:p w14:paraId="4345A59E" w14:textId="77777777" w:rsidR="008762F8" w:rsidRPr="000A6F76" w:rsidRDefault="008762F8" w:rsidP="004769FD">
            <w:pPr>
              <w:tabs>
                <w:tab w:val="left" w:pos="945"/>
              </w:tabs>
              <w:rPr>
                <w:sz w:val="20"/>
                <w:szCs w:val="20"/>
                <w:lang w:val="en-GB"/>
              </w:rPr>
            </w:pPr>
          </w:p>
        </w:tc>
        <w:tc>
          <w:tcPr>
            <w:tcW w:w="942" w:type="pct"/>
          </w:tcPr>
          <w:p w14:paraId="61EF716B" w14:textId="77777777" w:rsidR="008762F8" w:rsidRPr="000A6F76" w:rsidRDefault="008762F8" w:rsidP="004769FD">
            <w:pPr>
              <w:tabs>
                <w:tab w:val="left" w:pos="945"/>
              </w:tabs>
              <w:rPr>
                <w:sz w:val="20"/>
                <w:szCs w:val="20"/>
                <w:lang w:val="en-GB"/>
              </w:rPr>
            </w:pPr>
            <w:proofErr w:type="spellStart"/>
            <w:r w:rsidRPr="000A6F76">
              <w:rPr>
                <w:rFonts w:cstheme="minorHAnsi"/>
                <w:color w:val="000000" w:themeColor="text1"/>
                <w:sz w:val="20"/>
                <w:szCs w:val="20"/>
                <w:lang w:val="en-GB"/>
              </w:rPr>
              <w:t>Rox</w:t>
            </w:r>
            <w:proofErr w:type="spellEnd"/>
            <w:r w:rsidRPr="000A6F76">
              <w:rPr>
                <w:rFonts w:cstheme="minorHAnsi"/>
                <w:color w:val="000000" w:themeColor="text1"/>
                <w:sz w:val="20"/>
                <w:szCs w:val="20"/>
                <w:lang w:val="en-GB"/>
              </w:rPr>
              <w:t xml:space="preserve"> FIX chromogenic kit.</w:t>
            </w:r>
          </w:p>
        </w:tc>
        <w:tc>
          <w:tcPr>
            <w:tcW w:w="907" w:type="pct"/>
          </w:tcPr>
          <w:p w14:paraId="39DEF99A" w14:textId="77777777" w:rsidR="008762F8" w:rsidRPr="000A6F76" w:rsidRDefault="008762F8" w:rsidP="004769FD">
            <w:pPr>
              <w:tabs>
                <w:tab w:val="left" w:pos="945"/>
              </w:tabs>
              <w:rPr>
                <w:sz w:val="20"/>
                <w:szCs w:val="20"/>
                <w:lang w:val="en-GB"/>
              </w:rPr>
            </w:pPr>
            <w:proofErr w:type="spellStart"/>
            <w:r w:rsidRPr="000A6F76">
              <w:rPr>
                <w:rFonts w:eastAsia="Times New Roman" w:cstheme="minorHAnsi"/>
                <w:color w:val="000000"/>
                <w:sz w:val="20"/>
                <w:szCs w:val="20"/>
                <w:lang w:val="en-GB"/>
              </w:rPr>
              <w:t>Biohyphen</w:t>
            </w:r>
            <w:proofErr w:type="spellEnd"/>
            <w:r w:rsidRPr="000A6F76">
              <w:rPr>
                <w:rFonts w:eastAsia="Times New Roman" w:cstheme="minorHAnsi"/>
                <w:color w:val="000000"/>
                <w:sz w:val="20"/>
                <w:szCs w:val="20"/>
                <w:lang w:val="en-GB"/>
              </w:rPr>
              <w:t xml:space="preserve"> plasma calibrator</w:t>
            </w:r>
          </w:p>
        </w:tc>
        <w:tc>
          <w:tcPr>
            <w:tcW w:w="952" w:type="pct"/>
          </w:tcPr>
          <w:p w14:paraId="3A1A59B8" w14:textId="77777777" w:rsidR="008762F8" w:rsidRPr="000A6F76" w:rsidRDefault="008762F8" w:rsidP="004769FD">
            <w:pPr>
              <w:tabs>
                <w:tab w:val="left" w:pos="945"/>
              </w:tabs>
              <w:rPr>
                <w:sz w:val="20"/>
                <w:szCs w:val="20"/>
                <w:lang w:val="en-GB"/>
              </w:rPr>
            </w:pPr>
            <w:proofErr w:type="spellStart"/>
            <w:r w:rsidRPr="000A6F76">
              <w:rPr>
                <w:rFonts w:eastAsia="Times New Roman" w:cstheme="minorHAnsi"/>
                <w:color w:val="000000"/>
                <w:sz w:val="20"/>
                <w:szCs w:val="20"/>
                <w:lang w:val="en-GB"/>
              </w:rPr>
              <w:t>Rox</w:t>
            </w:r>
            <w:proofErr w:type="spellEnd"/>
            <w:r w:rsidRPr="000A6F76">
              <w:rPr>
                <w:rFonts w:eastAsia="Times New Roman" w:cstheme="minorHAnsi"/>
                <w:color w:val="000000"/>
                <w:sz w:val="20"/>
                <w:szCs w:val="20"/>
                <w:lang w:val="en-GB"/>
              </w:rPr>
              <w:t xml:space="preserve"> FIX chromogenic kit</w:t>
            </w:r>
          </w:p>
        </w:tc>
      </w:tr>
    </w:tbl>
    <w:p w14:paraId="21380839" w14:textId="4E6E1257" w:rsidR="008762F8" w:rsidRPr="005C7CE0" w:rsidRDefault="008762F8" w:rsidP="008762F8">
      <w:pPr>
        <w:jc w:val="both"/>
        <w:rPr>
          <w:b/>
          <w:bCs/>
          <w:iCs/>
          <w:sz w:val="20"/>
          <w:lang w:val="en-GB"/>
        </w:rPr>
      </w:pPr>
      <w:r w:rsidRPr="005C7CE0">
        <w:rPr>
          <w:rFonts w:cstheme="minorHAnsi"/>
          <w:b/>
          <w:sz w:val="20"/>
          <w:lang w:val="en-GB"/>
        </w:rPr>
        <w:t>Supplement</w:t>
      </w:r>
      <w:r w:rsidR="006241AA">
        <w:rPr>
          <w:rFonts w:cstheme="minorHAnsi"/>
          <w:b/>
          <w:sz w:val="20"/>
          <w:lang w:val="en-GB"/>
        </w:rPr>
        <w:t>ary</w:t>
      </w:r>
      <w:r w:rsidRPr="005C7CE0">
        <w:rPr>
          <w:rFonts w:cstheme="minorHAnsi"/>
          <w:b/>
          <w:sz w:val="20"/>
          <w:lang w:val="en-GB"/>
        </w:rPr>
        <w:t xml:space="preserve"> Table 1</w:t>
      </w:r>
      <w:r w:rsidR="0084594A" w:rsidRPr="005C7CE0">
        <w:rPr>
          <w:rFonts w:cstheme="minorHAnsi"/>
          <w:b/>
          <w:sz w:val="20"/>
          <w:lang w:val="en-GB"/>
        </w:rPr>
        <w:t>.</w:t>
      </w:r>
      <w:r w:rsidRPr="005C7CE0">
        <w:rPr>
          <w:rFonts w:cstheme="minorHAnsi"/>
          <w:b/>
          <w:sz w:val="20"/>
          <w:lang w:val="en-GB"/>
        </w:rPr>
        <w:t xml:space="preserve"> Laboratory specifications of factor IX </w:t>
      </w:r>
      <w:r w:rsidR="009A54F1" w:rsidRPr="005C7CE0">
        <w:rPr>
          <w:rFonts w:cstheme="minorHAnsi"/>
          <w:b/>
          <w:sz w:val="20"/>
          <w:lang w:val="en-GB"/>
        </w:rPr>
        <w:t xml:space="preserve">(FIX) </w:t>
      </w:r>
      <w:r w:rsidRPr="005C7CE0">
        <w:rPr>
          <w:rFonts w:cstheme="minorHAnsi"/>
          <w:b/>
          <w:sz w:val="20"/>
          <w:lang w:val="en-GB"/>
        </w:rPr>
        <w:t>measurements</w:t>
      </w:r>
      <w:r w:rsidR="00B9303C">
        <w:rPr>
          <w:rFonts w:cstheme="minorHAnsi"/>
          <w:b/>
          <w:sz w:val="20"/>
          <w:lang w:val="en-GB"/>
        </w:rPr>
        <w:t>.</w:t>
      </w:r>
    </w:p>
    <w:p w14:paraId="4665ED5E" w14:textId="77777777" w:rsidR="00650BA5" w:rsidRPr="000A6F76" w:rsidRDefault="00650BA5" w:rsidP="00044D08">
      <w:pPr>
        <w:spacing w:after="0" w:line="240" w:lineRule="auto"/>
        <w:rPr>
          <w:b/>
          <w:bCs/>
          <w:iCs/>
          <w:lang w:val="en-GB"/>
        </w:rPr>
      </w:pPr>
    </w:p>
    <w:p w14:paraId="120D2165" w14:textId="77777777" w:rsidR="00650BA5" w:rsidRPr="000A6F76" w:rsidRDefault="00650BA5">
      <w:pPr>
        <w:spacing w:after="0" w:line="240" w:lineRule="auto"/>
        <w:rPr>
          <w:b/>
          <w:bCs/>
          <w:iCs/>
          <w:lang w:val="en-GB"/>
        </w:rPr>
      </w:pPr>
      <w:r w:rsidRPr="000A6F76">
        <w:rPr>
          <w:b/>
          <w:bCs/>
          <w:iCs/>
          <w:lang w:val="en-GB"/>
        </w:rPr>
        <w:br w:type="page"/>
      </w:r>
    </w:p>
    <w:p w14:paraId="7CE0D83F" w14:textId="77777777" w:rsidR="00650BA5" w:rsidRPr="000A6F76" w:rsidRDefault="00650BA5" w:rsidP="005C7CE0">
      <w:pPr>
        <w:pStyle w:val="NoSpacing"/>
        <w:jc w:val="both"/>
        <w:rPr>
          <w:b/>
          <w:bCs/>
          <w:lang w:val="en-GB"/>
        </w:rPr>
      </w:pPr>
    </w:p>
    <w:p w14:paraId="58D4E74A" w14:textId="79CC9D85" w:rsidR="00650BA5" w:rsidRPr="005C7CE0" w:rsidRDefault="00650BA5" w:rsidP="005C7CE0">
      <w:pPr>
        <w:pStyle w:val="NoSpacing"/>
        <w:jc w:val="both"/>
        <w:rPr>
          <w:b/>
          <w:bCs/>
          <w:sz w:val="20"/>
          <w:szCs w:val="20"/>
          <w:lang w:val="en-GB"/>
        </w:rPr>
      </w:pPr>
      <w:r w:rsidRPr="005C7CE0">
        <w:rPr>
          <w:b/>
          <w:bCs/>
          <w:sz w:val="20"/>
          <w:szCs w:val="20"/>
          <w:lang w:val="en-GB"/>
        </w:rPr>
        <w:t>Supplement</w:t>
      </w:r>
      <w:r w:rsidR="006241AA">
        <w:rPr>
          <w:b/>
          <w:bCs/>
          <w:sz w:val="20"/>
          <w:szCs w:val="20"/>
          <w:lang w:val="en-GB"/>
        </w:rPr>
        <w:t>ary</w:t>
      </w:r>
      <w:r w:rsidRPr="005C7CE0">
        <w:rPr>
          <w:b/>
          <w:bCs/>
          <w:sz w:val="20"/>
          <w:szCs w:val="20"/>
          <w:lang w:val="en-GB"/>
        </w:rPr>
        <w:t xml:space="preserve"> </w:t>
      </w:r>
      <w:r w:rsidR="0084594A" w:rsidRPr="005C7CE0">
        <w:rPr>
          <w:b/>
          <w:bCs/>
          <w:sz w:val="20"/>
          <w:szCs w:val="20"/>
          <w:lang w:val="en-GB"/>
        </w:rPr>
        <w:t>T</w:t>
      </w:r>
      <w:r w:rsidRPr="005C7CE0">
        <w:rPr>
          <w:b/>
          <w:bCs/>
          <w:sz w:val="20"/>
          <w:szCs w:val="20"/>
          <w:lang w:val="en-GB"/>
        </w:rPr>
        <w:t xml:space="preserve">able 2. </w:t>
      </w:r>
      <w:r w:rsidR="0084594A" w:rsidRPr="005C7CE0">
        <w:rPr>
          <w:b/>
          <w:bCs/>
          <w:sz w:val="20"/>
          <w:szCs w:val="20"/>
          <w:lang w:val="en-GB"/>
        </w:rPr>
        <w:t xml:space="preserve">Predictive performance of the </w:t>
      </w:r>
      <w:r w:rsidR="00490803" w:rsidRPr="005C7CE0">
        <w:rPr>
          <w:b/>
          <w:bCs/>
          <w:sz w:val="20"/>
          <w:szCs w:val="20"/>
          <w:lang w:val="en-GB"/>
        </w:rPr>
        <w:t xml:space="preserve">published and novel </w:t>
      </w:r>
      <w:r w:rsidR="0084594A" w:rsidRPr="005C7CE0">
        <w:rPr>
          <w:b/>
          <w:bCs/>
          <w:sz w:val="20"/>
          <w:szCs w:val="20"/>
          <w:lang w:val="en-GB"/>
        </w:rPr>
        <w:t>model using</w:t>
      </w:r>
      <w:r w:rsidR="00490803" w:rsidRPr="005C7CE0">
        <w:rPr>
          <w:b/>
          <w:bCs/>
          <w:sz w:val="20"/>
          <w:szCs w:val="20"/>
          <w:lang w:val="en-GB"/>
        </w:rPr>
        <w:t xml:space="preserve"> the predictive error (PE) and root mean square error (RMSE).</w:t>
      </w:r>
      <w:r w:rsidR="00D860F4" w:rsidRPr="005C7CE0">
        <w:rPr>
          <w:bCs/>
          <w:sz w:val="20"/>
          <w:szCs w:val="20"/>
          <w:lang w:val="en-GB"/>
        </w:rPr>
        <w:t xml:space="preserve"> </w:t>
      </w:r>
      <w:r w:rsidR="00D860F4" w:rsidRPr="005C7CE0">
        <w:rPr>
          <w:b/>
          <w:bCs/>
          <w:sz w:val="20"/>
          <w:szCs w:val="20"/>
          <w:lang w:val="en-GB"/>
        </w:rPr>
        <w:t>A</w:t>
      </w:r>
      <w:r w:rsidR="00D860F4" w:rsidRPr="005C7CE0">
        <w:rPr>
          <w:bCs/>
          <w:sz w:val="20"/>
          <w:szCs w:val="20"/>
          <w:lang w:val="en-GB"/>
        </w:rPr>
        <w:t xml:space="preserve">: Bias is represented throughout </w:t>
      </w:r>
      <w:r w:rsidR="006C383F">
        <w:rPr>
          <w:bCs/>
          <w:sz w:val="20"/>
          <w:szCs w:val="20"/>
          <w:lang w:val="en-GB"/>
        </w:rPr>
        <w:t xml:space="preserve">median </w:t>
      </w:r>
      <w:r w:rsidR="00D860F4" w:rsidRPr="005C7CE0">
        <w:rPr>
          <w:bCs/>
          <w:sz w:val="20"/>
          <w:szCs w:val="20"/>
          <w:lang w:val="en-GB"/>
        </w:rPr>
        <w:t>PE for all patients and children &lt;12 years of age.</w:t>
      </w:r>
      <w:r w:rsidR="00490803" w:rsidRPr="005C7CE0">
        <w:rPr>
          <w:b/>
          <w:bCs/>
          <w:sz w:val="20"/>
          <w:szCs w:val="20"/>
          <w:lang w:val="en-GB"/>
        </w:rPr>
        <w:t xml:space="preserve"> </w:t>
      </w:r>
      <w:r w:rsidR="002529C7" w:rsidRPr="005C7CE0">
        <w:rPr>
          <w:b/>
          <w:bCs/>
          <w:sz w:val="20"/>
          <w:szCs w:val="20"/>
          <w:lang w:val="en-GB"/>
        </w:rPr>
        <w:t>B</w:t>
      </w:r>
      <w:r w:rsidR="002529C7" w:rsidRPr="005C7CE0">
        <w:rPr>
          <w:bCs/>
          <w:sz w:val="20"/>
          <w:szCs w:val="20"/>
          <w:lang w:val="en-GB"/>
        </w:rPr>
        <w:t xml:space="preserve">: </w:t>
      </w:r>
      <w:r w:rsidR="00E35FBB" w:rsidRPr="005C7CE0">
        <w:rPr>
          <w:bCs/>
          <w:sz w:val="20"/>
          <w:szCs w:val="20"/>
          <w:lang w:val="en-GB"/>
        </w:rPr>
        <w:t>Differences of predictions between the published and novel model</w:t>
      </w:r>
      <w:r w:rsidR="002529C7" w:rsidRPr="005C7CE0">
        <w:rPr>
          <w:bCs/>
          <w:sz w:val="20"/>
          <w:szCs w:val="20"/>
          <w:lang w:val="en-GB"/>
        </w:rPr>
        <w:t xml:space="preserve"> is presented by</w:t>
      </w:r>
      <w:r w:rsidR="00ED45CC" w:rsidRPr="005C7CE0">
        <w:rPr>
          <w:bCs/>
          <w:sz w:val="20"/>
          <w:szCs w:val="20"/>
          <w:lang w:val="en-GB"/>
        </w:rPr>
        <w:t xml:space="preserve"> showing the R</w:t>
      </w:r>
      <w:r w:rsidR="00E12136" w:rsidRPr="005C7CE0">
        <w:rPr>
          <w:bCs/>
          <w:sz w:val="20"/>
          <w:szCs w:val="20"/>
          <w:lang w:val="en-GB"/>
        </w:rPr>
        <w:t xml:space="preserve">MSE of </w:t>
      </w:r>
      <w:r w:rsidR="00C81784" w:rsidRPr="005C7CE0">
        <w:rPr>
          <w:bCs/>
          <w:sz w:val="20"/>
          <w:szCs w:val="20"/>
          <w:lang w:val="en-GB"/>
        </w:rPr>
        <w:t>peak</w:t>
      </w:r>
      <w:r w:rsidR="00E12136" w:rsidRPr="005C7CE0">
        <w:rPr>
          <w:bCs/>
          <w:sz w:val="20"/>
          <w:szCs w:val="20"/>
          <w:lang w:val="en-GB"/>
        </w:rPr>
        <w:t xml:space="preserve"> (time after dose 0-2</w:t>
      </w:r>
      <w:r w:rsidR="00ED45CC" w:rsidRPr="005C7CE0">
        <w:rPr>
          <w:bCs/>
          <w:sz w:val="20"/>
          <w:szCs w:val="20"/>
          <w:lang w:val="en-GB"/>
        </w:rPr>
        <w:t xml:space="preserve"> h), mid (</w:t>
      </w:r>
      <w:r w:rsidR="000D44A1" w:rsidRPr="005C7CE0">
        <w:rPr>
          <w:bCs/>
          <w:sz w:val="20"/>
          <w:szCs w:val="20"/>
          <w:lang w:val="en-GB"/>
        </w:rPr>
        <w:t xml:space="preserve">time after dose </w:t>
      </w:r>
      <w:r w:rsidR="00ED45CC" w:rsidRPr="005C7CE0">
        <w:rPr>
          <w:bCs/>
          <w:sz w:val="20"/>
          <w:szCs w:val="20"/>
          <w:lang w:val="en-GB"/>
        </w:rPr>
        <w:t>2-120 h) and trough (</w:t>
      </w:r>
      <w:r w:rsidR="000D44A1" w:rsidRPr="005C7CE0">
        <w:rPr>
          <w:bCs/>
          <w:sz w:val="20"/>
          <w:szCs w:val="20"/>
          <w:lang w:val="en-GB"/>
        </w:rPr>
        <w:t xml:space="preserve">time after dose </w:t>
      </w:r>
      <w:r w:rsidR="00ED45CC" w:rsidRPr="005C7CE0">
        <w:rPr>
          <w:bCs/>
          <w:sz w:val="20"/>
          <w:szCs w:val="20"/>
          <w:lang w:val="en-GB"/>
        </w:rPr>
        <w:t>120-300 h) FIX activity levels.</w:t>
      </w:r>
      <w:r w:rsidR="0084594A" w:rsidRPr="005C7CE0">
        <w:rPr>
          <w:b/>
          <w:bCs/>
          <w:sz w:val="20"/>
          <w:szCs w:val="20"/>
          <w:lang w:val="en-GB"/>
        </w:rPr>
        <w:t xml:space="preserve"> </w:t>
      </w:r>
    </w:p>
    <w:p w14:paraId="760C3E3B" w14:textId="468129B0" w:rsidR="001448F2" w:rsidRPr="000A6F76" w:rsidRDefault="00D33C08" w:rsidP="00650BA5">
      <w:pPr>
        <w:pStyle w:val="NoSpacing"/>
        <w:spacing w:line="360" w:lineRule="auto"/>
        <w:jc w:val="both"/>
        <w:rPr>
          <w:b/>
          <w:lang w:val="en-GB"/>
        </w:rPr>
      </w:pPr>
      <w:r w:rsidRPr="000A6F76">
        <w:rPr>
          <w:b/>
          <w:lang w:val="en-GB"/>
        </w:rPr>
        <w:t>A</w:t>
      </w:r>
    </w:p>
    <w:tbl>
      <w:tblPr>
        <w:tblStyle w:val="TableGrid"/>
        <w:tblW w:w="0" w:type="auto"/>
        <w:tblLook w:val="04A0" w:firstRow="1" w:lastRow="0" w:firstColumn="1" w:lastColumn="0" w:noHBand="0" w:noVBand="1"/>
      </w:tblPr>
      <w:tblGrid>
        <w:gridCol w:w="3005"/>
        <w:gridCol w:w="2944"/>
        <w:gridCol w:w="3067"/>
      </w:tblGrid>
      <w:tr w:rsidR="001448F2" w:rsidRPr="000A6F76" w14:paraId="0F800C86" w14:textId="77777777" w:rsidTr="000F189E">
        <w:trPr>
          <w:trHeight w:hRule="exact" w:val="283"/>
        </w:trPr>
        <w:tc>
          <w:tcPr>
            <w:tcW w:w="3005" w:type="dxa"/>
            <w:shd w:val="clear" w:color="auto" w:fill="BFBFBF" w:themeFill="background1" w:themeFillShade="BF"/>
          </w:tcPr>
          <w:p w14:paraId="052E9277" w14:textId="77777777" w:rsidR="001448F2" w:rsidRPr="000A6F76" w:rsidRDefault="001448F2" w:rsidP="00AA3C33">
            <w:pPr>
              <w:pStyle w:val="NoSpacing"/>
              <w:spacing w:line="360" w:lineRule="auto"/>
              <w:jc w:val="both"/>
              <w:rPr>
                <w:sz w:val="20"/>
                <w:szCs w:val="20"/>
                <w:lang w:val="en-GB"/>
              </w:rPr>
            </w:pPr>
          </w:p>
        </w:tc>
        <w:tc>
          <w:tcPr>
            <w:tcW w:w="2944" w:type="dxa"/>
            <w:shd w:val="clear" w:color="auto" w:fill="BFBFBF" w:themeFill="background1" w:themeFillShade="BF"/>
          </w:tcPr>
          <w:p w14:paraId="66B59673" w14:textId="28F93C1B" w:rsidR="001448F2" w:rsidRPr="000A6F76" w:rsidRDefault="00E35FBB" w:rsidP="00E35FBB">
            <w:pPr>
              <w:pStyle w:val="NoSpacing"/>
              <w:spacing w:line="360" w:lineRule="auto"/>
              <w:jc w:val="both"/>
              <w:rPr>
                <w:b/>
                <w:bCs/>
                <w:sz w:val="20"/>
                <w:szCs w:val="20"/>
                <w:lang w:val="en-GB"/>
              </w:rPr>
            </w:pPr>
            <w:r w:rsidRPr="000A6F76">
              <w:rPr>
                <w:b/>
                <w:bCs/>
                <w:sz w:val="20"/>
                <w:szCs w:val="20"/>
                <w:lang w:val="en-GB"/>
              </w:rPr>
              <w:t>Published model</w:t>
            </w:r>
          </w:p>
        </w:tc>
        <w:tc>
          <w:tcPr>
            <w:tcW w:w="3067" w:type="dxa"/>
            <w:shd w:val="clear" w:color="auto" w:fill="BFBFBF" w:themeFill="background1" w:themeFillShade="BF"/>
          </w:tcPr>
          <w:p w14:paraId="5F59B4F5" w14:textId="37F03E6F" w:rsidR="001448F2" w:rsidRPr="000A6F76" w:rsidRDefault="00E35FBB" w:rsidP="00AA3C33">
            <w:pPr>
              <w:pStyle w:val="NoSpacing"/>
              <w:spacing w:line="360" w:lineRule="auto"/>
              <w:jc w:val="both"/>
              <w:rPr>
                <w:b/>
                <w:bCs/>
                <w:sz w:val="20"/>
                <w:szCs w:val="20"/>
                <w:lang w:val="en-GB"/>
              </w:rPr>
            </w:pPr>
            <w:r w:rsidRPr="000A6F76">
              <w:rPr>
                <w:b/>
                <w:bCs/>
                <w:sz w:val="20"/>
                <w:szCs w:val="20"/>
                <w:lang w:val="en-GB"/>
              </w:rPr>
              <w:t>Novel model</w:t>
            </w:r>
          </w:p>
        </w:tc>
      </w:tr>
      <w:tr w:rsidR="001448F2" w:rsidRPr="000A6F76" w14:paraId="7D21F7EA" w14:textId="77777777" w:rsidTr="00AA3C33">
        <w:trPr>
          <w:trHeight w:hRule="exact" w:val="283"/>
        </w:trPr>
        <w:tc>
          <w:tcPr>
            <w:tcW w:w="9016" w:type="dxa"/>
            <w:gridSpan w:val="3"/>
            <w:shd w:val="clear" w:color="auto" w:fill="F2F2F2" w:themeFill="background1" w:themeFillShade="F2"/>
          </w:tcPr>
          <w:p w14:paraId="3E6D2B46" w14:textId="77777777" w:rsidR="001448F2" w:rsidRPr="000A6F76" w:rsidRDefault="001448F2" w:rsidP="00AA3C33">
            <w:pPr>
              <w:pStyle w:val="NoSpacing"/>
              <w:spacing w:line="360" w:lineRule="auto"/>
              <w:jc w:val="both"/>
              <w:rPr>
                <w:sz w:val="20"/>
                <w:szCs w:val="20"/>
                <w:lang w:val="en-GB"/>
              </w:rPr>
            </w:pPr>
            <w:r w:rsidRPr="000A6F76">
              <w:rPr>
                <w:b/>
                <w:bCs/>
                <w:sz w:val="20"/>
                <w:szCs w:val="20"/>
                <w:lang w:val="en-GB"/>
              </w:rPr>
              <w:t xml:space="preserve">All patients </w:t>
            </w:r>
          </w:p>
        </w:tc>
      </w:tr>
      <w:tr w:rsidR="00AA3C33" w:rsidRPr="001176B7" w14:paraId="6816A225" w14:textId="77777777" w:rsidTr="000F189E">
        <w:trPr>
          <w:trHeight w:hRule="exact" w:val="283"/>
        </w:trPr>
        <w:tc>
          <w:tcPr>
            <w:tcW w:w="3005" w:type="dxa"/>
          </w:tcPr>
          <w:p w14:paraId="1B30C3E5" w14:textId="39C3EB4E" w:rsidR="00AA3C33" w:rsidRPr="000A6F76" w:rsidRDefault="00AA3C33" w:rsidP="00AA3C33">
            <w:pPr>
              <w:pStyle w:val="NoSpacing"/>
              <w:spacing w:line="360" w:lineRule="auto"/>
              <w:jc w:val="both"/>
              <w:rPr>
                <w:sz w:val="20"/>
                <w:szCs w:val="20"/>
                <w:lang w:val="en-GB"/>
              </w:rPr>
            </w:pPr>
            <w:r w:rsidRPr="000A6F76">
              <w:rPr>
                <w:sz w:val="20"/>
                <w:szCs w:val="20"/>
                <w:lang w:val="en-GB"/>
              </w:rPr>
              <w:t>PE (%) (median; IQR)</w:t>
            </w:r>
          </w:p>
        </w:tc>
        <w:tc>
          <w:tcPr>
            <w:tcW w:w="2944" w:type="dxa"/>
          </w:tcPr>
          <w:p w14:paraId="38D7F3A5" w14:textId="3568E826" w:rsidR="00AA3C33" w:rsidRPr="000A6F76" w:rsidRDefault="00AA3C33" w:rsidP="00AA3C33">
            <w:pPr>
              <w:pStyle w:val="NoSpacing"/>
              <w:spacing w:line="360" w:lineRule="auto"/>
              <w:jc w:val="both"/>
              <w:rPr>
                <w:sz w:val="20"/>
                <w:szCs w:val="20"/>
                <w:lang w:val="en-GB"/>
              </w:rPr>
            </w:pPr>
            <w:r w:rsidRPr="000A6F76">
              <w:rPr>
                <w:sz w:val="20"/>
                <w:szCs w:val="20"/>
                <w:lang w:val="en-GB"/>
              </w:rPr>
              <w:t>-48.</w:t>
            </w:r>
            <w:r w:rsidR="00C476F1">
              <w:rPr>
                <w:sz w:val="20"/>
                <w:szCs w:val="20"/>
                <w:lang w:val="en-GB"/>
              </w:rPr>
              <w:t>8</w:t>
            </w:r>
            <w:r w:rsidRPr="000A6F76">
              <w:rPr>
                <w:sz w:val="20"/>
                <w:szCs w:val="20"/>
                <w:lang w:val="en-GB"/>
              </w:rPr>
              <w:t xml:space="preserve"> (-29.</w:t>
            </w:r>
            <w:r w:rsidR="00C476F1">
              <w:rPr>
                <w:sz w:val="20"/>
                <w:szCs w:val="20"/>
                <w:lang w:val="en-GB"/>
              </w:rPr>
              <w:t>9</w:t>
            </w:r>
            <w:r w:rsidRPr="000A6F76">
              <w:rPr>
                <w:sz w:val="20"/>
                <w:szCs w:val="20"/>
                <w:lang w:val="en-GB"/>
              </w:rPr>
              <w:t xml:space="preserve"> – -63.</w:t>
            </w:r>
            <w:r w:rsidR="00C476F1">
              <w:rPr>
                <w:sz w:val="20"/>
                <w:szCs w:val="20"/>
                <w:lang w:val="en-GB"/>
              </w:rPr>
              <w:t>9</w:t>
            </w:r>
            <w:r w:rsidRPr="000A6F76">
              <w:rPr>
                <w:sz w:val="20"/>
                <w:szCs w:val="20"/>
                <w:lang w:val="en-GB"/>
              </w:rPr>
              <w:t>)</w:t>
            </w:r>
          </w:p>
        </w:tc>
        <w:tc>
          <w:tcPr>
            <w:tcW w:w="3067" w:type="dxa"/>
          </w:tcPr>
          <w:p w14:paraId="4FAAD768" w14:textId="5836BC0D" w:rsidR="00AA3C33" w:rsidRPr="000A6F76" w:rsidRDefault="001176B7">
            <w:pPr>
              <w:pStyle w:val="NoSpacing"/>
              <w:spacing w:line="360" w:lineRule="auto"/>
              <w:jc w:val="both"/>
              <w:rPr>
                <w:sz w:val="20"/>
                <w:szCs w:val="20"/>
                <w:lang w:val="en-GB"/>
              </w:rPr>
            </w:pPr>
            <w:r>
              <w:rPr>
                <w:sz w:val="20"/>
                <w:szCs w:val="20"/>
                <w:lang w:val="en-GB"/>
              </w:rPr>
              <w:t>3.4</w:t>
            </w:r>
            <w:r w:rsidR="002070FA" w:rsidRPr="000A6F76">
              <w:rPr>
                <w:sz w:val="20"/>
                <w:szCs w:val="20"/>
                <w:lang w:val="en-GB"/>
              </w:rPr>
              <w:t xml:space="preserve"> (-2</w:t>
            </w:r>
            <w:r>
              <w:rPr>
                <w:sz w:val="20"/>
                <w:szCs w:val="20"/>
                <w:lang w:val="en-GB"/>
              </w:rPr>
              <w:t>2</w:t>
            </w:r>
            <w:r w:rsidR="002070FA" w:rsidRPr="000A6F76">
              <w:rPr>
                <w:sz w:val="20"/>
                <w:szCs w:val="20"/>
                <w:lang w:val="en-GB"/>
              </w:rPr>
              <w:t xml:space="preserve">.2 – </w:t>
            </w:r>
            <w:r>
              <w:rPr>
                <w:sz w:val="20"/>
                <w:szCs w:val="20"/>
                <w:lang w:val="en-GB"/>
              </w:rPr>
              <w:t>25</w:t>
            </w:r>
            <w:r w:rsidR="002070FA" w:rsidRPr="000A6F76">
              <w:rPr>
                <w:sz w:val="20"/>
                <w:szCs w:val="20"/>
                <w:lang w:val="en-GB"/>
              </w:rPr>
              <w:t>.</w:t>
            </w:r>
            <w:r>
              <w:rPr>
                <w:sz w:val="20"/>
                <w:szCs w:val="20"/>
                <w:lang w:val="en-GB"/>
              </w:rPr>
              <w:t>8</w:t>
            </w:r>
            <w:r w:rsidR="002070FA" w:rsidRPr="000A6F76">
              <w:rPr>
                <w:sz w:val="20"/>
                <w:szCs w:val="20"/>
                <w:lang w:val="en-GB"/>
              </w:rPr>
              <w:t>)</w:t>
            </w:r>
          </w:p>
        </w:tc>
      </w:tr>
      <w:tr w:rsidR="001448F2" w:rsidRPr="001176B7" w14:paraId="3343460E" w14:textId="77777777" w:rsidTr="00AA3C33">
        <w:trPr>
          <w:trHeight w:hRule="exact" w:val="283"/>
        </w:trPr>
        <w:tc>
          <w:tcPr>
            <w:tcW w:w="9016" w:type="dxa"/>
            <w:gridSpan w:val="3"/>
            <w:shd w:val="clear" w:color="auto" w:fill="F2F2F2" w:themeFill="background1" w:themeFillShade="F2"/>
          </w:tcPr>
          <w:p w14:paraId="2C8CDE92" w14:textId="77777777" w:rsidR="001448F2" w:rsidRPr="000A6F76" w:rsidRDefault="001448F2" w:rsidP="00AA3C33">
            <w:pPr>
              <w:pStyle w:val="NoSpacing"/>
              <w:spacing w:line="360" w:lineRule="auto"/>
              <w:jc w:val="both"/>
              <w:rPr>
                <w:sz w:val="20"/>
                <w:szCs w:val="20"/>
                <w:lang w:val="en-GB"/>
              </w:rPr>
            </w:pPr>
            <w:r w:rsidRPr="000A6F76">
              <w:rPr>
                <w:b/>
                <w:bCs/>
                <w:sz w:val="20"/>
                <w:szCs w:val="20"/>
                <w:lang w:val="en-GB"/>
              </w:rPr>
              <w:t>Children &lt;12 years</w:t>
            </w:r>
          </w:p>
        </w:tc>
      </w:tr>
      <w:tr w:rsidR="002070FA" w:rsidRPr="001176B7" w14:paraId="7603BF49" w14:textId="77777777" w:rsidTr="000F189E">
        <w:trPr>
          <w:trHeight w:hRule="exact" w:val="283"/>
        </w:trPr>
        <w:tc>
          <w:tcPr>
            <w:tcW w:w="3005" w:type="dxa"/>
          </w:tcPr>
          <w:p w14:paraId="36E357B6" w14:textId="46D92D64" w:rsidR="002070FA" w:rsidRPr="000A6F76" w:rsidRDefault="002070FA" w:rsidP="002070FA">
            <w:pPr>
              <w:pStyle w:val="NoSpacing"/>
              <w:spacing w:line="360" w:lineRule="auto"/>
              <w:jc w:val="both"/>
              <w:rPr>
                <w:sz w:val="20"/>
                <w:szCs w:val="20"/>
                <w:lang w:val="en-GB"/>
              </w:rPr>
            </w:pPr>
            <w:r w:rsidRPr="000A6F76">
              <w:rPr>
                <w:sz w:val="20"/>
                <w:szCs w:val="20"/>
                <w:lang w:val="en-GB"/>
              </w:rPr>
              <w:t>PE (%) (median; IQR)</w:t>
            </w:r>
          </w:p>
        </w:tc>
        <w:tc>
          <w:tcPr>
            <w:tcW w:w="2944" w:type="dxa"/>
          </w:tcPr>
          <w:p w14:paraId="4AA8A5AD" w14:textId="434E1A4F" w:rsidR="002070FA" w:rsidRPr="000A6F76" w:rsidRDefault="002070FA">
            <w:pPr>
              <w:pStyle w:val="NoSpacing"/>
              <w:spacing w:line="360" w:lineRule="auto"/>
              <w:jc w:val="both"/>
              <w:rPr>
                <w:sz w:val="20"/>
                <w:szCs w:val="20"/>
                <w:lang w:val="en-GB"/>
              </w:rPr>
            </w:pPr>
            <w:r w:rsidRPr="000A6F76">
              <w:rPr>
                <w:sz w:val="20"/>
                <w:szCs w:val="20"/>
                <w:lang w:val="en-GB"/>
              </w:rPr>
              <w:t>-5</w:t>
            </w:r>
            <w:r w:rsidR="00C476F1">
              <w:rPr>
                <w:sz w:val="20"/>
                <w:szCs w:val="20"/>
                <w:lang w:val="en-GB"/>
              </w:rPr>
              <w:t>4</w:t>
            </w:r>
            <w:r w:rsidRPr="000A6F76">
              <w:rPr>
                <w:sz w:val="20"/>
                <w:szCs w:val="20"/>
                <w:lang w:val="en-GB"/>
              </w:rPr>
              <w:t>.</w:t>
            </w:r>
            <w:r w:rsidR="00C476F1">
              <w:rPr>
                <w:sz w:val="20"/>
                <w:szCs w:val="20"/>
                <w:lang w:val="en-GB"/>
              </w:rPr>
              <w:t>1</w:t>
            </w:r>
            <w:r w:rsidRPr="000A6F76">
              <w:rPr>
                <w:sz w:val="20"/>
                <w:szCs w:val="20"/>
                <w:lang w:val="en-GB"/>
              </w:rPr>
              <w:t xml:space="preserve"> (-4</w:t>
            </w:r>
            <w:r w:rsidR="00C476F1">
              <w:rPr>
                <w:sz w:val="20"/>
                <w:szCs w:val="20"/>
                <w:lang w:val="en-GB"/>
              </w:rPr>
              <w:t>3</w:t>
            </w:r>
            <w:r w:rsidRPr="000A6F76">
              <w:rPr>
                <w:sz w:val="20"/>
                <w:szCs w:val="20"/>
                <w:lang w:val="en-GB"/>
              </w:rPr>
              <w:t>.</w:t>
            </w:r>
            <w:r w:rsidR="00C476F1">
              <w:rPr>
                <w:sz w:val="20"/>
                <w:szCs w:val="20"/>
                <w:lang w:val="en-GB"/>
              </w:rPr>
              <w:t>3</w:t>
            </w:r>
            <w:r w:rsidRPr="000A6F76">
              <w:rPr>
                <w:sz w:val="20"/>
                <w:szCs w:val="20"/>
                <w:lang w:val="en-GB"/>
              </w:rPr>
              <w:t xml:space="preserve"> – -65.</w:t>
            </w:r>
            <w:r w:rsidR="00C476F1">
              <w:rPr>
                <w:sz w:val="20"/>
                <w:szCs w:val="20"/>
                <w:lang w:val="en-GB"/>
              </w:rPr>
              <w:t>8</w:t>
            </w:r>
            <w:r w:rsidRPr="000A6F76">
              <w:rPr>
                <w:sz w:val="20"/>
                <w:szCs w:val="20"/>
                <w:lang w:val="en-GB"/>
              </w:rPr>
              <w:t xml:space="preserve">) </w:t>
            </w:r>
          </w:p>
        </w:tc>
        <w:tc>
          <w:tcPr>
            <w:tcW w:w="3067" w:type="dxa"/>
          </w:tcPr>
          <w:p w14:paraId="42E8BF68" w14:textId="2794DF27" w:rsidR="002070FA" w:rsidRPr="000A6F76" w:rsidRDefault="001176B7" w:rsidP="002070FA">
            <w:pPr>
              <w:pStyle w:val="NoSpacing"/>
              <w:spacing w:line="360" w:lineRule="auto"/>
              <w:jc w:val="both"/>
              <w:rPr>
                <w:sz w:val="20"/>
                <w:szCs w:val="20"/>
                <w:lang w:val="en-GB"/>
              </w:rPr>
            </w:pPr>
            <w:r>
              <w:rPr>
                <w:sz w:val="20"/>
                <w:szCs w:val="20"/>
                <w:lang w:val="en-GB"/>
              </w:rPr>
              <w:t>4</w:t>
            </w:r>
            <w:r w:rsidR="002070FA" w:rsidRPr="000A6F76">
              <w:rPr>
                <w:sz w:val="20"/>
                <w:szCs w:val="20"/>
                <w:lang w:val="en-GB"/>
              </w:rPr>
              <w:t>.</w:t>
            </w:r>
            <w:r>
              <w:rPr>
                <w:sz w:val="20"/>
                <w:szCs w:val="20"/>
                <w:lang w:val="en-GB"/>
              </w:rPr>
              <w:t>9</w:t>
            </w:r>
            <w:r w:rsidR="002070FA" w:rsidRPr="000A6F76">
              <w:rPr>
                <w:sz w:val="20"/>
                <w:szCs w:val="20"/>
                <w:lang w:val="en-GB"/>
              </w:rPr>
              <w:t xml:space="preserve"> (-20.</w:t>
            </w:r>
            <w:r>
              <w:rPr>
                <w:sz w:val="20"/>
                <w:szCs w:val="20"/>
                <w:lang w:val="en-GB"/>
              </w:rPr>
              <w:t>8</w:t>
            </w:r>
            <w:r w:rsidR="002070FA" w:rsidRPr="000A6F76">
              <w:rPr>
                <w:sz w:val="20"/>
                <w:szCs w:val="20"/>
                <w:lang w:val="en-GB"/>
              </w:rPr>
              <w:t xml:space="preserve"> – </w:t>
            </w:r>
            <w:r>
              <w:rPr>
                <w:sz w:val="20"/>
                <w:szCs w:val="20"/>
                <w:lang w:val="en-GB"/>
              </w:rPr>
              <w:t>27</w:t>
            </w:r>
            <w:r w:rsidR="002070FA" w:rsidRPr="000A6F76">
              <w:rPr>
                <w:sz w:val="20"/>
                <w:szCs w:val="20"/>
                <w:lang w:val="en-GB"/>
              </w:rPr>
              <w:t>.5)</w:t>
            </w:r>
          </w:p>
        </w:tc>
      </w:tr>
    </w:tbl>
    <w:p w14:paraId="422FFF36" w14:textId="642914CF" w:rsidR="001448F2" w:rsidRPr="000A6F76" w:rsidRDefault="00D33C08" w:rsidP="00650BA5">
      <w:pPr>
        <w:pStyle w:val="NoSpacing"/>
        <w:spacing w:line="360" w:lineRule="auto"/>
        <w:jc w:val="both"/>
        <w:rPr>
          <w:b/>
          <w:lang w:val="en-GB"/>
        </w:rPr>
      </w:pPr>
      <w:r w:rsidRPr="000A6F76">
        <w:rPr>
          <w:b/>
          <w:lang w:val="en-GB"/>
        </w:rPr>
        <w:t>B</w:t>
      </w:r>
    </w:p>
    <w:tbl>
      <w:tblPr>
        <w:tblStyle w:val="TableGrid"/>
        <w:tblW w:w="0" w:type="auto"/>
        <w:tblLook w:val="04A0" w:firstRow="1" w:lastRow="0" w:firstColumn="1" w:lastColumn="0" w:noHBand="0" w:noVBand="1"/>
      </w:tblPr>
      <w:tblGrid>
        <w:gridCol w:w="2972"/>
        <w:gridCol w:w="1007"/>
        <w:gridCol w:w="1007"/>
        <w:gridCol w:w="1008"/>
        <w:gridCol w:w="1007"/>
        <w:gridCol w:w="1007"/>
        <w:gridCol w:w="1008"/>
      </w:tblGrid>
      <w:tr w:rsidR="00914049" w:rsidRPr="001176B7" w14:paraId="5F49AB87" w14:textId="77777777" w:rsidTr="000F189E">
        <w:trPr>
          <w:trHeight w:hRule="exact" w:val="284"/>
        </w:trPr>
        <w:tc>
          <w:tcPr>
            <w:tcW w:w="2972" w:type="dxa"/>
            <w:shd w:val="clear" w:color="auto" w:fill="BFBFBF" w:themeFill="background1" w:themeFillShade="BF"/>
          </w:tcPr>
          <w:p w14:paraId="1CFA9489" w14:textId="3AA47F68" w:rsidR="00914049" w:rsidRPr="000A6F76" w:rsidRDefault="00914049" w:rsidP="00AA3C33">
            <w:pPr>
              <w:pStyle w:val="NoSpacing"/>
              <w:spacing w:line="360" w:lineRule="auto"/>
              <w:jc w:val="both"/>
              <w:rPr>
                <w:b/>
                <w:sz w:val="20"/>
                <w:szCs w:val="20"/>
                <w:lang w:val="en-GB"/>
              </w:rPr>
            </w:pPr>
          </w:p>
        </w:tc>
        <w:tc>
          <w:tcPr>
            <w:tcW w:w="3022" w:type="dxa"/>
            <w:gridSpan w:val="3"/>
            <w:shd w:val="clear" w:color="auto" w:fill="BFBFBF" w:themeFill="background1" w:themeFillShade="BF"/>
          </w:tcPr>
          <w:p w14:paraId="5421028B" w14:textId="0AD4FF0B" w:rsidR="00914049" w:rsidRPr="000A6F76" w:rsidRDefault="00E35FBB" w:rsidP="00914049">
            <w:pPr>
              <w:pStyle w:val="NoSpacing"/>
              <w:spacing w:line="360" w:lineRule="auto"/>
              <w:jc w:val="both"/>
              <w:rPr>
                <w:b/>
                <w:sz w:val="20"/>
                <w:szCs w:val="20"/>
                <w:lang w:val="en-GB"/>
              </w:rPr>
            </w:pPr>
            <w:r w:rsidRPr="000A6F76">
              <w:rPr>
                <w:b/>
                <w:sz w:val="20"/>
                <w:szCs w:val="20"/>
                <w:lang w:val="en-GB"/>
              </w:rPr>
              <w:t>Published model</w:t>
            </w:r>
          </w:p>
        </w:tc>
        <w:tc>
          <w:tcPr>
            <w:tcW w:w="3022" w:type="dxa"/>
            <w:gridSpan w:val="3"/>
            <w:shd w:val="clear" w:color="auto" w:fill="BFBFBF" w:themeFill="background1" w:themeFillShade="BF"/>
          </w:tcPr>
          <w:p w14:paraId="116B5FDF" w14:textId="2A72B974" w:rsidR="00914049" w:rsidRPr="000A6F76" w:rsidRDefault="00E35FBB">
            <w:pPr>
              <w:pStyle w:val="NoSpacing"/>
              <w:spacing w:line="360" w:lineRule="auto"/>
              <w:jc w:val="both"/>
              <w:rPr>
                <w:b/>
                <w:sz w:val="20"/>
                <w:szCs w:val="20"/>
                <w:lang w:val="en-GB"/>
              </w:rPr>
            </w:pPr>
            <w:r w:rsidRPr="000A6F76">
              <w:rPr>
                <w:b/>
                <w:sz w:val="20"/>
                <w:szCs w:val="20"/>
                <w:lang w:val="en-GB"/>
              </w:rPr>
              <w:t>Novel model</w:t>
            </w:r>
          </w:p>
        </w:tc>
      </w:tr>
      <w:tr w:rsidR="00914049" w:rsidRPr="000A6F76" w14:paraId="3E8C5161" w14:textId="77777777" w:rsidTr="000F189E">
        <w:trPr>
          <w:trHeight w:hRule="exact" w:val="284"/>
        </w:trPr>
        <w:tc>
          <w:tcPr>
            <w:tcW w:w="2972" w:type="dxa"/>
            <w:shd w:val="clear" w:color="auto" w:fill="E7E6E6" w:themeFill="background2"/>
          </w:tcPr>
          <w:p w14:paraId="6CCB5DA8" w14:textId="463C949F" w:rsidR="00914049" w:rsidRPr="000A6F76" w:rsidRDefault="00914049" w:rsidP="00AA3C33">
            <w:pPr>
              <w:pStyle w:val="NoSpacing"/>
              <w:spacing w:line="360" w:lineRule="auto"/>
              <w:jc w:val="both"/>
              <w:rPr>
                <w:b/>
                <w:sz w:val="20"/>
                <w:szCs w:val="20"/>
                <w:lang w:val="en-GB"/>
              </w:rPr>
            </w:pPr>
            <w:r w:rsidRPr="000A6F76">
              <w:rPr>
                <w:b/>
                <w:sz w:val="20"/>
                <w:szCs w:val="20"/>
                <w:lang w:val="en-GB"/>
              </w:rPr>
              <w:t>All patients</w:t>
            </w:r>
          </w:p>
        </w:tc>
        <w:tc>
          <w:tcPr>
            <w:tcW w:w="1007" w:type="dxa"/>
            <w:shd w:val="clear" w:color="auto" w:fill="E7E6E6" w:themeFill="background2"/>
          </w:tcPr>
          <w:p w14:paraId="5639F08D" w14:textId="2E0D5C75" w:rsidR="00914049" w:rsidRPr="000A6F76" w:rsidRDefault="00C81784" w:rsidP="00AA3C33">
            <w:pPr>
              <w:pStyle w:val="NoSpacing"/>
              <w:spacing w:line="360" w:lineRule="auto"/>
              <w:jc w:val="both"/>
              <w:rPr>
                <w:i/>
                <w:sz w:val="20"/>
                <w:szCs w:val="20"/>
                <w:lang w:val="en-GB"/>
              </w:rPr>
            </w:pPr>
            <w:r w:rsidRPr="000A6F76">
              <w:rPr>
                <w:i/>
                <w:sz w:val="20"/>
                <w:szCs w:val="20"/>
                <w:lang w:val="en-GB"/>
              </w:rPr>
              <w:t>Peak</w:t>
            </w:r>
          </w:p>
        </w:tc>
        <w:tc>
          <w:tcPr>
            <w:tcW w:w="1007" w:type="dxa"/>
            <w:shd w:val="clear" w:color="auto" w:fill="E7E6E6" w:themeFill="background2"/>
          </w:tcPr>
          <w:p w14:paraId="07CE37BA" w14:textId="3DDC7877" w:rsidR="00914049" w:rsidRPr="000A6F76" w:rsidRDefault="00295D44" w:rsidP="00AA3C33">
            <w:pPr>
              <w:pStyle w:val="NoSpacing"/>
              <w:spacing w:line="360" w:lineRule="auto"/>
              <w:jc w:val="both"/>
              <w:rPr>
                <w:i/>
                <w:sz w:val="20"/>
                <w:szCs w:val="20"/>
                <w:lang w:val="en-GB"/>
              </w:rPr>
            </w:pPr>
            <w:r w:rsidRPr="000A6F76">
              <w:rPr>
                <w:i/>
                <w:sz w:val="20"/>
                <w:szCs w:val="20"/>
                <w:lang w:val="en-GB"/>
              </w:rPr>
              <w:t>Mid</w:t>
            </w:r>
          </w:p>
        </w:tc>
        <w:tc>
          <w:tcPr>
            <w:tcW w:w="1008" w:type="dxa"/>
            <w:shd w:val="clear" w:color="auto" w:fill="E7E6E6" w:themeFill="background2"/>
          </w:tcPr>
          <w:p w14:paraId="0D3CA0A2" w14:textId="1AB0A293" w:rsidR="00914049" w:rsidRPr="000A6F76" w:rsidRDefault="00295D44" w:rsidP="00AA3C33">
            <w:pPr>
              <w:pStyle w:val="NoSpacing"/>
              <w:spacing w:line="360" w:lineRule="auto"/>
              <w:jc w:val="both"/>
              <w:rPr>
                <w:i/>
                <w:sz w:val="20"/>
                <w:szCs w:val="20"/>
                <w:lang w:val="en-GB"/>
              </w:rPr>
            </w:pPr>
            <w:r w:rsidRPr="000A6F76">
              <w:rPr>
                <w:i/>
                <w:sz w:val="20"/>
                <w:szCs w:val="20"/>
                <w:lang w:val="en-GB"/>
              </w:rPr>
              <w:t>Trough</w:t>
            </w:r>
          </w:p>
        </w:tc>
        <w:tc>
          <w:tcPr>
            <w:tcW w:w="1007" w:type="dxa"/>
            <w:shd w:val="clear" w:color="auto" w:fill="E7E6E6" w:themeFill="background2"/>
          </w:tcPr>
          <w:p w14:paraId="69EB13F5" w14:textId="7E66EBC8" w:rsidR="00914049" w:rsidRPr="000A6F76" w:rsidRDefault="00C81784" w:rsidP="00AA3C33">
            <w:pPr>
              <w:pStyle w:val="NoSpacing"/>
              <w:spacing w:line="360" w:lineRule="auto"/>
              <w:jc w:val="both"/>
              <w:rPr>
                <w:i/>
                <w:sz w:val="20"/>
                <w:szCs w:val="20"/>
                <w:lang w:val="en-GB"/>
              </w:rPr>
            </w:pPr>
            <w:r w:rsidRPr="000A6F76">
              <w:rPr>
                <w:i/>
                <w:sz w:val="20"/>
                <w:szCs w:val="20"/>
                <w:lang w:val="en-GB"/>
              </w:rPr>
              <w:t>Peak</w:t>
            </w:r>
          </w:p>
        </w:tc>
        <w:tc>
          <w:tcPr>
            <w:tcW w:w="1007" w:type="dxa"/>
            <w:shd w:val="clear" w:color="auto" w:fill="E7E6E6" w:themeFill="background2"/>
          </w:tcPr>
          <w:p w14:paraId="7A69852D" w14:textId="65FD78DD" w:rsidR="00914049" w:rsidRPr="000A6F76" w:rsidRDefault="00295D44" w:rsidP="00AA3C33">
            <w:pPr>
              <w:pStyle w:val="NoSpacing"/>
              <w:spacing w:line="360" w:lineRule="auto"/>
              <w:jc w:val="both"/>
              <w:rPr>
                <w:i/>
                <w:sz w:val="20"/>
                <w:szCs w:val="20"/>
                <w:lang w:val="en-GB"/>
              </w:rPr>
            </w:pPr>
            <w:r w:rsidRPr="000A6F76">
              <w:rPr>
                <w:i/>
                <w:sz w:val="20"/>
                <w:szCs w:val="20"/>
                <w:lang w:val="en-GB"/>
              </w:rPr>
              <w:t>Mid</w:t>
            </w:r>
          </w:p>
        </w:tc>
        <w:tc>
          <w:tcPr>
            <w:tcW w:w="1008" w:type="dxa"/>
            <w:shd w:val="clear" w:color="auto" w:fill="E7E6E6" w:themeFill="background2"/>
          </w:tcPr>
          <w:p w14:paraId="135EFFE9" w14:textId="43BA8B52" w:rsidR="00914049" w:rsidRPr="000A6F76" w:rsidRDefault="00295D44" w:rsidP="00AA3C33">
            <w:pPr>
              <w:pStyle w:val="NoSpacing"/>
              <w:spacing w:line="360" w:lineRule="auto"/>
              <w:jc w:val="both"/>
              <w:rPr>
                <w:i/>
                <w:sz w:val="20"/>
                <w:szCs w:val="20"/>
                <w:lang w:val="en-GB"/>
              </w:rPr>
            </w:pPr>
            <w:r w:rsidRPr="000A6F76">
              <w:rPr>
                <w:i/>
                <w:sz w:val="20"/>
                <w:szCs w:val="20"/>
                <w:lang w:val="en-GB"/>
              </w:rPr>
              <w:t>Trough</w:t>
            </w:r>
          </w:p>
        </w:tc>
      </w:tr>
      <w:tr w:rsidR="00914049" w:rsidRPr="003441B0" w14:paraId="3C06F227" w14:textId="77777777" w:rsidTr="00AA3C33">
        <w:trPr>
          <w:trHeight w:hRule="exact" w:val="284"/>
        </w:trPr>
        <w:tc>
          <w:tcPr>
            <w:tcW w:w="2972" w:type="dxa"/>
          </w:tcPr>
          <w:p w14:paraId="68C00636" w14:textId="77777777" w:rsidR="00914049" w:rsidRPr="000A6F76" w:rsidRDefault="00914049" w:rsidP="00AA3C33">
            <w:pPr>
              <w:pStyle w:val="NoSpacing"/>
              <w:spacing w:line="360" w:lineRule="auto"/>
              <w:jc w:val="both"/>
              <w:rPr>
                <w:sz w:val="20"/>
                <w:szCs w:val="20"/>
                <w:lang w:val="en-GB"/>
              </w:rPr>
            </w:pPr>
            <w:r w:rsidRPr="000A6F76">
              <w:rPr>
                <w:sz w:val="20"/>
                <w:szCs w:val="20"/>
                <w:lang w:val="en-GB"/>
              </w:rPr>
              <w:t>IPRED RMSE + SD (IU/</w:t>
            </w:r>
            <w:proofErr w:type="spellStart"/>
            <w:r w:rsidRPr="000A6F76">
              <w:rPr>
                <w:sz w:val="20"/>
                <w:szCs w:val="20"/>
                <w:lang w:val="en-GB"/>
              </w:rPr>
              <w:t>dL</w:t>
            </w:r>
            <w:proofErr w:type="spellEnd"/>
            <w:r w:rsidRPr="000A6F76">
              <w:rPr>
                <w:sz w:val="20"/>
                <w:szCs w:val="20"/>
                <w:lang w:val="en-GB"/>
              </w:rPr>
              <w:t>)</w:t>
            </w:r>
          </w:p>
        </w:tc>
        <w:tc>
          <w:tcPr>
            <w:tcW w:w="1007" w:type="dxa"/>
          </w:tcPr>
          <w:p w14:paraId="4452CBC6" w14:textId="11BF7493" w:rsidR="00914049" w:rsidRPr="000A6F76" w:rsidRDefault="00C47D96" w:rsidP="00AA3C33">
            <w:pPr>
              <w:pStyle w:val="NoSpacing"/>
              <w:spacing w:line="360" w:lineRule="auto"/>
              <w:jc w:val="both"/>
              <w:rPr>
                <w:sz w:val="20"/>
                <w:szCs w:val="20"/>
                <w:lang w:val="en-GB"/>
              </w:rPr>
            </w:pPr>
            <w:r>
              <w:rPr>
                <w:sz w:val="20"/>
                <w:szCs w:val="20"/>
                <w:lang w:val="en-GB"/>
              </w:rPr>
              <w:t>3</w:t>
            </w:r>
            <w:r w:rsidR="008A4A32" w:rsidRPr="000A6F76">
              <w:rPr>
                <w:sz w:val="20"/>
                <w:szCs w:val="20"/>
                <w:lang w:val="en-GB"/>
              </w:rPr>
              <w:t>.0 (</w:t>
            </w:r>
            <w:r>
              <w:rPr>
                <w:sz w:val="20"/>
                <w:szCs w:val="20"/>
                <w:lang w:val="en-GB"/>
              </w:rPr>
              <w:t>2</w:t>
            </w:r>
            <w:r w:rsidR="008A4A32" w:rsidRPr="000A6F76">
              <w:rPr>
                <w:sz w:val="20"/>
                <w:szCs w:val="20"/>
                <w:lang w:val="en-GB"/>
              </w:rPr>
              <w:t>.</w:t>
            </w:r>
            <w:r>
              <w:rPr>
                <w:sz w:val="20"/>
                <w:szCs w:val="20"/>
                <w:lang w:val="en-GB"/>
              </w:rPr>
              <w:t>8</w:t>
            </w:r>
            <w:r w:rsidR="00B278E7" w:rsidRPr="000A6F76">
              <w:rPr>
                <w:sz w:val="20"/>
                <w:szCs w:val="20"/>
                <w:lang w:val="en-GB"/>
              </w:rPr>
              <w:t>)</w:t>
            </w:r>
          </w:p>
        </w:tc>
        <w:tc>
          <w:tcPr>
            <w:tcW w:w="1007" w:type="dxa"/>
          </w:tcPr>
          <w:p w14:paraId="376056C1" w14:textId="18AC172F" w:rsidR="00914049" w:rsidRPr="000A6F76" w:rsidRDefault="00C47D96" w:rsidP="00AA3C33">
            <w:pPr>
              <w:pStyle w:val="NoSpacing"/>
              <w:spacing w:line="360" w:lineRule="auto"/>
              <w:jc w:val="both"/>
              <w:rPr>
                <w:sz w:val="20"/>
                <w:szCs w:val="20"/>
                <w:lang w:val="en-GB"/>
              </w:rPr>
            </w:pPr>
            <w:r>
              <w:rPr>
                <w:sz w:val="20"/>
                <w:szCs w:val="20"/>
                <w:lang w:val="en-GB"/>
              </w:rPr>
              <w:t>1</w:t>
            </w:r>
            <w:r w:rsidR="00386DB5" w:rsidRPr="000A6F76">
              <w:rPr>
                <w:sz w:val="20"/>
                <w:szCs w:val="20"/>
                <w:lang w:val="en-GB"/>
              </w:rPr>
              <w:t>.</w:t>
            </w:r>
            <w:r>
              <w:rPr>
                <w:sz w:val="20"/>
                <w:szCs w:val="20"/>
                <w:lang w:val="en-GB"/>
              </w:rPr>
              <w:t>7</w:t>
            </w:r>
            <w:r w:rsidR="00386DB5" w:rsidRPr="000A6F76">
              <w:rPr>
                <w:sz w:val="20"/>
                <w:szCs w:val="20"/>
                <w:lang w:val="en-GB"/>
              </w:rPr>
              <w:t xml:space="preserve"> (</w:t>
            </w:r>
            <w:r>
              <w:rPr>
                <w:sz w:val="20"/>
                <w:szCs w:val="20"/>
                <w:lang w:val="en-GB"/>
              </w:rPr>
              <w:t>1.2</w:t>
            </w:r>
            <w:r w:rsidR="00B278E7" w:rsidRPr="000A6F76">
              <w:rPr>
                <w:sz w:val="20"/>
                <w:szCs w:val="20"/>
                <w:lang w:val="en-GB"/>
              </w:rPr>
              <w:t>)</w:t>
            </w:r>
          </w:p>
        </w:tc>
        <w:tc>
          <w:tcPr>
            <w:tcW w:w="1008" w:type="dxa"/>
          </w:tcPr>
          <w:p w14:paraId="05ECEC34" w14:textId="78F655B7" w:rsidR="00914049" w:rsidRPr="000A6F76" w:rsidRDefault="003441B0" w:rsidP="00AA3C33">
            <w:pPr>
              <w:pStyle w:val="NoSpacing"/>
              <w:spacing w:line="360" w:lineRule="auto"/>
              <w:jc w:val="both"/>
              <w:rPr>
                <w:sz w:val="20"/>
                <w:szCs w:val="20"/>
                <w:lang w:val="en-GB"/>
              </w:rPr>
            </w:pPr>
            <w:r>
              <w:rPr>
                <w:sz w:val="20"/>
                <w:szCs w:val="20"/>
                <w:lang w:val="en-GB"/>
              </w:rPr>
              <w:t>0.5</w:t>
            </w:r>
            <w:r w:rsidR="00D33C08" w:rsidRPr="000A6F76">
              <w:rPr>
                <w:sz w:val="20"/>
                <w:szCs w:val="20"/>
                <w:lang w:val="en-GB"/>
              </w:rPr>
              <w:t xml:space="preserve"> (0.</w:t>
            </w:r>
            <w:r>
              <w:rPr>
                <w:sz w:val="20"/>
                <w:szCs w:val="20"/>
                <w:lang w:val="en-GB"/>
              </w:rPr>
              <w:t>5</w:t>
            </w:r>
            <w:r w:rsidR="00D33C08" w:rsidRPr="000A6F76">
              <w:rPr>
                <w:sz w:val="20"/>
                <w:szCs w:val="20"/>
                <w:lang w:val="en-GB"/>
              </w:rPr>
              <w:t>)</w:t>
            </w:r>
          </w:p>
        </w:tc>
        <w:tc>
          <w:tcPr>
            <w:tcW w:w="1007" w:type="dxa"/>
          </w:tcPr>
          <w:p w14:paraId="6D2E424E" w14:textId="360E721A" w:rsidR="00914049" w:rsidRPr="000A6F76" w:rsidRDefault="00797BD9" w:rsidP="00AA3C33">
            <w:pPr>
              <w:pStyle w:val="NoSpacing"/>
              <w:spacing w:line="360" w:lineRule="auto"/>
              <w:jc w:val="both"/>
              <w:rPr>
                <w:sz w:val="20"/>
                <w:szCs w:val="20"/>
                <w:lang w:val="en-GB"/>
              </w:rPr>
            </w:pPr>
            <w:r>
              <w:rPr>
                <w:sz w:val="20"/>
                <w:szCs w:val="20"/>
                <w:lang w:val="en-GB"/>
              </w:rPr>
              <w:t>3.8</w:t>
            </w:r>
            <w:r w:rsidR="00683831" w:rsidRPr="000A6F76">
              <w:rPr>
                <w:sz w:val="20"/>
                <w:szCs w:val="20"/>
                <w:lang w:val="en-GB"/>
              </w:rPr>
              <w:t xml:space="preserve"> (4.</w:t>
            </w:r>
            <w:r>
              <w:rPr>
                <w:sz w:val="20"/>
                <w:szCs w:val="20"/>
                <w:lang w:val="en-GB"/>
              </w:rPr>
              <w:t>3</w:t>
            </w:r>
            <w:r w:rsidR="008715C0" w:rsidRPr="000A6F76">
              <w:rPr>
                <w:sz w:val="20"/>
                <w:szCs w:val="20"/>
                <w:lang w:val="en-GB"/>
              </w:rPr>
              <w:t>)</w:t>
            </w:r>
          </w:p>
        </w:tc>
        <w:tc>
          <w:tcPr>
            <w:tcW w:w="1007" w:type="dxa"/>
          </w:tcPr>
          <w:p w14:paraId="22B2AC1D" w14:textId="172AFA22" w:rsidR="00914049" w:rsidRPr="000A6F76" w:rsidRDefault="00797BD9">
            <w:pPr>
              <w:pStyle w:val="NoSpacing"/>
              <w:spacing w:line="360" w:lineRule="auto"/>
              <w:jc w:val="both"/>
              <w:rPr>
                <w:sz w:val="20"/>
                <w:szCs w:val="20"/>
                <w:lang w:val="en-GB"/>
              </w:rPr>
            </w:pPr>
            <w:r>
              <w:rPr>
                <w:sz w:val="20"/>
                <w:szCs w:val="20"/>
                <w:lang w:val="en-GB"/>
              </w:rPr>
              <w:t>2.1</w:t>
            </w:r>
            <w:r w:rsidR="00683831" w:rsidRPr="000A6F76">
              <w:rPr>
                <w:sz w:val="20"/>
                <w:szCs w:val="20"/>
                <w:lang w:val="en-GB"/>
              </w:rPr>
              <w:t xml:space="preserve"> (2</w:t>
            </w:r>
            <w:r>
              <w:rPr>
                <w:sz w:val="20"/>
                <w:szCs w:val="20"/>
                <w:lang w:val="en-GB"/>
              </w:rPr>
              <w:t>.0</w:t>
            </w:r>
            <w:r w:rsidR="008715C0" w:rsidRPr="000A6F76">
              <w:rPr>
                <w:sz w:val="20"/>
                <w:szCs w:val="20"/>
                <w:lang w:val="en-GB"/>
              </w:rPr>
              <w:t>)</w:t>
            </w:r>
          </w:p>
        </w:tc>
        <w:tc>
          <w:tcPr>
            <w:tcW w:w="1008" w:type="dxa"/>
          </w:tcPr>
          <w:p w14:paraId="0C9B4732" w14:textId="06E1B682" w:rsidR="00914049" w:rsidRPr="000A6F76" w:rsidRDefault="00797BD9" w:rsidP="00AA3C33">
            <w:pPr>
              <w:pStyle w:val="NoSpacing"/>
              <w:spacing w:line="360" w:lineRule="auto"/>
              <w:jc w:val="both"/>
              <w:rPr>
                <w:sz w:val="20"/>
                <w:szCs w:val="20"/>
                <w:lang w:val="en-GB"/>
              </w:rPr>
            </w:pPr>
            <w:r>
              <w:rPr>
                <w:sz w:val="20"/>
                <w:szCs w:val="20"/>
                <w:lang w:val="en-GB"/>
              </w:rPr>
              <w:t>0.6</w:t>
            </w:r>
            <w:r w:rsidR="008715C0" w:rsidRPr="000A6F76">
              <w:rPr>
                <w:sz w:val="20"/>
                <w:szCs w:val="20"/>
                <w:lang w:val="en-GB"/>
              </w:rPr>
              <w:t xml:space="preserve"> (0.</w:t>
            </w:r>
            <w:r>
              <w:rPr>
                <w:sz w:val="20"/>
                <w:szCs w:val="20"/>
                <w:lang w:val="en-GB"/>
              </w:rPr>
              <w:t>5</w:t>
            </w:r>
            <w:r w:rsidR="008715C0" w:rsidRPr="000A6F76">
              <w:rPr>
                <w:sz w:val="20"/>
                <w:szCs w:val="20"/>
                <w:lang w:val="en-GB"/>
              </w:rPr>
              <w:t>)</w:t>
            </w:r>
          </w:p>
        </w:tc>
      </w:tr>
      <w:tr w:rsidR="00295D44" w:rsidRPr="003441B0" w14:paraId="60C44AEA" w14:textId="77777777" w:rsidTr="000F189E">
        <w:trPr>
          <w:trHeight w:hRule="exact" w:val="284"/>
        </w:trPr>
        <w:tc>
          <w:tcPr>
            <w:tcW w:w="2972" w:type="dxa"/>
            <w:shd w:val="clear" w:color="auto" w:fill="E7E6E6" w:themeFill="background2"/>
          </w:tcPr>
          <w:p w14:paraId="37689A42" w14:textId="4266081E" w:rsidR="00295D44" w:rsidRPr="000A6F76" w:rsidRDefault="00295D44" w:rsidP="00295D44">
            <w:pPr>
              <w:pStyle w:val="NoSpacing"/>
              <w:spacing w:line="360" w:lineRule="auto"/>
              <w:jc w:val="both"/>
              <w:rPr>
                <w:b/>
                <w:sz w:val="20"/>
                <w:szCs w:val="20"/>
                <w:lang w:val="en-GB"/>
              </w:rPr>
            </w:pPr>
            <w:r w:rsidRPr="000A6F76">
              <w:rPr>
                <w:b/>
                <w:sz w:val="20"/>
                <w:szCs w:val="20"/>
                <w:lang w:val="en-GB"/>
              </w:rPr>
              <w:t>Children &lt;12 years</w:t>
            </w:r>
          </w:p>
        </w:tc>
        <w:tc>
          <w:tcPr>
            <w:tcW w:w="1007" w:type="dxa"/>
            <w:shd w:val="clear" w:color="auto" w:fill="E7E6E6" w:themeFill="background2"/>
          </w:tcPr>
          <w:p w14:paraId="42F2B356" w14:textId="4C99ADCD" w:rsidR="00295D44" w:rsidRPr="000A6F76" w:rsidRDefault="00C81784" w:rsidP="00295D44">
            <w:pPr>
              <w:pStyle w:val="NoSpacing"/>
              <w:spacing w:line="360" w:lineRule="auto"/>
              <w:jc w:val="both"/>
              <w:rPr>
                <w:sz w:val="20"/>
                <w:szCs w:val="20"/>
                <w:lang w:val="en-GB"/>
              </w:rPr>
            </w:pPr>
            <w:r w:rsidRPr="000A6F76">
              <w:rPr>
                <w:i/>
                <w:sz w:val="20"/>
                <w:szCs w:val="20"/>
                <w:lang w:val="en-GB"/>
              </w:rPr>
              <w:t>Peak</w:t>
            </w:r>
          </w:p>
        </w:tc>
        <w:tc>
          <w:tcPr>
            <w:tcW w:w="1007" w:type="dxa"/>
            <w:shd w:val="clear" w:color="auto" w:fill="E7E6E6" w:themeFill="background2"/>
          </w:tcPr>
          <w:p w14:paraId="73D6D084" w14:textId="66C39BBE" w:rsidR="00295D44" w:rsidRPr="000A6F76" w:rsidRDefault="00295D44" w:rsidP="00295D44">
            <w:pPr>
              <w:pStyle w:val="NoSpacing"/>
              <w:spacing w:line="360" w:lineRule="auto"/>
              <w:jc w:val="both"/>
              <w:rPr>
                <w:sz w:val="20"/>
                <w:szCs w:val="20"/>
                <w:lang w:val="en-GB"/>
              </w:rPr>
            </w:pPr>
            <w:r w:rsidRPr="000A6F76">
              <w:rPr>
                <w:i/>
                <w:sz w:val="20"/>
                <w:szCs w:val="20"/>
                <w:lang w:val="en-GB"/>
              </w:rPr>
              <w:t>Mid</w:t>
            </w:r>
          </w:p>
        </w:tc>
        <w:tc>
          <w:tcPr>
            <w:tcW w:w="1008" w:type="dxa"/>
            <w:shd w:val="clear" w:color="auto" w:fill="E7E6E6" w:themeFill="background2"/>
          </w:tcPr>
          <w:p w14:paraId="130A55D6" w14:textId="793ABE1B" w:rsidR="00295D44" w:rsidRPr="000A6F76" w:rsidRDefault="00295D44" w:rsidP="00295D44">
            <w:pPr>
              <w:pStyle w:val="NoSpacing"/>
              <w:spacing w:line="360" w:lineRule="auto"/>
              <w:jc w:val="both"/>
              <w:rPr>
                <w:sz w:val="20"/>
                <w:szCs w:val="20"/>
                <w:lang w:val="en-GB"/>
              </w:rPr>
            </w:pPr>
            <w:r w:rsidRPr="000A6F76">
              <w:rPr>
                <w:i/>
                <w:sz w:val="20"/>
                <w:szCs w:val="20"/>
                <w:lang w:val="en-GB"/>
              </w:rPr>
              <w:t>Trough</w:t>
            </w:r>
          </w:p>
        </w:tc>
        <w:tc>
          <w:tcPr>
            <w:tcW w:w="1007" w:type="dxa"/>
            <w:shd w:val="clear" w:color="auto" w:fill="E7E6E6" w:themeFill="background2"/>
          </w:tcPr>
          <w:p w14:paraId="0E8BAC37" w14:textId="6094D4BA" w:rsidR="00295D44" w:rsidRPr="000A6F76" w:rsidRDefault="00C81784" w:rsidP="00295D44">
            <w:pPr>
              <w:pStyle w:val="NoSpacing"/>
              <w:spacing w:line="360" w:lineRule="auto"/>
              <w:jc w:val="both"/>
              <w:rPr>
                <w:sz w:val="20"/>
                <w:szCs w:val="20"/>
                <w:lang w:val="en-GB"/>
              </w:rPr>
            </w:pPr>
            <w:r w:rsidRPr="000A6F76">
              <w:rPr>
                <w:i/>
                <w:sz w:val="20"/>
                <w:szCs w:val="20"/>
                <w:lang w:val="en-GB"/>
              </w:rPr>
              <w:t>Peak</w:t>
            </w:r>
          </w:p>
        </w:tc>
        <w:tc>
          <w:tcPr>
            <w:tcW w:w="1007" w:type="dxa"/>
            <w:shd w:val="clear" w:color="auto" w:fill="E7E6E6" w:themeFill="background2"/>
          </w:tcPr>
          <w:p w14:paraId="1F5A79AC" w14:textId="48F2BD40" w:rsidR="00295D44" w:rsidRPr="000A6F76" w:rsidRDefault="00295D44" w:rsidP="00295D44">
            <w:pPr>
              <w:pStyle w:val="NoSpacing"/>
              <w:spacing w:line="360" w:lineRule="auto"/>
              <w:jc w:val="both"/>
              <w:rPr>
                <w:sz w:val="20"/>
                <w:szCs w:val="20"/>
                <w:lang w:val="en-GB"/>
              </w:rPr>
            </w:pPr>
            <w:r w:rsidRPr="000A6F76">
              <w:rPr>
                <w:i/>
                <w:sz w:val="20"/>
                <w:szCs w:val="20"/>
                <w:lang w:val="en-GB"/>
              </w:rPr>
              <w:t>Mid</w:t>
            </w:r>
          </w:p>
        </w:tc>
        <w:tc>
          <w:tcPr>
            <w:tcW w:w="1008" w:type="dxa"/>
            <w:shd w:val="clear" w:color="auto" w:fill="E7E6E6" w:themeFill="background2"/>
          </w:tcPr>
          <w:p w14:paraId="6CFA7E18" w14:textId="2353093B" w:rsidR="00295D44" w:rsidRPr="000A6F76" w:rsidRDefault="00295D44" w:rsidP="00295D44">
            <w:pPr>
              <w:pStyle w:val="NoSpacing"/>
              <w:spacing w:line="360" w:lineRule="auto"/>
              <w:jc w:val="both"/>
              <w:rPr>
                <w:sz w:val="20"/>
                <w:szCs w:val="20"/>
                <w:lang w:val="en-GB"/>
              </w:rPr>
            </w:pPr>
            <w:r w:rsidRPr="000A6F76">
              <w:rPr>
                <w:i/>
                <w:sz w:val="20"/>
                <w:szCs w:val="20"/>
                <w:lang w:val="en-GB"/>
              </w:rPr>
              <w:t>Trough</w:t>
            </w:r>
          </w:p>
        </w:tc>
      </w:tr>
      <w:tr w:rsidR="001009AE" w:rsidRPr="003441B0" w14:paraId="0AD932EE" w14:textId="77777777" w:rsidTr="00AA3C33">
        <w:trPr>
          <w:trHeight w:hRule="exact" w:val="284"/>
        </w:trPr>
        <w:tc>
          <w:tcPr>
            <w:tcW w:w="2972" w:type="dxa"/>
          </w:tcPr>
          <w:p w14:paraId="657AD7EF" w14:textId="1065282E" w:rsidR="001009AE" w:rsidRPr="000A6F76" w:rsidRDefault="001009AE" w:rsidP="001009AE">
            <w:pPr>
              <w:pStyle w:val="NoSpacing"/>
              <w:spacing w:line="360" w:lineRule="auto"/>
              <w:jc w:val="both"/>
              <w:rPr>
                <w:sz w:val="20"/>
                <w:szCs w:val="20"/>
                <w:lang w:val="en-GB"/>
              </w:rPr>
            </w:pPr>
            <w:r w:rsidRPr="000A6F76">
              <w:rPr>
                <w:sz w:val="20"/>
                <w:szCs w:val="20"/>
                <w:lang w:val="en-GB"/>
              </w:rPr>
              <w:t>IPRED RMSE + SD (IU/</w:t>
            </w:r>
            <w:proofErr w:type="spellStart"/>
            <w:r w:rsidRPr="000A6F76">
              <w:rPr>
                <w:sz w:val="20"/>
                <w:szCs w:val="20"/>
                <w:lang w:val="en-GB"/>
              </w:rPr>
              <w:t>dL</w:t>
            </w:r>
            <w:proofErr w:type="spellEnd"/>
            <w:r w:rsidRPr="000A6F76">
              <w:rPr>
                <w:sz w:val="20"/>
                <w:szCs w:val="20"/>
                <w:lang w:val="en-GB"/>
              </w:rPr>
              <w:t>)</w:t>
            </w:r>
          </w:p>
        </w:tc>
        <w:tc>
          <w:tcPr>
            <w:tcW w:w="1007" w:type="dxa"/>
          </w:tcPr>
          <w:p w14:paraId="34BADF5D" w14:textId="6C5B2FF9" w:rsidR="001009AE" w:rsidRPr="000A6F76" w:rsidRDefault="003441B0" w:rsidP="001009AE">
            <w:pPr>
              <w:pStyle w:val="NoSpacing"/>
              <w:spacing w:line="360" w:lineRule="auto"/>
              <w:jc w:val="both"/>
              <w:rPr>
                <w:sz w:val="20"/>
                <w:szCs w:val="20"/>
                <w:lang w:val="en-GB"/>
              </w:rPr>
            </w:pPr>
            <w:r>
              <w:rPr>
                <w:sz w:val="20"/>
                <w:szCs w:val="20"/>
                <w:lang w:val="en-GB"/>
              </w:rPr>
              <w:t>3</w:t>
            </w:r>
            <w:r w:rsidR="00386DB5" w:rsidRPr="000A6F76">
              <w:rPr>
                <w:sz w:val="20"/>
                <w:szCs w:val="20"/>
                <w:lang w:val="en-GB"/>
              </w:rPr>
              <w:t>.</w:t>
            </w:r>
            <w:r>
              <w:rPr>
                <w:sz w:val="20"/>
                <w:szCs w:val="20"/>
                <w:lang w:val="en-GB"/>
              </w:rPr>
              <w:t>0</w:t>
            </w:r>
            <w:r w:rsidR="00386DB5" w:rsidRPr="000A6F76">
              <w:rPr>
                <w:sz w:val="20"/>
                <w:szCs w:val="20"/>
                <w:lang w:val="en-GB"/>
              </w:rPr>
              <w:t xml:space="preserve"> (</w:t>
            </w:r>
            <w:r>
              <w:rPr>
                <w:sz w:val="20"/>
                <w:szCs w:val="20"/>
                <w:lang w:val="en-GB"/>
              </w:rPr>
              <w:t>2.9</w:t>
            </w:r>
            <w:r w:rsidR="00490803" w:rsidRPr="000A6F76">
              <w:rPr>
                <w:sz w:val="20"/>
                <w:szCs w:val="20"/>
                <w:lang w:val="en-GB"/>
              </w:rPr>
              <w:t>)</w:t>
            </w:r>
          </w:p>
        </w:tc>
        <w:tc>
          <w:tcPr>
            <w:tcW w:w="1007" w:type="dxa"/>
          </w:tcPr>
          <w:p w14:paraId="0017D013" w14:textId="67BDFCFD" w:rsidR="001009AE" w:rsidRPr="000A6F76" w:rsidRDefault="003441B0" w:rsidP="001009AE">
            <w:pPr>
              <w:pStyle w:val="NoSpacing"/>
              <w:spacing w:line="360" w:lineRule="auto"/>
              <w:jc w:val="both"/>
              <w:rPr>
                <w:sz w:val="20"/>
                <w:szCs w:val="20"/>
                <w:lang w:val="en-GB"/>
              </w:rPr>
            </w:pPr>
            <w:r>
              <w:rPr>
                <w:sz w:val="20"/>
                <w:szCs w:val="20"/>
                <w:lang w:val="en-GB"/>
              </w:rPr>
              <w:t>1.9</w:t>
            </w:r>
            <w:r w:rsidR="00386DB5" w:rsidRPr="000A6F76">
              <w:rPr>
                <w:sz w:val="20"/>
                <w:szCs w:val="20"/>
                <w:lang w:val="en-GB"/>
              </w:rPr>
              <w:t xml:space="preserve"> (1.</w:t>
            </w:r>
            <w:r>
              <w:rPr>
                <w:sz w:val="20"/>
                <w:szCs w:val="20"/>
                <w:lang w:val="en-GB"/>
              </w:rPr>
              <w:t>5</w:t>
            </w:r>
            <w:r w:rsidR="00490803" w:rsidRPr="000A6F76">
              <w:rPr>
                <w:sz w:val="20"/>
                <w:szCs w:val="20"/>
                <w:lang w:val="en-GB"/>
              </w:rPr>
              <w:t>)</w:t>
            </w:r>
          </w:p>
        </w:tc>
        <w:tc>
          <w:tcPr>
            <w:tcW w:w="1008" w:type="dxa"/>
          </w:tcPr>
          <w:p w14:paraId="2C9621D9" w14:textId="436117C1" w:rsidR="001009AE" w:rsidRPr="000A6F76" w:rsidRDefault="00490803" w:rsidP="001009AE">
            <w:pPr>
              <w:pStyle w:val="NoSpacing"/>
              <w:spacing w:line="360" w:lineRule="auto"/>
              <w:jc w:val="both"/>
              <w:rPr>
                <w:sz w:val="20"/>
                <w:szCs w:val="20"/>
                <w:lang w:val="en-GB"/>
              </w:rPr>
            </w:pPr>
            <w:r w:rsidRPr="000A6F76">
              <w:rPr>
                <w:sz w:val="20"/>
                <w:szCs w:val="20"/>
                <w:lang w:val="en-GB"/>
              </w:rPr>
              <w:t>0.</w:t>
            </w:r>
            <w:r w:rsidR="003441B0">
              <w:rPr>
                <w:sz w:val="20"/>
                <w:szCs w:val="20"/>
                <w:lang w:val="en-GB"/>
              </w:rPr>
              <w:t>3</w:t>
            </w:r>
            <w:r w:rsidRPr="000A6F76">
              <w:rPr>
                <w:sz w:val="20"/>
                <w:szCs w:val="20"/>
                <w:lang w:val="en-GB"/>
              </w:rPr>
              <w:t xml:space="preserve"> (0.</w:t>
            </w:r>
            <w:r w:rsidR="003441B0">
              <w:rPr>
                <w:sz w:val="20"/>
                <w:szCs w:val="20"/>
                <w:lang w:val="en-GB"/>
              </w:rPr>
              <w:t>3</w:t>
            </w:r>
            <w:r w:rsidRPr="000A6F76">
              <w:rPr>
                <w:sz w:val="20"/>
                <w:szCs w:val="20"/>
                <w:lang w:val="en-GB"/>
              </w:rPr>
              <w:t>)</w:t>
            </w:r>
          </w:p>
        </w:tc>
        <w:tc>
          <w:tcPr>
            <w:tcW w:w="1007" w:type="dxa"/>
          </w:tcPr>
          <w:p w14:paraId="169D5D79" w14:textId="696212DD" w:rsidR="001009AE" w:rsidRPr="000A6F76" w:rsidRDefault="00E42C98" w:rsidP="001009AE">
            <w:pPr>
              <w:pStyle w:val="NoSpacing"/>
              <w:spacing w:line="360" w:lineRule="auto"/>
              <w:jc w:val="both"/>
              <w:rPr>
                <w:sz w:val="20"/>
                <w:szCs w:val="20"/>
                <w:lang w:val="en-GB"/>
              </w:rPr>
            </w:pPr>
            <w:r w:rsidRPr="000A6F76">
              <w:rPr>
                <w:sz w:val="20"/>
                <w:szCs w:val="20"/>
                <w:lang w:val="en-GB"/>
              </w:rPr>
              <w:t>4</w:t>
            </w:r>
            <w:r w:rsidR="00797BD9">
              <w:rPr>
                <w:sz w:val="20"/>
                <w:szCs w:val="20"/>
                <w:lang w:val="en-GB"/>
              </w:rPr>
              <w:t>.0</w:t>
            </w:r>
            <w:r w:rsidRPr="000A6F76">
              <w:rPr>
                <w:sz w:val="20"/>
                <w:szCs w:val="20"/>
                <w:lang w:val="en-GB"/>
              </w:rPr>
              <w:t xml:space="preserve"> (</w:t>
            </w:r>
            <w:r w:rsidR="00797BD9">
              <w:rPr>
                <w:sz w:val="20"/>
                <w:szCs w:val="20"/>
                <w:lang w:val="en-GB"/>
              </w:rPr>
              <w:t>6.0</w:t>
            </w:r>
            <w:r w:rsidR="00C372CD" w:rsidRPr="000A6F76">
              <w:rPr>
                <w:sz w:val="20"/>
                <w:szCs w:val="20"/>
                <w:lang w:val="en-GB"/>
              </w:rPr>
              <w:t>)</w:t>
            </w:r>
          </w:p>
        </w:tc>
        <w:tc>
          <w:tcPr>
            <w:tcW w:w="1007" w:type="dxa"/>
          </w:tcPr>
          <w:p w14:paraId="2E17B1B1" w14:textId="65232627" w:rsidR="001009AE" w:rsidRPr="000A6F76" w:rsidRDefault="00797BD9" w:rsidP="001009AE">
            <w:pPr>
              <w:pStyle w:val="NoSpacing"/>
              <w:spacing w:line="360" w:lineRule="auto"/>
              <w:jc w:val="both"/>
              <w:rPr>
                <w:sz w:val="20"/>
                <w:szCs w:val="20"/>
                <w:lang w:val="en-GB"/>
              </w:rPr>
            </w:pPr>
            <w:r>
              <w:rPr>
                <w:sz w:val="20"/>
                <w:szCs w:val="20"/>
                <w:lang w:val="en-GB"/>
              </w:rPr>
              <w:t>2</w:t>
            </w:r>
            <w:r w:rsidR="00E42C98" w:rsidRPr="000A6F76">
              <w:rPr>
                <w:sz w:val="20"/>
                <w:szCs w:val="20"/>
                <w:lang w:val="en-GB"/>
              </w:rPr>
              <w:t>.</w:t>
            </w:r>
            <w:r>
              <w:rPr>
                <w:sz w:val="20"/>
                <w:szCs w:val="20"/>
                <w:lang w:val="en-GB"/>
              </w:rPr>
              <w:t>8</w:t>
            </w:r>
            <w:r w:rsidR="00C372CD" w:rsidRPr="000A6F76">
              <w:rPr>
                <w:sz w:val="20"/>
                <w:szCs w:val="20"/>
                <w:lang w:val="en-GB"/>
              </w:rPr>
              <w:t xml:space="preserve"> (</w:t>
            </w:r>
            <w:r w:rsidR="00E42C98" w:rsidRPr="000A6F76">
              <w:rPr>
                <w:sz w:val="20"/>
                <w:szCs w:val="20"/>
                <w:lang w:val="en-GB"/>
              </w:rPr>
              <w:t>3.0</w:t>
            </w:r>
            <w:r w:rsidR="00C372CD" w:rsidRPr="000A6F76">
              <w:rPr>
                <w:sz w:val="20"/>
                <w:szCs w:val="20"/>
                <w:lang w:val="en-GB"/>
              </w:rPr>
              <w:t>)</w:t>
            </w:r>
          </w:p>
        </w:tc>
        <w:tc>
          <w:tcPr>
            <w:tcW w:w="1008" w:type="dxa"/>
          </w:tcPr>
          <w:p w14:paraId="5E0898C2" w14:textId="67FFEED2" w:rsidR="001009AE" w:rsidRPr="000A6F76" w:rsidRDefault="00797BD9" w:rsidP="001009AE">
            <w:pPr>
              <w:pStyle w:val="NoSpacing"/>
              <w:spacing w:line="360" w:lineRule="auto"/>
              <w:jc w:val="both"/>
              <w:rPr>
                <w:sz w:val="20"/>
                <w:szCs w:val="20"/>
                <w:lang w:val="en-GB"/>
              </w:rPr>
            </w:pPr>
            <w:r>
              <w:rPr>
                <w:sz w:val="20"/>
                <w:szCs w:val="20"/>
                <w:lang w:val="en-GB"/>
              </w:rPr>
              <w:t>0</w:t>
            </w:r>
            <w:r w:rsidR="00C372CD" w:rsidRPr="000A6F76">
              <w:rPr>
                <w:sz w:val="20"/>
                <w:szCs w:val="20"/>
                <w:lang w:val="en-GB"/>
              </w:rPr>
              <w:t>.</w:t>
            </w:r>
            <w:r>
              <w:rPr>
                <w:sz w:val="20"/>
                <w:szCs w:val="20"/>
                <w:lang w:val="en-GB"/>
              </w:rPr>
              <w:t>6</w:t>
            </w:r>
            <w:r w:rsidR="00C372CD" w:rsidRPr="000A6F76">
              <w:rPr>
                <w:sz w:val="20"/>
                <w:szCs w:val="20"/>
                <w:lang w:val="en-GB"/>
              </w:rPr>
              <w:t xml:space="preserve"> (0.</w:t>
            </w:r>
            <w:r>
              <w:rPr>
                <w:sz w:val="20"/>
                <w:szCs w:val="20"/>
                <w:lang w:val="en-GB"/>
              </w:rPr>
              <w:t>4</w:t>
            </w:r>
            <w:r w:rsidR="00C372CD" w:rsidRPr="000A6F76">
              <w:rPr>
                <w:sz w:val="20"/>
                <w:szCs w:val="20"/>
                <w:lang w:val="en-GB"/>
              </w:rPr>
              <w:t>)</w:t>
            </w:r>
          </w:p>
        </w:tc>
      </w:tr>
    </w:tbl>
    <w:p w14:paraId="06F0F457" w14:textId="1C60A21B" w:rsidR="00650BA5" w:rsidRPr="000A6F76" w:rsidRDefault="00650BA5" w:rsidP="00AA4812">
      <w:pPr>
        <w:spacing w:after="0" w:line="276" w:lineRule="auto"/>
        <w:jc w:val="both"/>
        <w:rPr>
          <w:lang w:val="en-GB"/>
        </w:rPr>
      </w:pPr>
      <w:r w:rsidRPr="000A6F76">
        <w:rPr>
          <w:lang w:val="en-GB"/>
        </w:rPr>
        <w:br w:type="page"/>
      </w:r>
    </w:p>
    <w:p w14:paraId="7F75CE56" w14:textId="1B951487" w:rsidR="00921CA7" w:rsidRPr="000A6F76" w:rsidRDefault="00921CA7" w:rsidP="00AA4812">
      <w:pPr>
        <w:spacing w:after="0" w:line="240" w:lineRule="auto"/>
        <w:rPr>
          <w:sz w:val="18"/>
          <w:szCs w:val="18"/>
          <w:lang w:val="en-GB"/>
        </w:rPr>
      </w:pPr>
      <w:r w:rsidRPr="005C7CE0">
        <w:rPr>
          <w:b/>
          <w:bCs/>
          <w:sz w:val="20"/>
          <w:szCs w:val="20"/>
          <w:lang w:val="en-GB"/>
        </w:rPr>
        <w:lastRenderedPageBreak/>
        <w:t>S</w:t>
      </w:r>
      <w:r w:rsidR="00B9303C">
        <w:rPr>
          <w:b/>
          <w:bCs/>
          <w:sz w:val="20"/>
          <w:szCs w:val="20"/>
          <w:lang w:val="en-GB"/>
        </w:rPr>
        <w:t>upplement</w:t>
      </w:r>
      <w:r w:rsidR="00065F84">
        <w:rPr>
          <w:b/>
          <w:bCs/>
          <w:sz w:val="20"/>
          <w:szCs w:val="20"/>
          <w:lang w:val="en-GB"/>
        </w:rPr>
        <w:t>ary</w:t>
      </w:r>
      <w:r w:rsidRPr="005C7CE0">
        <w:rPr>
          <w:b/>
          <w:bCs/>
          <w:sz w:val="20"/>
          <w:szCs w:val="20"/>
          <w:lang w:val="en-GB"/>
        </w:rPr>
        <w:t xml:space="preserve"> T</w:t>
      </w:r>
      <w:r>
        <w:rPr>
          <w:b/>
          <w:bCs/>
          <w:sz w:val="20"/>
          <w:szCs w:val="20"/>
          <w:lang w:val="en-GB"/>
        </w:rPr>
        <w:t xml:space="preserve">able </w:t>
      </w:r>
      <w:r w:rsidR="001F2896">
        <w:rPr>
          <w:b/>
          <w:bCs/>
          <w:sz w:val="20"/>
          <w:szCs w:val="20"/>
          <w:lang w:val="en-GB"/>
        </w:rPr>
        <w:t>3</w:t>
      </w:r>
      <w:r w:rsidR="00125C92">
        <w:rPr>
          <w:b/>
          <w:bCs/>
          <w:sz w:val="20"/>
          <w:szCs w:val="20"/>
          <w:lang w:val="en-GB"/>
        </w:rPr>
        <w:t>.</w:t>
      </w:r>
      <w:r w:rsidRPr="005C7CE0">
        <w:rPr>
          <w:b/>
          <w:bCs/>
          <w:sz w:val="20"/>
          <w:szCs w:val="20"/>
          <w:lang w:val="en-GB"/>
        </w:rPr>
        <w:t xml:space="preserve"> </w:t>
      </w:r>
      <w:r w:rsidR="00B9303C">
        <w:rPr>
          <w:b/>
          <w:bCs/>
          <w:sz w:val="20"/>
          <w:szCs w:val="20"/>
          <w:lang w:val="en-GB"/>
        </w:rPr>
        <w:t>Calculated</w:t>
      </w:r>
      <w:r w:rsidR="00CE7180">
        <w:rPr>
          <w:b/>
          <w:bCs/>
          <w:sz w:val="20"/>
          <w:szCs w:val="20"/>
          <w:lang w:val="en-GB"/>
        </w:rPr>
        <w:t xml:space="preserve"> post hoc</w:t>
      </w:r>
      <w:r w:rsidR="00B9303C">
        <w:rPr>
          <w:b/>
          <w:bCs/>
          <w:sz w:val="20"/>
          <w:szCs w:val="20"/>
          <w:lang w:val="en-GB"/>
        </w:rPr>
        <w:t xml:space="preserve"> terminal half-life (t</w:t>
      </w:r>
      <w:r w:rsidR="00B9303C">
        <w:rPr>
          <w:b/>
          <w:bCs/>
          <w:sz w:val="20"/>
          <w:szCs w:val="20"/>
          <w:vertAlign w:val="subscript"/>
          <w:lang w:val="en-GB"/>
        </w:rPr>
        <w:t>1/2</w:t>
      </w:r>
      <w:r w:rsidR="00B9303C">
        <w:rPr>
          <w:b/>
          <w:bCs/>
          <w:sz w:val="20"/>
          <w:szCs w:val="20"/>
          <w:lang w:val="en-GB"/>
        </w:rPr>
        <w:t>) for the published and novel model.</w:t>
      </w:r>
    </w:p>
    <w:p w14:paraId="6579BAA4" w14:textId="77777777" w:rsidR="00921CA7" w:rsidRPr="000A6F76" w:rsidRDefault="00921CA7" w:rsidP="00921CA7">
      <w:pPr>
        <w:spacing w:after="0" w:line="240" w:lineRule="auto"/>
        <w:rPr>
          <w:b/>
          <w:bCs/>
          <w:lang w:val="en-GB"/>
        </w:rPr>
      </w:pPr>
    </w:p>
    <w:tbl>
      <w:tblPr>
        <w:tblStyle w:val="TableGrid"/>
        <w:tblW w:w="0" w:type="auto"/>
        <w:tblLook w:val="04A0" w:firstRow="1" w:lastRow="0" w:firstColumn="1" w:lastColumn="0" w:noHBand="0" w:noVBand="1"/>
      </w:tblPr>
      <w:tblGrid>
        <w:gridCol w:w="3681"/>
        <w:gridCol w:w="2667"/>
        <w:gridCol w:w="2668"/>
      </w:tblGrid>
      <w:tr w:rsidR="00921CA7" w:rsidRPr="00125C92" w14:paraId="76EB58DF" w14:textId="77777777" w:rsidTr="00AA4812">
        <w:trPr>
          <w:trHeight w:hRule="exact" w:val="283"/>
        </w:trPr>
        <w:tc>
          <w:tcPr>
            <w:tcW w:w="3681" w:type="dxa"/>
            <w:shd w:val="clear" w:color="auto" w:fill="BFBFBF" w:themeFill="background1" w:themeFillShade="BF"/>
          </w:tcPr>
          <w:p w14:paraId="09FA1A18" w14:textId="77777777" w:rsidR="00921CA7" w:rsidRPr="000A6F76" w:rsidRDefault="00921CA7" w:rsidP="00C47D96">
            <w:pPr>
              <w:pStyle w:val="NoSpacing"/>
              <w:spacing w:line="360" w:lineRule="auto"/>
              <w:jc w:val="both"/>
              <w:rPr>
                <w:sz w:val="20"/>
                <w:szCs w:val="20"/>
                <w:lang w:val="en-GB"/>
              </w:rPr>
            </w:pPr>
          </w:p>
        </w:tc>
        <w:tc>
          <w:tcPr>
            <w:tcW w:w="2667" w:type="dxa"/>
            <w:shd w:val="clear" w:color="auto" w:fill="BFBFBF" w:themeFill="background1" w:themeFillShade="BF"/>
          </w:tcPr>
          <w:p w14:paraId="5AC7CF80" w14:textId="77777777" w:rsidR="00921CA7" w:rsidRPr="000A6F76" w:rsidRDefault="00921CA7" w:rsidP="00C47D96">
            <w:pPr>
              <w:pStyle w:val="NoSpacing"/>
              <w:spacing w:line="360" w:lineRule="auto"/>
              <w:jc w:val="both"/>
              <w:rPr>
                <w:b/>
                <w:bCs/>
                <w:sz w:val="20"/>
                <w:szCs w:val="20"/>
                <w:lang w:val="en-GB"/>
              </w:rPr>
            </w:pPr>
            <w:r w:rsidRPr="000A6F76">
              <w:rPr>
                <w:b/>
                <w:bCs/>
                <w:sz w:val="20"/>
                <w:szCs w:val="20"/>
                <w:lang w:val="en-GB"/>
              </w:rPr>
              <w:t>Published model</w:t>
            </w:r>
          </w:p>
        </w:tc>
        <w:tc>
          <w:tcPr>
            <w:tcW w:w="2668" w:type="dxa"/>
            <w:shd w:val="clear" w:color="auto" w:fill="BFBFBF" w:themeFill="background1" w:themeFillShade="BF"/>
          </w:tcPr>
          <w:p w14:paraId="3E7057F6" w14:textId="77777777" w:rsidR="00921CA7" w:rsidRPr="000A6F76" w:rsidRDefault="00921CA7" w:rsidP="00C47D96">
            <w:pPr>
              <w:pStyle w:val="NoSpacing"/>
              <w:spacing w:line="360" w:lineRule="auto"/>
              <w:jc w:val="both"/>
              <w:rPr>
                <w:b/>
                <w:bCs/>
                <w:sz w:val="20"/>
                <w:szCs w:val="20"/>
                <w:lang w:val="en-GB"/>
              </w:rPr>
            </w:pPr>
            <w:r w:rsidRPr="000A6F76">
              <w:rPr>
                <w:b/>
                <w:bCs/>
                <w:sz w:val="20"/>
                <w:szCs w:val="20"/>
                <w:lang w:val="en-GB"/>
              </w:rPr>
              <w:t>Novel model</w:t>
            </w:r>
          </w:p>
        </w:tc>
      </w:tr>
      <w:tr w:rsidR="00921CA7" w:rsidRPr="00125C92" w14:paraId="254F09D5" w14:textId="77777777" w:rsidTr="00C47D96">
        <w:trPr>
          <w:trHeight w:hRule="exact" w:val="283"/>
        </w:trPr>
        <w:tc>
          <w:tcPr>
            <w:tcW w:w="9016" w:type="dxa"/>
            <w:gridSpan w:val="3"/>
            <w:shd w:val="clear" w:color="auto" w:fill="F2F2F2" w:themeFill="background1" w:themeFillShade="F2"/>
          </w:tcPr>
          <w:p w14:paraId="3DBD616B" w14:textId="5D4E4FB9" w:rsidR="00921CA7" w:rsidRPr="000A6F76" w:rsidRDefault="006241AA">
            <w:pPr>
              <w:pStyle w:val="NoSpacing"/>
              <w:spacing w:line="360" w:lineRule="auto"/>
              <w:jc w:val="both"/>
              <w:rPr>
                <w:sz w:val="20"/>
                <w:szCs w:val="20"/>
                <w:lang w:val="en-GB"/>
              </w:rPr>
            </w:pPr>
            <w:r>
              <w:rPr>
                <w:b/>
                <w:bCs/>
                <w:sz w:val="20"/>
                <w:szCs w:val="20"/>
                <w:lang w:val="en-GB"/>
              </w:rPr>
              <w:t>Adults</w:t>
            </w:r>
            <w:r w:rsidR="00965423">
              <w:rPr>
                <w:b/>
                <w:bCs/>
                <w:sz w:val="20"/>
                <w:szCs w:val="20"/>
                <w:lang w:val="en-GB"/>
              </w:rPr>
              <w:t xml:space="preserve"> </w:t>
            </w:r>
            <w:r w:rsidR="00965423">
              <w:rPr>
                <w:rFonts w:cstheme="minorHAnsi"/>
                <w:b/>
                <w:bCs/>
                <w:sz w:val="20"/>
                <w:szCs w:val="20"/>
                <w:lang w:val="en-GB"/>
              </w:rPr>
              <w:t>≥</w:t>
            </w:r>
            <w:r w:rsidR="00965423">
              <w:rPr>
                <w:b/>
                <w:bCs/>
                <w:sz w:val="20"/>
                <w:szCs w:val="20"/>
                <w:lang w:val="en-GB"/>
              </w:rPr>
              <w:t xml:space="preserve"> 18 years </w:t>
            </w:r>
          </w:p>
        </w:tc>
      </w:tr>
      <w:tr w:rsidR="00921CA7" w:rsidRPr="00125C92" w14:paraId="3DF9C48A" w14:textId="77777777" w:rsidTr="00AA4812">
        <w:trPr>
          <w:trHeight w:hRule="exact" w:val="283"/>
        </w:trPr>
        <w:tc>
          <w:tcPr>
            <w:tcW w:w="3681" w:type="dxa"/>
          </w:tcPr>
          <w:p w14:paraId="6439008D" w14:textId="7880797D" w:rsidR="00921CA7" w:rsidRPr="000A6F76" w:rsidRDefault="00885661" w:rsidP="00C47D96">
            <w:pPr>
              <w:pStyle w:val="NoSpacing"/>
              <w:spacing w:line="360" w:lineRule="auto"/>
              <w:jc w:val="both"/>
              <w:rPr>
                <w:sz w:val="20"/>
                <w:szCs w:val="20"/>
                <w:lang w:val="en-GB"/>
              </w:rPr>
            </w:pPr>
            <w:r>
              <w:rPr>
                <w:sz w:val="20"/>
                <w:szCs w:val="20"/>
                <w:lang w:val="en-GB"/>
              </w:rPr>
              <w:t>Half-life (</w:t>
            </w:r>
            <w:r w:rsidR="00347C2E" w:rsidRPr="00347C2E">
              <w:rPr>
                <w:sz w:val="20"/>
                <w:szCs w:val="20"/>
                <w:lang w:val="en-GB"/>
              </w:rPr>
              <w:t>t</w:t>
            </w:r>
            <w:r w:rsidR="00347C2E">
              <w:rPr>
                <w:sz w:val="20"/>
                <w:szCs w:val="20"/>
                <w:vertAlign w:val="subscript"/>
                <w:lang w:val="en-GB"/>
              </w:rPr>
              <w:t>1/2</w:t>
            </w:r>
            <w:r w:rsidR="00347C2E">
              <w:rPr>
                <w:sz w:val="20"/>
                <w:szCs w:val="20"/>
                <w:lang w:val="en-GB"/>
              </w:rPr>
              <w:t xml:space="preserve">; </w:t>
            </w:r>
            <w:r w:rsidRPr="00347C2E">
              <w:rPr>
                <w:sz w:val="20"/>
                <w:szCs w:val="20"/>
                <w:lang w:val="en-GB"/>
              </w:rPr>
              <w:t>h</w:t>
            </w:r>
            <w:r>
              <w:rPr>
                <w:sz w:val="20"/>
                <w:szCs w:val="20"/>
                <w:lang w:val="en-GB"/>
              </w:rPr>
              <w:t>) (median; range</w:t>
            </w:r>
            <w:r w:rsidR="00B9303C">
              <w:rPr>
                <w:sz w:val="20"/>
                <w:szCs w:val="20"/>
                <w:lang w:val="en-GB"/>
              </w:rPr>
              <w:t>)</w:t>
            </w:r>
          </w:p>
        </w:tc>
        <w:tc>
          <w:tcPr>
            <w:tcW w:w="2667" w:type="dxa"/>
          </w:tcPr>
          <w:p w14:paraId="79D708B2" w14:textId="66190D3F" w:rsidR="00921CA7" w:rsidRPr="000A6F76" w:rsidRDefault="00594672" w:rsidP="00C47D96">
            <w:pPr>
              <w:pStyle w:val="NoSpacing"/>
              <w:spacing w:line="360" w:lineRule="auto"/>
              <w:jc w:val="both"/>
              <w:rPr>
                <w:sz w:val="20"/>
                <w:szCs w:val="20"/>
                <w:lang w:val="en-GB"/>
              </w:rPr>
            </w:pPr>
            <w:r>
              <w:rPr>
                <w:sz w:val="20"/>
                <w:szCs w:val="20"/>
                <w:lang w:val="en-GB"/>
              </w:rPr>
              <w:t>101 (60 – 192</w:t>
            </w:r>
            <w:r w:rsidR="00B9303C">
              <w:rPr>
                <w:sz w:val="20"/>
                <w:szCs w:val="20"/>
                <w:lang w:val="en-GB"/>
              </w:rPr>
              <w:t>)</w:t>
            </w:r>
          </w:p>
        </w:tc>
        <w:tc>
          <w:tcPr>
            <w:tcW w:w="2668" w:type="dxa"/>
          </w:tcPr>
          <w:p w14:paraId="49758EF2" w14:textId="20B492A3" w:rsidR="00921CA7" w:rsidRPr="000A6F76" w:rsidRDefault="00594672" w:rsidP="00C47D96">
            <w:pPr>
              <w:pStyle w:val="NoSpacing"/>
              <w:spacing w:line="360" w:lineRule="auto"/>
              <w:jc w:val="both"/>
              <w:rPr>
                <w:sz w:val="20"/>
                <w:szCs w:val="20"/>
                <w:lang w:val="en-GB"/>
              </w:rPr>
            </w:pPr>
            <w:r>
              <w:rPr>
                <w:sz w:val="20"/>
                <w:szCs w:val="20"/>
                <w:lang w:val="en-GB"/>
              </w:rPr>
              <w:t>88 (67 – 166)</w:t>
            </w:r>
          </w:p>
        </w:tc>
      </w:tr>
      <w:tr w:rsidR="00921CA7" w:rsidRPr="006241AA" w14:paraId="3833D3EB" w14:textId="77777777" w:rsidTr="00C47D96">
        <w:trPr>
          <w:trHeight w:hRule="exact" w:val="283"/>
        </w:trPr>
        <w:tc>
          <w:tcPr>
            <w:tcW w:w="9016" w:type="dxa"/>
            <w:gridSpan w:val="3"/>
            <w:shd w:val="clear" w:color="auto" w:fill="F2F2F2" w:themeFill="background1" w:themeFillShade="F2"/>
          </w:tcPr>
          <w:p w14:paraId="31F5A7D1" w14:textId="7E25D00E" w:rsidR="00921CA7" w:rsidRPr="00AA4812" w:rsidRDefault="006241AA" w:rsidP="00C47D96">
            <w:pPr>
              <w:pStyle w:val="NoSpacing"/>
              <w:spacing w:line="360" w:lineRule="auto"/>
              <w:jc w:val="both"/>
              <w:rPr>
                <w:b/>
                <w:sz w:val="20"/>
                <w:szCs w:val="20"/>
                <w:lang w:val="en-GB"/>
              </w:rPr>
            </w:pPr>
            <w:r w:rsidRPr="006241AA">
              <w:rPr>
                <w:b/>
                <w:sz w:val="20"/>
                <w:szCs w:val="20"/>
                <w:lang w:val="en-GB"/>
              </w:rPr>
              <w:t xml:space="preserve">Adolescents </w:t>
            </w:r>
            <w:r w:rsidRPr="00AA4812">
              <w:rPr>
                <w:rFonts w:cstheme="minorHAnsi"/>
                <w:b/>
                <w:sz w:val="20"/>
                <w:szCs w:val="20"/>
                <w:lang w:val="en-GB"/>
              </w:rPr>
              <w:t>≥</w:t>
            </w:r>
            <w:r w:rsidRPr="00AA4812">
              <w:rPr>
                <w:b/>
                <w:sz w:val="20"/>
                <w:szCs w:val="20"/>
                <w:lang w:val="en-GB"/>
              </w:rPr>
              <w:t>12 and &lt;18</w:t>
            </w:r>
            <w:r w:rsidR="00965423">
              <w:rPr>
                <w:b/>
                <w:sz w:val="20"/>
                <w:szCs w:val="20"/>
                <w:lang w:val="en-GB"/>
              </w:rPr>
              <w:t xml:space="preserve"> years </w:t>
            </w:r>
          </w:p>
        </w:tc>
      </w:tr>
      <w:tr w:rsidR="00921CA7" w:rsidRPr="00594672" w14:paraId="7CAF88D7" w14:textId="77777777" w:rsidTr="00AA4812">
        <w:trPr>
          <w:trHeight w:hRule="exact" w:val="283"/>
        </w:trPr>
        <w:tc>
          <w:tcPr>
            <w:tcW w:w="3681" w:type="dxa"/>
          </w:tcPr>
          <w:p w14:paraId="3755B3CA" w14:textId="205BE8F6" w:rsidR="00921CA7" w:rsidRPr="000A6F76" w:rsidRDefault="00B9303C" w:rsidP="00C47D96">
            <w:pPr>
              <w:pStyle w:val="NoSpacing"/>
              <w:spacing w:line="360" w:lineRule="auto"/>
              <w:jc w:val="both"/>
              <w:rPr>
                <w:sz w:val="20"/>
                <w:szCs w:val="20"/>
                <w:lang w:val="en-GB"/>
              </w:rPr>
            </w:pPr>
            <w:r>
              <w:rPr>
                <w:sz w:val="20"/>
                <w:szCs w:val="20"/>
                <w:lang w:val="en-GB"/>
              </w:rPr>
              <w:t>Half-life (</w:t>
            </w:r>
            <w:r w:rsidR="00347C2E" w:rsidRPr="00E6459B">
              <w:rPr>
                <w:sz w:val="20"/>
                <w:szCs w:val="20"/>
                <w:lang w:val="en-GB"/>
              </w:rPr>
              <w:t>t</w:t>
            </w:r>
            <w:r w:rsidR="00347C2E">
              <w:rPr>
                <w:sz w:val="20"/>
                <w:szCs w:val="20"/>
                <w:vertAlign w:val="subscript"/>
                <w:lang w:val="en-GB"/>
              </w:rPr>
              <w:t>1/2</w:t>
            </w:r>
            <w:r w:rsidR="00347C2E">
              <w:rPr>
                <w:sz w:val="20"/>
                <w:szCs w:val="20"/>
                <w:lang w:val="en-GB"/>
              </w:rPr>
              <w:t xml:space="preserve">; </w:t>
            </w:r>
            <w:r w:rsidR="00347C2E" w:rsidRPr="00E6459B">
              <w:rPr>
                <w:sz w:val="20"/>
                <w:szCs w:val="20"/>
                <w:lang w:val="en-GB"/>
              </w:rPr>
              <w:t>h</w:t>
            </w:r>
            <w:r>
              <w:rPr>
                <w:sz w:val="20"/>
                <w:szCs w:val="20"/>
                <w:lang w:val="en-GB"/>
              </w:rPr>
              <w:t xml:space="preserve">) </w:t>
            </w:r>
            <w:r w:rsidR="00885661">
              <w:rPr>
                <w:sz w:val="20"/>
                <w:szCs w:val="20"/>
                <w:lang w:val="en-GB"/>
              </w:rPr>
              <w:t>(median; range</w:t>
            </w:r>
            <w:r w:rsidR="00921CA7" w:rsidRPr="000A6F76">
              <w:rPr>
                <w:sz w:val="20"/>
                <w:szCs w:val="20"/>
                <w:lang w:val="en-GB"/>
              </w:rPr>
              <w:t>)</w:t>
            </w:r>
          </w:p>
        </w:tc>
        <w:tc>
          <w:tcPr>
            <w:tcW w:w="2667" w:type="dxa"/>
          </w:tcPr>
          <w:p w14:paraId="6DDF28EB" w14:textId="7C249CE9" w:rsidR="00921CA7" w:rsidRPr="000A6F76" w:rsidRDefault="00594672" w:rsidP="00B9303C">
            <w:pPr>
              <w:pStyle w:val="NoSpacing"/>
              <w:spacing w:line="360" w:lineRule="auto"/>
              <w:jc w:val="both"/>
              <w:rPr>
                <w:sz w:val="20"/>
                <w:szCs w:val="20"/>
                <w:lang w:val="en-GB"/>
              </w:rPr>
            </w:pPr>
            <w:r>
              <w:rPr>
                <w:sz w:val="20"/>
                <w:szCs w:val="20"/>
                <w:lang w:val="en-GB"/>
              </w:rPr>
              <w:t>99 (67 – 114)</w:t>
            </w:r>
          </w:p>
        </w:tc>
        <w:tc>
          <w:tcPr>
            <w:tcW w:w="2668" w:type="dxa"/>
          </w:tcPr>
          <w:p w14:paraId="2531A5BA" w14:textId="4820BB0B" w:rsidR="00921CA7" w:rsidRPr="000A6F76" w:rsidRDefault="00594672" w:rsidP="00C47D96">
            <w:pPr>
              <w:pStyle w:val="NoSpacing"/>
              <w:spacing w:line="360" w:lineRule="auto"/>
              <w:jc w:val="both"/>
              <w:rPr>
                <w:sz w:val="20"/>
                <w:szCs w:val="20"/>
                <w:lang w:val="en-GB"/>
              </w:rPr>
            </w:pPr>
            <w:r>
              <w:rPr>
                <w:sz w:val="20"/>
                <w:szCs w:val="20"/>
                <w:lang w:val="en-GB"/>
              </w:rPr>
              <w:t>76 (66 – 82)</w:t>
            </w:r>
          </w:p>
        </w:tc>
      </w:tr>
      <w:tr w:rsidR="0027259C" w:rsidRPr="00885661" w14:paraId="03F21048" w14:textId="77777777" w:rsidTr="00AA4812">
        <w:trPr>
          <w:trHeight w:hRule="exact" w:val="283"/>
        </w:trPr>
        <w:tc>
          <w:tcPr>
            <w:tcW w:w="9016" w:type="dxa"/>
            <w:gridSpan w:val="3"/>
            <w:shd w:val="clear" w:color="auto" w:fill="E7E6E6" w:themeFill="background2"/>
          </w:tcPr>
          <w:p w14:paraId="458E6CD5" w14:textId="73ECDECE" w:rsidR="0027259C" w:rsidRDefault="006241AA" w:rsidP="00C47D96">
            <w:pPr>
              <w:pStyle w:val="NoSpacing"/>
              <w:spacing w:line="360" w:lineRule="auto"/>
              <w:jc w:val="both"/>
              <w:rPr>
                <w:sz w:val="20"/>
                <w:szCs w:val="20"/>
                <w:lang w:val="en-GB"/>
              </w:rPr>
            </w:pPr>
            <w:r w:rsidRPr="000A6F76">
              <w:rPr>
                <w:b/>
                <w:bCs/>
                <w:sz w:val="20"/>
                <w:szCs w:val="20"/>
                <w:lang w:val="en-GB"/>
              </w:rPr>
              <w:t>Children &lt;12 years</w:t>
            </w:r>
          </w:p>
        </w:tc>
      </w:tr>
      <w:tr w:rsidR="0027259C" w:rsidRPr="00885661" w14:paraId="6BBDE339" w14:textId="77777777" w:rsidTr="00AA4812">
        <w:trPr>
          <w:trHeight w:hRule="exact" w:val="283"/>
        </w:trPr>
        <w:tc>
          <w:tcPr>
            <w:tcW w:w="3681" w:type="dxa"/>
          </w:tcPr>
          <w:p w14:paraId="6EB3AE53" w14:textId="5CC1D9E4" w:rsidR="0027259C" w:rsidRDefault="00A87396" w:rsidP="00C47D96">
            <w:pPr>
              <w:pStyle w:val="NoSpacing"/>
              <w:spacing w:line="360" w:lineRule="auto"/>
              <w:jc w:val="both"/>
              <w:rPr>
                <w:sz w:val="20"/>
                <w:szCs w:val="20"/>
                <w:lang w:val="en-GB"/>
              </w:rPr>
            </w:pPr>
            <w:r>
              <w:rPr>
                <w:sz w:val="20"/>
                <w:szCs w:val="20"/>
                <w:lang w:val="en-GB"/>
              </w:rPr>
              <w:t>Half-life (</w:t>
            </w:r>
            <w:r w:rsidR="00347C2E" w:rsidRPr="00E6459B">
              <w:rPr>
                <w:sz w:val="20"/>
                <w:szCs w:val="20"/>
                <w:lang w:val="en-GB"/>
              </w:rPr>
              <w:t>t</w:t>
            </w:r>
            <w:r w:rsidR="00347C2E">
              <w:rPr>
                <w:sz w:val="20"/>
                <w:szCs w:val="20"/>
                <w:vertAlign w:val="subscript"/>
                <w:lang w:val="en-GB"/>
              </w:rPr>
              <w:t>1/2</w:t>
            </w:r>
            <w:r w:rsidR="00347C2E">
              <w:rPr>
                <w:sz w:val="20"/>
                <w:szCs w:val="20"/>
                <w:lang w:val="en-GB"/>
              </w:rPr>
              <w:t xml:space="preserve">; </w:t>
            </w:r>
            <w:r w:rsidR="00347C2E" w:rsidRPr="00E6459B">
              <w:rPr>
                <w:sz w:val="20"/>
                <w:szCs w:val="20"/>
                <w:lang w:val="en-GB"/>
              </w:rPr>
              <w:t>h</w:t>
            </w:r>
            <w:r>
              <w:rPr>
                <w:sz w:val="20"/>
                <w:szCs w:val="20"/>
                <w:lang w:val="en-GB"/>
              </w:rPr>
              <w:t>) (median; range</w:t>
            </w:r>
            <w:r w:rsidRPr="000A6F76">
              <w:rPr>
                <w:sz w:val="20"/>
                <w:szCs w:val="20"/>
                <w:lang w:val="en-GB"/>
              </w:rPr>
              <w:t>)</w:t>
            </w:r>
          </w:p>
        </w:tc>
        <w:tc>
          <w:tcPr>
            <w:tcW w:w="2667" w:type="dxa"/>
          </w:tcPr>
          <w:p w14:paraId="7E3391D2" w14:textId="40C9DA1B" w:rsidR="0027259C" w:rsidRDefault="00594672" w:rsidP="00B9303C">
            <w:pPr>
              <w:pStyle w:val="NoSpacing"/>
              <w:spacing w:line="360" w:lineRule="auto"/>
              <w:jc w:val="both"/>
              <w:rPr>
                <w:sz w:val="20"/>
                <w:szCs w:val="20"/>
                <w:lang w:val="en-GB"/>
              </w:rPr>
            </w:pPr>
            <w:r>
              <w:rPr>
                <w:sz w:val="20"/>
                <w:szCs w:val="20"/>
                <w:lang w:val="en-GB"/>
              </w:rPr>
              <w:t>88 (47 – 223)</w:t>
            </w:r>
          </w:p>
        </w:tc>
        <w:tc>
          <w:tcPr>
            <w:tcW w:w="2668" w:type="dxa"/>
          </w:tcPr>
          <w:p w14:paraId="1B6E263E" w14:textId="4F0E64E3" w:rsidR="0027259C" w:rsidRDefault="00065F84" w:rsidP="00C47D96">
            <w:pPr>
              <w:pStyle w:val="NoSpacing"/>
              <w:spacing w:line="360" w:lineRule="auto"/>
              <w:jc w:val="both"/>
              <w:rPr>
                <w:sz w:val="20"/>
                <w:szCs w:val="20"/>
                <w:lang w:val="en-GB"/>
              </w:rPr>
            </w:pPr>
            <w:r>
              <w:rPr>
                <w:sz w:val="20"/>
                <w:szCs w:val="20"/>
                <w:lang w:val="en-GB"/>
              </w:rPr>
              <w:t>70</w:t>
            </w:r>
            <w:r w:rsidR="00594672">
              <w:rPr>
                <w:sz w:val="20"/>
                <w:szCs w:val="20"/>
                <w:lang w:val="en-GB"/>
              </w:rPr>
              <w:t xml:space="preserve"> (51 – 103)</w:t>
            </w:r>
          </w:p>
        </w:tc>
      </w:tr>
    </w:tbl>
    <w:p w14:paraId="749C2A9E" w14:textId="4A60D929" w:rsidR="00A75AC0" w:rsidRDefault="00A75AC0" w:rsidP="002705CC">
      <w:pPr>
        <w:rPr>
          <w:lang w:val="en-GB"/>
        </w:rPr>
      </w:pPr>
    </w:p>
    <w:p w14:paraId="0077D35D" w14:textId="3965B8C3" w:rsidR="009B004C" w:rsidRDefault="009B004C">
      <w:pPr>
        <w:spacing w:after="0" w:line="240" w:lineRule="auto"/>
        <w:rPr>
          <w:lang w:val="en-GB"/>
        </w:rPr>
      </w:pPr>
      <w:r>
        <w:rPr>
          <w:lang w:val="en-GB"/>
        </w:rPr>
        <w:br w:type="page"/>
      </w:r>
    </w:p>
    <w:p w14:paraId="0E6DD67D" w14:textId="7ACCD813" w:rsidR="009B004C" w:rsidRDefault="009B004C" w:rsidP="002705CC">
      <w:pPr>
        <w:rPr>
          <w:lang w:val="en-GB"/>
        </w:rPr>
      </w:pPr>
      <w:r w:rsidRPr="000A6F76">
        <w:rPr>
          <w:noProof/>
          <w:sz w:val="18"/>
          <w:szCs w:val="18"/>
          <w:lang w:val="en-GB" w:eastAsia="en-GB"/>
        </w:rPr>
        <w:lastRenderedPageBreak/>
        <w:drawing>
          <wp:inline distT="0" distB="0" distL="0" distR="0" wp14:anchorId="404F9CD0" wp14:editId="493FA0FE">
            <wp:extent cx="5731509" cy="3438905"/>
            <wp:effectExtent l="0" t="0" r="317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igure_CWRE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31509" cy="3438905"/>
                    </a:xfrm>
                    <a:prstGeom prst="rect">
                      <a:avLst/>
                    </a:prstGeom>
                  </pic:spPr>
                </pic:pic>
              </a:graphicData>
            </a:graphic>
          </wp:inline>
        </w:drawing>
      </w:r>
    </w:p>
    <w:p w14:paraId="60E69796" w14:textId="097E6BA9" w:rsidR="009B004C" w:rsidRPr="005C7CE0" w:rsidRDefault="009B004C" w:rsidP="009B004C">
      <w:pPr>
        <w:pStyle w:val="NoSpacing"/>
        <w:jc w:val="both"/>
        <w:rPr>
          <w:sz w:val="20"/>
          <w:szCs w:val="20"/>
          <w:lang w:val="en-GB"/>
        </w:rPr>
      </w:pPr>
      <w:r>
        <w:rPr>
          <w:b/>
          <w:iCs/>
          <w:sz w:val="20"/>
          <w:szCs w:val="20"/>
          <w:lang w:val="en-GB"/>
        </w:rPr>
        <w:t xml:space="preserve">Supplementary </w:t>
      </w:r>
      <w:r w:rsidRPr="005C7CE0">
        <w:rPr>
          <w:b/>
          <w:iCs/>
          <w:sz w:val="20"/>
          <w:szCs w:val="20"/>
          <w:lang w:val="en-GB"/>
        </w:rPr>
        <w:t xml:space="preserve">Figure </w:t>
      </w:r>
      <w:r>
        <w:rPr>
          <w:b/>
          <w:iCs/>
          <w:sz w:val="20"/>
          <w:szCs w:val="20"/>
          <w:lang w:val="en-GB"/>
        </w:rPr>
        <w:t>1</w:t>
      </w:r>
      <w:r w:rsidRPr="005C7CE0">
        <w:rPr>
          <w:b/>
          <w:iCs/>
          <w:sz w:val="20"/>
          <w:szCs w:val="20"/>
          <w:lang w:val="en-GB"/>
        </w:rPr>
        <w:t xml:space="preserve">. </w:t>
      </w:r>
      <w:r w:rsidRPr="005C7CE0">
        <w:rPr>
          <w:rStyle w:val="CommentReference"/>
          <w:b/>
          <w:sz w:val="20"/>
          <w:szCs w:val="20"/>
          <w:lang w:val="en-GB"/>
        </w:rPr>
        <w:t xml:space="preserve">Conditional weighted residual (CWRES) plots of </w:t>
      </w:r>
      <w:r w:rsidRPr="005C7CE0">
        <w:rPr>
          <w:b/>
          <w:iCs/>
          <w:sz w:val="20"/>
          <w:szCs w:val="20"/>
          <w:lang w:val="en-GB"/>
        </w:rPr>
        <w:t xml:space="preserve">the published model (A, B) and novel model (C, D) using </w:t>
      </w:r>
      <w:r w:rsidR="00C6131C">
        <w:rPr>
          <w:b/>
          <w:iCs/>
          <w:sz w:val="20"/>
          <w:szCs w:val="20"/>
          <w:lang w:val="en-GB"/>
        </w:rPr>
        <w:t>real world</w:t>
      </w:r>
      <w:r w:rsidR="00C6131C" w:rsidRPr="005C7CE0">
        <w:rPr>
          <w:b/>
          <w:iCs/>
          <w:sz w:val="20"/>
          <w:szCs w:val="20"/>
          <w:lang w:val="en-GB"/>
        </w:rPr>
        <w:t xml:space="preserve"> </w:t>
      </w:r>
      <w:r w:rsidRPr="005C7CE0">
        <w:rPr>
          <w:b/>
          <w:iCs/>
          <w:sz w:val="20"/>
          <w:szCs w:val="20"/>
          <w:lang w:val="en-GB"/>
        </w:rPr>
        <w:t>clinical data, including children &lt;12 years of age.</w:t>
      </w:r>
      <w:r w:rsidRPr="005C7CE0">
        <w:rPr>
          <w:sz w:val="20"/>
          <w:szCs w:val="20"/>
          <w:lang w:val="en-GB"/>
        </w:rPr>
        <w:t xml:space="preserve"> CWRES is plotted against the population predictions (IU/</w:t>
      </w:r>
      <w:proofErr w:type="spellStart"/>
      <w:r w:rsidRPr="005C7CE0">
        <w:rPr>
          <w:sz w:val="20"/>
          <w:szCs w:val="20"/>
          <w:lang w:val="en-GB"/>
        </w:rPr>
        <w:t>dL</w:t>
      </w:r>
      <w:proofErr w:type="spellEnd"/>
      <w:r w:rsidRPr="005C7CE0">
        <w:rPr>
          <w:sz w:val="20"/>
          <w:szCs w:val="20"/>
          <w:lang w:val="en-GB"/>
        </w:rPr>
        <w:t>) and time after dose (h) for all patients (A, C) and children &lt;12 years of age (B, D). The trend line (red line) combines all individually weighted data points (blue circles) and should approximate the line of identity (black line). The enriched model shows an improved fit compared to the published model, as the trend lines better approximate the identity lines and an increased number of values of CWRES are concentrated between -2 and 2.</w:t>
      </w:r>
    </w:p>
    <w:p w14:paraId="1F8A517B" w14:textId="68D67795" w:rsidR="00B64346" w:rsidRDefault="00B64346">
      <w:pPr>
        <w:spacing w:after="0" w:line="240" w:lineRule="auto"/>
        <w:rPr>
          <w:lang w:val="en-GB"/>
        </w:rPr>
      </w:pPr>
      <w:r>
        <w:rPr>
          <w:lang w:val="en-GB"/>
        </w:rPr>
        <w:br w:type="page"/>
      </w:r>
    </w:p>
    <w:p w14:paraId="06B679E8" w14:textId="1319460E" w:rsidR="009B004C" w:rsidRPr="00C6131C" w:rsidRDefault="00B64346" w:rsidP="002705CC">
      <w:proofErr w:type="spellStart"/>
      <w:r w:rsidRPr="00C6131C">
        <w:rPr>
          <w:b/>
        </w:rPr>
        <w:lastRenderedPageBreak/>
        <w:t>References</w:t>
      </w:r>
      <w:proofErr w:type="spellEnd"/>
    </w:p>
    <w:p w14:paraId="00FA54D8" w14:textId="028BB8CC" w:rsidR="00B64346" w:rsidRPr="00B64346" w:rsidRDefault="00B64346" w:rsidP="00B64346">
      <w:pPr>
        <w:widowControl w:val="0"/>
        <w:autoSpaceDE w:val="0"/>
        <w:autoSpaceDN w:val="0"/>
        <w:adjustRightInd w:val="0"/>
        <w:spacing w:line="240" w:lineRule="auto"/>
        <w:ind w:left="640" w:hanging="640"/>
        <w:rPr>
          <w:rFonts w:ascii="Calibri" w:hAnsi="Calibri" w:cs="Calibri"/>
          <w:noProof/>
        </w:rPr>
      </w:pPr>
      <w:r>
        <w:rPr>
          <w:lang w:val="en-GB"/>
        </w:rPr>
        <w:fldChar w:fldCharType="begin" w:fldLock="1"/>
      </w:r>
      <w:r w:rsidRPr="00C6131C">
        <w:instrText xml:space="preserve">ADDIN Mendeley Bibliography CSL_BIBLIOGRAPHY </w:instrText>
      </w:r>
      <w:r>
        <w:rPr>
          <w:lang w:val="en-GB"/>
        </w:rPr>
        <w:fldChar w:fldCharType="separate"/>
      </w:r>
      <w:r w:rsidRPr="00B64346">
        <w:rPr>
          <w:rFonts w:ascii="Calibri" w:hAnsi="Calibri" w:cs="Calibri"/>
          <w:noProof/>
          <w:szCs w:val="24"/>
        </w:rPr>
        <w:t>1.</w:t>
      </w:r>
      <w:r w:rsidRPr="00B64346">
        <w:rPr>
          <w:rFonts w:ascii="Calibri" w:hAnsi="Calibri" w:cs="Calibri"/>
          <w:noProof/>
          <w:szCs w:val="24"/>
        </w:rPr>
        <w:tab/>
        <w:t xml:space="preserve">Goedhart, T. M. H. J. </w:t>
      </w:r>
      <w:r w:rsidRPr="00B64346">
        <w:rPr>
          <w:rFonts w:ascii="Calibri" w:hAnsi="Calibri" w:cs="Calibri"/>
          <w:i/>
          <w:iCs/>
          <w:noProof/>
          <w:szCs w:val="24"/>
        </w:rPr>
        <w:t>et al.</w:t>
      </w:r>
      <w:r w:rsidRPr="00B64346">
        <w:rPr>
          <w:rFonts w:ascii="Calibri" w:hAnsi="Calibri" w:cs="Calibri"/>
          <w:noProof/>
          <w:szCs w:val="24"/>
        </w:rPr>
        <w:t xml:space="preserve"> </w:t>
      </w:r>
      <w:r w:rsidRPr="00C6131C">
        <w:rPr>
          <w:rFonts w:ascii="Calibri" w:hAnsi="Calibri" w:cs="Calibri"/>
          <w:noProof/>
          <w:szCs w:val="24"/>
          <w:lang w:val="en-GB"/>
        </w:rPr>
        <w:t xml:space="preserve">Design of a Prospective Study on Pharmacokinetic-Guided Dosing of Prophylactic Factor Replacement in Hemophilia A and B (OPTI-CLOT TARGET Study). </w:t>
      </w:r>
      <w:r w:rsidRPr="00B64346">
        <w:rPr>
          <w:rFonts w:ascii="Calibri" w:hAnsi="Calibri" w:cs="Calibri"/>
          <w:i/>
          <w:iCs/>
          <w:noProof/>
          <w:szCs w:val="24"/>
        </w:rPr>
        <w:t>TH Open</w:t>
      </w:r>
      <w:r w:rsidRPr="00B64346">
        <w:rPr>
          <w:rFonts w:ascii="Calibri" w:hAnsi="Calibri" w:cs="Calibri"/>
          <w:noProof/>
          <w:szCs w:val="24"/>
        </w:rPr>
        <w:t xml:space="preserve"> </w:t>
      </w:r>
      <w:r w:rsidRPr="00B64346">
        <w:rPr>
          <w:rFonts w:ascii="Calibri" w:hAnsi="Calibri" w:cs="Calibri"/>
          <w:b/>
          <w:bCs/>
          <w:noProof/>
          <w:szCs w:val="24"/>
        </w:rPr>
        <w:t>06</w:t>
      </w:r>
      <w:r w:rsidRPr="00B64346">
        <w:rPr>
          <w:rFonts w:ascii="Calibri" w:hAnsi="Calibri" w:cs="Calibri"/>
          <w:noProof/>
          <w:szCs w:val="24"/>
        </w:rPr>
        <w:t>, e60–e69 (2022).</w:t>
      </w:r>
    </w:p>
    <w:p w14:paraId="4BA145F3" w14:textId="68A0F960" w:rsidR="00B64346" w:rsidRPr="00B64346" w:rsidRDefault="00B64346" w:rsidP="002705CC">
      <w:pPr>
        <w:rPr>
          <w:lang w:val="en-GB"/>
        </w:rPr>
      </w:pPr>
      <w:r>
        <w:rPr>
          <w:lang w:val="en-GB"/>
        </w:rPr>
        <w:fldChar w:fldCharType="end"/>
      </w:r>
    </w:p>
    <w:sectPr w:rsidR="00B64346" w:rsidRPr="00B64346" w:rsidSect="003735A8">
      <w:type w:val="continuous"/>
      <w:pgSz w:w="11900" w:h="16840"/>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135D4" w16cex:dateUtc="2023-04-12T11:51:00Z"/>
  <w16cex:commentExtensible w16cex:durableId="27E135B3" w16cex:dateUtc="2023-04-12T11:50:00Z"/>
  <w16cex:commentExtensible w16cex:durableId="27E138F7" w16cex:dateUtc="2023-04-12T12:04:00Z"/>
  <w16cex:commentExtensible w16cex:durableId="27E15129" w16cex:dateUtc="2023-04-12T13: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E2CC35" w16cid:durableId="27E12E47"/>
  <w16cid:commentId w16cid:paraId="44A5968C" w16cid:durableId="27E12E48"/>
  <w16cid:commentId w16cid:paraId="5E287B28" w16cid:durableId="27E135D4"/>
  <w16cid:commentId w16cid:paraId="5E7E1D0B" w16cid:durableId="27E135B3"/>
  <w16cid:commentId w16cid:paraId="398A1A87" w16cid:durableId="27E12E49"/>
  <w16cid:commentId w16cid:paraId="16E92E65" w16cid:durableId="27E138F7"/>
  <w16cid:commentId w16cid:paraId="3645E309" w16cid:durableId="27E15129"/>
  <w16cid:commentId w16cid:paraId="48FFF2D4" w16cid:durableId="27E12E4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C418FF"/>
    <w:multiLevelType w:val="hybridMultilevel"/>
    <w:tmpl w:val="6562B8A0"/>
    <w:lvl w:ilvl="0" w:tplc="0896E6C2">
      <w:start w:val="1"/>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2F8"/>
    <w:rsid w:val="00016CEC"/>
    <w:rsid w:val="0002342F"/>
    <w:rsid w:val="00025630"/>
    <w:rsid w:val="0003333B"/>
    <w:rsid w:val="00044D08"/>
    <w:rsid w:val="00054477"/>
    <w:rsid w:val="00056664"/>
    <w:rsid w:val="00065F84"/>
    <w:rsid w:val="0006788E"/>
    <w:rsid w:val="000818D0"/>
    <w:rsid w:val="000A211E"/>
    <w:rsid w:val="000A6F76"/>
    <w:rsid w:val="000B603C"/>
    <w:rsid w:val="000C677B"/>
    <w:rsid w:val="000C710D"/>
    <w:rsid w:val="000D44A1"/>
    <w:rsid w:val="000F189E"/>
    <w:rsid w:val="000F6E93"/>
    <w:rsid w:val="001009AE"/>
    <w:rsid w:val="00101AD8"/>
    <w:rsid w:val="001176B7"/>
    <w:rsid w:val="00125C92"/>
    <w:rsid w:val="00132B42"/>
    <w:rsid w:val="001355CA"/>
    <w:rsid w:val="001448F2"/>
    <w:rsid w:val="00157AD4"/>
    <w:rsid w:val="00162AA4"/>
    <w:rsid w:val="00166054"/>
    <w:rsid w:val="00177F0A"/>
    <w:rsid w:val="00194B13"/>
    <w:rsid w:val="001978AF"/>
    <w:rsid w:val="001C01B8"/>
    <w:rsid w:val="001C49D3"/>
    <w:rsid w:val="001D2A05"/>
    <w:rsid w:val="001F2896"/>
    <w:rsid w:val="001F4563"/>
    <w:rsid w:val="00200C7A"/>
    <w:rsid w:val="00201B6D"/>
    <w:rsid w:val="00204D9D"/>
    <w:rsid w:val="002070FA"/>
    <w:rsid w:val="00221C15"/>
    <w:rsid w:val="00222634"/>
    <w:rsid w:val="002313D8"/>
    <w:rsid w:val="00240C3A"/>
    <w:rsid w:val="002529C7"/>
    <w:rsid w:val="002705CC"/>
    <w:rsid w:val="0027259C"/>
    <w:rsid w:val="002732F8"/>
    <w:rsid w:val="00275A2A"/>
    <w:rsid w:val="0029125E"/>
    <w:rsid w:val="00295D44"/>
    <w:rsid w:val="002A6E77"/>
    <w:rsid w:val="002B079C"/>
    <w:rsid w:val="002B21AE"/>
    <w:rsid w:val="002B2275"/>
    <w:rsid w:val="002B33A9"/>
    <w:rsid w:val="002C6CA9"/>
    <w:rsid w:val="002E0DF9"/>
    <w:rsid w:val="002E7997"/>
    <w:rsid w:val="002F5878"/>
    <w:rsid w:val="002F61CA"/>
    <w:rsid w:val="002F7A5C"/>
    <w:rsid w:val="00314B76"/>
    <w:rsid w:val="00324347"/>
    <w:rsid w:val="00331DC5"/>
    <w:rsid w:val="003369EB"/>
    <w:rsid w:val="00336F54"/>
    <w:rsid w:val="003441B0"/>
    <w:rsid w:val="00347C2E"/>
    <w:rsid w:val="0035595F"/>
    <w:rsid w:val="00363EF1"/>
    <w:rsid w:val="003735A8"/>
    <w:rsid w:val="00377962"/>
    <w:rsid w:val="00386B01"/>
    <w:rsid w:val="00386DB5"/>
    <w:rsid w:val="00392F14"/>
    <w:rsid w:val="003A684A"/>
    <w:rsid w:val="003B0A71"/>
    <w:rsid w:val="003D7DB0"/>
    <w:rsid w:val="003F7C13"/>
    <w:rsid w:val="00432DE0"/>
    <w:rsid w:val="00437B76"/>
    <w:rsid w:val="00446C5A"/>
    <w:rsid w:val="00456831"/>
    <w:rsid w:val="00467C27"/>
    <w:rsid w:val="00470418"/>
    <w:rsid w:val="004769FD"/>
    <w:rsid w:val="00482848"/>
    <w:rsid w:val="00485168"/>
    <w:rsid w:val="0048765C"/>
    <w:rsid w:val="00490803"/>
    <w:rsid w:val="004926F5"/>
    <w:rsid w:val="004929C1"/>
    <w:rsid w:val="004A1244"/>
    <w:rsid w:val="004B0599"/>
    <w:rsid w:val="004B62A8"/>
    <w:rsid w:val="004C0DFD"/>
    <w:rsid w:val="004C324B"/>
    <w:rsid w:val="004E6140"/>
    <w:rsid w:val="004F455F"/>
    <w:rsid w:val="004F59BF"/>
    <w:rsid w:val="0051391B"/>
    <w:rsid w:val="00534B97"/>
    <w:rsid w:val="005523C9"/>
    <w:rsid w:val="005557A3"/>
    <w:rsid w:val="00561F80"/>
    <w:rsid w:val="005639FD"/>
    <w:rsid w:val="00566D37"/>
    <w:rsid w:val="005771A2"/>
    <w:rsid w:val="00594672"/>
    <w:rsid w:val="005A043A"/>
    <w:rsid w:val="005B11C3"/>
    <w:rsid w:val="005C3C20"/>
    <w:rsid w:val="005C57C8"/>
    <w:rsid w:val="005C7CE0"/>
    <w:rsid w:val="005D65AE"/>
    <w:rsid w:val="005F08FE"/>
    <w:rsid w:val="005F5210"/>
    <w:rsid w:val="006241AA"/>
    <w:rsid w:val="00630F84"/>
    <w:rsid w:val="00640729"/>
    <w:rsid w:val="00650BA5"/>
    <w:rsid w:val="00653B37"/>
    <w:rsid w:val="00653F26"/>
    <w:rsid w:val="00654C56"/>
    <w:rsid w:val="00657E73"/>
    <w:rsid w:val="00665A08"/>
    <w:rsid w:val="006672A0"/>
    <w:rsid w:val="00670331"/>
    <w:rsid w:val="00683831"/>
    <w:rsid w:val="0068498B"/>
    <w:rsid w:val="00684D0D"/>
    <w:rsid w:val="00692CF0"/>
    <w:rsid w:val="006A0D11"/>
    <w:rsid w:val="006A1FEC"/>
    <w:rsid w:val="006A7490"/>
    <w:rsid w:val="006B5335"/>
    <w:rsid w:val="006B74D2"/>
    <w:rsid w:val="006C383F"/>
    <w:rsid w:val="006C6917"/>
    <w:rsid w:val="006D528C"/>
    <w:rsid w:val="006E2608"/>
    <w:rsid w:val="006F601F"/>
    <w:rsid w:val="0073131E"/>
    <w:rsid w:val="007425BC"/>
    <w:rsid w:val="00751B5C"/>
    <w:rsid w:val="007522D2"/>
    <w:rsid w:val="007527A4"/>
    <w:rsid w:val="0075598D"/>
    <w:rsid w:val="0075749E"/>
    <w:rsid w:val="00770D95"/>
    <w:rsid w:val="0077254C"/>
    <w:rsid w:val="00784B53"/>
    <w:rsid w:val="007861BF"/>
    <w:rsid w:val="0079294F"/>
    <w:rsid w:val="00795C9A"/>
    <w:rsid w:val="00796F55"/>
    <w:rsid w:val="00797BD9"/>
    <w:rsid w:val="007A728F"/>
    <w:rsid w:val="007B3D6E"/>
    <w:rsid w:val="007C2622"/>
    <w:rsid w:val="007F0A83"/>
    <w:rsid w:val="007F14B2"/>
    <w:rsid w:val="008029AF"/>
    <w:rsid w:val="00807311"/>
    <w:rsid w:val="00823AD7"/>
    <w:rsid w:val="0084594A"/>
    <w:rsid w:val="00846469"/>
    <w:rsid w:val="008474DC"/>
    <w:rsid w:val="0085221D"/>
    <w:rsid w:val="008715C0"/>
    <w:rsid w:val="008762F8"/>
    <w:rsid w:val="008768ED"/>
    <w:rsid w:val="00877500"/>
    <w:rsid w:val="00882937"/>
    <w:rsid w:val="00883B68"/>
    <w:rsid w:val="00885661"/>
    <w:rsid w:val="0089612F"/>
    <w:rsid w:val="0089737B"/>
    <w:rsid w:val="008A1741"/>
    <w:rsid w:val="008A217B"/>
    <w:rsid w:val="008A4A32"/>
    <w:rsid w:val="008A6A38"/>
    <w:rsid w:val="008C4FBD"/>
    <w:rsid w:val="008E372C"/>
    <w:rsid w:val="008F1BD0"/>
    <w:rsid w:val="008F2815"/>
    <w:rsid w:val="009013B5"/>
    <w:rsid w:val="00914049"/>
    <w:rsid w:val="00921CA7"/>
    <w:rsid w:val="009225A5"/>
    <w:rsid w:val="00927206"/>
    <w:rsid w:val="00942B6A"/>
    <w:rsid w:val="0094726B"/>
    <w:rsid w:val="009641F5"/>
    <w:rsid w:val="00965423"/>
    <w:rsid w:val="00967AB3"/>
    <w:rsid w:val="00971678"/>
    <w:rsid w:val="009724B4"/>
    <w:rsid w:val="009820DC"/>
    <w:rsid w:val="009917B6"/>
    <w:rsid w:val="009A20D2"/>
    <w:rsid w:val="009A349D"/>
    <w:rsid w:val="009A54F1"/>
    <w:rsid w:val="009B004C"/>
    <w:rsid w:val="009B2854"/>
    <w:rsid w:val="009C65E8"/>
    <w:rsid w:val="009C668A"/>
    <w:rsid w:val="009D009D"/>
    <w:rsid w:val="009D03C7"/>
    <w:rsid w:val="009D1A18"/>
    <w:rsid w:val="009D607D"/>
    <w:rsid w:val="009E1C8A"/>
    <w:rsid w:val="009E51D4"/>
    <w:rsid w:val="00A00367"/>
    <w:rsid w:val="00A10471"/>
    <w:rsid w:val="00A20A43"/>
    <w:rsid w:val="00A25770"/>
    <w:rsid w:val="00A35A05"/>
    <w:rsid w:val="00A40F6C"/>
    <w:rsid w:val="00A428F8"/>
    <w:rsid w:val="00A54E9B"/>
    <w:rsid w:val="00A5765C"/>
    <w:rsid w:val="00A75AC0"/>
    <w:rsid w:val="00A76D3A"/>
    <w:rsid w:val="00A87396"/>
    <w:rsid w:val="00AA3C33"/>
    <w:rsid w:val="00AA4812"/>
    <w:rsid w:val="00AA52D7"/>
    <w:rsid w:val="00AF0DA5"/>
    <w:rsid w:val="00AF4F6F"/>
    <w:rsid w:val="00B12933"/>
    <w:rsid w:val="00B202EA"/>
    <w:rsid w:val="00B24854"/>
    <w:rsid w:val="00B278E7"/>
    <w:rsid w:val="00B64346"/>
    <w:rsid w:val="00B649B1"/>
    <w:rsid w:val="00B710C8"/>
    <w:rsid w:val="00B71415"/>
    <w:rsid w:val="00B8203B"/>
    <w:rsid w:val="00B9303C"/>
    <w:rsid w:val="00B96E8F"/>
    <w:rsid w:val="00BB106D"/>
    <w:rsid w:val="00BB47E1"/>
    <w:rsid w:val="00BB75A1"/>
    <w:rsid w:val="00BC1928"/>
    <w:rsid w:val="00BE61A5"/>
    <w:rsid w:val="00C219EA"/>
    <w:rsid w:val="00C22438"/>
    <w:rsid w:val="00C32089"/>
    <w:rsid w:val="00C33123"/>
    <w:rsid w:val="00C36B06"/>
    <w:rsid w:val="00C372CD"/>
    <w:rsid w:val="00C476F1"/>
    <w:rsid w:val="00C47D96"/>
    <w:rsid w:val="00C6131C"/>
    <w:rsid w:val="00C81784"/>
    <w:rsid w:val="00C97F01"/>
    <w:rsid w:val="00CA3884"/>
    <w:rsid w:val="00CC71CB"/>
    <w:rsid w:val="00CD2D31"/>
    <w:rsid w:val="00CD38E1"/>
    <w:rsid w:val="00CD4085"/>
    <w:rsid w:val="00CE19FC"/>
    <w:rsid w:val="00CE7180"/>
    <w:rsid w:val="00D071D8"/>
    <w:rsid w:val="00D102DD"/>
    <w:rsid w:val="00D31206"/>
    <w:rsid w:val="00D33C08"/>
    <w:rsid w:val="00D34EA1"/>
    <w:rsid w:val="00D42626"/>
    <w:rsid w:val="00D42BB6"/>
    <w:rsid w:val="00D431FA"/>
    <w:rsid w:val="00D55057"/>
    <w:rsid w:val="00D62114"/>
    <w:rsid w:val="00D67DE9"/>
    <w:rsid w:val="00D771E4"/>
    <w:rsid w:val="00D77D2D"/>
    <w:rsid w:val="00D860F4"/>
    <w:rsid w:val="00D86A57"/>
    <w:rsid w:val="00D93E72"/>
    <w:rsid w:val="00DB4505"/>
    <w:rsid w:val="00DB46F3"/>
    <w:rsid w:val="00DC55B1"/>
    <w:rsid w:val="00DC7294"/>
    <w:rsid w:val="00DE2BD4"/>
    <w:rsid w:val="00DF0A94"/>
    <w:rsid w:val="00DF1767"/>
    <w:rsid w:val="00E001E2"/>
    <w:rsid w:val="00E01920"/>
    <w:rsid w:val="00E12136"/>
    <w:rsid w:val="00E3385A"/>
    <w:rsid w:val="00E35FBB"/>
    <w:rsid w:val="00E360C7"/>
    <w:rsid w:val="00E40534"/>
    <w:rsid w:val="00E42C98"/>
    <w:rsid w:val="00E47E83"/>
    <w:rsid w:val="00E81B54"/>
    <w:rsid w:val="00EA4FAD"/>
    <w:rsid w:val="00EA6BEB"/>
    <w:rsid w:val="00EA71C0"/>
    <w:rsid w:val="00EB0028"/>
    <w:rsid w:val="00ED45CC"/>
    <w:rsid w:val="00ED63D0"/>
    <w:rsid w:val="00ED6F32"/>
    <w:rsid w:val="00EE1E87"/>
    <w:rsid w:val="00F02A04"/>
    <w:rsid w:val="00F4032B"/>
    <w:rsid w:val="00F44E5F"/>
    <w:rsid w:val="00F46897"/>
    <w:rsid w:val="00F50B70"/>
    <w:rsid w:val="00F626E8"/>
    <w:rsid w:val="00F67F57"/>
    <w:rsid w:val="00F90E28"/>
    <w:rsid w:val="00FA0D89"/>
    <w:rsid w:val="00FA2F32"/>
    <w:rsid w:val="00FA3182"/>
    <w:rsid w:val="00FA31C4"/>
    <w:rsid w:val="00FC047A"/>
    <w:rsid w:val="00FC60D2"/>
    <w:rsid w:val="00FC66D0"/>
    <w:rsid w:val="00FD399A"/>
    <w:rsid w:val="00FE6EEA"/>
    <w:rsid w:val="00FF6E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845FD"/>
  <w15:chartTrackingRefBased/>
  <w15:docId w15:val="{57CFE2DB-C0AA-F746-803E-DB97F6A96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33B"/>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762F8"/>
    <w:rPr>
      <w:sz w:val="16"/>
      <w:szCs w:val="16"/>
    </w:rPr>
  </w:style>
  <w:style w:type="paragraph" w:styleId="CommentText">
    <w:name w:val="annotation text"/>
    <w:basedOn w:val="Normal"/>
    <w:link w:val="CommentTextChar"/>
    <w:uiPriority w:val="99"/>
    <w:unhideWhenUsed/>
    <w:rsid w:val="008762F8"/>
    <w:pPr>
      <w:spacing w:line="240" w:lineRule="auto"/>
    </w:pPr>
    <w:rPr>
      <w:sz w:val="20"/>
      <w:szCs w:val="20"/>
    </w:rPr>
  </w:style>
  <w:style w:type="character" w:customStyle="1" w:styleId="CommentTextChar">
    <w:name w:val="Comment Text Char"/>
    <w:basedOn w:val="DefaultParagraphFont"/>
    <w:link w:val="CommentText"/>
    <w:uiPriority w:val="99"/>
    <w:rsid w:val="008762F8"/>
    <w:rPr>
      <w:sz w:val="20"/>
      <w:szCs w:val="20"/>
    </w:rPr>
  </w:style>
  <w:style w:type="paragraph" w:styleId="NoSpacing">
    <w:name w:val="No Spacing"/>
    <w:uiPriority w:val="1"/>
    <w:qFormat/>
    <w:rsid w:val="008762F8"/>
    <w:rPr>
      <w:sz w:val="22"/>
      <w:szCs w:val="22"/>
    </w:rPr>
  </w:style>
  <w:style w:type="table" w:styleId="TableGrid">
    <w:name w:val="Table Grid"/>
    <w:basedOn w:val="TableNormal"/>
    <w:uiPriority w:val="39"/>
    <w:rsid w:val="008762F8"/>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762F8"/>
    <w:pPr>
      <w:spacing w:after="0" w:line="240" w:lineRule="auto"/>
    </w:pPr>
    <w:rPr>
      <w:rFonts w:ascii="Times New Roman" w:hAnsi="Times New Roman" w:cs="Times New Roman"/>
      <w:sz w:val="24"/>
      <w:szCs w:val="24"/>
      <w:lang w:eastAsia="nl-NL"/>
    </w:rPr>
  </w:style>
  <w:style w:type="paragraph" w:styleId="ListParagraph">
    <w:name w:val="List Paragraph"/>
    <w:basedOn w:val="Normal"/>
    <w:uiPriority w:val="34"/>
    <w:qFormat/>
    <w:rsid w:val="008762F8"/>
    <w:pPr>
      <w:ind w:left="720"/>
      <w:contextualSpacing/>
    </w:pPr>
  </w:style>
  <w:style w:type="paragraph" w:styleId="CommentSubject">
    <w:name w:val="annotation subject"/>
    <w:basedOn w:val="CommentText"/>
    <w:next w:val="CommentText"/>
    <w:link w:val="CommentSubjectChar"/>
    <w:uiPriority w:val="99"/>
    <w:semiHidden/>
    <w:unhideWhenUsed/>
    <w:rsid w:val="004F455F"/>
    <w:rPr>
      <w:b/>
      <w:bCs/>
    </w:rPr>
  </w:style>
  <w:style w:type="character" w:customStyle="1" w:styleId="CommentSubjectChar">
    <w:name w:val="Comment Subject Char"/>
    <w:basedOn w:val="CommentTextChar"/>
    <w:link w:val="CommentSubject"/>
    <w:uiPriority w:val="99"/>
    <w:semiHidden/>
    <w:rsid w:val="004F455F"/>
    <w:rPr>
      <w:b/>
      <w:bCs/>
      <w:sz w:val="20"/>
      <w:szCs w:val="20"/>
    </w:rPr>
  </w:style>
  <w:style w:type="paragraph" w:styleId="Revision">
    <w:name w:val="Revision"/>
    <w:hidden/>
    <w:uiPriority w:val="99"/>
    <w:semiHidden/>
    <w:rsid w:val="00A75AC0"/>
    <w:rPr>
      <w:sz w:val="22"/>
      <w:szCs w:val="22"/>
    </w:rPr>
  </w:style>
  <w:style w:type="paragraph" w:styleId="BalloonText">
    <w:name w:val="Balloon Text"/>
    <w:basedOn w:val="Normal"/>
    <w:link w:val="BalloonTextChar"/>
    <w:uiPriority w:val="99"/>
    <w:semiHidden/>
    <w:unhideWhenUsed/>
    <w:rsid w:val="00566D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D37"/>
    <w:rPr>
      <w:rFonts w:ascii="Segoe UI" w:hAnsi="Segoe UI" w:cs="Segoe UI"/>
      <w:sz w:val="18"/>
      <w:szCs w:val="18"/>
    </w:rPr>
  </w:style>
  <w:style w:type="character" w:styleId="PlaceholderText">
    <w:name w:val="Placeholder Text"/>
    <w:basedOn w:val="DefaultParagraphFont"/>
    <w:uiPriority w:val="99"/>
    <w:semiHidden/>
    <w:rsid w:val="007B3D6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56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36848-1CAD-431F-8BF5-2A35B7D81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2065</Words>
  <Characters>11775</Characters>
  <Application>Microsoft Office Word</Application>
  <DocSecurity>0</DocSecurity>
  <Lines>98</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Sjoerd Koopman</dc:creator>
  <cp:keywords/>
  <dc:description/>
  <cp:lastModifiedBy>Koopman, S.F. (Sjoerd)</cp:lastModifiedBy>
  <cp:revision>4</cp:revision>
  <cp:lastPrinted>2023-02-06T19:02:00Z</cp:lastPrinted>
  <dcterms:created xsi:type="dcterms:W3CDTF">2023-05-24T15:11:00Z</dcterms:created>
  <dcterms:modified xsi:type="dcterms:W3CDTF">2023-05-25T07:51:00Z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c7b45c19-31d2-3f5b-b2da-5fc1ccad0e8f</vt:lpwstr>
  </property>
  <property fmtid="{D5CDD505-2E9C-101B-9397-08002B2CF9AE}" pid="4" name="Mendeley Citation Style_1">
    <vt:lpwstr>http://www.zotero.org/styles/nature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