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CC" w:rsidRPr="00DD4D84" w:rsidRDefault="00565536">
      <w:pPr>
        <w:rPr>
          <w:rStyle w:val="inline-tabletitle"/>
          <w:rFonts w:asciiTheme="minorBidi" w:hAnsiTheme="minorBidi"/>
          <w:b/>
          <w:bCs/>
          <w:sz w:val="24"/>
          <w:szCs w:val="24"/>
          <w:shd w:val="clear" w:color="auto" w:fill="FFFFFF"/>
        </w:rPr>
      </w:pPr>
      <w:r w:rsidRPr="00DD4D84">
        <w:rPr>
          <w:rStyle w:val="inline-tablelabel"/>
          <w:rFonts w:asciiTheme="minorBidi" w:hAnsiTheme="minorBidi"/>
          <w:b/>
          <w:bCs/>
          <w:sz w:val="24"/>
          <w:szCs w:val="24"/>
          <w:shd w:val="clear" w:color="auto" w:fill="FFFFFF"/>
        </w:rPr>
        <w:t>Table 1</w:t>
      </w:r>
      <w:r w:rsidRPr="00DD4D84">
        <w:rPr>
          <w:rStyle w:val="inline-tablelabel"/>
          <w:rFonts w:asciiTheme="minorBidi" w:hAnsiTheme="minorBidi"/>
          <w:b/>
          <w:bCs/>
          <w:sz w:val="24"/>
          <w:szCs w:val="24"/>
          <w:shd w:val="clear" w:color="auto" w:fill="FFFFFF"/>
        </w:rPr>
        <w:t xml:space="preserve">. </w:t>
      </w:r>
      <w:r w:rsidRPr="00DD4D84">
        <w:rPr>
          <w:rStyle w:val="inline-tabletitle"/>
          <w:rFonts w:asciiTheme="minorBidi" w:hAnsiTheme="minorBidi"/>
          <w:b/>
          <w:bCs/>
          <w:sz w:val="24"/>
          <w:szCs w:val="24"/>
          <w:shd w:val="clear" w:color="auto" w:fill="FFFFFF"/>
        </w:rPr>
        <w:t>Laboratory Investigation reports.</w:t>
      </w:r>
    </w:p>
    <w:p w:rsidR="00565536" w:rsidRPr="00DD4D84" w:rsidRDefault="00565536">
      <w:pPr>
        <w:rPr>
          <w:rStyle w:val="inline-tabletitle"/>
          <w:rFonts w:asciiTheme="minorBidi" w:hAnsiTheme="minorBidi"/>
          <w:b/>
          <w:bCs/>
          <w:sz w:val="24"/>
          <w:szCs w:val="24"/>
          <w:shd w:val="clear" w:color="auto" w:fill="FFFFFF"/>
        </w:rPr>
      </w:pPr>
    </w:p>
    <w:tbl>
      <w:tblPr>
        <w:tblStyle w:val="TableGrid"/>
        <w:tblW w:w="11046" w:type="dxa"/>
        <w:tblInd w:w="-815" w:type="dxa"/>
        <w:tblLook w:val="04A0" w:firstRow="1" w:lastRow="0" w:firstColumn="1" w:lastColumn="0" w:noHBand="0" w:noVBand="1"/>
      </w:tblPr>
      <w:tblGrid>
        <w:gridCol w:w="2866"/>
        <w:gridCol w:w="1904"/>
        <w:gridCol w:w="1571"/>
        <w:gridCol w:w="1679"/>
        <w:gridCol w:w="1373"/>
        <w:gridCol w:w="1653"/>
      </w:tblGrid>
      <w:tr w:rsidR="00DD4D84" w:rsidRPr="00DD4D84" w:rsidTr="00DD4D84">
        <w:trPr>
          <w:trHeight w:val="561"/>
        </w:trPr>
        <w:tc>
          <w:tcPr>
            <w:tcW w:w="2866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Lab investigation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Reference range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On admission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24 H after admission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Day 3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On discharge</w:t>
            </w:r>
          </w:p>
        </w:tc>
      </w:tr>
      <w:tr w:rsidR="00DD4D84" w:rsidRPr="00DD4D84" w:rsidTr="00DD4D84">
        <w:trPr>
          <w:trHeight w:val="577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Day after symptom onset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9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12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14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Hemoglobin (g/</w:t>
            </w:r>
            <w:proofErr w:type="spellStart"/>
            <w:r w:rsidRPr="00DD4D84">
              <w:rPr>
                <w:rFonts w:asciiTheme="minorBidi" w:hAnsiTheme="minorBidi"/>
                <w:sz w:val="24"/>
                <w:szCs w:val="24"/>
              </w:rPr>
              <w:t>dL</w:t>
            </w:r>
            <w:proofErr w:type="spellEnd"/>
            <w:r w:rsidRPr="00DD4D84">
              <w:rPr>
                <w:rFonts w:asciiTheme="minorBidi" w:hAnsiTheme="minorBidi"/>
                <w:sz w:val="24"/>
                <w:szCs w:val="24"/>
              </w:rPr>
              <w:t>)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13.3 – 17.0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13.0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12.7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12.9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13.1</w:t>
            </w:r>
          </w:p>
        </w:tc>
      </w:tr>
      <w:tr w:rsidR="00DD4D84" w:rsidRPr="00DD4D84" w:rsidTr="00DD4D84">
        <w:trPr>
          <w:trHeight w:val="561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Total Red blood cells count (RBCs)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4.2 – 6.2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4.3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4.1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4.2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4.3</w:t>
            </w:r>
          </w:p>
        </w:tc>
      </w:tr>
      <w:tr w:rsidR="00DD4D84" w:rsidRPr="00DD4D84" w:rsidTr="00DD4D84">
        <w:trPr>
          <w:trHeight w:val="296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Hematocrit %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40 - 54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41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41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42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42</w:t>
            </w:r>
          </w:p>
        </w:tc>
      </w:tr>
      <w:tr w:rsidR="00DD4D84" w:rsidRPr="00DD4D84" w:rsidTr="00DD4D84">
        <w:trPr>
          <w:trHeight w:val="561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Total white blood cell count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4000 - 11000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5300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3120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3900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4100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Differential count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Neutrophils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40 – 75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71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44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56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57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Lymphocyte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bookmarkStart w:id="0" w:name="_GoBack"/>
            <w:bookmarkEnd w:id="0"/>
            <w:r w:rsidRPr="00DD4D84">
              <w:rPr>
                <w:rFonts w:asciiTheme="minorBidi" w:hAnsiTheme="minorBidi"/>
                <w:sz w:val="24"/>
                <w:szCs w:val="24"/>
              </w:rPr>
              <w:t>20 – 45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25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49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41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37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Monocyte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2 - 10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7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6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Eosinophils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 – 6</w:t>
            </w:r>
          </w:p>
        </w:tc>
        <w:tc>
          <w:tcPr>
            <w:tcW w:w="1571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0</w:t>
            </w:r>
          </w:p>
        </w:tc>
        <w:tc>
          <w:tcPr>
            <w:tcW w:w="1653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</w:tr>
      <w:tr w:rsidR="00DD4D84" w:rsidRPr="00DD4D84" w:rsidTr="00DD4D84">
        <w:trPr>
          <w:trHeight w:val="577"/>
        </w:trPr>
        <w:tc>
          <w:tcPr>
            <w:tcW w:w="2866" w:type="dxa"/>
          </w:tcPr>
          <w:p w:rsidR="00565536" w:rsidRPr="00DD4D84" w:rsidRDefault="00565536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 xml:space="preserve">Platelet count (per </w:t>
            </w:r>
            <w:proofErr w:type="spellStart"/>
            <w:r w:rsidRPr="00DD4D84">
              <w:rPr>
                <w:rFonts w:asciiTheme="minorBidi" w:hAnsiTheme="minorBidi"/>
                <w:sz w:val="24"/>
                <w:szCs w:val="24"/>
              </w:rPr>
              <w:t>μL</w:t>
            </w:r>
            <w:proofErr w:type="spellEnd"/>
            <w:r w:rsidRPr="00DD4D84">
              <w:rPr>
                <w:rFonts w:asciiTheme="minorBidi" w:hAnsiTheme="minorBidi"/>
                <w:sz w:val="24"/>
                <w:szCs w:val="24"/>
              </w:rPr>
              <w:t>)</w:t>
            </w:r>
          </w:p>
        </w:tc>
        <w:tc>
          <w:tcPr>
            <w:tcW w:w="1904" w:type="dxa"/>
          </w:tcPr>
          <w:p w:rsidR="00565536" w:rsidRPr="00DD4D84" w:rsidRDefault="00565536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150,000 – 450,000</w:t>
            </w:r>
          </w:p>
        </w:tc>
        <w:tc>
          <w:tcPr>
            <w:tcW w:w="1571" w:type="dxa"/>
          </w:tcPr>
          <w:p w:rsidR="00565536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156,000</w:t>
            </w:r>
          </w:p>
        </w:tc>
        <w:tc>
          <w:tcPr>
            <w:tcW w:w="1679" w:type="dxa"/>
          </w:tcPr>
          <w:p w:rsidR="00565536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161,000</w:t>
            </w:r>
          </w:p>
        </w:tc>
        <w:tc>
          <w:tcPr>
            <w:tcW w:w="1373" w:type="dxa"/>
          </w:tcPr>
          <w:p w:rsidR="00565536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245,000</w:t>
            </w:r>
          </w:p>
        </w:tc>
        <w:tc>
          <w:tcPr>
            <w:tcW w:w="1653" w:type="dxa"/>
          </w:tcPr>
          <w:p w:rsidR="00565536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250,000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DD4D84" w:rsidRPr="00DD4D84" w:rsidRDefault="00DD4D84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hAnsiTheme="minorBidi"/>
                <w:sz w:val="24"/>
                <w:szCs w:val="24"/>
              </w:rPr>
              <w:t>Sodium (</w:t>
            </w:r>
            <w:proofErr w:type="spellStart"/>
            <w:r w:rsidRPr="00DD4D84">
              <w:rPr>
                <w:rFonts w:asciiTheme="minorBidi" w:hAnsiTheme="minorBidi"/>
                <w:sz w:val="24"/>
                <w:szCs w:val="24"/>
              </w:rPr>
              <w:t>mmol</w:t>
            </w:r>
            <w:proofErr w:type="spellEnd"/>
            <w:r w:rsidRPr="00DD4D84">
              <w:rPr>
                <w:rFonts w:asciiTheme="minorBidi" w:hAnsiTheme="minorBidi"/>
                <w:sz w:val="24"/>
                <w:szCs w:val="24"/>
              </w:rPr>
              <w:t>/L)</w:t>
            </w:r>
          </w:p>
        </w:tc>
        <w:tc>
          <w:tcPr>
            <w:tcW w:w="1904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135–145</w:t>
            </w:r>
          </w:p>
        </w:tc>
        <w:tc>
          <w:tcPr>
            <w:tcW w:w="1571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13</w:t>
            </w: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6.2</w:t>
            </w:r>
          </w:p>
        </w:tc>
        <w:tc>
          <w:tcPr>
            <w:tcW w:w="1679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373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653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136.43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DD4D84" w:rsidRPr="00DD4D84" w:rsidRDefault="00DD4D84" w:rsidP="00DD4D84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Potassium (</w:t>
            </w:r>
            <w:proofErr w:type="spellStart"/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mmol</w:t>
            </w:r>
            <w:proofErr w:type="spellEnd"/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/L)</w:t>
            </w:r>
          </w:p>
        </w:tc>
        <w:tc>
          <w:tcPr>
            <w:tcW w:w="1904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3.5–5.3</w:t>
            </w:r>
          </w:p>
        </w:tc>
        <w:tc>
          <w:tcPr>
            <w:tcW w:w="1571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4.95</w:t>
            </w:r>
          </w:p>
        </w:tc>
        <w:tc>
          <w:tcPr>
            <w:tcW w:w="1679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373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 w:rsidR="00DD4D84" w:rsidRPr="00DD4D84" w:rsidRDefault="00DD4D84" w:rsidP="00DD4D84">
            <w:pPr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3.57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DD4D84" w:rsidRPr="00DD4D84" w:rsidRDefault="00DD4D84" w:rsidP="00DD4D84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Chloride (</w:t>
            </w:r>
            <w:proofErr w:type="spellStart"/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mmol</w:t>
            </w:r>
            <w:proofErr w:type="spellEnd"/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/L)</w:t>
            </w:r>
          </w:p>
        </w:tc>
        <w:tc>
          <w:tcPr>
            <w:tcW w:w="1904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97–106</w:t>
            </w:r>
          </w:p>
        </w:tc>
        <w:tc>
          <w:tcPr>
            <w:tcW w:w="1571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10</w:t>
            </w: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2</w:t>
            </w: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.</w:t>
            </w: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8</w:t>
            </w:r>
          </w:p>
        </w:tc>
        <w:tc>
          <w:tcPr>
            <w:tcW w:w="1679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373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653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10</w:t>
            </w: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2.9</w:t>
            </w:r>
          </w:p>
        </w:tc>
      </w:tr>
      <w:tr w:rsidR="00DD4D84" w:rsidRPr="00DD4D84" w:rsidTr="00DD4D84">
        <w:trPr>
          <w:trHeight w:val="280"/>
        </w:trPr>
        <w:tc>
          <w:tcPr>
            <w:tcW w:w="2866" w:type="dxa"/>
          </w:tcPr>
          <w:p w:rsidR="00DD4D84" w:rsidRPr="00DD4D84" w:rsidRDefault="00DD4D84" w:rsidP="00DD4D84">
            <w:pPr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Creatinine (</w:t>
            </w:r>
            <w:proofErr w:type="spellStart"/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μmol</w:t>
            </w:r>
            <w:proofErr w:type="spellEnd"/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/L)</w:t>
            </w:r>
          </w:p>
        </w:tc>
        <w:tc>
          <w:tcPr>
            <w:tcW w:w="1904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53–106</w:t>
            </w:r>
          </w:p>
        </w:tc>
        <w:tc>
          <w:tcPr>
            <w:tcW w:w="1571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11.88</w:t>
            </w:r>
          </w:p>
        </w:tc>
        <w:tc>
          <w:tcPr>
            <w:tcW w:w="1679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373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653" w:type="dxa"/>
          </w:tcPr>
          <w:p w:rsidR="00DD4D84" w:rsidRPr="00DD4D84" w:rsidRDefault="00DD4D84" w:rsidP="00DD4D8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DD4D84">
              <w:rPr>
                <w:rFonts w:asciiTheme="minorBidi" w:eastAsia="Times New Roman" w:hAnsiTheme="minorBidi"/>
                <w:sz w:val="24"/>
                <w:szCs w:val="24"/>
              </w:rPr>
              <w:t>68.59</w:t>
            </w:r>
          </w:p>
        </w:tc>
      </w:tr>
    </w:tbl>
    <w:p w:rsidR="00565536" w:rsidRPr="00DD4D84" w:rsidRDefault="00565536">
      <w:pPr>
        <w:rPr>
          <w:rFonts w:asciiTheme="minorBidi" w:hAnsiTheme="minorBidi"/>
          <w:sz w:val="24"/>
          <w:szCs w:val="24"/>
        </w:rPr>
      </w:pPr>
    </w:p>
    <w:p w:rsidR="00565536" w:rsidRPr="00DD4D84" w:rsidRDefault="00565536">
      <w:pPr>
        <w:rPr>
          <w:rFonts w:asciiTheme="minorBidi" w:hAnsiTheme="minorBidi"/>
          <w:sz w:val="24"/>
          <w:szCs w:val="24"/>
        </w:rPr>
      </w:pPr>
    </w:p>
    <w:sectPr w:rsidR="00565536" w:rsidRPr="00DD4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F09"/>
    <w:rsid w:val="00027A50"/>
    <w:rsid w:val="00447F09"/>
    <w:rsid w:val="00565536"/>
    <w:rsid w:val="00C35E66"/>
    <w:rsid w:val="00DD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FF1E9"/>
  <w15:chartTrackingRefBased/>
  <w15:docId w15:val="{1BB3F0A5-91D2-4889-9DC4-40C6B31A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line-tablelabel">
    <w:name w:val="inline-table__label"/>
    <w:basedOn w:val="DefaultParagraphFont"/>
    <w:rsid w:val="00565536"/>
  </w:style>
  <w:style w:type="character" w:customStyle="1" w:styleId="inline-tabletitle">
    <w:name w:val="inline-table__title"/>
    <w:basedOn w:val="DefaultParagraphFont"/>
    <w:rsid w:val="00565536"/>
  </w:style>
  <w:style w:type="table" w:styleId="TableGrid">
    <w:name w:val="Table Grid"/>
    <w:basedOn w:val="TableNormal"/>
    <w:uiPriority w:val="39"/>
    <w:rsid w:val="00565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2024-06-15T14:19:00Z</dcterms:created>
  <dcterms:modified xsi:type="dcterms:W3CDTF">2024-06-15T14:39:00Z</dcterms:modified>
</cp:coreProperties>
</file>