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ldx" ContentType="application/vnd.openxmlformats-officedocument.presentationml.slide"/>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AF05F" w14:textId="77777777" w:rsidR="004E63C1" w:rsidRPr="00ED6A53" w:rsidRDefault="004E63C1" w:rsidP="003C4E50">
      <w:pPr>
        <w:spacing w:after="0" w:line="480" w:lineRule="auto"/>
        <w:jc w:val="both"/>
        <w:rPr>
          <w:rFonts w:ascii="Arial" w:hAnsi="Arial" w:cs="Arial"/>
          <w:sz w:val="24"/>
          <w:szCs w:val="24"/>
        </w:rPr>
      </w:pPr>
    </w:p>
    <w:p w14:paraId="08721610" w14:textId="77777777" w:rsidR="004E63C1" w:rsidRPr="00ED6A53" w:rsidRDefault="004E63C1" w:rsidP="003C4E50">
      <w:pPr>
        <w:spacing w:after="0" w:line="480" w:lineRule="auto"/>
        <w:jc w:val="both"/>
        <w:rPr>
          <w:rFonts w:ascii="Arial" w:hAnsi="Arial" w:cs="Arial"/>
          <w:sz w:val="24"/>
          <w:szCs w:val="24"/>
        </w:rPr>
      </w:pPr>
    </w:p>
    <w:p w14:paraId="72B3C835" w14:textId="77777777" w:rsidR="004E63C1" w:rsidRPr="00ED6A53" w:rsidRDefault="004E63C1" w:rsidP="002E0901">
      <w:pPr>
        <w:spacing w:after="0" w:line="480" w:lineRule="auto"/>
        <w:jc w:val="center"/>
        <w:rPr>
          <w:rFonts w:ascii="Arial" w:hAnsi="Arial" w:cs="Arial"/>
          <w:sz w:val="24"/>
          <w:szCs w:val="24"/>
        </w:rPr>
      </w:pPr>
    </w:p>
    <w:p w14:paraId="27210DF6" w14:textId="7B1966F5" w:rsidR="004E63C1" w:rsidRPr="00A3376D" w:rsidRDefault="004E63C1" w:rsidP="002E0901">
      <w:pPr>
        <w:spacing w:after="0" w:line="480" w:lineRule="auto"/>
        <w:jc w:val="center"/>
        <w:rPr>
          <w:rFonts w:ascii="Arial" w:hAnsi="Arial" w:cs="Arial"/>
          <w:b/>
          <w:bCs/>
          <w:sz w:val="28"/>
          <w:szCs w:val="28"/>
        </w:rPr>
      </w:pPr>
      <w:r w:rsidRPr="00A3376D">
        <w:rPr>
          <w:rFonts w:ascii="Arial" w:hAnsi="Arial" w:cs="Arial"/>
          <w:b/>
          <w:bCs/>
          <w:sz w:val="28"/>
          <w:szCs w:val="28"/>
        </w:rPr>
        <w:t>HepaRG™</w:t>
      </w:r>
      <w:r w:rsidR="00CA3627" w:rsidRPr="00A3376D">
        <w:rPr>
          <w:rFonts w:ascii="Arial" w:hAnsi="Arial" w:cs="Arial"/>
          <w:b/>
          <w:bCs/>
          <w:sz w:val="28"/>
          <w:szCs w:val="28"/>
        </w:rPr>
        <w:t xml:space="preserve"> C</w:t>
      </w:r>
      <w:r w:rsidR="009F2B5C" w:rsidRPr="00A3376D">
        <w:rPr>
          <w:rFonts w:ascii="Arial" w:hAnsi="Arial" w:cs="Arial"/>
          <w:b/>
          <w:bCs/>
          <w:sz w:val="28"/>
          <w:szCs w:val="28"/>
        </w:rPr>
        <w:t>ells</w:t>
      </w:r>
      <w:r w:rsidR="00CA3627" w:rsidRPr="00A3376D">
        <w:rPr>
          <w:rFonts w:ascii="Arial" w:hAnsi="Arial" w:cs="Arial"/>
          <w:b/>
          <w:bCs/>
          <w:sz w:val="28"/>
          <w:szCs w:val="28"/>
        </w:rPr>
        <w:t xml:space="preserve"> as </w:t>
      </w:r>
      <w:r w:rsidR="00860969" w:rsidRPr="00A3376D">
        <w:rPr>
          <w:rFonts w:ascii="Arial" w:hAnsi="Arial" w:cs="Arial"/>
          <w:b/>
          <w:bCs/>
          <w:sz w:val="28"/>
          <w:szCs w:val="28"/>
        </w:rPr>
        <w:t>a</w:t>
      </w:r>
      <w:r w:rsidR="00CA3627" w:rsidRPr="00A3376D">
        <w:rPr>
          <w:rFonts w:ascii="Arial" w:hAnsi="Arial" w:cs="Arial"/>
          <w:b/>
          <w:bCs/>
          <w:sz w:val="28"/>
          <w:szCs w:val="28"/>
        </w:rPr>
        <w:t xml:space="preserve"> </w:t>
      </w:r>
      <w:r w:rsidR="00064628" w:rsidRPr="00A3376D">
        <w:rPr>
          <w:rFonts w:ascii="Arial" w:hAnsi="Arial" w:cs="Arial"/>
          <w:b/>
          <w:bCs/>
          <w:sz w:val="28"/>
          <w:szCs w:val="28"/>
        </w:rPr>
        <w:t>New Approach Methodolog</w:t>
      </w:r>
      <w:r w:rsidR="000434C8" w:rsidRPr="00A3376D">
        <w:rPr>
          <w:rFonts w:ascii="Arial" w:hAnsi="Arial" w:cs="Arial"/>
          <w:b/>
          <w:bCs/>
          <w:sz w:val="28"/>
          <w:szCs w:val="28"/>
        </w:rPr>
        <w:t>y</w:t>
      </w:r>
      <w:r w:rsidR="00064628" w:rsidRPr="00A3376D">
        <w:rPr>
          <w:rFonts w:ascii="Arial" w:hAnsi="Arial" w:cs="Arial"/>
          <w:b/>
          <w:bCs/>
          <w:sz w:val="28"/>
          <w:szCs w:val="28"/>
        </w:rPr>
        <w:t xml:space="preserve"> </w:t>
      </w:r>
      <w:r w:rsidR="00CA3627" w:rsidRPr="00A3376D">
        <w:rPr>
          <w:rFonts w:ascii="Arial" w:hAnsi="Arial" w:cs="Arial"/>
          <w:b/>
          <w:bCs/>
          <w:sz w:val="28"/>
          <w:szCs w:val="28"/>
        </w:rPr>
        <w:t xml:space="preserve">Follow Up to </w:t>
      </w:r>
      <w:r w:rsidR="007A61BD" w:rsidRPr="00A3376D">
        <w:rPr>
          <w:rFonts w:ascii="Arial" w:hAnsi="Arial" w:cs="Arial"/>
          <w:b/>
          <w:bCs/>
          <w:sz w:val="28"/>
          <w:szCs w:val="28"/>
        </w:rPr>
        <w:t xml:space="preserve">a </w:t>
      </w:r>
      <w:r w:rsidR="00BC15A3" w:rsidRPr="00A3376D">
        <w:rPr>
          <w:rFonts w:ascii="Arial" w:hAnsi="Arial" w:cs="Arial"/>
          <w:b/>
          <w:bCs/>
          <w:sz w:val="28"/>
          <w:szCs w:val="28"/>
        </w:rPr>
        <w:t xml:space="preserve">Positive Response </w:t>
      </w:r>
      <w:r w:rsidR="008B3212" w:rsidRPr="00A3376D">
        <w:rPr>
          <w:rFonts w:ascii="Arial" w:hAnsi="Arial" w:cs="Arial"/>
          <w:b/>
          <w:bCs/>
          <w:sz w:val="28"/>
          <w:szCs w:val="28"/>
        </w:rPr>
        <w:t xml:space="preserve">in </w:t>
      </w:r>
      <w:r w:rsidR="00D851A4" w:rsidRPr="00A3376D">
        <w:rPr>
          <w:rFonts w:ascii="Arial" w:hAnsi="Arial" w:cs="Arial"/>
          <w:b/>
          <w:bCs/>
          <w:sz w:val="28"/>
          <w:szCs w:val="28"/>
        </w:rPr>
        <w:t xml:space="preserve">Human TK6 Cell </w:t>
      </w:r>
      <w:r w:rsidR="000B2ECF" w:rsidRPr="00A3376D">
        <w:rPr>
          <w:rFonts w:ascii="Arial" w:hAnsi="Arial" w:cs="Arial"/>
          <w:b/>
          <w:bCs/>
          <w:sz w:val="28"/>
          <w:szCs w:val="28"/>
        </w:rPr>
        <w:t>Micronucleus</w:t>
      </w:r>
      <w:r w:rsidR="00CA3627" w:rsidRPr="00A3376D">
        <w:rPr>
          <w:rFonts w:ascii="Arial" w:hAnsi="Arial" w:cs="Arial"/>
          <w:b/>
          <w:bCs/>
          <w:sz w:val="28"/>
          <w:szCs w:val="28"/>
        </w:rPr>
        <w:t xml:space="preserve"> </w:t>
      </w:r>
      <w:r w:rsidR="008547B6" w:rsidRPr="00A3376D">
        <w:rPr>
          <w:rFonts w:ascii="Arial" w:hAnsi="Arial" w:cs="Arial"/>
          <w:b/>
          <w:bCs/>
          <w:sz w:val="28"/>
          <w:szCs w:val="28"/>
        </w:rPr>
        <w:t>Assay</w:t>
      </w:r>
      <w:r w:rsidR="008B3212" w:rsidRPr="00A3376D">
        <w:rPr>
          <w:rFonts w:ascii="Arial" w:hAnsi="Arial" w:cs="Arial"/>
          <w:b/>
          <w:bCs/>
          <w:sz w:val="28"/>
          <w:szCs w:val="28"/>
        </w:rPr>
        <w:t>: Naphthalene Case Study</w:t>
      </w:r>
    </w:p>
    <w:p w14:paraId="2AB02E6B" w14:textId="06878CDC" w:rsidR="004E63C1" w:rsidRPr="00A3376D" w:rsidRDefault="004E63C1" w:rsidP="003C4E50">
      <w:pPr>
        <w:spacing w:after="0" w:line="480" w:lineRule="auto"/>
        <w:jc w:val="both"/>
        <w:rPr>
          <w:rFonts w:ascii="Arial" w:hAnsi="Arial" w:cs="Arial"/>
          <w:sz w:val="28"/>
          <w:szCs w:val="28"/>
        </w:rPr>
      </w:pPr>
    </w:p>
    <w:p w14:paraId="19339051" w14:textId="77777777" w:rsidR="00A375CA" w:rsidRPr="00A3376D" w:rsidRDefault="00A375CA" w:rsidP="003C4E50">
      <w:pPr>
        <w:spacing w:after="0" w:line="480" w:lineRule="auto"/>
        <w:jc w:val="both"/>
        <w:rPr>
          <w:rFonts w:ascii="Arial" w:hAnsi="Arial" w:cs="Arial"/>
          <w:sz w:val="28"/>
          <w:szCs w:val="28"/>
        </w:rPr>
      </w:pPr>
    </w:p>
    <w:p w14:paraId="3D93D979" w14:textId="1E105342" w:rsidR="004E63C1" w:rsidRPr="00A3376D" w:rsidRDefault="004E63C1" w:rsidP="00A20431">
      <w:pPr>
        <w:spacing w:after="0" w:line="480" w:lineRule="auto"/>
        <w:jc w:val="center"/>
        <w:rPr>
          <w:rFonts w:ascii="Arial" w:hAnsi="Arial" w:cs="Arial"/>
          <w:b/>
          <w:bCs/>
          <w:sz w:val="28"/>
          <w:szCs w:val="28"/>
        </w:rPr>
      </w:pPr>
      <w:r w:rsidRPr="00A3376D">
        <w:rPr>
          <w:rFonts w:ascii="Arial" w:hAnsi="Arial" w:cs="Arial"/>
          <w:b/>
          <w:bCs/>
          <w:sz w:val="28"/>
          <w:szCs w:val="28"/>
        </w:rPr>
        <w:t>Leslie Recio</w:t>
      </w:r>
      <w:r w:rsidRPr="00A3376D">
        <w:rPr>
          <w:rFonts w:ascii="Arial" w:hAnsi="Arial" w:cs="Arial"/>
          <w:b/>
          <w:bCs/>
          <w:sz w:val="28"/>
          <w:szCs w:val="28"/>
          <w:vertAlign w:val="superscript"/>
        </w:rPr>
        <w:t>1</w:t>
      </w:r>
      <w:r w:rsidR="00690B6C" w:rsidRPr="00A3376D">
        <w:rPr>
          <w:rFonts w:ascii="Arial" w:hAnsi="Arial" w:cs="Arial"/>
          <w:b/>
          <w:bCs/>
          <w:sz w:val="28"/>
          <w:szCs w:val="28"/>
          <w:vertAlign w:val="superscript"/>
        </w:rPr>
        <w:t>,</w:t>
      </w:r>
      <w:r w:rsidR="002E2389" w:rsidRPr="00A3376D">
        <w:rPr>
          <w:rFonts w:ascii="Arial" w:hAnsi="Arial" w:cs="Arial"/>
          <w:b/>
          <w:bCs/>
          <w:sz w:val="28"/>
          <w:szCs w:val="28"/>
          <w:vertAlign w:val="superscript"/>
        </w:rPr>
        <w:t>2</w:t>
      </w:r>
      <w:r w:rsidRPr="00A3376D">
        <w:rPr>
          <w:rFonts w:ascii="Arial" w:hAnsi="Arial" w:cs="Arial"/>
          <w:b/>
          <w:bCs/>
          <w:sz w:val="28"/>
          <w:szCs w:val="28"/>
        </w:rPr>
        <w:t>, Jasmine Fowler</w:t>
      </w:r>
      <w:r w:rsidR="007152DF" w:rsidRPr="00A3376D">
        <w:rPr>
          <w:rFonts w:ascii="Arial" w:hAnsi="Arial" w:cs="Arial"/>
          <w:b/>
          <w:bCs/>
          <w:sz w:val="28"/>
          <w:szCs w:val="28"/>
          <w:vertAlign w:val="superscript"/>
        </w:rPr>
        <w:t>2</w:t>
      </w:r>
      <w:r w:rsidRPr="00A3376D">
        <w:rPr>
          <w:rFonts w:ascii="Arial" w:hAnsi="Arial" w:cs="Arial"/>
          <w:b/>
          <w:bCs/>
          <w:sz w:val="28"/>
          <w:szCs w:val="28"/>
        </w:rPr>
        <w:t>, Lincoln Martin</w:t>
      </w:r>
      <w:r w:rsidR="007152DF" w:rsidRPr="00A3376D">
        <w:rPr>
          <w:rFonts w:ascii="Arial" w:hAnsi="Arial" w:cs="Arial"/>
          <w:b/>
          <w:bCs/>
          <w:sz w:val="28"/>
          <w:szCs w:val="28"/>
          <w:vertAlign w:val="superscript"/>
        </w:rPr>
        <w:t>2</w:t>
      </w:r>
      <w:r w:rsidR="004043C8" w:rsidRPr="00A3376D">
        <w:rPr>
          <w:rFonts w:ascii="Arial" w:hAnsi="Arial" w:cs="Arial"/>
          <w:b/>
          <w:bCs/>
          <w:sz w:val="28"/>
          <w:szCs w:val="28"/>
        </w:rPr>
        <w:t xml:space="preserve">, </w:t>
      </w:r>
      <w:r w:rsidRPr="00A3376D">
        <w:rPr>
          <w:rFonts w:ascii="Arial" w:hAnsi="Arial" w:cs="Arial"/>
          <w:b/>
          <w:bCs/>
          <w:sz w:val="28"/>
          <w:szCs w:val="28"/>
        </w:rPr>
        <w:t>Carol Swartz</w:t>
      </w:r>
      <w:r w:rsidR="007152DF" w:rsidRPr="00A3376D">
        <w:rPr>
          <w:rFonts w:ascii="Arial" w:hAnsi="Arial" w:cs="Arial"/>
          <w:b/>
          <w:bCs/>
          <w:sz w:val="28"/>
          <w:szCs w:val="28"/>
          <w:vertAlign w:val="superscript"/>
        </w:rPr>
        <w:t>2</w:t>
      </w:r>
    </w:p>
    <w:p w14:paraId="052B8AD6" w14:textId="77777777" w:rsidR="00A375CA" w:rsidRPr="00ED6A53" w:rsidRDefault="00A375CA" w:rsidP="003C4E50">
      <w:pPr>
        <w:spacing w:after="0" w:line="480" w:lineRule="auto"/>
        <w:jc w:val="both"/>
        <w:rPr>
          <w:rFonts w:ascii="Arial" w:hAnsi="Arial" w:cs="Arial"/>
          <w:sz w:val="24"/>
          <w:szCs w:val="24"/>
        </w:rPr>
      </w:pPr>
    </w:p>
    <w:p w14:paraId="57E405E8" w14:textId="77777777" w:rsidR="00522BBE" w:rsidRDefault="00522BBE" w:rsidP="003C4E50">
      <w:pPr>
        <w:spacing w:after="0" w:line="240" w:lineRule="auto"/>
        <w:jc w:val="both"/>
        <w:rPr>
          <w:rFonts w:ascii="Arial" w:hAnsi="Arial" w:cs="Arial"/>
          <w:sz w:val="24"/>
          <w:szCs w:val="24"/>
        </w:rPr>
      </w:pPr>
    </w:p>
    <w:p w14:paraId="53D1D38C" w14:textId="77777777" w:rsidR="00522BBE" w:rsidRDefault="00522BBE" w:rsidP="003C4E50">
      <w:pPr>
        <w:spacing w:after="0" w:line="240" w:lineRule="auto"/>
        <w:jc w:val="both"/>
        <w:rPr>
          <w:rFonts w:ascii="Arial" w:hAnsi="Arial" w:cs="Arial"/>
          <w:sz w:val="24"/>
          <w:szCs w:val="24"/>
        </w:rPr>
      </w:pPr>
    </w:p>
    <w:p w14:paraId="01EC4C4D" w14:textId="77777777" w:rsidR="00522BBE" w:rsidRDefault="00522BBE" w:rsidP="003C4E50">
      <w:pPr>
        <w:spacing w:after="0" w:line="240" w:lineRule="auto"/>
        <w:jc w:val="both"/>
        <w:rPr>
          <w:rFonts w:ascii="Arial" w:hAnsi="Arial" w:cs="Arial"/>
          <w:sz w:val="24"/>
          <w:szCs w:val="24"/>
        </w:rPr>
      </w:pPr>
    </w:p>
    <w:p w14:paraId="15498CB1" w14:textId="77777777" w:rsidR="00522BBE" w:rsidRDefault="00522BBE" w:rsidP="003C4E50">
      <w:pPr>
        <w:spacing w:after="0" w:line="240" w:lineRule="auto"/>
        <w:jc w:val="both"/>
        <w:rPr>
          <w:rFonts w:ascii="Arial" w:hAnsi="Arial" w:cs="Arial"/>
          <w:sz w:val="24"/>
          <w:szCs w:val="24"/>
        </w:rPr>
      </w:pPr>
    </w:p>
    <w:p w14:paraId="12A8EBB2" w14:textId="77777777" w:rsidR="00522BBE" w:rsidRDefault="00522BBE" w:rsidP="003C4E50">
      <w:pPr>
        <w:spacing w:after="0" w:line="240" w:lineRule="auto"/>
        <w:jc w:val="both"/>
        <w:rPr>
          <w:rFonts w:ascii="Arial" w:hAnsi="Arial" w:cs="Arial"/>
          <w:sz w:val="24"/>
          <w:szCs w:val="24"/>
        </w:rPr>
      </w:pPr>
    </w:p>
    <w:p w14:paraId="1BC2B9AA" w14:textId="77777777" w:rsidR="00522BBE" w:rsidRDefault="00522BBE" w:rsidP="003C4E50">
      <w:pPr>
        <w:spacing w:after="0" w:line="240" w:lineRule="auto"/>
        <w:jc w:val="both"/>
        <w:rPr>
          <w:rFonts w:ascii="Arial" w:hAnsi="Arial" w:cs="Arial"/>
          <w:sz w:val="24"/>
          <w:szCs w:val="24"/>
        </w:rPr>
      </w:pPr>
    </w:p>
    <w:p w14:paraId="5E4C249F" w14:textId="452AF340" w:rsidR="00E74D51" w:rsidRPr="00ED6A53" w:rsidRDefault="00A375CA" w:rsidP="003C4E50">
      <w:pPr>
        <w:spacing w:after="0" w:line="240" w:lineRule="auto"/>
        <w:jc w:val="both"/>
        <w:rPr>
          <w:rFonts w:ascii="Arial" w:hAnsi="Arial" w:cs="Arial"/>
          <w:sz w:val="24"/>
          <w:szCs w:val="24"/>
        </w:rPr>
      </w:pPr>
      <w:r w:rsidRPr="00ED6A53">
        <w:rPr>
          <w:rFonts w:ascii="Arial" w:hAnsi="Arial" w:cs="Arial"/>
          <w:sz w:val="24"/>
          <w:szCs w:val="24"/>
        </w:rPr>
        <w:t>1Corresponding Author</w:t>
      </w:r>
      <w:r w:rsidR="00E74D51" w:rsidRPr="00ED6A53">
        <w:rPr>
          <w:rFonts w:ascii="Arial" w:hAnsi="Arial" w:cs="Arial"/>
          <w:sz w:val="24"/>
          <w:szCs w:val="24"/>
        </w:rPr>
        <w:t xml:space="preserve"> Current Address:</w:t>
      </w:r>
    </w:p>
    <w:p w14:paraId="51BDA10D" w14:textId="77777777" w:rsidR="00E74D51" w:rsidRPr="00ED6A53" w:rsidRDefault="00A375CA" w:rsidP="00172EA6">
      <w:pPr>
        <w:tabs>
          <w:tab w:val="left" w:pos="180"/>
        </w:tabs>
        <w:spacing w:after="0" w:line="240" w:lineRule="auto"/>
        <w:jc w:val="both"/>
        <w:rPr>
          <w:rFonts w:ascii="Arial" w:hAnsi="Arial" w:cs="Arial"/>
          <w:sz w:val="24"/>
          <w:szCs w:val="24"/>
        </w:rPr>
      </w:pPr>
      <w:r w:rsidRPr="00ED6A53">
        <w:rPr>
          <w:rFonts w:ascii="Arial" w:hAnsi="Arial" w:cs="Arial"/>
          <w:sz w:val="24"/>
          <w:szCs w:val="24"/>
        </w:rPr>
        <w:tab/>
        <w:t>Leslie Recio</w:t>
      </w:r>
      <w:r w:rsidR="00E74D51" w:rsidRPr="00ED6A53">
        <w:rPr>
          <w:rFonts w:ascii="Arial" w:hAnsi="Arial" w:cs="Arial"/>
          <w:sz w:val="24"/>
          <w:szCs w:val="24"/>
        </w:rPr>
        <w:t xml:space="preserve"> PhD DABT</w:t>
      </w:r>
    </w:p>
    <w:p w14:paraId="67B3E5A9" w14:textId="77777777" w:rsidR="00E74D51" w:rsidRPr="00ED6A53" w:rsidRDefault="00E74D51" w:rsidP="00172EA6">
      <w:pPr>
        <w:tabs>
          <w:tab w:val="left" w:pos="180"/>
        </w:tabs>
        <w:spacing w:after="0" w:line="240" w:lineRule="auto"/>
        <w:jc w:val="both"/>
        <w:rPr>
          <w:rFonts w:ascii="Arial" w:hAnsi="Arial" w:cs="Arial"/>
          <w:sz w:val="24"/>
          <w:szCs w:val="24"/>
        </w:rPr>
      </w:pPr>
      <w:r w:rsidRPr="00ED6A53">
        <w:rPr>
          <w:rFonts w:ascii="Arial" w:hAnsi="Arial" w:cs="Arial"/>
          <w:sz w:val="24"/>
          <w:szCs w:val="24"/>
        </w:rPr>
        <w:tab/>
        <w:t>ScitoVation</w:t>
      </w:r>
    </w:p>
    <w:p w14:paraId="7385E4A3" w14:textId="77777777" w:rsidR="00E74D51" w:rsidRPr="00ED6A53" w:rsidRDefault="00E74D51" w:rsidP="00172EA6">
      <w:pPr>
        <w:tabs>
          <w:tab w:val="left" w:pos="180"/>
        </w:tabs>
        <w:spacing w:after="0" w:line="240" w:lineRule="auto"/>
        <w:jc w:val="both"/>
        <w:rPr>
          <w:rFonts w:ascii="Arial" w:hAnsi="Arial" w:cs="Arial"/>
          <w:sz w:val="24"/>
          <w:szCs w:val="24"/>
        </w:rPr>
      </w:pPr>
      <w:r w:rsidRPr="00ED6A53">
        <w:rPr>
          <w:rFonts w:ascii="Arial" w:hAnsi="Arial" w:cs="Arial"/>
          <w:sz w:val="24"/>
          <w:szCs w:val="24"/>
        </w:rPr>
        <w:tab/>
        <w:t>6 Davis Dr.</w:t>
      </w:r>
    </w:p>
    <w:p w14:paraId="2154A7FF" w14:textId="77777777" w:rsidR="00E74D51" w:rsidRPr="00ED6A53" w:rsidRDefault="00E74D51" w:rsidP="00172EA6">
      <w:pPr>
        <w:tabs>
          <w:tab w:val="left" w:pos="180"/>
        </w:tabs>
        <w:spacing w:after="0" w:line="240" w:lineRule="auto"/>
        <w:jc w:val="both"/>
        <w:rPr>
          <w:rFonts w:ascii="Arial" w:hAnsi="Arial" w:cs="Arial"/>
          <w:sz w:val="24"/>
          <w:szCs w:val="24"/>
        </w:rPr>
      </w:pPr>
      <w:r w:rsidRPr="00ED6A53">
        <w:rPr>
          <w:rFonts w:ascii="Arial" w:hAnsi="Arial" w:cs="Arial"/>
          <w:sz w:val="24"/>
          <w:szCs w:val="24"/>
        </w:rPr>
        <w:tab/>
        <w:t>Durham, NC 27709</w:t>
      </w:r>
    </w:p>
    <w:p w14:paraId="2E97FB5E" w14:textId="501AE7F0" w:rsidR="00A375CA" w:rsidRPr="00ED6A53" w:rsidRDefault="00E74D51" w:rsidP="00172EA6">
      <w:pPr>
        <w:tabs>
          <w:tab w:val="left" w:pos="180"/>
        </w:tabs>
        <w:spacing w:after="0" w:line="240" w:lineRule="auto"/>
        <w:jc w:val="both"/>
        <w:rPr>
          <w:rFonts w:ascii="Arial" w:hAnsi="Arial" w:cs="Arial"/>
          <w:sz w:val="24"/>
          <w:szCs w:val="24"/>
        </w:rPr>
      </w:pPr>
      <w:r w:rsidRPr="00ED6A53">
        <w:rPr>
          <w:rFonts w:ascii="Arial" w:hAnsi="Arial" w:cs="Arial"/>
          <w:sz w:val="24"/>
          <w:szCs w:val="24"/>
        </w:rPr>
        <w:tab/>
      </w:r>
      <w:r w:rsidR="00A375CA" w:rsidRPr="00ED6A53">
        <w:rPr>
          <w:rFonts w:ascii="Arial" w:hAnsi="Arial" w:cs="Arial"/>
          <w:sz w:val="24"/>
          <w:szCs w:val="24"/>
        </w:rPr>
        <w:t xml:space="preserve">e-mail: </w:t>
      </w:r>
      <w:hyperlink r:id="rId9" w:history="1">
        <w:r w:rsidRPr="00ED6A53">
          <w:rPr>
            <w:rStyle w:val="Hyperlink"/>
            <w:rFonts w:ascii="Arial" w:hAnsi="Arial" w:cs="Arial"/>
            <w:sz w:val="24"/>
            <w:szCs w:val="24"/>
          </w:rPr>
          <w:t>lrecio@scitovation.com</w:t>
        </w:r>
      </w:hyperlink>
      <w:r w:rsidRPr="00ED6A53">
        <w:rPr>
          <w:rFonts w:ascii="Arial" w:hAnsi="Arial" w:cs="Arial"/>
          <w:sz w:val="24"/>
          <w:szCs w:val="24"/>
        </w:rPr>
        <w:t xml:space="preserve"> </w:t>
      </w:r>
    </w:p>
    <w:p w14:paraId="3E4B0522" w14:textId="209B3A79" w:rsidR="00A375CA" w:rsidRPr="00ED6A53" w:rsidRDefault="00A375CA" w:rsidP="00172EA6">
      <w:pPr>
        <w:tabs>
          <w:tab w:val="left" w:pos="180"/>
        </w:tabs>
        <w:spacing w:after="0" w:line="240" w:lineRule="auto"/>
        <w:jc w:val="both"/>
        <w:rPr>
          <w:rFonts w:ascii="Arial" w:hAnsi="Arial" w:cs="Arial"/>
          <w:sz w:val="24"/>
          <w:szCs w:val="24"/>
        </w:rPr>
      </w:pPr>
      <w:r w:rsidRPr="00ED6A53">
        <w:rPr>
          <w:rFonts w:ascii="Arial" w:hAnsi="Arial" w:cs="Arial"/>
          <w:sz w:val="24"/>
          <w:szCs w:val="24"/>
        </w:rPr>
        <w:tab/>
        <w:t>Ph. No. (919</w:t>
      </w:r>
      <w:r w:rsidR="00E74D51" w:rsidRPr="00ED6A53">
        <w:rPr>
          <w:rFonts w:ascii="Arial" w:hAnsi="Arial" w:cs="Arial"/>
          <w:sz w:val="24"/>
          <w:szCs w:val="24"/>
        </w:rPr>
        <w:t>) 670-8609</w:t>
      </w:r>
    </w:p>
    <w:p w14:paraId="4905100A" w14:textId="77777777" w:rsidR="004F198D" w:rsidRPr="00ED6A53" w:rsidRDefault="004F198D" w:rsidP="004F198D">
      <w:pPr>
        <w:spacing w:after="0" w:line="240" w:lineRule="auto"/>
        <w:jc w:val="both"/>
        <w:rPr>
          <w:rFonts w:ascii="Arial" w:hAnsi="Arial" w:cs="Arial"/>
          <w:sz w:val="24"/>
          <w:szCs w:val="24"/>
        </w:rPr>
      </w:pPr>
    </w:p>
    <w:p w14:paraId="3DC00787" w14:textId="5D16A6AD" w:rsidR="00172EA6" w:rsidRPr="00ED6A53" w:rsidRDefault="00172EA6" w:rsidP="004F198D">
      <w:pPr>
        <w:spacing w:after="0" w:line="240" w:lineRule="auto"/>
        <w:jc w:val="both"/>
        <w:rPr>
          <w:rFonts w:ascii="Arial" w:hAnsi="Arial" w:cs="Arial"/>
          <w:sz w:val="24"/>
          <w:szCs w:val="24"/>
        </w:rPr>
      </w:pPr>
      <w:r w:rsidRPr="00ED6A53">
        <w:rPr>
          <w:rFonts w:ascii="Arial" w:hAnsi="Arial" w:cs="Arial"/>
          <w:sz w:val="24"/>
          <w:szCs w:val="24"/>
        </w:rPr>
        <w:t>2Integrated Laboratory Systems, an Inotiv Company</w:t>
      </w:r>
    </w:p>
    <w:p w14:paraId="0AED8C7B" w14:textId="1F48D4B4" w:rsidR="00172EA6" w:rsidRPr="00ED6A53" w:rsidRDefault="00172EA6" w:rsidP="006B4DAB">
      <w:pPr>
        <w:tabs>
          <w:tab w:val="left" w:pos="180"/>
        </w:tabs>
        <w:spacing w:after="0" w:line="240" w:lineRule="auto"/>
        <w:jc w:val="both"/>
        <w:rPr>
          <w:rFonts w:ascii="Arial" w:hAnsi="Arial" w:cs="Arial"/>
          <w:sz w:val="24"/>
          <w:szCs w:val="24"/>
        </w:rPr>
      </w:pPr>
      <w:r w:rsidRPr="00ED6A53">
        <w:rPr>
          <w:rFonts w:ascii="Arial" w:hAnsi="Arial" w:cs="Arial"/>
          <w:sz w:val="24"/>
          <w:szCs w:val="24"/>
        </w:rPr>
        <w:t xml:space="preserve"> </w:t>
      </w:r>
      <w:r w:rsidR="006B4DAB" w:rsidRPr="00ED6A53">
        <w:rPr>
          <w:rFonts w:ascii="Arial" w:hAnsi="Arial" w:cs="Arial"/>
          <w:sz w:val="24"/>
          <w:szCs w:val="24"/>
        </w:rPr>
        <w:tab/>
      </w:r>
      <w:r w:rsidRPr="00ED6A53">
        <w:rPr>
          <w:rFonts w:ascii="Arial" w:hAnsi="Arial" w:cs="Arial"/>
          <w:sz w:val="24"/>
          <w:szCs w:val="24"/>
        </w:rPr>
        <w:t>Morrisville, NC</w:t>
      </w:r>
    </w:p>
    <w:p w14:paraId="74D3E617" w14:textId="0818AC1A" w:rsidR="004043C8" w:rsidRPr="00ED6A53" w:rsidRDefault="004043C8" w:rsidP="004F198D">
      <w:pPr>
        <w:spacing w:after="0" w:line="240" w:lineRule="auto"/>
        <w:jc w:val="both"/>
        <w:rPr>
          <w:rFonts w:ascii="Arial" w:hAnsi="Arial" w:cs="Arial"/>
          <w:sz w:val="24"/>
          <w:szCs w:val="24"/>
        </w:rPr>
      </w:pPr>
    </w:p>
    <w:p w14:paraId="7570C155" w14:textId="77777777" w:rsidR="00172EA6" w:rsidRPr="00ED6A53" w:rsidRDefault="00172EA6" w:rsidP="003C4E50">
      <w:pPr>
        <w:tabs>
          <w:tab w:val="left" w:pos="360"/>
        </w:tabs>
        <w:spacing w:after="0" w:line="240" w:lineRule="auto"/>
        <w:jc w:val="both"/>
        <w:rPr>
          <w:rFonts w:ascii="Arial" w:hAnsi="Arial" w:cs="Arial"/>
          <w:sz w:val="24"/>
          <w:szCs w:val="24"/>
        </w:rPr>
      </w:pPr>
    </w:p>
    <w:p w14:paraId="5B58556F" w14:textId="7EF2B9BE" w:rsidR="00A375CA" w:rsidRPr="00ED6A53" w:rsidRDefault="00A375CA" w:rsidP="003C4E50">
      <w:pPr>
        <w:spacing w:after="0" w:line="240" w:lineRule="auto"/>
        <w:jc w:val="both"/>
        <w:rPr>
          <w:rFonts w:ascii="Arial" w:hAnsi="Arial" w:cs="Arial"/>
          <w:sz w:val="24"/>
          <w:szCs w:val="24"/>
        </w:rPr>
      </w:pPr>
    </w:p>
    <w:p w14:paraId="0AF6E249" w14:textId="3CD65BAB" w:rsidR="004E63C1" w:rsidRPr="00ED6A53" w:rsidRDefault="004E63C1" w:rsidP="003C4E50">
      <w:pPr>
        <w:jc w:val="both"/>
        <w:rPr>
          <w:rFonts w:ascii="Arial" w:hAnsi="Arial" w:cs="Arial"/>
          <w:sz w:val="24"/>
          <w:szCs w:val="24"/>
        </w:rPr>
      </w:pPr>
      <w:r w:rsidRPr="00ED6A53">
        <w:rPr>
          <w:rFonts w:ascii="Arial" w:hAnsi="Arial" w:cs="Arial"/>
          <w:sz w:val="24"/>
          <w:szCs w:val="24"/>
        </w:rPr>
        <w:br w:type="page"/>
      </w:r>
    </w:p>
    <w:p w14:paraId="75112145" w14:textId="7D790687" w:rsidR="004E63C1" w:rsidRPr="00ED6A53" w:rsidRDefault="001A5EFE" w:rsidP="003C4E50">
      <w:pPr>
        <w:spacing w:after="0" w:line="480" w:lineRule="auto"/>
        <w:jc w:val="both"/>
        <w:rPr>
          <w:rFonts w:ascii="Arial" w:hAnsi="Arial" w:cs="Arial"/>
          <w:b/>
          <w:bCs/>
          <w:sz w:val="24"/>
          <w:szCs w:val="24"/>
        </w:rPr>
      </w:pPr>
      <w:r w:rsidRPr="00ED6A53">
        <w:rPr>
          <w:rFonts w:ascii="Arial" w:hAnsi="Arial" w:cs="Arial"/>
          <w:b/>
          <w:bCs/>
          <w:sz w:val="24"/>
          <w:szCs w:val="24"/>
        </w:rPr>
        <w:lastRenderedPageBreak/>
        <w:t>Abstract</w:t>
      </w:r>
      <w:r w:rsidR="003C4E50" w:rsidRPr="00ED6A53">
        <w:rPr>
          <w:rFonts w:ascii="Arial" w:hAnsi="Arial" w:cs="Arial"/>
          <w:b/>
          <w:bCs/>
          <w:sz w:val="24"/>
          <w:szCs w:val="24"/>
        </w:rPr>
        <w:t xml:space="preserve">   </w:t>
      </w:r>
    </w:p>
    <w:p w14:paraId="3C235852" w14:textId="640CE6FD" w:rsidR="0083602E" w:rsidRPr="00ED6A53" w:rsidRDefault="004E63C1" w:rsidP="003C4E50">
      <w:pPr>
        <w:spacing w:after="0" w:line="480" w:lineRule="auto"/>
        <w:jc w:val="both"/>
        <w:rPr>
          <w:rFonts w:ascii="Arial" w:hAnsi="Arial" w:cs="Arial"/>
          <w:sz w:val="24"/>
          <w:szCs w:val="24"/>
        </w:rPr>
      </w:pPr>
      <w:r w:rsidRPr="00ED6A53">
        <w:rPr>
          <w:rFonts w:ascii="Arial" w:hAnsi="Arial" w:cs="Arial"/>
          <w:sz w:val="24"/>
          <w:szCs w:val="24"/>
        </w:rPr>
        <w:t>We are</w:t>
      </w:r>
      <w:r w:rsidR="00A375CA" w:rsidRPr="00ED6A53">
        <w:rPr>
          <w:rFonts w:ascii="Arial" w:hAnsi="Arial" w:cs="Arial"/>
          <w:sz w:val="24"/>
          <w:szCs w:val="24"/>
        </w:rPr>
        <w:t xml:space="preserve"> </w:t>
      </w:r>
      <w:r w:rsidR="000A59D8" w:rsidRPr="00ED6A53">
        <w:rPr>
          <w:rFonts w:ascii="Arial" w:hAnsi="Arial" w:cs="Arial"/>
          <w:sz w:val="24"/>
          <w:szCs w:val="24"/>
        </w:rPr>
        <w:t>evaluating the use of</w:t>
      </w:r>
      <w:r w:rsidRPr="00ED6A53">
        <w:rPr>
          <w:rFonts w:ascii="Arial" w:hAnsi="Arial" w:cs="Arial"/>
          <w:sz w:val="24"/>
          <w:szCs w:val="24"/>
        </w:rPr>
        <w:t xml:space="preserve"> metabolically competent</w:t>
      </w:r>
      <w:r w:rsidR="00A375CA" w:rsidRPr="00ED6A53">
        <w:rPr>
          <w:rFonts w:ascii="Arial" w:hAnsi="Arial" w:cs="Arial"/>
          <w:sz w:val="24"/>
          <w:szCs w:val="24"/>
        </w:rPr>
        <w:t xml:space="preserve"> </w:t>
      </w:r>
      <w:r w:rsidRPr="00ED6A53">
        <w:rPr>
          <w:rFonts w:ascii="Arial" w:hAnsi="Arial" w:cs="Arial"/>
          <w:sz w:val="24"/>
          <w:szCs w:val="24"/>
        </w:rPr>
        <w:t xml:space="preserve">HepaRG™ </w:t>
      </w:r>
      <w:r w:rsidR="004803CA" w:rsidRPr="00ED6A53">
        <w:rPr>
          <w:rFonts w:ascii="Arial" w:hAnsi="Arial" w:cs="Arial"/>
          <w:sz w:val="24"/>
          <w:szCs w:val="24"/>
        </w:rPr>
        <w:t xml:space="preserve">cells </w:t>
      </w:r>
      <w:r w:rsidRPr="00ED6A53">
        <w:rPr>
          <w:rFonts w:ascii="Arial" w:hAnsi="Arial" w:cs="Arial"/>
          <w:sz w:val="24"/>
          <w:szCs w:val="24"/>
        </w:rPr>
        <w:t>combined with CometChip</w:t>
      </w:r>
      <w:r w:rsidR="00A375CA" w:rsidRPr="00ED6A53">
        <w:rPr>
          <w:rFonts w:ascii="Arial" w:hAnsi="Arial" w:cs="Arial"/>
          <w:sz w:val="24"/>
          <w:szCs w:val="24"/>
        </w:rPr>
        <w:sym w:font="Symbol" w:char="F0D2"/>
      </w:r>
      <w:r w:rsidR="00A375CA" w:rsidRPr="00ED6A53">
        <w:rPr>
          <w:rFonts w:ascii="Arial" w:hAnsi="Arial" w:cs="Arial"/>
          <w:sz w:val="24"/>
          <w:szCs w:val="24"/>
        </w:rPr>
        <w:t xml:space="preserve"> </w:t>
      </w:r>
      <w:r w:rsidR="009F2B5C" w:rsidRPr="00ED6A53">
        <w:rPr>
          <w:rFonts w:ascii="Arial" w:hAnsi="Arial" w:cs="Arial"/>
          <w:sz w:val="24"/>
          <w:szCs w:val="24"/>
        </w:rPr>
        <w:t>for DNA damage</w:t>
      </w:r>
      <w:r w:rsidR="00296834" w:rsidRPr="00ED6A53">
        <w:rPr>
          <w:rFonts w:ascii="Arial" w:hAnsi="Arial" w:cs="Arial"/>
          <w:sz w:val="24"/>
          <w:szCs w:val="24"/>
        </w:rPr>
        <w:t xml:space="preserve"> and </w:t>
      </w:r>
      <w:r w:rsidRPr="00ED6A53">
        <w:rPr>
          <w:rFonts w:ascii="Arial" w:hAnsi="Arial" w:cs="Arial"/>
          <w:sz w:val="24"/>
          <w:szCs w:val="24"/>
        </w:rPr>
        <w:t xml:space="preserve">the </w:t>
      </w:r>
      <w:r w:rsidR="009F2B5C" w:rsidRPr="00ED6A53">
        <w:rPr>
          <w:rFonts w:ascii="Arial" w:hAnsi="Arial" w:cs="Arial"/>
          <w:sz w:val="24"/>
          <w:szCs w:val="24"/>
        </w:rPr>
        <w:t>micronucleus</w:t>
      </w:r>
      <w:r w:rsidRPr="00ED6A53">
        <w:rPr>
          <w:rFonts w:ascii="Arial" w:hAnsi="Arial" w:cs="Arial"/>
          <w:sz w:val="24"/>
          <w:szCs w:val="24"/>
        </w:rPr>
        <w:t xml:space="preserve"> </w:t>
      </w:r>
      <w:r w:rsidR="009F2B5C" w:rsidRPr="00ED6A53">
        <w:rPr>
          <w:rFonts w:ascii="Arial" w:hAnsi="Arial" w:cs="Arial"/>
          <w:sz w:val="24"/>
          <w:szCs w:val="24"/>
        </w:rPr>
        <w:t xml:space="preserve">(MN) </w:t>
      </w:r>
      <w:r w:rsidRPr="00ED6A53">
        <w:rPr>
          <w:rFonts w:ascii="Arial" w:hAnsi="Arial" w:cs="Arial"/>
          <w:sz w:val="24"/>
          <w:szCs w:val="24"/>
        </w:rPr>
        <w:t>assay</w:t>
      </w:r>
      <w:r w:rsidR="00E815E0" w:rsidRPr="00ED6A53">
        <w:rPr>
          <w:rFonts w:ascii="Arial" w:hAnsi="Arial" w:cs="Arial"/>
          <w:sz w:val="24"/>
          <w:szCs w:val="24"/>
        </w:rPr>
        <w:t xml:space="preserve"> </w:t>
      </w:r>
      <w:r w:rsidR="003B5359">
        <w:rPr>
          <w:rFonts w:ascii="Arial" w:hAnsi="Arial" w:cs="Arial"/>
          <w:sz w:val="24"/>
          <w:szCs w:val="24"/>
        </w:rPr>
        <w:t xml:space="preserve">as a </w:t>
      </w:r>
      <w:r w:rsidR="003B5359" w:rsidRPr="00ED6A53">
        <w:rPr>
          <w:rFonts w:ascii="Arial" w:hAnsi="Arial" w:cs="Arial"/>
          <w:sz w:val="24"/>
          <w:szCs w:val="24"/>
        </w:rPr>
        <w:t xml:space="preserve">follow up for </w:t>
      </w:r>
      <w:r w:rsidR="003B5359">
        <w:rPr>
          <w:rFonts w:ascii="Arial" w:hAnsi="Arial" w:cs="Arial"/>
          <w:sz w:val="24"/>
          <w:szCs w:val="24"/>
        </w:rPr>
        <w:t xml:space="preserve">in vitro </w:t>
      </w:r>
      <w:r w:rsidR="003B5359" w:rsidRPr="00ED6A53">
        <w:rPr>
          <w:rFonts w:ascii="Arial" w:hAnsi="Arial" w:cs="Arial"/>
          <w:sz w:val="24"/>
          <w:szCs w:val="24"/>
        </w:rPr>
        <w:t>positive genotoxic response</w:t>
      </w:r>
      <w:r w:rsidR="003B5359">
        <w:rPr>
          <w:rFonts w:ascii="Arial" w:hAnsi="Arial" w:cs="Arial"/>
          <w:sz w:val="24"/>
          <w:szCs w:val="24"/>
        </w:rPr>
        <w:t xml:space="preserve"> </w:t>
      </w:r>
      <w:r w:rsidR="00296834" w:rsidRPr="00ED6A53">
        <w:rPr>
          <w:rFonts w:ascii="Arial" w:hAnsi="Arial" w:cs="Arial"/>
          <w:sz w:val="24"/>
          <w:szCs w:val="24"/>
        </w:rPr>
        <w:t>as</w:t>
      </w:r>
      <w:r w:rsidR="003B5359">
        <w:rPr>
          <w:rFonts w:ascii="Arial" w:hAnsi="Arial" w:cs="Arial"/>
          <w:sz w:val="24"/>
          <w:szCs w:val="24"/>
        </w:rPr>
        <w:t xml:space="preserve"> </w:t>
      </w:r>
      <w:r w:rsidR="00E815E0" w:rsidRPr="00ED6A53">
        <w:rPr>
          <w:rFonts w:ascii="Arial" w:hAnsi="Arial" w:cs="Arial"/>
          <w:sz w:val="24"/>
          <w:szCs w:val="24"/>
        </w:rPr>
        <w:t>alternative</w:t>
      </w:r>
      <w:r w:rsidR="00296834" w:rsidRPr="00ED6A53">
        <w:rPr>
          <w:rFonts w:ascii="Arial" w:hAnsi="Arial" w:cs="Arial"/>
          <w:sz w:val="24"/>
          <w:szCs w:val="24"/>
        </w:rPr>
        <w:t>s</w:t>
      </w:r>
      <w:r w:rsidR="00E815E0" w:rsidRPr="00ED6A53">
        <w:rPr>
          <w:rFonts w:ascii="Arial" w:hAnsi="Arial" w:cs="Arial"/>
          <w:sz w:val="24"/>
          <w:szCs w:val="24"/>
        </w:rPr>
        <w:t xml:space="preserve"> to </w:t>
      </w:r>
      <w:r w:rsidR="00E815E0" w:rsidRPr="00ED6A53">
        <w:rPr>
          <w:rFonts w:ascii="Arial" w:hAnsi="Arial" w:cs="Arial"/>
          <w:i/>
          <w:iCs/>
          <w:sz w:val="24"/>
          <w:szCs w:val="24"/>
        </w:rPr>
        <w:t>in vivo</w:t>
      </w:r>
      <w:r w:rsidR="00E815E0" w:rsidRPr="00ED6A53">
        <w:rPr>
          <w:rFonts w:ascii="Arial" w:hAnsi="Arial" w:cs="Arial"/>
          <w:sz w:val="24"/>
          <w:szCs w:val="24"/>
        </w:rPr>
        <w:t xml:space="preserve"> genotoxicity </w:t>
      </w:r>
      <w:r w:rsidR="00086F78">
        <w:rPr>
          <w:rFonts w:ascii="Arial" w:hAnsi="Arial" w:cs="Arial"/>
          <w:sz w:val="24"/>
          <w:szCs w:val="24"/>
        </w:rPr>
        <w:t>testing</w:t>
      </w:r>
      <w:r w:rsidR="008827D7">
        <w:rPr>
          <w:rFonts w:ascii="Arial" w:hAnsi="Arial" w:cs="Arial"/>
          <w:sz w:val="24"/>
          <w:szCs w:val="24"/>
        </w:rPr>
        <w:t>.</w:t>
      </w:r>
      <w:r w:rsidRPr="00ED6A53">
        <w:rPr>
          <w:rFonts w:ascii="Arial" w:hAnsi="Arial" w:cs="Arial"/>
          <w:sz w:val="24"/>
          <w:szCs w:val="24"/>
        </w:rPr>
        <w:t xml:space="preserve">. </w:t>
      </w:r>
      <w:r w:rsidR="00E26FA5" w:rsidRPr="00ED6A53">
        <w:rPr>
          <w:rFonts w:ascii="Arial" w:hAnsi="Arial" w:cs="Arial"/>
          <w:sz w:val="24"/>
          <w:szCs w:val="24"/>
        </w:rPr>
        <w:t xml:space="preserve">Naphthalene is genotoxic with rat liver S9 in human TK6 cells inducing a nonlinear dose-response for the induction of micronuclei in the presence </w:t>
      </w:r>
      <w:r w:rsidR="000A3DF7" w:rsidRPr="00ED6A53">
        <w:rPr>
          <w:rFonts w:ascii="Arial" w:hAnsi="Arial" w:cs="Arial"/>
          <w:sz w:val="24"/>
          <w:szCs w:val="24"/>
        </w:rPr>
        <w:t xml:space="preserve">of </w:t>
      </w:r>
      <w:r w:rsidR="008827D7">
        <w:rPr>
          <w:rFonts w:ascii="Arial" w:hAnsi="Arial" w:cs="Arial"/>
          <w:sz w:val="24"/>
          <w:szCs w:val="24"/>
        </w:rPr>
        <w:t xml:space="preserve">rat liver </w:t>
      </w:r>
      <w:r w:rsidR="000A3DF7" w:rsidRPr="00ED6A53">
        <w:rPr>
          <w:rFonts w:ascii="Arial" w:hAnsi="Arial" w:cs="Arial"/>
          <w:sz w:val="24"/>
          <w:szCs w:val="24"/>
        </w:rPr>
        <w:t>S9</w:t>
      </w:r>
      <w:r w:rsidR="008827D7">
        <w:rPr>
          <w:rFonts w:ascii="Arial" w:hAnsi="Arial" w:cs="Arial"/>
          <w:sz w:val="24"/>
          <w:szCs w:val="24"/>
        </w:rPr>
        <w:t xml:space="preserve">. </w:t>
      </w:r>
      <w:r w:rsidR="009D4C37" w:rsidRPr="00ED6A53">
        <w:rPr>
          <w:rFonts w:ascii="Arial" w:hAnsi="Arial" w:cs="Arial"/>
          <w:sz w:val="24"/>
          <w:szCs w:val="24"/>
        </w:rPr>
        <w:t xml:space="preserve">To follow up this response, we used </w:t>
      </w:r>
      <w:r w:rsidR="003D1904" w:rsidRPr="00ED6A53">
        <w:rPr>
          <w:rFonts w:ascii="Arial" w:hAnsi="Arial" w:cs="Arial"/>
          <w:sz w:val="24"/>
          <w:szCs w:val="24"/>
        </w:rPr>
        <w:t xml:space="preserve">metabolically competent </w:t>
      </w:r>
      <w:r w:rsidR="00654717" w:rsidRPr="00ED6A53">
        <w:rPr>
          <w:rFonts w:ascii="Arial" w:hAnsi="Arial" w:cs="Arial"/>
          <w:sz w:val="24"/>
          <w:szCs w:val="24"/>
        </w:rPr>
        <w:t>HepaRG™ cells as a New Approach Methodolog</w:t>
      </w:r>
      <w:r w:rsidR="003B2B43">
        <w:rPr>
          <w:rFonts w:ascii="Arial" w:hAnsi="Arial" w:cs="Arial"/>
          <w:sz w:val="24"/>
          <w:szCs w:val="24"/>
        </w:rPr>
        <w:t>y</w:t>
      </w:r>
      <w:r w:rsidR="00654717" w:rsidRPr="00ED6A53">
        <w:rPr>
          <w:rFonts w:ascii="Arial" w:hAnsi="Arial" w:cs="Arial"/>
          <w:sz w:val="24"/>
          <w:szCs w:val="24"/>
        </w:rPr>
        <w:t xml:space="preserve"> (NAM)</w:t>
      </w:r>
      <w:r w:rsidR="003D1904" w:rsidRPr="00ED6A53">
        <w:rPr>
          <w:rFonts w:ascii="Arial" w:hAnsi="Arial" w:cs="Arial"/>
          <w:sz w:val="24"/>
          <w:szCs w:val="24"/>
        </w:rPr>
        <w:t xml:space="preserve"> </w:t>
      </w:r>
      <w:r w:rsidR="008102C5" w:rsidRPr="00ED6A53">
        <w:rPr>
          <w:rFonts w:ascii="Arial" w:hAnsi="Arial" w:cs="Arial"/>
          <w:sz w:val="24"/>
          <w:szCs w:val="24"/>
        </w:rPr>
        <w:t xml:space="preserve">alternative </w:t>
      </w:r>
      <w:r w:rsidR="007F4010" w:rsidRPr="00ED6A53">
        <w:rPr>
          <w:rFonts w:ascii="Arial" w:hAnsi="Arial" w:cs="Arial"/>
          <w:sz w:val="24"/>
          <w:szCs w:val="24"/>
        </w:rPr>
        <w:t>to</w:t>
      </w:r>
      <w:r w:rsidR="003D1904" w:rsidRPr="00ED6A53">
        <w:rPr>
          <w:rFonts w:ascii="Arial" w:hAnsi="Arial" w:cs="Arial"/>
          <w:sz w:val="24"/>
          <w:szCs w:val="24"/>
        </w:rPr>
        <w:t xml:space="preserve"> </w:t>
      </w:r>
      <w:r w:rsidR="008102C5" w:rsidRPr="00ED6A53">
        <w:rPr>
          <w:rFonts w:ascii="Arial" w:hAnsi="Arial" w:cs="Arial"/>
          <w:sz w:val="24"/>
          <w:szCs w:val="24"/>
        </w:rPr>
        <w:t xml:space="preserve">animals </w:t>
      </w:r>
      <w:r w:rsidR="009035D2" w:rsidRPr="00ED6A53">
        <w:rPr>
          <w:rFonts w:ascii="Arial" w:hAnsi="Arial" w:cs="Arial"/>
          <w:sz w:val="24"/>
          <w:szCs w:val="24"/>
        </w:rPr>
        <w:t>for</w:t>
      </w:r>
      <w:r w:rsidR="003D1904" w:rsidRPr="00ED6A53">
        <w:rPr>
          <w:rFonts w:ascii="Arial" w:hAnsi="Arial" w:cs="Arial"/>
          <w:sz w:val="24"/>
          <w:szCs w:val="24"/>
        </w:rPr>
        <w:t xml:space="preserve"> genotoxicity</w:t>
      </w:r>
      <w:r w:rsidR="009035D2" w:rsidRPr="00ED6A53">
        <w:rPr>
          <w:rFonts w:ascii="Arial" w:hAnsi="Arial" w:cs="Arial"/>
          <w:sz w:val="24"/>
          <w:szCs w:val="24"/>
        </w:rPr>
        <w:t xml:space="preserve"> assessment of naphthalene</w:t>
      </w:r>
      <w:r w:rsidR="00017FEE" w:rsidRPr="00ED6A53">
        <w:rPr>
          <w:rFonts w:ascii="Arial" w:hAnsi="Arial" w:cs="Arial"/>
          <w:sz w:val="24"/>
          <w:szCs w:val="24"/>
        </w:rPr>
        <w:t xml:space="preserve">. </w:t>
      </w:r>
      <w:r w:rsidR="00E26FA5" w:rsidRPr="00ED6A53">
        <w:rPr>
          <w:rFonts w:ascii="Arial" w:hAnsi="Arial" w:cs="Arial"/>
          <w:sz w:val="24"/>
          <w:szCs w:val="24"/>
        </w:rPr>
        <w:t>In HepaRG</w:t>
      </w:r>
      <w:r w:rsidR="00E03D30" w:rsidRPr="00ED6A53">
        <w:rPr>
          <w:rFonts w:ascii="Arial" w:hAnsi="Arial" w:cs="Arial"/>
          <w:sz w:val="24"/>
          <w:szCs w:val="24"/>
        </w:rPr>
        <w:t>™</w:t>
      </w:r>
      <w:r w:rsidR="00E26FA5" w:rsidRPr="00ED6A53">
        <w:rPr>
          <w:rFonts w:ascii="Arial" w:hAnsi="Arial" w:cs="Arial"/>
          <w:sz w:val="24"/>
          <w:szCs w:val="24"/>
        </w:rPr>
        <w:t xml:space="preserve"> cells</w:t>
      </w:r>
      <w:r w:rsidR="00070F2B" w:rsidRPr="00ED6A53">
        <w:rPr>
          <w:rFonts w:ascii="Arial" w:hAnsi="Arial" w:cs="Arial"/>
          <w:sz w:val="24"/>
          <w:szCs w:val="24"/>
        </w:rPr>
        <w:t>,</w:t>
      </w:r>
      <w:r w:rsidR="00E26FA5" w:rsidRPr="00ED6A53">
        <w:rPr>
          <w:rFonts w:ascii="Arial" w:hAnsi="Arial" w:cs="Arial"/>
          <w:sz w:val="24"/>
          <w:szCs w:val="24"/>
        </w:rPr>
        <w:t xml:space="preserve"> n</w:t>
      </w:r>
      <w:r w:rsidRPr="00ED6A53">
        <w:rPr>
          <w:rFonts w:ascii="Arial" w:hAnsi="Arial" w:cs="Arial"/>
          <w:sz w:val="24"/>
          <w:szCs w:val="24"/>
        </w:rPr>
        <w:t>aphthalene genotoxicity was</w:t>
      </w:r>
      <w:r w:rsidR="00A375CA" w:rsidRPr="00ED6A53">
        <w:rPr>
          <w:rFonts w:ascii="Arial" w:hAnsi="Arial" w:cs="Arial"/>
          <w:sz w:val="24"/>
          <w:szCs w:val="24"/>
        </w:rPr>
        <w:t xml:space="preserve"> </w:t>
      </w:r>
      <w:r w:rsidRPr="00ED6A53">
        <w:rPr>
          <w:rFonts w:ascii="Arial" w:hAnsi="Arial" w:cs="Arial"/>
          <w:sz w:val="24"/>
          <w:szCs w:val="24"/>
        </w:rPr>
        <w:t>assessed using 12 concentrations of naphthalene with the top</w:t>
      </w:r>
      <w:r w:rsidR="00A375CA" w:rsidRPr="00ED6A53">
        <w:rPr>
          <w:rFonts w:ascii="Arial" w:hAnsi="Arial" w:cs="Arial"/>
          <w:sz w:val="24"/>
          <w:szCs w:val="24"/>
        </w:rPr>
        <w:t xml:space="preserve"> </w:t>
      </w:r>
      <w:r w:rsidRPr="00ED6A53">
        <w:rPr>
          <w:rFonts w:ascii="Arial" w:hAnsi="Arial" w:cs="Arial"/>
          <w:sz w:val="24"/>
          <w:szCs w:val="24"/>
        </w:rPr>
        <w:t>dose used for assessment of genotoxicity of 1.7 mM</w:t>
      </w:r>
      <w:r w:rsidR="00A375CA" w:rsidRPr="00ED6A53">
        <w:rPr>
          <w:rFonts w:ascii="Arial" w:hAnsi="Arial" w:cs="Arial"/>
          <w:sz w:val="24"/>
          <w:szCs w:val="24"/>
        </w:rPr>
        <w:t xml:space="preserve"> </w:t>
      </w:r>
      <w:r w:rsidRPr="00ED6A53">
        <w:rPr>
          <w:rFonts w:ascii="Arial" w:hAnsi="Arial" w:cs="Arial"/>
          <w:sz w:val="24"/>
          <w:szCs w:val="24"/>
        </w:rPr>
        <w:t xml:space="preserve">corresponding to 45% cell survival. </w:t>
      </w:r>
      <w:r w:rsidR="00017FEE" w:rsidRPr="00ED6A53">
        <w:rPr>
          <w:rFonts w:ascii="Arial" w:hAnsi="Arial" w:cs="Arial"/>
          <w:sz w:val="24"/>
          <w:szCs w:val="24"/>
        </w:rPr>
        <w:t xml:space="preserve">In contrast to human TK6 cell </w:t>
      </w:r>
      <w:r w:rsidR="00372783" w:rsidRPr="00ED6A53">
        <w:rPr>
          <w:rFonts w:ascii="Arial" w:hAnsi="Arial" w:cs="Arial"/>
          <w:sz w:val="24"/>
          <w:szCs w:val="24"/>
        </w:rPr>
        <w:t xml:space="preserve">with S9, </w:t>
      </w:r>
      <w:r w:rsidRPr="00ED6A53">
        <w:rPr>
          <w:rFonts w:ascii="Arial" w:hAnsi="Arial" w:cs="Arial"/>
          <w:sz w:val="24"/>
          <w:szCs w:val="24"/>
        </w:rPr>
        <w:t>Naphthalene was not</w:t>
      </w:r>
      <w:r w:rsidR="00A375CA" w:rsidRPr="00ED6A53">
        <w:rPr>
          <w:rFonts w:ascii="Arial" w:hAnsi="Arial" w:cs="Arial"/>
          <w:sz w:val="24"/>
          <w:szCs w:val="24"/>
        </w:rPr>
        <w:t xml:space="preserve"> </w:t>
      </w:r>
      <w:r w:rsidRPr="00ED6A53">
        <w:rPr>
          <w:rFonts w:ascii="Arial" w:hAnsi="Arial" w:cs="Arial"/>
          <w:sz w:val="24"/>
          <w:szCs w:val="24"/>
        </w:rPr>
        <w:t>genotoxic in either the HepaRG™</w:t>
      </w:r>
      <w:r w:rsidR="009F2B5C" w:rsidRPr="00ED6A53">
        <w:rPr>
          <w:rFonts w:ascii="Arial" w:hAnsi="Arial" w:cs="Arial"/>
          <w:sz w:val="24"/>
          <w:szCs w:val="24"/>
        </w:rPr>
        <w:t xml:space="preserve"> </w:t>
      </w:r>
      <w:r w:rsidRPr="00ED6A53">
        <w:rPr>
          <w:rFonts w:ascii="Arial" w:hAnsi="Arial" w:cs="Arial"/>
          <w:sz w:val="24"/>
          <w:szCs w:val="24"/>
        </w:rPr>
        <w:t xml:space="preserve">MN Assay </w:t>
      </w:r>
      <w:r w:rsidR="00372783" w:rsidRPr="00ED6A53">
        <w:rPr>
          <w:rFonts w:ascii="Arial" w:hAnsi="Arial" w:cs="Arial"/>
          <w:sz w:val="24"/>
          <w:szCs w:val="24"/>
        </w:rPr>
        <w:t xml:space="preserve">or the </w:t>
      </w:r>
      <w:r w:rsidR="00DA1AC4" w:rsidRPr="00ED6A53">
        <w:rPr>
          <w:rFonts w:ascii="Arial" w:hAnsi="Arial" w:cs="Arial"/>
          <w:sz w:val="24"/>
          <w:szCs w:val="24"/>
        </w:rPr>
        <w:t xml:space="preserve">Comet Assay using </w:t>
      </w:r>
      <w:r w:rsidR="00372783" w:rsidRPr="00ED6A53">
        <w:rPr>
          <w:rFonts w:ascii="Arial" w:hAnsi="Arial" w:cs="Arial"/>
          <w:sz w:val="24"/>
          <w:szCs w:val="24"/>
        </w:rPr>
        <w:t>CometChip</w:t>
      </w:r>
      <w:r w:rsidR="00372783" w:rsidRPr="00ED6A53">
        <w:rPr>
          <w:rFonts w:ascii="Arial" w:hAnsi="Arial" w:cs="Arial"/>
          <w:sz w:val="24"/>
          <w:szCs w:val="24"/>
        </w:rPr>
        <w:sym w:font="Symbol" w:char="F0D2"/>
      </w:r>
      <w:r w:rsidRPr="00ED6A53">
        <w:rPr>
          <w:rFonts w:ascii="Arial" w:hAnsi="Arial" w:cs="Arial"/>
          <w:sz w:val="24"/>
          <w:szCs w:val="24"/>
        </w:rPr>
        <w:t>. The</w:t>
      </w:r>
      <w:r w:rsidR="00A375CA" w:rsidRPr="00ED6A53">
        <w:rPr>
          <w:rFonts w:ascii="Arial" w:hAnsi="Arial" w:cs="Arial"/>
          <w:sz w:val="24"/>
          <w:szCs w:val="24"/>
        </w:rPr>
        <w:t xml:space="preserve"> </w:t>
      </w:r>
      <w:r w:rsidRPr="00ED6A53">
        <w:rPr>
          <w:rFonts w:ascii="Arial" w:hAnsi="Arial" w:cs="Arial"/>
          <w:sz w:val="24"/>
          <w:szCs w:val="24"/>
        </w:rPr>
        <w:t xml:space="preserve">lack of genotoxicity in both the MN </w:t>
      </w:r>
      <w:r w:rsidR="00DA1AC4" w:rsidRPr="00ED6A53">
        <w:rPr>
          <w:rFonts w:ascii="Arial" w:hAnsi="Arial" w:cs="Arial"/>
          <w:sz w:val="24"/>
          <w:szCs w:val="24"/>
        </w:rPr>
        <w:t xml:space="preserve">and comet </w:t>
      </w:r>
      <w:r w:rsidRPr="00ED6A53">
        <w:rPr>
          <w:rFonts w:ascii="Arial" w:hAnsi="Arial" w:cs="Arial"/>
          <w:sz w:val="24"/>
          <w:szCs w:val="24"/>
        </w:rPr>
        <w:t>assays in</w:t>
      </w:r>
      <w:r w:rsidR="009F2B5C" w:rsidRPr="00ED6A53">
        <w:rPr>
          <w:rFonts w:ascii="Arial" w:hAnsi="Arial" w:cs="Arial"/>
          <w:sz w:val="24"/>
          <w:szCs w:val="24"/>
        </w:rPr>
        <w:t xml:space="preserve"> </w:t>
      </w:r>
      <w:r w:rsidRPr="00ED6A53">
        <w:rPr>
          <w:rFonts w:ascii="Arial" w:hAnsi="Arial" w:cs="Arial"/>
          <w:sz w:val="24"/>
          <w:szCs w:val="24"/>
        </w:rPr>
        <w:t xml:space="preserve">HepaRG™ cells is </w:t>
      </w:r>
      <w:r w:rsidR="00DA1AC4" w:rsidRPr="00ED6A53">
        <w:rPr>
          <w:rFonts w:ascii="Arial" w:hAnsi="Arial" w:cs="Arial"/>
          <w:sz w:val="24"/>
          <w:szCs w:val="24"/>
        </w:rPr>
        <w:t xml:space="preserve">likely </w:t>
      </w:r>
      <w:r w:rsidR="00190BE8" w:rsidRPr="00ED6A53">
        <w:rPr>
          <w:rFonts w:ascii="Arial" w:hAnsi="Arial" w:cs="Arial"/>
          <w:sz w:val="24"/>
          <w:szCs w:val="24"/>
        </w:rPr>
        <w:t>due</w:t>
      </w:r>
      <w:r w:rsidRPr="00ED6A53">
        <w:rPr>
          <w:rFonts w:ascii="Arial" w:hAnsi="Arial" w:cs="Arial"/>
          <w:sz w:val="24"/>
          <w:szCs w:val="24"/>
        </w:rPr>
        <w:t xml:space="preserve"> to </w:t>
      </w:r>
      <w:r w:rsidR="009F2B5C" w:rsidRPr="00ED6A53">
        <w:rPr>
          <w:rFonts w:ascii="Arial" w:hAnsi="Arial" w:cs="Arial"/>
          <w:sz w:val="24"/>
          <w:szCs w:val="24"/>
        </w:rPr>
        <w:t xml:space="preserve">Phase II </w:t>
      </w:r>
      <w:r w:rsidR="00FD2C1F" w:rsidRPr="00ED6A53">
        <w:rPr>
          <w:rFonts w:ascii="Arial" w:hAnsi="Arial" w:cs="Arial"/>
          <w:sz w:val="24"/>
          <w:szCs w:val="24"/>
        </w:rPr>
        <w:t xml:space="preserve">enzymes </w:t>
      </w:r>
      <w:r w:rsidR="009F2B5C" w:rsidRPr="00ED6A53">
        <w:rPr>
          <w:rFonts w:ascii="Arial" w:hAnsi="Arial" w:cs="Arial"/>
          <w:sz w:val="24"/>
          <w:szCs w:val="24"/>
        </w:rPr>
        <w:t xml:space="preserve">removing phenols preventing further bioactivation to quinones </w:t>
      </w:r>
      <w:r w:rsidR="00A375CA" w:rsidRPr="00ED6A53">
        <w:rPr>
          <w:rFonts w:ascii="Arial" w:hAnsi="Arial" w:cs="Arial"/>
          <w:sz w:val="24"/>
          <w:szCs w:val="24"/>
        </w:rPr>
        <w:t xml:space="preserve">and </w:t>
      </w:r>
      <w:r w:rsidRPr="00ED6A53">
        <w:rPr>
          <w:rFonts w:ascii="Arial" w:hAnsi="Arial" w:cs="Arial"/>
          <w:sz w:val="24"/>
          <w:szCs w:val="24"/>
        </w:rPr>
        <w:t xml:space="preserve">efficient detoxication </w:t>
      </w:r>
      <w:r w:rsidR="009F2B5C" w:rsidRPr="00ED6A53">
        <w:rPr>
          <w:rFonts w:ascii="Arial" w:hAnsi="Arial" w:cs="Arial"/>
          <w:sz w:val="24"/>
          <w:szCs w:val="24"/>
        </w:rPr>
        <w:t>of</w:t>
      </w:r>
      <w:r w:rsidR="00FD2C1F" w:rsidRPr="00ED6A53">
        <w:rPr>
          <w:rFonts w:ascii="Arial" w:hAnsi="Arial" w:cs="Arial"/>
          <w:sz w:val="24"/>
          <w:szCs w:val="24"/>
        </w:rPr>
        <w:t xml:space="preserve"> naphthalene quinones</w:t>
      </w:r>
      <w:r w:rsidR="00C00774" w:rsidRPr="00ED6A53">
        <w:rPr>
          <w:rFonts w:ascii="Arial" w:hAnsi="Arial" w:cs="Arial"/>
          <w:sz w:val="24"/>
          <w:szCs w:val="24"/>
        </w:rPr>
        <w:t xml:space="preserve"> or epoxides</w:t>
      </w:r>
      <w:r w:rsidRPr="00ED6A53">
        <w:rPr>
          <w:rFonts w:ascii="Arial" w:hAnsi="Arial" w:cs="Arial"/>
          <w:sz w:val="24"/>
          <w:szCs w:val="24"/>
        </w:rPr>
        <w:t xml:space="preserve"> by glutathione conjugation</w:t>
      </w:r>
      <w:r w:rsidR="009F2B5C" w:rsidRPr="00ED6A53">
        <w:rPr>
          <w:rFonts w:ascii="Arial" w:hAnsi="Arial" w:cs="Arial"/>
          <w:sz w:val="24"/>
          <w:szCs w:val="24"/>
        </w:rPr>
        <w:t>. In contrast to CYP450 mediated metabolism, these Phase II enzymes are inactive in rat liver S9 due to lack of appropriate cofactors</w:t>
      </w:r>
      <w:r w:rsidR="00C00774" w:rsidRPr="00ED6A53">
        <w:rPr>
          <w:rFonts w:ascii="Arial" w:hAnsi="Arial" w:cs="Arial"/>
          <w:sz w:val="24"/>
          <w:szCs w:val="24"/>
        </w:rPr>
        <w:t xml:space="preserve"> causing a positive genotoxic response</w:t>
      </w:r>
      <w:r w:rsidRPr="00ED6A53">
        <w:rPr>
          <w:rFonts w:ascii="Arial" w:hAnsi="Arial" w:cs="Arial"/>
          <w:sz w:val="24"/>
          <w:szCs w:val="24"/>
        </w:rPr>
        <w:t xml:space="preserve">. </w:t>
      </w:r>
      <w:r w:rsidR="00C00774" w:rsidRPr="00ED6A53">
        <w:rPr>
          <w:rFonts w:ascii="Arial" w:hAnsi="Arial" w:cs="Arial"/>
          <w:sz w:val="24"/>
          <w:szCs w:val="24"/>
        </w:rPr>
        <w:t>This</w:t>
      </w:r>
      <w:r w:rsidRPr="00ED6A53">
        <w:rPr>
          <w:rFonts w:ascii="Arial" w:hAnsi="Arial" w:cs="Arial"/>
          <w:sz w:val="24"/>
          <w:szCs w:val="24"/>
        </w:rPr>
        <w:t xml:space="preserve"> data </w:t>
      </w:r>
      <w:r w:rsidR="00C00774" w:rsidRPr="00ED6A53">
        <w:rPr>
          <w:rFonts w:ascii="Arial" w:hAnsi="Arial" w:cs="Arial"/>
          <w:sz w:val="24"/>
          <w:szCs w:val="24"/>
        </w:rPr>
        <w:t>indicates</w:t>
      </w:r>
      <w:r w:rsidRPr="00ED6A53">
        <w:rPr>
          <w:rFonts w:ascii="Arial" w:hAnsi="Arial" w:cs="Arial"/>
          <w:sz w:val="24"/>
          <w:szCs w:val="24"/>
        </w:rPr>
        <w:t xml:space="preserve"> that </w:t>
      </w:r>
      <w:r w:rsidR="002A23BE" w:rsidRPr="00ED6A53">
        <w:rPr>
          <w:rFonts w:ascii="Arial" w:hAnsi="Arial" w:cs="Arial"/>
          <w:sz w:val="24"/>
          <w:szCs w:val="24"/>
        </w:rPr>
        <w:t xml:space="preserve">rat liver S9-derived </w:t>
      </w:r>
      <w:r w:rsidRPr="00ED6A53">
        <w:rPr>
          <w:rFonts w:ascii="Arial" w:hAnsi="Arial" w:cs="Arial"/>
          <w:sz w:val="24"/>
          <w:szCs w:val="24"/>
        </w:rPr>
        <w:t>BMD10</w:t>
      </w:r>
      <w:r w:rsidR="00A375CA" w:rsidRPr="00ED6A53">
        <w:rPr>
          <w:rFonts w:ascii="Arial" w:hAnsi="Arial" w:cs="Arial"/>
          <w:sz w:val="24"/>
          <w:szCs w:val="24"/>
        </w:rPr>
        <w:t xml:space="preserve"> </w:t>
      </w:r>
      <w:r w:rsidRPr="00ED6A53">
        <w:rPr>
          <w:rFonts w:ascii="Arial" w:hAnsi="Arial" w:cs="Arial"/>
          <w:sz w:val="24"/>
          <w:szCs w:val="24"/>
        </w:rPr>
        <w:t>over-predicts naphthalene genotoxicity</w:t>
      </w:r>
      <w:r w:rsidR="00D9357D" w:rsidRPr="00ED6A53">
        <w:rPr>
          <w:rFonts w:ascii="Arial" w:hAnsi="Arial" w:cs="Arial"/>
          <w:sz w:val="24"/>
          <w:szCs w:val="24"/>
        </w:rPr>
        <w:t xml:space="preserve"> </w:t>
      </w:r>
      <w:r w:rsidRPr="00ED6A53">
        <w:rPr>
          <w:rFonts w:ascii="Arial" w:hAnsi="Arial" w:cs="Arial"/>
          <w:sz w:val="24"/>
          <w:szCs w:val="24"/>
        </w:rPr>
        <w:t>BMD calculations</w:t>
      </w:r>
      <w:r w:rsidR="00D9357D" w:rsidRPr="00ED6A53">
        <w:rPr>
          <w:rFonts w:ascii="Arial" w:hAnsi="Arial" w:cs="Arial"/>
          <w:sz w:val="24"/>
          <w:szCs w:val="24"/>
        </w:rPr>
        <w:t xml:space="preserve"> when compared to hepatocytes</w:t>
      </w:r>
      <w:r w:rsidRPr="00ED6A53">
        <w:rPr>
          <w:rFonts w:ascii="Arial" w:hAnsi="Arial" w:cs="Arial"/>
          <w:sz w:val="24"/>
          <w:szCs w:val="24"/>
        </w:rPr>
        <w:t>.</w:t>
      </w:r>
      <w:r w:rsidR="00A375CA" w:rsidRPr="00ED6A53">
        <w:rPr>
          <w:rFonts w:ascii="Arial" w:hAnsi="Arial" w:cs="Arial"/>
          <w:sz w:val="24"/>
          <w:szCs w:val="24"/>
        </w:rPr>
        <w:t xml:space="preserve"> </w:t>
      </w:r>
      <w:r w:rsidR="00D9357D" w:rsidRPr="00ED6A53">
        <w:rPr>
          <w:rFonts w:ascii="Arial" w:hAnsi="Arial" w:cs="Arial"/>
          <w:sz w:val="24"/>
          <w:szCs w:val="24"/>
        </w:rPr>
        <w:t xml:space="preserve">Metabolically </w:t>
      </w:r>
      <w:r w:rsidRPr="00ED6A53">
        <w:rPr>
          <w:rFonts w:ascii="Arial" w:hAnsi="Arial" w:cs="Arial"/>
          <w:sz w:val="24"/>
          <w:szCs w:val="24"/>
        </w:rPr>
        <w:t>competent hepatocyte</w:t>
      </w:r>
      <w:r w:rsidR="00A375CA" w:rsidRPr="00ED6A53">
        <w:rPr>
          <w:rFonts w:ascii="Arial" w:hAnsi="Arial" w:cs="Arial"/>
          <w:sz w:val="24"/>
          <w:szCs w:val="24"/>
        </w:rPr>
        <w:t xml:space="preserve"> </w:t>
      </w:r>
      <w:r w:rsidRPr="00ED6A53">
        <w:rPr>
          <w:rFonts w:ascii="Arial" w:hAnsi="Arial" w:cs="Arial"/>
          <w:sz w:val="24"/>
          <w:szCs w:val="24"/>
        </w:rPr>
        <w:t xml:space="preserve">models like HepaRG™ cells should be considered </w:t>
      </w:r>
      <w:r w:rsidR="003F1FE9" w:rsidRPr="00ED6A53">
        <w:rPr>
          <w:rFonts w:ascii="Arial" w:hAnsi="Arial" w:cs="Arial"/>
          <w:sz w:val="24"/>
          <w:szCs w:val="24"/>
        </w:rPr>
        <w:t xml:space="preserve">as </w:t>
      </w:r>
      <w:r w:rsidR="00843C40" w:rsidRPr="00ED6A53">
        <w:rPr>
          <w:rFonts w:ascii="Arial" w:hAnsi="Arial" w:cs="Arial"/>
          <w:sz w:val="24"/>
          <w:szCs w:val="24"/>
        </w:rPr>
        <w:t xml:space="preserve">human-relevant </w:t>
      </w:r>
      <w:r w:rsidR="004B668B" w:rsidRPr="00ED6A53">
        <w:rPr>
          <w:rFonts w:ascii="Arial" w:hAnsi="Arial" w:cs="Arial"/>
          <w:sz w:val="24"/>
          <w:szCs w:val="24"/>
        </w:rPr>
        <w:t xml:space="preserve">NAMs </w:t>
      </w:r>
      <w:r w:rsidR="00C91F2C" w:rsidRPr="00ED6A53">
        <w:rPr>
          <w:rFonts w:ascii="Arial" w:hAnsi="Arial" w:cs="Arial"/>
          <w:sz w:val="24"/>
          <w:szCs w:val="24"/>
        </w:rPr>
        <w:t xml:space="preserve">for use </w:t>
      </w:r>
      <w:r w:rsidR="00DE5F68" w:rsidRPr="00ED6A53">
        <w:rPr>
          <w:rFonts w:ascii="Arial" w:hAnsi="Arial" w:cs="Arial"/>
          <w:sz w:val="24"/>
          <w:szCs w:val="24"/>
        </w:rPr>
        <w:t>genotoxicity assessments</w:t>
      </w:r>
      <w:r w:rsidR="00C91F2C" w:rsidRPr="00ED6A53">
        <w:rPr>
          <w:rFonts w:ascii="Arial" w:hAnsi="Arial" w:cs="Arial"/>
          <w:sz w:val="24"/>
          <w:szCs w:val="24"/>
        </w:rPr>
        <w:t xml:space="preserve"> to reduce reliance on rodents</w:t>
      </w:r>
      <w:r w:rsidR="00C56556" w:rsidRPr="00ED6A53">
        <w:rPr>
          <w:rFonts w:ascii="Arial" w:hAnsi="Arial" w:cs="Arial"/>
          <w:sz w:val="24"/>
          <w:szCs w:val="24"/>
        </w:rPr>
        <w:t>.</w:t>
      </w:r>
    </w:p>
    <w:p w14:paraId="6039B0A2" w14:textId="51657334" w:rsidR="00BA2372" w:rsidRPr="00ED6A53" w:rsidRDefault="004E63C1" w:rsidP="004D6061">
      <w:pPr>
        <w:jc w:val="both"/>
        <w:rPr>
          <w:rFonts w:ascii="Arial" w:hAnsi="Arial" w:cs="Arial"/>
          <w:b/>
          <w:bCs/>
          <w:sz w:val="24"/>
          <w:szCs w:val="24"/>
        </w:rPr>
      </w:pPr>
      <w:r w:rsidRPr="00ED6A53">
        <w:rPr>
          <w:rFonts w:ascii="Arial" w:hAnsi="Arial" w:cs="Arial"/>
          <w:sz w:val="24"/>
          <w:szCs w:val="24"/>
        </w:rPr>
        <w:br w:type="page"/>
      </w:r>
      <w:r w:rsidR="00BA2372" w:rsidRPr="00ED6A53">
        <w:rPr>
          <w:rFonts w:ascii="Arial" w:hAnsi="Arial" w:cs="Arial"/>
          <w:b/>
          <w:bCs/>
          <w:sz w:val="24"/>
          <w:szCs w:val="24"/>
        </w:rPr>
        <w:t>INTRODUCTION</w:t>
      </w:r>
    </w:p>
    <w:p w14:paraId="18D6C4DA" w14:textId="4DDF3CE1" w:rsidR="00F97234" w:rsidRPr="00ED6A53" w:rsidRDefault="00742496" w:rsidP="003C4E50">
      <w:pPr>
        <w:spacing w:after="0" w:line="480" w:lineRule="auto"/>
        <w:jc w:val="both"/>
        <w:rPr>
          <w:rFonts w:ascii="Arial" w:hAnsi="Arial" w:cs="Arial"/>
          <w:sz w:val="24"/>
          <w:szCs w:val="24"/>
        </w:rPr>
      </w:pPr>
      <w:r w:rsidRPr="00ED6A53">
        <w:rPr>
          <w:rFonts w:ascii="Arial" w:hAnsi="Arial" w:cs="Arial"/>
          <w:sz w:val="24"/>
          <w:szCs w:val="24"/>
        </w:rPr>
        <w:t>Naphthalene is use</w:t>
      </w:r>
      <w:r w:rsidR="00210F66" w:rsidRPr="00ED6A53">
        <w:rPr>
          <w:rFonts w:ascii="Arial" w:hAnsi="Arial" w:cs="Arial"/>
          <w:sz w:val="24"/>
          <w:szCs w:val="24"/>
        </w:rPr>
        <w:t>d</w:t>
      </w:r>
      <w:r w:rsidRPr="00ED6A53">
        <w:rPr>
          <w:rFonts w:ascii="Arial" w:hAnsi="Arial" w:cs="Arial"/>
          <w:sz w:val="24"/>
          <w:szCs w:val="24"/>
        </w:rPr>
        <w:t xml:space="preserve"> as a chemical intermediate in the synthesis of </w:t>
      </w:r>
      <w:r w:rsidR="00806C29" w:rsidRPr="00ED6A53">
        <w:rPr>
          <w:rFonts w:ascii="Arial" w:hAnsi="Arial" w:cs="Arial"/>
          <w:sz w:val="24"/>
          <w:szCs w:val="24"/>
        </w:rPr>
        <w:t xml:space="preserve">dyes, plasticizers, insecticides, and </w:t>
      </w:r>
      <w:r w:rsidR="00924653" w:rsidRPr="00ED6A53">
        <w:rPr>
          <w:rFonts w:ascii="Arial" w:hAnsi="Arial" w:cs="Arial"/>
          <w:sz w:val="24"/>
          <w:szCs w:val="24"/>
        </w:rPr>
        <w:t xml:space="preserve">is an important building block for synthesis of a </w:t>
      </w:r>
      <w:r w:rsidR="00E74D51" w:rsidRPr="00ED6A53">
        <w:rPr>
          <w:rFonts w:ascii="Arial" w:hAnsi="Arial" w:cs="Arial"/>
          <w:sz w:val="24"/>
          <w:szCs w:val="24"/>
        </w:rPr>
        <w:t>broad-spectrum</w:t>
      </w:r>
      <w:r w:rsidR="00924653" w:rsidRPr="00ED6A53">
        <w:rPr>
          <w:rFonts w:ascii="Arial" w:hAnsi="Arial" w:cs="Arial"/>
          <w:sz w:val="24"/>
          <w:szCs w:val="24"/>
        </w:rPr>
        <w:t xml:space="preserve"> medicinal agents in drug discovery </w:t>
      </w:r>
      <w:r w:rsidRPr="00ED6A53">
        <w:rPr>
          <w:rFonts w:ascii="Arial" w:hAnsi="Arial" w:cs="Arial"/>
          <w:sz w:val="24"/>
          <w:szCs w:val="24"/>
        </w:rPr>
        <w:t>(International Agency for Research on Cancer [IARC], 2002</w:t>
      </w:r>
      <w:r w:rsidR="00F31B2E" w:rsidRPr="00ED6A53">
        <w:rPr>
          <w:rFonts w:ascii="Arial" w:hAnsi="Arial" w:cs="Arial"/>
          <w:sz w:val="24"/>
          <w:szCs w:val="24"/>
        </w:rPr>
        <w:t>; Makar et al., 2019</w:t>
      </w:r>
      <w:r w:rsidRPr="00ED6A53">
        <w:rPr>
          <w:rFonts w:ascii="Arial" w:hAnsi="Arial" w:cs="Arial"/>
          <w:sz w:val="24"/>
          <w:szCs w:val="24"/>
        </w:rPr>
        <w:t xml:space="preserve">). The toxicological properties of naphthalene have been the subject of numerous reviews (Griego et al., </w:t>
      </w:r>
      <w:r w:rsidR="008B7DEA" w:rsidRPr="00ED6A53">
        <w:rPr>
          <w:rFonts w:ascii="Arial" w:hAnsi="Arial" w:cs="Arial"/>
          <w:sz w:val="24"/>
          <w:szCs w:val="24"/>
        </w:rPr>
        <w:t xml:space="preserve">2008; </w:t>
      </w:r>
      <w:r w:rsidR="00C86BDF" w:rsidRPr="00ED6A53">
        <w:rPr>
          <w:rFonts w:ascii="Arial" w:hAnsi="Arial" w:cs="Arial"/>
          <w:sz w:val="24"/>
          <w:szCs w:val="24"/>
        </w:rPr>
        <w:t xml:space="preserve">U.S. </w:t>
      </w:r>
      <w:r w:rsidR="008B7DEA" w:rsidRPr="00ED6A53">
        <w:rPr>
          <w:rFonts w:ascii="Arial" w:hAnsi="Arial" w:cs="Arial"/>
          <w:sz w:val="24"/>
          <w:szCs w:val="24"/>
        </w:rPr>
        <w:t xml:space="preserve">Environmental Protection </w:t>
      </w:r>
      <w:r w:rsidR="00C84FEE" w:rsidRPr="00ED6A53">
        <w:rPr>
          <w:rFonts w:ascii="Arial" w:hAnsi="Arial" w:cs="Arial"/>
          <w:sz w:val="24"/>
          <w:szCs w:val="24"/>
        </w:rPr>
        <w:t>Agency [</w:t>
      </w:r>
      <w:r w:rsidR="00C86BDF" w:rsidRPr="00ED6A53">
        <w:rPr>
          <w:rFonts w:ascii="Arial" w:hAnsi="Arial" w:cs="Arial"/>
          <w:sz w:val="24"/>
          <w:szCs w:val="24"/>
        </w:rPr>
        <w:t xml:space="preserve">U.S. </w:t>
      </w:r>
      <w:r w:rsidRPr="00ED6A53">
        <w:rPr>
          <w:rFonts w:ascii="Arial" w:hAnsi="Arial" w:cs="Arial"/>
          <w:sz w:val="24"/>
          <w:szCs w:val="24"/>
        </w:rPr>
        <w:t>EPA] 2004</w:t>
      </w:r>
      <w:r w:rsidR="00924653" w:rsidRPr="00ED6A53">
        <w:rPr>
          <w:rFonts w:ascii="Arial" w:hAnsi="Arial" w:cs="Arial"/>
          <w:sz w:val="24"/>
          <w:szCs w:val="24"/>
        </w:rPr>
        <w:t>a, b</w:t>
      </w:r>
      <w:r w:rsidRPr="00ED6A53">
        <w:rPr>
          <w:rFonts w:ascii="Arial" w:hAnsi="Arial" w:cs="Arial"/>
          <w:sz w:val="24"/>
          <w:szCs w:val="24"/>
        </w:rPr>
        <w:t>).</w:t>
      </w:r>
      <w:r w:rsidR="008B7DEA" w:rsidRPr="00ED6A53">
        <w:rPr>
          <w:rFonts w:ascii="Arial" w:hAnsi="Arial" w:cs="Arial"/>
          <w:sz w:val="24"/>
          <w:szCs w:val="24"/>
        </w:rPr>
        <w:t xml:space="preserve"> </w:t>
      </w:r>
      <w:r w:rsidR="00A43354" w:rsidRPr="00A43354">
        <w:rPr>
          <w:rFonts w:ascii="Arial" w:hAnsi="Arial" w:cs="Arial"/>
          <w:sz w:val="24"/>
          <w:szCs w:val="24"/>
        </w:rPr>
        <w:t xml:space="preserve">Systemic absorption of naphthalene after high acute exposure to naphthalene in humans, e.g. ingestion of moth balls, is associated with hemolytic anemia and reports of hepatotoxicity (jaundice, hepatomegaly, elevated serum enzyme levels) (see: </w:t>
      </w:r>
      <w:hyperlink r:id="rId10" w:history="1">
        <w:r w:rsidR="00817641" w:rsidRPr="00AA0152">
          <w:rPr>
            <w:rStyle w:val="Hyperlink"/>
            <w:rFonts w:ascii="Arial" w:hAnsi="Arial" w:cs="Arial"/>
            <w:sz w:val="24"/>
            <w:szCs w:val="24"/>
          </w:rPr>
          <w:t>https://rais.ornl.gov/tox/profiles/naphthalene_f_V1.html</w:t>
        </w:r>
      </w:hyperlink>
      <w:r w:rsidR="00A43354" w:rsidRPr="00A43354">
        <w:rPr>
          <w:rFonts w:ascii="Arial" w:hAnsi="Arial" w:cs="Arial"/>
          <w:sz w:val="24"/>
          <w:szCs w:val="24"/>
        </w:rPr>
        <w:t>).</w:t>
      </w:r>
      <w:r w:rsidR="00817641">
        <w:rPr>
          <w:rFonts w:ascii="Arial" w:hAnsi="Arial" w:cs="Arial"/>
          <w:sz w:val="24"/>
          <w:szCs w:val="24"/>
        </w:rPr>
        <w:t xml:space="preserve"> </w:t>
      </w:r>
      <w:r w:rsidR="00806C29" w:rsidRPr="00ED6A53">
        <w:rPr>
          <w:rFonts w:ascii="Arial" w:hAnsi="Arial" w:cs="Arial"/>
          <w:sz w:val="24"/>
          <w:szCs w:val="24"/>
        </w:rPr>
        <w:t xml:space="preserve">The </w:t>
      </w:r>
      <w:r w:rsidRPr="00ED6A53">
        <w:rPr>
          <w:rFonts w:ascii="Arial" w:hAnsi="Arial" w:cs="Arial"/>
          <w:sz w:val="24"/>
          <w:szCs w:val="24"/>
        </w:rPr>
        <w:t xml:space="preserve">National Toxicology Program’s (NTP) cancer bioassays on </w:t>
      </w:r>
      <w:r w:rsidR="00806C29" w:rsidRPr="00ED6A53">
        <w:rPr>
          <w:rFonts w:ascii="Arial" w:hAnsi="Arial" w:cs="Arial"/>
          <w:sz w:val="24"/>
          <w:szCs w:val="24"/>
        </w:rPr>
        <w:t xml:space="preserve">inhaled </w:t>
      </w:r>
      <w:r w:rsidRPr="00ED6A53">
        <w:rPr>
          <w:rFonts w:ascii="Arial" w:hAnsi="Arial" w:cs="Arial"/>
          <w:sz w:val="24"/>
          <w:szCs w:val="24"/>
        </w:rPr>
        <w:t>naphthalene induced lung tumors in mice and nasal tumors in rats (Abdo et al., 1992, 2001). IARC classifies naphthalene as possibly carcinogenic to humans (Group 2B) (IARC, 2002)</w:t>
      </w:r>
      <w:r w:rsidR="00F31B2E" w:rsidRPr="00ED6A53">
        <w:rPr>
          <w:rFonts w:ascii="Arial" w:hAnsi="Arial" w:cs="Arial"/>
          <w:sz w:val="24"/>
          <w:szCs w:val="24"/>
        </w:rPr>
        <w:t xml:space="preserve"> and the National Toxicology Program (NTP) Report on Carcinogens classifies naphthalene as “reasonably anticipated to be a human carcinogen” (NTP</w:t>
      </w:r>
      <w:r w:rsidR="00E30BE1" w:rsidRPr="00ED6A53">
        <w:rPr>
          <w:rFonts w:ascii="Arial" w:hAnsi="Arial" w:cs="Arial"/>
          <w:sz w:val="24"/>
          <w:szCs w:val="24"/>
        </w:rPr>
        <w:t>,</w:t>
      </w:r>
      <w:r w:rsidR="00F31B2E" w:rsidRPr="00ED6A53">
        <w:rPr>
          <w:rFonts w:ascii="Arial" w:hAnsi="Arial" w:cs="Arial"/>
          <w:sz w:val="24"/>
          <w:szCs w:val="24"/>
        </w:rPr>
        <w:t xml:space="preserve"> 2016)</w:t>
      </w:r>
      <w:r w:rsidRPr="00ED6A53">
        <w:rPr>
          <w:rFonts w:ascii="Arial" w:hAnsi="Arial" w:cs="Arial"/>
          <w:sz w:val="24"/>
          <w:szCs w:val="24"/>
        </w:rPr>
        <w:t>.</w:t>
      </w:r>
    </w:p>
    <w:p w14:paraId="4B255E2A" w14:textId="77777777" w:rsidR="004353C7" w:rsidRPr="00ED6A53" w:rsidRDefault="004353C7" w:rsidP="003C4E50">
      <w:pPr>
        <w:spacing w:after="0" w:line="480" w:lineRule="auto"/>
        <w:jc w:val="both"/>
        <w:rPr>
          <w:rFonts w:ascii="Arial" w:hAnsi="Arial" w:cs="Arial"/>
          <w:sz w:val="24"/>
          <w:szCs w:val="24"/>
        </w:rPr>
      </w:pPr>
    </w:p>
    <w:p w14:paraId="57502F50" w14:textId="6F3A1A8D" w:rsidR="00585E54" w:rsidRDefault="006A30DB" w:rsidP="003C4E50">
      <w:pPr>
        <w:spacing w:after="0" w:line="480" w:lineRule="auto"/>
        <w:jc w:val="both"/>
      </w:pPr>
      <w:r w:rsidRPr="00ED6A53">
        <w:rPr>
          <w:rFonts w:ascii="Arial" w:hAnsi="Arial" w:cs="Arial"/>
          <w:sz w:val="24"/>
          <w:szCs w:val="24"/>
        </w:rPr>
        <w:t xml:space="preserve">Naphthalene toxicity is dependent on biotransformation by cytochrome P450s (CYP450s) to reactive </w:t>
      </w:r>
      <w:r w:rsidR="00111FAE">
        <w:rPr>
          <w:rFonts w:ascii="Arial" w:hAnsi="Arial" w:cs="Arial"/>
          <w:sz w:val="24"/>
          <w:szCs w:val="24"/>
        </w:rPr>
        <w:t>epoxide and quinone</w:t>
      </w:r>
      <w:r w:rsidRPr="00ED6A53">
        <w:rPr>
          <w:rFonts w:ascii="Arial" w:hAnsi="Arial" w:cs="Arial"/>
          <w:sz w:val="24"/>
          <w:szCs w:val="24"/>
        </w:rPr>
        <w:t xml:space="preserve"> metabolites (Buckpitt et al., 2002; Cruzan et al., 2009; DeStefano-Shields et al., 2010</w:t>
      </w:r>
      <w:r w:rsidR="00A16622">
        <w:rPr>
          <w:rFonts w:ascii="Arial" w:hAnsi="Arial" w:cs="Arial"/>
          <w:sz w:val="24"/>
          <w:szCs w:val="24"/>
        </w:rPr>
        <w:t>; Bailey et al., 2016</w:t>
      </w:r>
      <w:r w:rsidRPr="00ED6A53">
        <w:rPr>
          <w:rFonts w:ascii="Arial" w:hAnsi="Arial" w:cs="Arial"/>
          <w:sz w:val="24"/>
          <w:szCs w:val="24"/>
        </w:rPr>
        <w:t xml:space="preserve">). </w:t>
      </w:r>
      <w:r w:rsidR="008E394E" w:rsidRPr="00ED6A53">
        <w:rPr>
          <w:rFonts w:ascii="Arial" w:hAnsi="Arial" w:cs="Arial"/>
          <w:sz w:val="24"/>
          <w:szCs w:val="24"/>
        </w:rPr>
        <w:t>N</w:t>
      </w:r>
      <w:r w:rsidR="00742496" w:rsidRPr="00ED6A53">
        <w:rPr>
          <w:rFonts w:ascii="Arial" w:hAnsi="Arial" w:cs="Arial"/>
          <w:sz w:val="24"/>
          <w:szCs w:val="24"/>
        </w:rPr>
        <w:t xml:space="preserve">aphthalene inhalation </w:t>
      </w:r>
      <w:r w:rsidR="008E394E" w:rsidRPr="00ED6A53">
        <w:rPr>
          <w:rFonts w:ascii="Arial" w:hAnsi="Arial" w:cs="Arial"/>
          <w:sz w:val="24"/>
          <w:szCs w:val="24"/>
        </w:rPr>
        <w:t xml:space="preserve">at </w:t>
      </w:r>
      <w:r w:rsidR="009E2AD5" w:rsidRPr="00ED6A53">
        <w:rPr>
          <w:rFonts w:ascii="Arial" w:hAnsi="Arial" w:cs="Arial"/>
          <w:sz w:val="24"/>
          <w:szCs w:val="24"/>
        </w:rPr>
        <w:t>greater than 10 ppm</w:t>
      </w:r>
      <w:r w:rsidR="008E394E" w:rsidRPr="00ED6A53">
        <w:rPr>
          <w:rFonts w:ascii="Arial" w:hAnsi="Arial" w:cs="Arial"/>
          <w:sz w:val="24"/>
          <w:szCs w:val="24"/>
        </w:rPr>
        <w:t xml:space="preserve"> induces </w:t>
      </w:r>
      <w:r w:rsidR="00742496" w:rsidRPr="00ED6A53">
        <w:rPr>
          <w:rFonts w:ascii="Arial" w:hAnsi="Arial" w:cs="Arial"/>
          <w:sz w:val="24"/>
          <w:szCs w:val="24"/>
        </w:rPr>
        <w:t>cytotoxicity</w:t>
      </w:r>
      <w:r w:rsidR="00F62BB4" w:rsidRPr="00ED6A53">
        <w:rPr>
          <w:rFonts w:ascii="Arial" w:hAnsi="Arial" w:cs="Arial"/>
          <w:sz w:val="24"/>
          <w:szCs w:val="24"/>
        </w:rPr>
        <w:t xml:space="preserve"> and cell proliferation</w:t>
      </w:r>
      <w:r w:rsidR="00742496" w:rsidRPr="00ED6A53">
        <w:rPr>
          <w:rFonts w:ascii="Arial" w:hAnsi="Arial" w:cs="Arial"/>
          <w:sz w:val="24"/>
          <w:szCs w:val="24"/>
        </w:rPr>
        <w:t xml:space="preserve"> </w:t>
      </w:r>
      <w:r w:rsidR="008E394E" w:rsidRPr="00ED6A53">
        <w:rPr>
          <w:rFonts w:ascii="Arial" w:hAnsi="Arial" w:cs="Arial"/>
          <w:sz w:val="24"/>
          <w:szCs w:val="24"/>
        </w:rPr>
        <w:t>in</w:t>
      </w:r>
      <w:r w:rsidR="00F97234" w:rsidRPr="00ED6A53">
        <w:rPr>
          <w:rFonts w:ascii="Arial" w:hAnsi="Arial" w:cs="Arial"/>
          <w:sz w:val="24"/>
          <w:szCs w:val="24"/>
        </w:rPr>
        <w:t xml:space="preserve"> mous</w:t>
      </w:r>
      <w:r w:rsidR="00C84FEE" w:rsidRPr="00ED6A53">
        <w:rPr>
          <w:rFonts w:ascii="Arial" w:hAnsi="Arial" w:cs="Arial"/>
          <w:sz w:val="24"/>
          <w:szCs w:val="24"/>
        </w:rPr>
        <w:t xml:space="preserve">e </w:t>
      </w:r>
      <w:r w:rsidR="00742496" w:rsidRPr="00ED6A53">
        <w:rPr>
          <w:rFonts w:ascii="Arial" w:hAnsi="Arial" w:cs="Arial"/>
          <w:sz w:val="24"/>
          <w:szCs w:val="24"/>
        </w:rPr>
        <w:t>lung and</w:t>
      </w:r>
      <w:r w:rsidR="00C84FEE" w:rsidRPr="00ED6A53">
        <w:rPr>
          <w:rFonts w:ascii="Arial" w:hAnsi="Arial" w:cs="Arial"/>
          <w:sz w:val="24"/>
          <w:szCs w:val="24"/>
        </w:rPr>
        <w:t xml:space="preserve"> </w:t>
      </w:r>
      <w:r w:rsidR="00742496" w:rsidRPr="00ED6A53">
        <w:rPr>
          <w:rFonts w:ascii="Arial" w:hAnsi="Arial" w:cs="Arial"/>
          <w:sz w:val="24"/>
          <w:szCs w:val="24"/>
        </w:rPr>
        <w:t>rat</w:t>
      </w:r>
      <w:r w:rsidR="00C84FEE" w:rsidRPr="00ED6A53">
        <w:rPr>
          <w:rFonts w:ascii="Arial" w:hAnsi="Arial" w:cs="Arial"/>
          <w:sz w:val="24"/>
          <w:szCs w:val="24"/>
        </w:rPr>
        <w:t xml:space="preserve"> </w:t>
      </w:r>
      <w:r w:rsidR="00742496" w:rsidRPr="00ED6A53">
        <w:rPr>
          <w:rFonts w:ascii="Arial" w:hAnsi="Arial" w:cs="Arial"/>
          <w:sz w:val="24"/>
          <w:szCs w:val="24"/>
        </w:rPr>
        <w:t>nasal tissue</w:t>
      </w:r>
      <w:r w:rsidR="00C84FEE" w:rsidRPr="00ED6A53">
        <w:rPr>
          <w:rFonts w:ascii="Arial" w:hAnsi="Arial" w:cs="Arial"/>
          <w:sz w:val="24"/>
          <w:szCs w:val="24"/>
        </w:rPr>
        <w:t xml:space="preserve"> </w:t>
      </w:r>
      <w:r w:rsidR="00B26F8B" w:rsidRPr="00ED6A53">
        <w:rPr>
          <w:rFonts w:ascii="Arial" w:hAnsi="Arial" w:cs="Arial"/>
          <w:sz w:val="24"/>
          <w:szCs w:val="24"/>
        </w:rPr>
        <w:t>indic</w:t>
      </w:r>
      <w:r w:rsidR="00A935F3" w:rsidRPr="00ED6A53">
        <w:rPr>
          <w:rFonts w:ascii="Arial" w:hAnsi="Arial" w:cs="Arial"/>
          <w:sz w:val="24"/>
          <w:szCs w:val="24"/>
        </w:rPr>
        <w:t>ating</w:t>
      </w:r>
      <w:r w:rsidR="00742496" w:rsidRPr="00ED6A53">
        <w:rPr>
          <w:rFonts w:ascii="Arial" w:hAnsi="Arial" w:cs="Arial"/>
          <w:sz w:val="24"/>
          <w:szCs w:val="24"/>
        </w:rPr>
        <w:t xml:space="preserve"> </w:t>
      </w:r>
      <w:r w:rsidR="00F97234" w:rsidRPr="00ED6A53">
        <w:rPr>
          <w:rFonts w:ascii="Arial" w:hAnsi="Arial" w:cs="Arial"/>
          <w:sz w:val="24"/>
          <w:szCs w:val="24"/>
        </w:rPr>
        <w:t xml:space="preserve">site-of-contact </w:t>
      </w:r>
      <w:r w:rsidR="00C84FEE" w:rsidRPr="00ED6A53">
        <w:rPr>
          <w:rFonts w:ascii="Arial" w:hAnsi="Arial" w:cs="Arial"/>
          <w:sz w:val="24"/>
          <w:szCs w:val="24"/>
        </w:rPr>
        <w:t>bioactivation</w:t>
      </w:r>
      <w:r w:rsidR="006E7C54" w:rsidRPr="00ED6A53">
        <w:rPr>
          <w:rFonts w:ascii="Arial" w:hAnsi="Arial" w:cs="Arial"/>
          <w:sz w:val="24"/>
          <w:szCs w:val="24"/>
        </w:rPr>
        <w:t xml:space="preserve"> to reactive metabolites</w:t>
      </w:r>
      <w:r w:rsidR="00C84FEE" w:rsidRPr="00ED6A53">
        <w:rPr>
          <w:rFonts w:ascii="Arial" w:hAnsi="Arial" w:cs="Arial"/>
          <w:sz w:val="24"/>
          <w:szCs w:val="24"/>
        </w:rPr>
        <w:t xml:space="preserve"> </w:t>
      </w:r>
      <w:r w:rsidR="00742496" w:rsidRPr="00ED6A53">
        <w:rPr>
          <w:rFonts w:ascii="Arial" w:hAnsi="Arial" w:cs="Arial"/>
          <w:sz w:val="24"/>
          <w:szCs w:val="24"/>
        </w:rPr>
        <w:t xml:space="preserve">(Buckpitt et al., 2002; Dodd et al., 2010; Long et al., 2003; Phimister et al., 2004). </w:t>
      </w:r>
      <w:r w:rsidR="00747DD8" w:rsidRPr="00ED6A53">
        <w:rPr>
          <w:rFonts w:ascii="Arial" w:hAnsi="Arial" w:cs="Arial"/>
          <w:sz w:val="24"/>
          <w:szCs w:val="24"/>
        </w:rPr>
        <w:t>In mice,</w:t>
      </w:r>
      <w:r w:rsidR="00742496" w:rsidRPr="00ED6A53">
        <w:rPr>
          <w:rFonts w:ascii="Arial" w:hAnsi="Arial" w:cs="Arial"/>
          <w:sz w:val="24"/>
          <w:szCs w:val="24"/>
        </w:rPr>
        <w:t xml:space="preserve"> </w:t>
      </w:r>
      <w:r w:rsidR="0010264D" w:rsidRPr="00ED6A53">
        <w:rPr>
          <w:rFonts w:ascii="Arial" w:hAnsi="Arial" w:cs="Arial"/>
          <w:sz w:val="24"/>
          <w:szCs w:val="24"/>
        </w:rPr>
        <w:t>C</w:t>
      </w:r>
      <w:r w:rsidR="001926F1" w:rsidRPr="00ED6A53">
        <w:rPr>
          <w:rFonts w:ascii="Arial" w:hAnsi="Arial" w:cs="Arial"/>
          <w:sz w:val="24"/>
          <w:szCs w:val="24"/>
        </w:rPr>
        <w:t>yp</w:t>
      </w:r>
      <w:r w:rsidR="0010264D" w:rsidRPr="00ED6A53">
        <w:rPr>
          <w:rFonts w:ascii="Arial" w:hAnsi="Arial" w:cs="Arial"/>
          <w:sz w:val="24"/>
          <w:szCs w:val="24"/>
        </w:rPr>
        <w:t>2F2</w:t>
      </w:r>
      <w:r w:rsidR="00742496" w:rsidRPr="00ED6A53">
        <w:rPr>
          <w:rFonts w:ascii="Arial" w:hAnsi="Arial" w:cs="Arial"/>
          <w:sz w:val="24"/>
          <w:szCs w:val="24"/>
        </w:rPr>
        <w:t xml:space="preserve"> </w:t>
      </w:r>
      <w:r w:rsidR="00E567C7" w:rsidRPr="00ED6A53">
        <w:rPr>
          <w:rFonts w:ascii="Arial" w:hAnsi="Arial" w:cs="Arial"/>
          <w:sz w:val="24"/>
          <w:szCs w:val="24"/>
        </w:rPr>
        <w:t>is hypothesized to be</w:t>
      </w:r>
      <w:r w:rsidR="001667E7" w:rsidRPr="00ED6A53">
        <w:rPr>
          <w:rFonts w:ascii="Arial" w:hAnsi="Arial" w:cs="Arial"/>
          <w:sz w:val="24"/>
          <w:szCs w:val="24"/>
        </w:rPr>
        <w:t xml:space="preserve"> a</w:t>
      </w:r>
      <w:r w:rsidR="00FB13A2" w:rsidRPr="00ED6A53">
        <w:rPr>
          <w:rFonts w:ascii="Arial" w:hAnsi="Arial" w:cs="Arial"/>
          <w:sz w:val="24"/>
          <w:szCs w:val="24"/>
        </w:rPr>
        <w:t xml:space="preserve"> critical determinant</w:t>
      </w:r>
      <w:r w:rsidR="00A15D02" w:rsidRPr="00ED6A53">
        <w:rPr>
          <w:rFonts w:ascii="Arial" w:hAnsi="Arial" w:cs="Arial"/>
          <w:sz w:val="24"/>
          <w:szCs w:val="24"/>
        </w:rPr>
        <w:t xml:space="preserve"> </w:t>
      </w:r>
      <w:r w:rsidR="00FB13A2" w:rsidRPr="00ED6A53">
        <w:rPr>
          <w:rFonts w:ascii="Arial" w:hAnsi="Arial" w:cs="Arial"/>
          <w:sz w:val="24"/>
          <w:szCs w:val="24"/>
        </w:rPr>
        <w:t xml:space="preserve">in the species-specific and region-selective cytotoxicity </w:t>
      </w:r>
      <w:r w:rsidR="00A53A03">
        <w:rPr>
          <w:rFonts w:ascii="Arial" w:hAnsi="Arial" w:cs="Arial"/>
          <w:sz w:val="24"/>
          <w:szCs w:val="24"/>
        </w:rPr>
        <w:t xml:space="preserve">and tumors </w:t>
      </w:r>
      <w:r w:rsidR="00FB13A2" w:rsidRPr="00ED6A53">
        <w:rPr>
          <w:rFonts w:ascii="Arial" w:hAnsi="Arial" w:cs="Arial"/>
          <w:sz w:val="24"/>
          <w:szCs w:val="24"/>
        </w:rPr>
        <w:t xml:space="preserve">in </w:t>
      </w:r>
      <w:r w:rsidR="00A53A03">
        <w:rPr>
          <w:rFonts w:ascii="Arial" w:hAnsi="Arial" w:cs="Arial"/>
          <w:sz w:val="24"/>
          <w:szCs w:val="24"/>
        </w:rPr>
        <w:t xml:space="preserve">mouse </w:t>
      </w:r>
      <w:r w:rsidR="00DB44EF" w:rsidRPr="00ED6A53">
        <w:rPr>
          <w:rFonts w:ascii="Arial" w:hAnsi="Arial" w:cs="Arial"/>
          <w:sz w:val="24"/>
          <w:szCs w:val="24"/>
        </w:rPr>
        <w:t>lungs</w:t>
      </w:r>
      <w:r w:rsidR="00BB282F" w:rsidRPr="00ED6A53">
        <w:rPr>
          <w:rFonts w:ascii="Arial" w:hAnsi="Arial" w:cs="Arial"/>
          <w:sz w:val="24"/>
          <w:szCs w:val="24"/>
        </w:rPr>
        <w:t xml:space="preserve">. </w:t>
      </w:r>
      <w:r w:rsidR="00DB44EF">
        <w:rPr>
          <w:rFonts w:ascii="Arial" w:hAnsi="Arial" w:cs="Arial"/>
          <w:sz w:val="24"/>
          <w:szCs w:val="24"/>
        </w:rPr>
        <w:t>Although, t</w:t>
      </w:r>
      <w:r w:rsidR="00585E54">
        <w:rPr>
          <w:rFonts w:ascii="Arial" w:hAnsi="Arial" w:cs="Arial"/>
          <w:sz w:val="24"/>
          <w:szCs w:val="24"/>
        </w:rPr>
        <w:t xml:space="preserve">he human ortholog </w:t>
      </w:r>
      <w:r w:rsidR="007159DF">
        <w:rPr>
          <w:rFonts w:ascii="Arial" w:hAnsi="Arial" w:cs="Arial"/>
          <w:sz w:val="24"/>
          <w:szCs w:val="24"/>
        </w:rPr>
        <w:t xml:space="preserve">CYP2F1 </w:t>
      </w:r>
      <w:r w:rsidR="00585E54">
        <w:rPr>
          <w:rFonts w:ascii="Arial" w:hAnsi="Arial" w:cs="Arial"/>
          <w:sz w:val="24"/>
          <w:szCs w:val="24"/>
        </w:rPr>
        <w:t xml:space="preserve">of </w:t>
      </w:r>
      <w:r w:rsidR="002F17F5">
        <w:rPr>
          <w:rFonts w:ascii="Arial" w:hAnsi="Arial" w:cs="Arial"/>
          <w:sz w:val="24"/>
          <w:szCs w:val="24"/>
        </w:rPr>
        <w:t>mouse Cyp2f2</w:t>
      </w:r>
      <w:r w:rsidR="00AB292A">
        <w:rPr>
          <w:rFonts w:ascii="Arial" w:hAnsi="Arial" w:cs="Arial"/>
          <w:sz w:val="24"/>
          <w:szCs w:val="24"/>
        </w:rPr>
        <w:t xml:space="preserve"> </w:t>
      </w:r>
      <w:r w:rsidR="00FD455E">
        <w:rPr>
          <w:rFonts w:ascii="Arial" w:hAnsi="Arial" w:cs="Arial"/>
          <w:sz w:val="24"/>
          <w:szCs w:val="24"/>
        </w:rPr>
        <w:t xml:space="preserve">shares 82% homology </w:t>
      </w:r>
      <w:r w:rsidR="007159DF">
        <w:rPr>
          <w:rFonts w:ascii="Arial" w:hAnsi="Arial" w:cs="Arial"/>
          <w:sz w:val="24"/>
          <w:szCs w:val="24"/>
        </w:rPr>
        <w:t>with mouse</w:t>
      </w:r>
      <w:r w:rsidR="00FD455E">
        <w:rPr>
          <w:rFonts w:ascii="Arial" w:hAnsi="Arial" w:cs="Arial"/>
          <w:sz w:val="24"/>
          <w:szCs w:val="24"/>
        </w:rPr>
        <w:t>,</w:t>
      </w:r>
      <w:r w:rsidR="007159DF">
        <w:rPr>
          <w:rFonts w:ascii="Arial" w:hAnsi="Arial" w:cs="Arial"/>
          <w:sz w:val="24"/>
          <w:szCs w:val="24"/>
        </w:rPr>
        <w:t xml:space="preserve"> </w:t>
      </w:r>
      <w:r w:rsidR="00812F52">
        <w:rPr>
          <w:rFonts w:ascii="Arial" w:hAnsi="Arial" w:cs="Arial"/>
          <w:sz w:val="24"/>
          <w:szCs w:val="24"/>
        </w:rPr>
        <w:t>the rate of naphth</w:t>
      </w:r>
      <w:r w:rsidR="001B69F9">
        <w:rPr>
          <w:rFonts w:ascii="Arial" w:hAnsi="Arial" w:cs="Arial"/>
          <w:sz w:val="24"/>
          <w:szCs w:val="24"/>
        </w:rPr>
        <w:t>a</w:t>
      </w:r>
      <w:r w:rsidR="00812F52">
        <w:rPr>
          <w:rFonts w:ascii="Arial" w:hAnsi="Arial" w:cs="Arial"/>
          <w:sz w:val="24"/>
          <w:szCs w:val="24"/>
        </w:rPr>
        <w:t>l</w:t>
      </w:r>
      <w:r w:rsidR="001B69F9">
        <w:rPr>
          <w:rFonts w:ascii="Arial" w:hAnsi="Arial" w:cs="Arial"/>
          <w:sz w:val="24"/>
          <w:szCs w:val="24"/>
        </w:rPr>
        <w:t>e</w:t>
      </w:r>
      <w:r w:rsidR="00812F52">
        <w:rPr>
          <w:rFonts w:ascii="Arial" w:hAnsi="Arial" w:cs="Arial"/>
          <w:sz w:val="24"/>
          <w:szCs w:val="24"/>
        </w:rPr>
        <w:t>ne metabolism</w:t>
      </w:r>
      <w:r w:rsidR="007159DF">
        <w:rPr>
          <w:rFonts w:ascii="Arial" w:hAnsi="Arial" w:cs="Arial"/>
          <w:sz w:val="24"/>
          <w:szCs w:val="24"/>
        </w:rPr>
        <w:t xml:space="preserve"> by</w:t>
      </w:r>
      <w:r w:rsidR="001B69F9">
        <w:rPr>
          <w:rFonts w:ascii="Arial" w:hAnsi="Arial" w:cs="Arial"/>
          <w:sz w:val="24"/>
          <w:szCs w:val="24"/>
        </w:rPr>
        <w:t xml:space="preserve"> </w:t>
      </w:r>
      <w:r w:rsidR="00C13FF5">
        <w:rPr>
          <w:rFonts w:ascii="Arial" w:hAnsi="Arial" w:cs="Arial"/>
          <w:sz w:val="24"/>
          <w:szCs w:val="24"/>
        </w:rPr>
        <w:t>human CYP2F1</w:t>
      </w:r>
      <w:r w:rsidR="007159DF">
        <w:rPr>
          <w:rFonts w:ascii="Arial" w:hAnsi="Arial" w:cs="Arial"/>
          <w:sz w:val="24"/>
          <w:szCs w:val="24"/>
        </w:rPr>
        <w:t xml:space="preserve"> is less than 0.1% </w:t>
      </w:r>
      <w:r w:rsidR="00265D09">
        <w:rPr>
          <w:rFonts w:ascii="Arial" w:hAnsi="Arial" w:cs="Arial"/>
          <w:sz w:val="24"/>
          <w:szCs w:val="24"/>
        </w:rPr>
        <w:t>that of mouse Cyp2F2.</w:t>
      </w:r>
      <w:r w:rsidR="00A94F3E">
        <w:rPr>
          <w:rFonts w:ascii="Arial" w:hAnsi="Arial" w:cs="Arial"/>
          <w:sz w:val="24"/>
          <w:szCs w:val="24"/>
        </w:rPr>
        <w:t xml:space="preserve"> </w:t>
      </w:r>
      <w:r w:rsidR="00524A0C">
        <w:rPr>
          <w:rFonts w:ascii="Arial" w:hAnsi="Arial" w:cs="Arial"/>
          <w:sz w:val="24"/>
          <w:szCs w:val="24"/>
        </w:rPr>
        <w:t>R</w:t>
      </w:r>
      <w:r w:rsidR="00BB282F" w:rsidRPr="00ED6A53">
        <w:rPr>
          <w:rFonts w:ascii="Arial" w:hAnsi="Arial" w:cs="Arial"/>
          <w:sz w:val="24"/>
          <w:szCs w:val="24"/>
        </w:rPr>
        <w:t>at nasal</w:t>
      </w:r>
      <w:r w:rsidR="00EB1017">
        <w:rPr>
          <w:rFonts w:ascii="Arial" w:hAnsi="Arial" w:cs="Arial"/>
          <w:sz w:val="24"/>
          <w:szCs w:val="24"/>
        </w:rPr>
        <w:t xml:space="preserve"> olfactory</w:t>
      </w:r>
      <w:r w:rsidR="00BB282F" w:rsidRPr="00ED6A53">
        <w:rPr>
          <w:rFonts w:ascii="Arial" w:hAnsi="Arial" w:cs="Arial"/>
          <w:sz w:val="24"/>
          <w:szCs w:val="24"/>
        </w:rPr>
        <w:t xml:space="preserve"> tissues</w:t>
      </w:r>
      <w:r w:rsidR="00BB03D5">
        <w:rPr>
          <w:rFonts w:ascii="Arial" w:hAnsi="Arial" w:cs="Arial"/>
          <w:sz w:val="24"/>
          <w:szCs w:val="24"/>
        </w:rPr>
        <w:t>,</w:t>
      </w:r>
      <w:r w:rsidR="004B7591">
        <w:rPr>
          <w:rFonts w:ascii="Arial" w:hAnsi="Arial" w:cs="Arial"/>
          <w:sz w:val="24"/>
          <w:szCs w:val="24"/>
        </w:rPr>
        <w:t xml:space="preserve"> </w:t>
      </w:r>
      <w:r w:rsidR="00C76129">
        <w:rPr>
          <w:rFonts w:ascii="Arial" w:hAnsi="Arial" w:cs="Arial"/>
          <w:sz w:val="24"/>
          <w:szCs w:val="24"/>
        </w:rPr>
        <w:t xml:space="preserve">the primary site of nasal injury from inhaled naphthalene has </w:t>
      </w:r>
      <w:r w:rsidR="004B7591">
        <w:rPr>
          <w:rFonts w:ascii="Arial" w:hAnsi="Arial" w:cs="Arial"/>
          <w:sz w:val="24"/>
          <w:szCs w:val="24"/>
        </w:rPr>
        <w:t>high levels of Cyp450 enzymes</w:t>
      </w:r>
      <w:r w:rsidR="00E136B3">
        <w:rPr>
          <w:rFonts w:ascii="Arial" w:hAnsi="Arial" w:cs="Arial"/>
          <w:sz w:val="24"/>
          <w:szCs w:val="24"/>
        </w:rPr>
        <w:t xml:space="preserve"> and</w:t>
      </w:r>
      <w:r w:rsidR="00C76129">
        <w:rPr>
          <w:rFonts w:ascii="Arial" w:hAnsi="Arial" w:cs="Arial"/>
          <w:sz w:val="24"/>
          <w:szCs w:val="24"/>
        </w:rPr>
        <w:t xml:space="preserve"> several rat </w:t>
      </w:r>
      <w:r w:rsidR="005051D9" w:rsidRPr="00ED6A53">
        <w:rPr>
          <w:rFonts w:ascii="Arial" w:hAnsi="Arial" w:cs="Arial"/>
          <w:sz w:val="24"/>
          <w:szCs w:val="24"/>
        </w:rPr>
        <w:t xml:space="preserve">CYP450s can biotransform </w:t>
      </w:r>
      <w:r w:rsidR="004B41EA" w:rsidRPr="00ED6A53">
        <w:rPr>
          <w:rFonts w:ascii="Arial" w:hAnsi="Arial" w:cs="Arial"/>
          <w:sz w:val="24"/>
          <w:szCs w:val="24"/>
        </w:rPr>
        <w:t>naphthalene to cytotoxic metabolite</w:t>
      </w:r>
      <w:r w:rsidR="003C4D7E" w:rsidRPr="00ED6A53">
        <w:rPr>
          <w:rFonts w:ascii="Arial" w:hAnsi="Arial" w:cs="Arial"/>
          <w:sz w:val="24"/>
          <w:szCs w:val="24"/>
        </w:rPr>
        <w:t>s</w:t>
      </w:r>
      <w:r w:rsidR="00BB03D5">
        <w:rPr>
          <w:rFonts w:ascii="Arial" w:hAnsi="Arial" w:cs="Arial"/>
          <w:sz w:val="24"/>
          <w:szCs w:val="24"/>
        </w:rPr>
        <w:t xml:space="preserve"> in nasal tissues</w:t>
      </w:r>
      <w:r w:rsidR="004B41EA" w:rsidRPr="00ED6A53">
        <w:rPr>
          <w:rFonts w:ascii="Arial" w:hAnsi="Arial" w:cs="Arial"/>
          <w:sz w:val="24"/>
          <w:szCs w:val="24"/>
          <w:lang w:val="en"/>
        </w:rPr>
        <w:t xml:space="preserve"> </w:t>
      </w:r>
      <w:r w:rsidR="00DD7F6F">
        <w:rPr>
          <w:rFonts w:ascii="Arial" w:hAnsi="Arial" w:cs="Arial"/>
          <w:sz w:val="24"/>
          <w:szCs w:val="24"/>
          <w:lang w:val="en"/>
        </w:rPr>
        <w:t>including Cyp2F4</w:t>
      </w:r>
      <w:r w:rsidR="003667B2">
        <w:rPr>
          <w:rFonts w:ascii="Arial" w:hAnsi="Arial" w:cs="Arial"/>
          <w:sz w:val="24"/>
          <w:szCs w:val="24"/>
          <w:lang w:val="en"/>
        </w:rPr>
        <w:t>,</w:t>
      </w:r>
      <w:r w:rsidR="00DD7F6F">
        <w:rPr>
          <w:rFonts w:ascii="Arial" w:hAnsi="Arial" w:cs="Arial"/>
          <w:sz w:val="24"/>
          <w:szCs w:val="24"/>
          <w:lang w:val="en"/>
        </w:rPr>
        <w:t xml:space="preserve"> the rat ortholog of mouse Cyp2F1</w:t>
      </w:r>
      <w:r w:rsidR="003667B2">
        <w:rPr>
          <w:rFonts w:ascii="Arial" w:hAnsi="Arial" w:cs="Arial"/>
          <w:sz w:val="24"/>
          <w:szCs w:val="24"/>
          <w:lang w:val="en"/>
        </w:rPr>
        <w:t>,</w:t>
      </w:r>
      <w:r w:rsidR="00260BC0">
        <w:rPr>
          <w:rFonts w:ascii="Arial" w:hAnsi="Arial" w:cs="Arial"/>
          <w:sz w:val="24"/>
          <w:szCs w:val="24"/>
          <w:lang w:val="en"/>
        </w:rPr>
        <w:t xml:space="preserve"> and </w:t>
      </w:r>
      <w:r w:rsidR="004B7591">
        <w:rPr>
          <w:rFonts w:ascii="Arial" w:hAnsi="Arial" w:cs="Arial"/>
          <w:sz w:val="24"/>
          <w:szCs w:val="24"/>
          <w:lang w:val="en"/>
        </w:rPr>
        <w:t>Cyp2e1</w:t>
      </w:r>
      <w:r w:rsidR="00DD7F6F">
        <w:rPr>
          <w:rFonts w:ascii="Arial" w:hAnsi="Arial" w:cs="Arial"/>
          <w:sz w:val="24"/>
          <w:szCs w:val="24"/>
          <w:lang w:val="en"/>
        </w:rPr>
        <w:t xml:space="preserve"> </w:t>
      </w:r>
      <w:r w:rsidR="00930283">
        <w:rPr>
          <w:rFonts w:ascii="Arial" w:hAnsi="Arial" w:cs="Arial"/>
          <w:sz w:val="24"/>
          <w:szCs w:val="24"/>
          <w:lang w:val="en"/>
        </w:rPr>
        <w:t xml:space="preserve">with no </w:t>
      </w:r>
      <w:r w:rsidR="00A857E8" w:rsidRPr="00ED6A53">
        <w:rPr>
          <w:rFonts w:ascii="Arial" w:hAnsi="Arial" w:cs="Arial"/>
          <w:sz w:val="24"/>
          <w:szCs w:val="24"/>
          <w:lang w:val="en"/>
        </w:rPr>
        <w:t xml:space="preserve">single </w:t>
      </w:r>
      <w:r w:rsidR="00E411AC" w:rsidRPr="00ED6A53">
        <w:rPr>
          <w:rFonts w:ascii="Arial" w:hAnsi="Arial" w:cs="Arial"/>
          <w:sz w:val="24"/>
          <w:szCs w:val="24"/>
          <w:lang w:val="en"/>
        </w:rPr>
        <w:t>specific</w:t>
      </w:r>
      <w:r w:rsidR="00E411AC" w:rsidRPr="00ED6A53">
        <w:rPr>
          <w:rFonts w:ascii="Arial" w:hAnsi="Arial" w:cs="Arial"/>
          <w:sz w:val="24"/>
          <w:szCs w:val="24"/>
        </w:rPr>
        <w:t xml:space="preserve"> </w:t>
      </w:r>
      <w:r w:rsidR="00A95323" w:rsidRPr="00ED6A53">
        <w:rPr>
          <w:rFonts w:ascii="Arial" w:hAnsi="Arial" w:cs="Arial"/>
          <w:sz w:val="24"/>
          <w:szCs w:val="24"/>
        </w:rPr>
        <w:t>C</w:t>
      </w:r>
      <w:r w:rsidR="004061C5" w:rsidRPr="00ED6A53">
        <w:rPr>
          <w:rFonts w:ascii="Arial" w:hAnsi="Arial" w:cs="Arial"/>
          <w:sz w:val="24"/>
          <w:szCs w:val="24"/>
        </w:rPr>
        <w:t xml:space="preserve">yp450 enzyme </w:t>
      </w:r>
      <w:r w:rsidR="00933962">
        <w:rPr>
          <w:rFonts w:ascii="Arial" w:hAnsi="Arial" w:cs="Arial"/>
          <w:sz w:val="24"/>
          <w:szCs w:val="24"/>
        </w:rPr>
        <w:t xml:space="preserve">responsible </w:t>
      </w:r>
      <w:r w:rsidR="009E384F" w:rsidRPr="00ED6A53">
        <w:rPr>
          <w:rFonts w:ascii="Arial" w:hAnsi="Arial" w:cs="Arial"/>
          <w:sz w:val="24"/>
          <w:szCs w:val="24"/>
        </w:rPr>
        <w:t>for</w:t>
      </w:r>
      <w:r w:rsidR="00742496" w:rsidRPr="00ED6A53">
        <w:rPr>
          <w:rFonts w:ascii="Arial" w:hAnsi="Arial" w:cs="Arial"/>
          <w:sz w:val="24"/>
          <w:szCs w:val="24"/>
        </w:rPr>
        <w:t xml:space="preserve"> the bioactivation of </w:t>
      </w:r>
      <w:r w:rsidR="00B47873" w:rsidRPr="00ED6A53">
        <w:rPr>
          <w:rFonts w:ascii="Arial" w:hAnsi="Arial" w:cs="Arial"/>
          <w:sz w:val="24"/>
          <w:szCs w:val="24"/>
        </w:rPr>
        <w:t xml:space="preserve">naphthalene </w:t>
      </w:r>
      <w:r w:rsidR="00B73D38" w:rsidRPr="00ED6A53">
        <w:rPr>
          <w:rFonts w:ascii="Arial" w:hAnsi="Arial" w:cs="Arial"/>
          <w:sz w:val="24"/>
          <w:szCs w:val="24"/>
        </w:rPr>
        <w:t xml:space="preserve">to reactive metabolites </w:t>
      </w:r>
      <w:r w:rsidR="002532FF">
        <w:rPr>
          <w:rFonts w:ascii="Arial" w:hAnsi="Arial" w:cs="Arial"/>
          <w:sz w:val="24"/>
          <w:szCs w:val="24"/>
        </w:rPr>
        <w:t xml:space="preserve">in nasal tissues </w:t>
      </w:r>
      <w:r w:rsidR="00742496" w:rsidRPr="00ED6A53">
        <w:rPr>
          <w:rFonts w:ascii="Arial" w:hAnsi="Arial" w:cs="Arial"/>
          <w:sz w:val="24"/>
          <w:szCs w:val="24"/>
        </w:rPr>
        <w:t>(Cruzan et al., 2009; Li et al., 2011).</w:t>
      </w:r>
      <w:r w:rsidR="00F31B2E" w:rsidRPr="00ED6A53">
        <w:rPr>
          <w:rFonts w:ascii="Arial" w:hAnsi="Arial" w:cs="Arial"/>
          <w:sz w:val="24"/>
          <w:szCs w:val="24"/>
        </w:rPr>
        <w:t xml:space="preserve"> </w:t>
      </w:r>
      <w:r w:rsidR="0079345C" w:rsidRPr="0079345C">
        <w:rPr>
          <w:rFonts w:ascii="Arial" w:hAnsi="Arial" w:cs="Arial"/>
          <w:sz w:val="24"/>
          <w:szCs w:val="24"/>
        </w:rPr>
        <w:t>In human liver microsomes, a spectrum of CYP450 enzymes can metabolize naphthalene to 1-, 2- naphthol, and dihydrodiol including CYP1A1/1A2, CYP2A6/2B6, CYP2E1 and CYP3A4 (Cho et al., 2006). CYP1A2 and 2D6*1 can further biotransform naphthol to produce 1,4-naphthoquinone a known cytotoxic and genotoxic metabolite of naphthalene (Cho et al., 2006).</w:t>
      </w:r>
      <w:r w:rsidR="001315A4">
        <w:rPr>
          <w:rFonts w:ascii="Arial" w:hAnsi="Arial" w:cs="Arial"/>
          <w:sz w:val="24"/>
          <w:szCs w:val="24"/>
        </w:rPr>
        <w:t xml:space="preserve"> </w:t>
      </w:r>
      <w:r w:rsidR="00950D69">
        <w:rPr>
          <w:rFonts w:ascii="Arial" w:hAnsi="Arial" w:cs="Arial"/>
          <w:sz w:val="24"/>
          <w:szCs w:val="24"/>
        </w:rPr>
        <w:t xml:space="preserve">The </w:t>
      </w:r>
      <w:r w:rsidR="00B77313" w:rsidRPr="00ED6A53">
        <w:rPr>
          <w:rFonts w:ascii="Arial" w:hAnsi="Arial" w:cs="Arial"/>
          <w:color w:val="212121"/>
          <w:sz w:val="24"/>
          <w:szCs w:val="24"/>
          <w:shd w:val="clear" w:color="auto" w:fill="FFFFFF"/>
        </w:rPr>
        <w:t xml:space="preserve">tissue-specific nature of individual P450 enzymes in </w:t>
      </w:r>
      <w:r w:rsidR="009C235D">
        <w:rPr>
          <w:rFonts w:ascii="Arial" w:hAnsi="Arial" w:cs="Arial"/>
          <w:color w:val="212121"/>
          <w:sz w:val="24"/>
          <w:szCs w:val="24"/>
          <w:shd w:val="clear" w:color="auto" w:fill="FFFFFF"/>
        </w:rPr>
        <w:t xml:space="preserve">mediating </w:t>
      </w:r>
      <w:r w:rsidR="00950D69">
        <w:rPr>
          <w:rFonts w:ascii="Arial" w:hAnsi="Arial" w:cs="Arial"/>
          <w:color w:val="212121"/>
          <w:sz w:val="24"/>
          <w:szCs w:val="24"/>
          <w:shd w:val="clear" w:color="auto" w:fill="FFFFFF"/>
        </w:rPr>
        <w:t>naphthalene</w:t>
      </w:r>
      <w:r w:rsidR="00B77313" w:rsidRPr="00ED6A53">
        <w:rPr>
          <w:rFonts w:ascii="Arial" w:hAnsi="Arial" w:cs="Arial"/>
          <w:color w:val="212121"/>
          <w:sz w:val="24"/>
          <w:szCs w:val="24"/>
          <w:shd w:val="clear" w:color="auto" w:fill="FFFFFF"/>
        </w:rPr>
        <w:t xml:space="preserve"> toxicity</w:t>
      </w:r>
      <w:r w:rsidR="009C235D">
        <w:rPr>
          <w:rFonts w:ascii="Arial" w:hAnsi="Arial" w:cs="Arial"/>
          <w:color w:val="212121"/>
          <w:sz w:val="24"/>
          <w:szCs w:val="24"/>
          <w:shd w:val="clear" w:color="auto" w:fill="FFFFFF"/>
        </w:rPr>
        <w:t xml:space="preserve"> </w:t>
      </w:r>
      <w:r w:rsidR="005C735B">
        <w:rPr>
          <w:rFonts w:ascii="Arial" w:hAnsi="Arial" w:cs="Arial"/>
          <w:color w:val="212121"/>
          <w:sz w:val="24"/>
          <w:szCs w:val="24"/>
          <w:shd w:val="clear" w:color="auto" w:fill="FFFFFF"/>
        </w:rPr>
        <w:t xml:space="preserve">in </w:t>
      </w:r>
      <w:r w:rsidR="00817641">
        <w:rPr>
          <w:rFonts w:ascii="Arial" w:hAnsi="Arial" w:cs="Arial"/>
          <w:color w:val="212121"/>
          <w:sz w:val="24"/>
          <w:szCs w:val="24"/>
          <w:shd w:val="clear" w:color="auto" w:fill="FFFFFF"/>
        </w:rPr>
        <w:t>rodents</w:t>
      </w:r>
      <w:r w:rsidR="005C735B">
        <w:rPr>
          <w:rFonts w:ascii="Arial" w:hAnsi="Arial" w:cs="Arial"/>
          <w:color w:val="212121"/>
          <w:sz w:val="24"/>
          <w:szCs w:val="24"/>
          <w:shd w:val="clear" w:color="auto" w:fill="FFFFFF"/>
        </w:rPr>
        <w:t xml:space="preserve"> </w:t>
      </w:r>
      <w:r w:rsidR="002532FF">
        <w:rPr>
          <w:rFonts w:ascii="Arial" w:hAnsi="Arial" w:cs="Arial"/>
          <w:color w:val="212121"/>
          <w:sz w:val="24"/>
          <w:szCs w:val="24"/>
          <w:shd w:val="clear" w:color="auto" w:fill="FFFFFF"/>
        </w:rPr>
        <w:t xml:space="preserve">and species differences in </w:t>
      </w:r>
      <w:r w:rsidR="00C94C13">
        <w:rPr>
          <w:rFonts w:ascii="Arial" w:hAnsi="Arial" w:cs="Arial"/>
          <w:color w:val="212121"/>
          <w:sz w:val="24"/>
          <w:szCs w:val="24"/>
          <w:shd w:val="clear" w:color="auto" w:fill="FFFFFF"/>
        </w:rPr>
        <w:t xml:space="preserve">metabolic pathways to reactive metabolites for naphthalene </w:t>
      </w:r>
      <w:r w:rsidR="00CA4179">
        <w:rPr>
          <w:rFonts w:ascii="Arial" w:hAnsi="Arial" w:cs="Arial"/>
          <w:color w:val="212121"/>
          <w:sz w:val="24"/>
          <w:szCs w:val="24"/>
          <w:shd w:val="clear" w:color="auto" w:fill="FFFFFF"/>
        </w:rPr>
        <w:t xml:space="preserve">has </w:t>
      </w:r>
      <w:r w:rsidR="00B77313" w:rsidRPr="00ED6A53">
        <w:rPr>
          <w:rFonts w:ascii="Arial" w:hAnsi="Arial" w:cs="Arial"/>
          <w:color w:val="212121"/>
          <w:sz w:val="24"/>
          <w:szCs w:val="24"/>
          <w:shd w:val="clear" w:color="auto" w:fill="FFFFFF"/>
        </w:rPr>
        <w:t>provide</w:t>
      </w:r>
      <w:r w:rsidR="00CA4179">
        <w:rPr>
          <w:rFonts w:ascii="Arial" w:hAnsi="Arial" w:cs="Arial"/>
          <w:color w:val="212121"/>
          <w:sz w:val="24"/>
          <w:szCs w:val="24"/>
          <w:shd w:val="clear" w:color="auto" w:fill="FFFFFF"/>
        </w:rPr>
        <w:t>d</w:t>
      </w:r>
      <w:r w:rsidR="00B77313" w:rsidRPr="00ED6A53">
        <w:rPr>
          <w:rFonts w:ascii="Arial" w:hAnsi="Arial" w:cs="Arial"/>
          <w:color w:val="212121"/>
          <w:sz w:val="24"/>
          <w:szCs w:val="24"/>
          <w:shd w:val="clear" w:color="auto" w:fill="FFFFFF"/>
        </w:rPr>
        <w:t xml:space="preserve"> </w:t>
      </w:r>
      <w:r w:rsidR="00826D3F">
        <w:rPr>
          <w:rFonts w:ascii="Arial" w:hAnsi="Arial" w:cs="Arial"/>
          <w:color w:val="212121"/>
          <w:sz w:val="24"/>
          <w:szCs w:val="24"/>
          <w:shd w:val="clear" w:color="auto" w:fill="FFFFFF"/>
        </w:rPr>
        <w:t>a</w:t>
      </w:r>
      <w:r w:rsidR="00B77313" w:rsidRPr="00ED6A53">
        <w:rPr>
          <w:rFonts w:ascii="Arial" w:hAnsi="Arial" w:cs="Arial"/>
          <w:color w:val="212121"/>
          <w:sz w:val="24"/>
          <w:szCs w:val="24"/>
          <w:shd w:val="clear" w:color="auto" w:fill="FFFFFF"/>
        </w:rPr>
        <w:t xml:space="preserve"> basis for reliable assessment</w:t>
      </w:r>
      <w:r w:rsidR="003667B2">
        <w:rPr>
          <w:rFonts w:ascii="Arial" w:hAnsi="Arial" w:cs="Arial"/>
          <w:color w:val="212121"/>
          <w:sz w:val="24"/>
          <w:szCs w:val="24"/>
          <w:shd w:val="clear" w:color="auto" w:fill="FFFFFF"/>
        </w:rPr>
        <w:t>s</w:t>
      </w:r>
      <w:r w:rsidR="00B77313" w:rsidRPr="00ED6A53">
        <w:rPr>
          <w:rFonts w:ascii="Arial" w:hAnsi="Arial" w:cs="Arial"/>
          <w:color w:val="212121"/>
          <w:sz w:val="24"/>
          <w:szCs w:val="24"/>
          <w:shd w:val="clear" w:color="auto" w:fill="FFFFFF"/>
        </w:rPr>
        <w:t xml:space="preserve"> of the potential </w:t>
      </w:r>
      <w:r w:rsidR="00CA4179">
        <w:rPr>
          <w:rFonts w:ascii="Arial" w:hAnsi="Arial" w:cs="Arial"/>
          <w:color w:val="212121"/>
          <w:sz w:val="24"/>
          <w:szCs w:val="24"/>
          <w:shd w:val="clear" w:color="auto" w:fill="FFFFFF"/>
        </w:rPr>
        <w:t>nasal toxicity</w:t>
      </w:r>
      <w:r w:rsidR="00454017">
        <w:rPr>
          <w:rFonts w:ascii="Arial" w:hAnsi="Arial" w:cs="Arial"/>
          <w:color w:val="212121"/>
          <w:sz w:val="24"/>
          <w:szCs w:val="24"/>
          <w:shd w:val="clear" w:color="auto" w:fill="FFFFFF"/>
        </w:rPr>
        <w:t xml:space="preserve"> and cancer</w:t>
      </w:r>
      <w:r w:rsidR="00CA4179">
        <w:rPr>
          <w:rFonts w:ascii="Arial" w:hAnsi="Arial" w:cs="Arial"/>
          <w:color w:val="212121"/>
          <w:sz w:val="24"/>
          <w:szCs w:val="24"/>
          <w:shd w:val="clear" w:color="auto" w:fill="FFFFFF"/>
        </w:rPr>
        <w:t xml:space="preserve"> </w:t>
      </w:r>
      <w:r w:rsidR="00B77313" w:rsidRPr="00ED6A53">
        <w:rPr>
          <w:rFonts w:ascii="Arial" w:hAnsi="Arial" w:cs="Arial"/>
          <w:color w:val="212121"/>
          <w:sz w:val="24"/>
          <w:szCs w:val="24"/>
          <w:shd w:val="clear" w:color="auto" w:fill="FFFFFF"/>
        </w:rPr>
        <w:t xml:space="preserve">risks of </w:t>
      </w:r>
      <w:r w:rsidR="00CA4179">
        <w:rPr>
          <w:rFonts w:ascii="Arial" w:hAnsi="Arial" w:cs="Arial"/>
          <w:color w:val="212121"/>
          <w:sz w:val="24"/>
          <w:szCs w:val="24"/>
          <w:shd w:val="clear" w:color="auto" w:fill="FFFFFF"/>
        </w:rPr>
        <w:t>naphthalene inhalation</w:t>
      </w:r>
      <w:r w:rsidR="00B77313" w:rsidRPr="00ED6A53">
        <w:rPr>
          <w:rFonts w:ascii="Arial" w:hAnsi="Arial" w:cs="Arial"/>
          <w:color w:val="212121"/>
          <w:sz w:val="24"/>
          <w:szCs w:val="24"/>
          <w:shd w:val="clear" w:color="auto" w:fill="FFFFFF"/>
        </w:rPr>
        <w:t xml:space="preserve"> in humans</w:t>
      </w:r>
      <w:r w:rsidR="00C5148C">
        <w:rPr>
          <w:rFonts w:ascii="Arial" w:hAnsi="Arial" w:cs="Arial"/>
          <w:color w:val="212121"/>
          <w:sz w:val="24"/>
          <w:szCs w:val="24"/>
          <w:shd w:val="clear" w:color="auto" w:fill="FFFFFF"/>
        </w:rPr>
        <w:t xml:space="preserve"> (</w:t>
      </w:r>
      <w:r w:rsidR="00C5148C">
        <w:rPr>
          <w:rFonts w:ascii="Arial" w:hAnsi="Arial" w:cs="Arial"/>
          <w:sz w:val="24"/>
          <w:szCs w:val="24"/>
        </w:rPr>
        <w:t>Bailey et al., 2016)</w:t>
      </w:r>
      <w:r w:rsidR="00B77313" w:rsidRPr="00ED6A53">
        <w:rPr>
          <w:rFonts w:ascii="Arial" w:hAnsi="Arial" w:cs="Arial"/>
          <w:color w:val="212121"/>
          <w:sz w:val="24"/>
          <w:szCs w:val="24"/>
          <w:shd w:val="clear" w:color="auto" w:fill="FFFFFF"/>
        </w:rPr>
        <w:t>.</w:t>
      </w:r>
      <w:r w:rsidR="00CE611D" w:rsidRPr="00CE611D">
        <w:t xml:space="preserve"> </w:t>
      </w:r>
    </w:p>
    <w:p w14:paraId="7EDC9D11" w14:textId="77777777" w:rsidR="00DD1A43" w:rsidRPr="00DD1A43" w:rsidRDefault="00DD1A43" w:rsidP="003C4E50">
      <w:pPr>
        <w:spacing w:after="0" w:line="480" w:lineRule="auto"/>
        <w:jc w:val="both"/>
        <w:rPr>
          <w:rFonts w:ascii="Arial" w:hAnsi="Arial" w:cs="Arial"/>
          <w:sz w:val="24"/>
          <w:szCs w:val="24"/>
        </w:rPr>
      </w:pPr>
    </w:p>
    <w:p w14:paraId="49113142" w14:textId="4430CEC4" w:rsidR="00B90E1C" w:rsidRDefault="009D10C5" w:rsidP="003C4E50">
      <w:pPr>
        <w:spacing w:after="0" w:line="480" w:lineRule="auto"/>
        <w:jc w:val="both"/>
        <w:rPr>
          <w:rFonts w:ascii="Arial" w:hAnsi="Arial" w:cs="Arial"/>
          <w:sz w:val="24"/>
          <w:szCs w:val="24"/>
        </w:rPr>
      </w:pPr>
      <w:r>
        <w:rPr>
          <w:rFonts w:ascii="Arial" w:hAnsi="Arial" w:cs="Arial"/>
          <w:sz w:val="24"/>
          <w:szCs w:val="24"/>
        </w:rPr>
        <w:t xml:space="preserve">We have previously examined the </w:t>
      </w:r>
      <w:r w:rsidR="00D63611" w:rsidRPr="00826D3F">
        <w:rPr>
          <w:rFonts w:ascii="Arial" w:hAnsi="Arial" w:cs="Arial"/>
          <w:i/>
          <w:iCs/>
          <w:sz w:val="24"/>
          <w:szCs w:val="24"/>
        </w:rPr>
        <w:t>in vitro</w:t>
      </w:r>
      <w:r w:rsidR="00D63611">
        <w:rPr>
          <w:rFonts w:ascii="Arial" w:hAnsi="Arial" w:cs="Arial"/>
          <w:sz w:val="24"/>
          <w:szCs w:val="24"/>
        </w:rPr>
        <w:t xml:space="preserve"> cytotoxicity</w:t>
      </w:r>
      <w:r>
        <w:rPr>
          <w:rFonts w:ascii="Arial" w:hAnsi="Arial" w:cs="Arial"/>
          <w:sz w:val="24"/>
          <w:szCs w:val="24"/>
        </w:rPr>
        <w:t xml:space="preserve"> of naphthal</w:t>
      </w:r>
      <w:r w:rsidR="00BF3382">
        <w:rPr>
          <w:rFonts w:ascii="Arial" w:hAnsi="Arial" w:cs="Arial"/>
          <w:sz w:val="24"/>
          <w:szCs w:val="24"/>
        </w:rPr>
        <w:t>ene i</w:t>
      </w:r>
      <w:r w:rsidR="004A656C" w:rsidRPr="00ED6A53">
        <w:rPr>
          <w:rFonts w:ascii="Arial" w:hAnsi="Arial" w:cs="Arial"/>
          <w:sz w:val="24"/>
          <w:szCs w:val="24"/>
        </w:rPr>
        <w:t>n primary hepatocytes</w:t>
      </w:r>
      <w:r w:rsidR="00BF3382">
        <w:rPr>
          <w:rFonts w:ascii="Arial" w:hAnsi="Arial" w:cs="Arial"/>
          <w:sz w:val="24"/>
          <w:szCs w:val="24"/>
        </w:rPr>
        <w:t>, nasal tissues and lung tissues</w:t>
      </w:r>
      <w:r w:rsidR="004A656C" w:rsidRPr="00ED6A53">
        <w:rPr>
          <w:rFonts w:ascii="Arial" w:hAnsi="Arial" w:cs="Arial"/>
          <w:sz w:val="24"/>
          <w:szCs w:val="24"/>
        </w:rPr>
        <w:t xml:space="preserve"> from </w:t>
      </w:r>
      <w:r w:rsidR="00BF3382">
        <w:rPr>
          <w:rFonts w:ascii="Arial" w:hAnsi="Arial" w:cs="Arial"/>
          <w:sz w:val="24"/>
          <w:szCs w:val="24"/>
        </w:rPr>
        <w:t xml:space="preserve">humans, </w:t>
      </w:r>
      <w:r w:rsidR="007F0EA8">
        <w:rPr>
          <w:rFonts w:ascii="Arial" w:hAnsi="Arial" w:cs="Arial"/>
          <w:sz w:val="24"/>
          <w:szCs w:val="24"/>
        </w:rPr>
        <w:t>mice,</w:t>
      </w:r>
      <w:r w:rsidR="00BF3382">
        <w:rPr>
          <w:rFonts w:ascii="Arial" w:hAnsi="Arial" w:cs="Arial"/>
          <w:sz w:val="24"/>
          <w:szCs w:val="24"/>
        </w:rPr>
        <w:t xml:space="preserve"> and rats</w:t>
      </w:r>
      <w:r w:rsidR="00D63611">
        <w:rPr>
          <w:rFonts w:ascii="Arial" w:hAnsi="Arial" w:cs="Arial"/>
          <w:sz w:val="24"/>
          <w:szCs w:val="24"/>
        </w:rPr>
        <w:t>.</w:t>
      </w:r>
      <w:r w:rsidR="004A656C" w:rsidRPr="00ED6A53">
        <w:rPr>
          <w:rFonts w:ascii="Arial" w:hAnsi="Arial" w:cs="Arial"/>
          <w:sz w:val="24"/>
          <w:szCs w:val="24"/>
        </w:rPr>
        <w:t xml:space="preserve"> </w:t>
      </w:r>
      <w:r w:rsidR="00D63611">
        <w:rPr>
          <w:rFonts w:ascii="Arial" w:hAnsi="Arial" w:cs="Arial"/>
          <w:sz w:val="24"/>
          <w:szCs w:val="24"/>
        </w:rPr>
        <w:t xml:space="preserve">In </w:t>
      </w:r>
      <w:r w:rsidR="005B28EF">
        <w:rPr>
          <w:rFonts w:ascii="Arial" w:hAnsi="Arial" w:cs="Arial"/>
          <w:sz w:val="24"/>
          <w:szCs w:val="24"/>
        </w:rPr>
        <w:t xml:space="preserve">human hepatocytes </w:t>
      </w:r>
      <w:r w:rsidR="004A656C" w:rsidRPr="00ED6A53">
        <w:rPr>
          <w:rFonts w:ascii="Arial" w:hAnsi="Arial" w:cs="Arial"/>
          <w:sz w:val="24"/>
          <w:szCs w:val="24"/>
        </w:rPr>
        <w:t xml:space="preserve">naphthalene </w:t>
      </w:r>
      <w:r w:rsidR="00B41629" w:rsidRPr="00ED6A53">
        <w:rPr>
          <w:rFonts w:ascii="Arial" w:hAnsi="Arial" w:cs="Arial"/>
          <w:sz w:val="24"/>
          <w:szCs w:val="24"/>
        </w:rPr>
        <w:t>ind</w:t>
      </w:r>
      <w:r w:rsidR="00354B75" w:rsidRPr="00ED6A53">
        <w:rPr>
          <w:rFonts w:ascii="Arial" w:hAnsi="Arial" w:cs="Arial"/>
          <w:sz w:val="24"/>
          <w:szCs w:val="24"/>
        </w:rPr>
        <w:t>uce</w:t>
      </w:r>
      <w:r w:rsidR="00D63611">
        <w:rPr>
          <w:rFonts w:ascii="Arial" w:hAnsi="Arial" w:cs="Arial"/>
          <w:sz w:val="24"/>
          <w:szCs w:val="24"/>
        </w:rPr>
        <w:t>d</w:t>
      </w:r>
      <w:r w:rsidR="004A656C" w:rsidRPr="00ED6A53">
        <w:rPr>
          <w:rFonts w:ascii="Arial" w:hAnsi="Arial" w:cs="Arial"/>
          <w:sz w:val="24"/>
          <w:szCs w:val="24"/>
        </w:rPr>
        <w:t xml:space="preserve"> dose dependent </w:t>
      </w:r>
      <w:r w:rsidR="00563D35">
        <w:rPr>
          <w:rFonts w:ascii="Arial" w:hAnsi="Arial" w:cs="Arial"/>
          <w:sz w:val="24"/>
          <w:szCs w:val="24"/>
        </w:rPr>
        <w:t xml:space="preserve">parallel </w:t>
      </w:r>
      <w:r w:rsidR="004A656C" w:rsidRPr="00ED6A53">
        <w:rPr>
          <w:rFonts w:ascii="Arial" w:hAnsi="Arial" w:cs="Arial"/>
          <w:sz w:val="24"/>
          <w:szCs w:val="24"/>
        </w:rPr>
        <w:t>decrease</w:t>
      </w:r>
      <w:r w:rsidR="00134723" w:rsidRPr="00ED6A53">
        <w:rPr>
          <w:rFonts w:ascii="Arial" w:hAnsi="Arial" w:cs="Arial"/>
          <w:sz w:val="24"/>
          <w:szCs w:val="24"/>
        </w:rPr>
        <w:t>s</w:t>
      </w:r>
      <w:r w:rsidR="004A656C" w:rsidRPr="00ED6A53">
        <w:rPr>
          <w:rFonts w:ascii="Arial" w:hAnsi="Arial" w:cs="Arial"/>
          <w:sz w:val="24"/>
          <w:szCs w:val="24"/>
        </w:rPr>
        <w:t xml:space="preserve"> </w:t>
      </w:r>
      <w:r w:rsidR="00134723" w:rsidRPr="00ED6A53">
        <w:rPr>
          <w:rFonts w:ascii="Arial" w:hAnsi="Arial" w:cs="Arial"/>
          <w:sz w:val="24"/>
          <w:szCs w:val="24"/>
        </w:rPr>
        <w:t xml:space="preserve">in ATP, </w:t>
      </w:r>
      <w:r w:rsidR="00855327" w:rsidRPr="00ED6A53">
        <w:rPr>
          <w:rFonts w:ascii="Arial" w:hAnsi="Arial" w:cs="Arial"/>
          <w:sz w:val="24"/>
          <w:szCs w:val="24"/>
        </w:rPr>
        <w:t xml:space="preserve">glutathione (GSH) </w:t>
      </w:r>
      <w:r w:rsidR="00134723" w:rsidRPr="00ED6A53">
        <w:rPr>
          <w:rFonts w:ascii="Arial" w:hAnsi="Arial" w:cs="Arial"/>
          <w:sz w:val="24"/>
          <w:szCs w:val="24"/>
        </w:rPr>
        <w:t>and cell viability at concentrations &gt;</w:t>
      </w:r>
      <w:r w:rsidR="00855327" w:rsidRPr="00ED6A53">
        <w:rPr>
          <w:rFonts w:ascii="Arial" w:hAnsi="Arial" w:cs="Arial"/>
          <w:sz w:val="24"/>
          <w:szCs w:val="24"/>
        </w:rPr>
        <w:t xml:space="preserve"> </w:t>
      </w:r>
      <w:r w:rsidR="00267652">
        <w:rPr>
          <w:rFonts w:ascii="Arial" w:hAnsi="Arial" w:cs="Arial"/>
          <w:sz w:val="24"/>
          <w:szCs w:val="24"/>
        </w:rPr>
        <w:t>2</w:t>
      </w:r>
      <w:r w:rsidR="00134723" w:rsidRPr="00ED6A53">
        <w:rPr>
          <w:rFonts w:ascii="Arial" w:hAnsi="Arial" w:cs="Arial"/>
          <w:sz w:val="24"/>
          <w:szCs w:val="24"/>
        </w:rPr>
        <w:t xml:space="preserve">00 </w:t>
      </w:r>
      <w:r w:rsidR="00134723" w:rsidRPr="00ED6A53">
        <w:rPr>
          <w:rFonts w:ascii="Arial" w:hAnsi="Arial" w:cs="Arial"/>
          <w:sz w:val="24"/>
          <w:szCs w:val="24"/>
        </w:rPr>
        <w:sym w:font="Symbol" w:char="F06D"/>
      </w:r>
      <w:r w:rsidR="00134723" w:rsidRPr="00ED6A53">
        <w:rPr>
          <w:rFonts w:ascii="Arial" w:hAnsi="Arial" w:cs="Arial"/>
          <w:sz w:val="24"/>
          <w:szCs w:val="24"/>
        </w:rPr>
        <w:t>M</w:t>
      </w:r>
      <w:r w:rsidR="00DA2CF7">
        <w:rPr>
          <w:rFonts w:ascii="Arial" w:hAnsi="Arial" w:cs="Arial"/>
          <w:sz w:val="24"/>
          <w:szCs w:val="24"/>
        </w:rPr>
        <w:t xml:space="preserve">. </w:t>
      </w:r>
      <w:r w:rsidR="00A53F3C">
        <w:rPr>
          <w:rFonts w:ascii="Arial" w:hAnsi="Arial" w:cs="Arial"/>
          <w:sz w:val="24"/>
          <w:szCs w:val="24"/>
        </w:rPr>
        <w:t xml:space="preserve">In this study there were </w:t>
      </w:r>
      <w:r w:rsidR="00354B75" w:rsidRPr="00ED6A53">
        <w:rPr>
          <w:rFonts w:ascii="Arial" w:hAnsi="Arial" w:cs="Arial"/>
          <w:sz w:val="24"/>
          <w:szCs w:val="24"/>
        </w:rPr>
        <w:t xml:space="preserve">no significant species specificity </w:t>
      </w:r>
      <w:r w:rsidR="00DA2CF7">
        <w:rPr>
          <w:rFonts w:ascii="Arial" w:hAnsi="Arial" w:cs="Arial"/>
          <w:sz w:val="24"/>
          <w:szCs w:val="24"/>
        </w:rPr>
        <w:t xml:space="preserve">in </w:t>
      </w:r>
      <w:r w:rsidR="00051FFE">
        <w:rPr>
          <w:rFonts w:ascii="Arial" w:hAnsi="Arial" w:cs="Arial"/>
          <w:sz w:val="24"/>
          <w:szCs w:val="24"/>
        </w:rPr>
        <w:t xml:space="preserve">the </w:t>
      </w:r>
      <w:r w:rsidR="00DA2CF7">
        <w:rPr>
          <w:rFonts w:ascii="Arial" w:hAnsi="Arial" w:cs="Arial"/>
          <w:sz w:val="24"/>
          <w:szCs w:val="24"/>
        </w:rPr>
        <w:t>cytotoxic response</w:t>
      </w:r>
      <w:r w:rsidR="00A53F3C">
        <w:rPr>
          <w:rFonts w:ascii="Arial" w:hAnsi="Arial" w:cs="Arial"/>
          <w:sz w:val="24"/>
          <w:szCs w:val="24"/>
        </w:rPr>
        <w:t>s</w:t>
      </w:r>
      <w:r w:rsidR="00DA2CF7">
        <w:rPr>
          <w:rFonts w:ascii="Arial" w:hAnsi="Arial" w:cs="Arial"/>
          <w:sz w:val="24"/>
          <w:szCs w:val="24"/>
        </w:rPr>
        <w:t xml:space="preserve"> to naphthalene exposures </w:t>
      </w:r>
      <w:r w:rsidR="00855327" w:rsidRPr="00ED6A53">
        <w:rPr>
          <w:rFonts w:ascii="Arial" w:hAnsi="Arial" w:cs="Arial"/>
          <w:sz w:val="24"/>
          <w:szCs w:val="24"/>
        </w:rPr>
        <w:t>(Kedderis et al., 2014)</w:t>
      </w:r>
      <w:r w:rsidR="00354B75" w:rsidRPr="00ED6A53">
        <w:rPr>
          <w:rFonts w:ascii="Arial" w:hAnsi="Arial" w:cs="Arial"/>
          <w:sz w:val="24"/>
          <w:szCs w:val="24"/>
        </w:rPr>
        <w:t>.</w:t>
      </w:r>
      <w:r w:rsidR="00D63611">
        <w:rPr>
          <w:rFonts w:ascii="Arial" w:hAnsi="Arial" w:cs="Arial"/>
          <w:sz w:val="24"/>
          <w:szCs w:val="24"/>
        </w:rPr>
        <w:t xml:space="preserve"> </w:t>
      </w:r>
      <w:r w:rsidR="007F0EA8">
        <w:rPr>
          <w:rFonts w:ascii="Arial" w:hAnsi="Arial" w:cs="Arial"/>
          <w:sz w:val="24"/>
          <w:szCs w:val="24"/>
        </w:rPr>
        <w:t xml:space="preserve">However, there was significant differences </w:t>
      </w:r>
      <w:r w:rsidR="000E5B4B">
        <w:rPr>
          <w:rFonts w:ascii="Arial" w:hAnsi="Arial" w:cs="Arial"/>
          <w:sz w:val="24"/>
          <w:szCs w:val="24"/>
        </w:rPr>
        <w:t xml:space="preserve">in </w:t>
      </w:r>
      <w:r w:rsidR="007F0EA8">
        <w:rPr>
          <w:rFonts w:ascii="Arial" w:hAnsi="Arial" w:cs="Arial"/>
          <w:sz w:val="24"/>
          <w:szCs w:val="24"/>
        </w:rPr>
        <w:t xml:space="preserve">the spectrum of metabolites produced from </w:t>
      </w:r>
      <w:r w:rsidR="000E5B4B">
        <w:rPr>
          <w:rFonts w:ascii="Arial" w:hAnsi="Arial" w:cs="Arial"/>
          <w:sz w:val="24"/>
          <w:szCs w:val="24"/>
        </w:rPr>
        <w:t xml:space="preserve">human hepatocytes with </w:t>
      </w:r>
      <w:r w:rsidR="0096749D">
        <w:rPr>
          <w:rFonts w:ascii="Arial" w:hAnsi="Arial" w:cs="Arial"/>
          <w:sz w:val="24"/>
          <w:szCs w:val="24"/>
        </w:rPr>
        <w:t xml:space="preserve">naphthalene dihydrodiol as the primary metabolite detected </w:t>
      </w:r>
      <w:r w:rsidR="00011ED9">
        <w:rPr>
          <w:rFonts w:ascii="Arial" w:hAnsi="Arial" w:cs="Arial"/>
          <w:sz w:val="24"/>
          <w:szCs w:val="24"/>
        </w:rPr>
        <w:t>compared to</w:t>
      </w:r>
      <w:r w:rsidR="00E01F56">
        <w:rPr>
          <w:rFonts w:ascii="Arial" w:hAnsi="Arial" w:cs="Arial"/>
          <w:sz w:val="24"/>
          <w:szCs w:val="24"/>
        </w:rPr>
        <w:t xml:space="preserve"> rat and mouse hepatocytes where glutathione-conjugates of naphthoquinone </w:t>
      </w:r>
      <w:r w:rsidR="001645F5">
        <w:rPr>
          <w:rFonts w:ascii="Arial" w:hAnsi="Arial" w:cs="Arial"/>
          <w:sz w:val="24"/>
          <w:szCs w:val="24"/>
        </w:rPr>
        <w:t>were the primary metabolites detected</w:t>
      </w:r>
      <w:r w:rsidR="008F2F6B">
        <w:rPr>
          <w:rFonts w:ascii="Arial" w:hAnsi="Arial" w:cs="Arial"/>
          <w:sz w:val="24"/>
          <w:szCs w:val="24"/>
        </w:rPr>
        <w:t xml:space="preserve"> (Kedderis et al.,  2014)</w:t>
      </w:r>
      <w:r w:rsidR="001645F5">
        <w:rPr>
          <w:rFonts w:ascii="Arial" w:hAnsi="Arial" w:cs="Arial"/>
          <w:sz w:val="24"/>
          <w:szCs w:val="24"/>
        </w:rPr>
        <w:t>.</w:t>
      </w:r>
      <w:r w:rsidR="000E5B4B">
        <w:rPr>
          <w:rFonts w:ascii="Arial" w:hAnsi="Arial" w:cs="Arial"/>
          <w:sz w:val="24"/>
          <w:szCs w:val="24"/>
        </w:rPr>
        <w:t xml:space="preserve"> </w:t>
      </w:r>
      <w:r w:rsidR="0081345A">
        <w:rPr>
          <w:rFonts w:ascii="Arial" w:hAnsi="Arial" w:cs="Arial"/>
          <w:sz w:val="24"/>
          <w:szCs w:val="24"/>
        </w:rPr>
        <w:t>This</w:t>
      </w:r>
      <w:r w:rsidR="008F2F6B">
        <w:rPr>
          <w:rFonts w:ascii="Arial" w:hAnsi="Arial" w:cs="Arial"/>
          <w:sz w:val="24"/>
          <w:szCs w:val="24"/>
        </w:rPr>
        <w:t xml:space="preserve"> data support</w:t>
      </w:r>
      <w:r w:rsidR="0081345A">
        <w:rPr>
          <w:rFonts w:ascii="Arial" w:hAnsi="Arial" w:cs="Arial"/>
          <w:sz w:val="24"/>
          <w:szCs w:val="24"/>
        </w:rPr>
        <w:t>s</w:t>
      </w:r>
      <w:r w:rsidR="008F2F6B">
        <w:rPr>
          <w:rFonts w:ascii="Arial" w:hAnsi="Arial" w:cs="Arial"/>
          <w:sz w:val="24"/>
          <w:szCs w:val="24"/>
        </w:rPr>
        <w:t xml:space="preserve"> known </w:t>
      </w:r>
      <w:r w:rsidR="00050391">
        <w:rPr>
          <w:rFonts w:ascii="Arial" w:hAnsi="Arial" w:cs="Arial"/>
          <w:sz w:val="24"/>
          <w:szCs w:val="24"/>
        </w:rPr>
        <w:t xml:space="preserve">species differences in </w:t>
      </w:r>
      <w:r w:rsidR="00B90E1C">
        <w:rPr>
          <w:rFonts w:ascii="Arial" w:hAnsi="Arial" w:cs="Arial"/>
          <w:sz w:val="24"/>
          <w:szCs w:val="24"/>
        </w:rPr>
        <w:t>pathways of naphthalene metabolism</w:t>
      </w:r>
      <w:r w:rsidR="00F05097">
        <w:rPr>
          <w:rFonts w:ascii="Arial" w:hAnsi="Arial" w:cs="Arial"/>
          <w:sz w:val="24"/>
          <w:szCs w:val="24"/>
        </w:rPr>
        <w:t xml:space="preserve"> and</w:t>
      </w:r>
      <w:r w:rsidR="004F09E0">
        <w:rPr>
          <w:rFonts w:ascii="Arial" w:hAnsi="Arial" w:cs="Arial"/>
          <w:sz w:val="24"/>
          <w:szCs w:val="24"/>
        </w:rPr>
        <w:t xml:space="preserve"> </w:t>
      </w:r>
      <w:r w:rsidR="00F05097">
        <w:rPr>
          <w:rFonts w:ascii="Arial" w:hAnsi="Arial" w:cs="Arial"/>
          <w:sz w:val="24"/>
          <w:szCs w:val="24"/>
        </w:rPr>
        <w:t xml:space="preserve">the </w:t>
      </w:r>
      <w:r w:rsidR="008C022F">
        <w:rPr>
          <w:rFonts w:ascii="Arial" w:hAnsi="Arial" w:cs="Arial"/>
          <w:sz w:val="24"/>
          <w:szCs w:val="24"/>
        </w:rPr>
        <w:t>biochemical</w:t>
      </w:r>
      <w:r w:rsidR="004F09E0">
        <w:rPr>
          <w:rFonts w:ascii="Arial" w:hAnsi="Arial" w:cs="Arial"/>
          <w:sz w:val="24"/>
          <w:szCs w:val="24"/>
        </w:rPr>
        <w:t xml:space="preserve"> </w:t>
      </w:r>
      <w:r w:rsidR="00590904">
        <w:rPr>
          <w:rFonts w:ascii="Arial" w:hAnsi="Arial" w:cs="Arial"/>
          <w:sz w:val="24"/>
          <w:szCs w:val="24"/>
        </w:rPr>
        <w:t xml:space="preserve">reasons that </w:t>
      </w:r>
      <w:r w:rsidR="005B4B2C">
        <w:rPr>
          <w:rFonts w:ascii="Arial" w:hAnsi="Arial" w:cs="Arial"/>
          <w:sz w:val="24"/>
          <w:szCs w:val="24"/>
        </w:rPr>
        <w:t>underly tissue</w:t>
      </w:r>
      <w:r w:rsidR="00AD4808">
        <w:rPr>
          <w:rFonts w:ascii="Arial" w:hAnsi="Arial" w:cs="Arial"/>
          <w:sz w:val="24"/>
          <w:szCs w:val="24"/>
        </w:rPr>
        <w:t xml:space="preserve"> </w:t>
      </w:r>
      <w:r w:rsidR="007E1B33">
        <w:rPr>
          <w:rFonts w:ascii="Arial" w:hAnsi="Arial" w:cs="Arial"/>
          <w:sz w:val="24"/>
          <w:szCs w:val="24"/>
        </w:rPr>
        <w:t xml:space="preserve">susceptibility </w:t>
      </w:r>
      <w:r w:rsidR="005B4B2C">
        <w:rPr>
          <w:rFonts w:ascii="Arial" w:hAnsi="Arial" w:cs="Arial"/>
          <w:sz w:val="24"/>
          <w:szCs w:val="24"/>
        </w:rPr>
        <w:t xml:space="preserve">and species-specific carcinogenic responses </w:t>
      </w:r>
      <w:r w:rsidR="00AD4808">
        <w:rPr>
          <w:rFonts w:ascii="Arial" w:hAnsi="Arial" w:cs="Arial"/>
          <w:sz w:val="24"/>
          <w:szCs w:val="24"/>
        </w:rPr>
        <w:t xml:space="preserve">in rodents </w:t>
      </w:r>
      <w:r w:rsidR="005B4B2C">
        <w:rPr>
          <w:rFonts w:ascii="Arial" w:hAnsi="Arial" w:cs="Arial"/>
          <w:sz w:val="24"/>
          <w:szCs w:val="24"/>
        </w:rPr>
        <w:t xml:space="preserve">that are </w:t>
      </w:r>
      <w:r w:rsidR="00350455">
        <w:rPr>
          <w:rFonts w:ascii="Arial" w:hAnsi="Arial" w:cs="Arial"/>
          <w:sz w:val="24"/>
          <w:szCs w:val="24"/>
        </w:rPr>
        <w:t>considered in naphthalene risk assessments</w:t>
      </w:r>
      <w:r w:rsidR="00B90E1C">
        <w:rPr>
          <w:rFonts w:ascii="Arial" w:hAnsi="Arial" w:cs="Arial"/>
          <w:sz w:val="24"/>
          <w:szCs w:val="24"/>
        </w:rPr>
        <w:t>.</w:t>
      </w:r>
    </w:p>
    <w:p w14:paraId="078E8DA8" w14:textId="77777777" w:rsidR="00D76C8F" w:rsidRDefault="00D76C8F" w:rsidP="003C4E50">
      <w:pPr>
        <w:spacing w:after="0" w:line="480" w:lineRule="auto"/>
        <w:jc w:val="both"/>
        <w:rPr>
          <w:rFonts w:ascii="Arial" w:hAnsi="Arial" w:cs="Arial"/>
          <w:color w:val="000000" w:themeColor="text1"/>
          <w:sz w:val="24"/>
          <w:szCs w:val="24"/>
        </w:rPr>
      </w:pPr>
    </w:p>
    <w:p w14:paraId="1AA68F6A" w14:textId="101B546D" w:rsidR="00B90E1C" w:rsidRDefault="00B90E1C" w:rsidP="003C4E50">
      <w:pPr>
        <w:spacing w:after="0" w:line="480" w:lineRule="auto"/>
        <w:jc w:val="both"/>
        <w:rPr>
          <w:rFonts w:ascii="Arial" w:hAnsi="Arial" w:cs="Arial"/>
          <w:color w:val="000000" w:themeColor="text1"/>
          <w:sz w:val="24"/>
          <w:szCs w:val="24"/>
        </w:rPr>
      </w:pPr>
      <w:r w:rsidRPr="00F242C8">
        <w:rPr>
          <w:rFonts w:ascii="Arial" w:hAnsi="Arial" w:cs="Arial"/>
          <w:color w:val="000000" w:themeColor="text1"/>
          <w:sz w:val="24"/>
          <w:szCs w:val="24"/>
        </w:rPr>
        <w:t xml:space="preserve">Naphthalene </w:t>
      </w:r>
      <w:r w:rsidR="00155DEF" w:rsidRPr="00F242C8">
        <w:rPr>
          <w:rFonts w:ascii="Arial" w:hAnsi="Arial" w:cs="Arial"/>
          <w:color w:val="000000" w:themeColor="text1"/>
          <w:sz w:val="24"/>
          <w:szCs w:val="24"/>
        </w:rPr>
        <w:t>CYP450 metabolites are substrates for Phase II conjugation enzymes</w:t>
      </w:r>
      <w:r w:rsidR="00F400D7" w:rsidRPr="00F242C8">
        <w:rPr>
          <w:rFonts w:ascii="Arial" w:hAnsi="Arial" w:cs="Arial"/>
          <w:color w:val="000000" w:themeColor="text1"/>
          <w:sz w:val="24"/>
          <w:szCs w:val="24"/>
        </w:rPr>
        <w:t xml:space="preserve"> that </w:t>
      </w:r>
      <w:r w:rsidR="006D30B4" w:rsidRPr="00F242C8">
        <w:rPr>
          <w:rFonts w:ascii="Arial" w:hAnsi="Arial" w:cs="Arial"/>
          <w:color w:val="000000" w:themeColor="text1"/>
          <w:sz w:val="24"/>
          <w:szCs w:val="24"/>
        </w:rPr>
        <w:t>can eliminate the further bioactivation</w:t>
      </w:r>
      <w:r w:rsidR="003142FE" w:rsidRPr="00F242C8">
        <w:rPr>
          <w:rFonts w:ascii="Arial" w:hAnsi="Arial" w:cs="Arial"/>
          <w:color w:val="000000" w:themeColor="text1"/>
          <w:sz w:val="24"/>
          <w:szCs w:val="24"/>
        </w:rPr>
        <w:t xml:space="preserve"> of phenols</w:t>
      </w:r>
      <w:r w:rsidR="006D30B4" w:rsidRPr="00F242C8">
        <w:rPr>
          <w:rFonts w:ascii="Arial" w:hAnsi="Arial" w:cs="Arial"/>
          <w:color w:val="000000" w:themeColor="text1"/>
          <w:sz w:val="24"/>
          <w:szCs w:val="24"/>
        </w:rPr>
        <w:t xml:space="preserve"> to </w:t>
      </w:r>
      <w:r w:rsidR="00274D8B" w:rsidRPr="00F242C8">
        <w:rPr>
          <w:rFonts w:ascii="Arial" w:hAnsi="Arial" w:cs="Arial"/>
          <w:color w:val="000000" w:themeColor="text1"/>
          <w:sz w:val="24"/>
          <w:szCs w:val="24"/>
        </w:rPr>
        <w:t xml:space="preserve">reactive oxygen producing </w:t>
      </w:r>
      <w:r w:rsidR="00F30972" w:rsidRPr="00F242C8">
        <w:rPr>
          <w:rFonts w:ascii="Arial" w:hAnsi="Arial" w:cs="Arial"/>
          <w:color w:val="000000" w:themeColor="text1"/>
          <w:sz w:val="24"/>
          <w:szCs w:val="24"/>
        </w:rPr>
        <w:t>quinone</w:t>
      </w:r>
      <w:r w:rsidR="003142FE" w:rsidRPr="00F242C8">
        <w:rPr>
          <w:rFonts w:ascii="Arial" w:hAnsi="Arial" w:cs="Arial"/>
          <w:color w:val="000000" w:themeColor="text1"/>
          <w:sz w:val="24"/>
          <w:szCs w:val="24"/>
        </w:rPr>
        <w:t>s</w:t>
      </w:r>
      <w:r w:rsidR="00E45DA6">
        <w:rPr>
          <w:rFonts w:ascii="Arial" w:hAnsi="Arial" w:cs="Arial"/>
          <w:color w:val="000000" w:themeColor="text1"/>
          <w:sz w:val="24"/>
          <w:szCs w:val="24"/>
        </w:rPr>
        <w:t xml:space="preserve">, </w:t>
      </w:r>
      <w:r w:rsidR="003142FE" w:rsidRPr="00F242C8">
        <w:rPr>
          <w:rFonts w:ascii="Arial" w:hAnsi="Arial" w:cs="Arial"/>
          <w:color w:val="000000" w:themeColor="text1"/>
          <w:sz w:val="24"/>
          <w:szCs w:val="24"/>
        </w:rPr>
        <w:t>pre</w:t>
      </w:r>
      <w:r w:rsidR="00AF6B53" w:rsidRPr="00F242C8">
        <w:rPr>
          <w:rFonts w:ascii="Arial" w:hAnsi="Arial" w:cs="Arial"/>
          <w:color w:val="000000" w:themeColor="text1"/>
          <w:sz w:val="24"/>
          <w:szCs w:val="24"/>
        </w:rPr>
        <w:t xml:space="preserve">vent covalent binding to macromolecules by </w:t>
      </w:r>
      <w:r w:rsidR="00B91388">
        <w:rPr>
          <w:rFonts w:ascii="Arial" w:hAnsi="Arial" w:cs="Arial"/>
          <w:color w:val="000000" w:themeColor="text1"/>
          <w:sz w:val="24"/>
          <w:szCs w:val="24"/>
        </w:rPr>
        <w:t xml:space="preserve">naphthalene </w:t>
      </w:r>
      <w:r w:rsidR="00F30972" w:rsidRPr="00F242C8">
        <w:rPr>
          <w:rFonts w:ascii="Arial" w:hAnsi="Arial" w:cs="Arial"/>
          <w:color w:val="000000" w:themeColor="text1"/>
          <w:sz w:val="24"/>
          <w:szCs w:val="24"/>
        </w:rPr>
        <w:t>epoxide</w:t>
      </w:r>
      <w:r w:rsidR="00B91388">
        <w:rPr>
          <w:rFonts w:ascii="Arial" w:hAnsi="Arial" w:cs="Arial"/>
          <w:color w:val="000000" w:themeColor="text1"/>
          <w:sz w:val="24"/>
          <w:szCs w:val="24"/>
        </w:rPr>
        <w:t xml:space="preserve"> metabolites</w:t>
      </w:r>
      <w:r w:rsidR="00E45DA6">
        <w:rPr>
          <w:rFonts w:ascii="Arial" w:hAnsi="Arial" w:cs="Arial"/>
          <w:color w:val="000000" w:themeColor="text1"/>
          <w:sz w:val="24"/>
          <w:szCs w:val="24"/>
        </w:rPr>
        <w:t xml:space="preserve"> and eliminate reactive oxygen species</w:t>
      </w:r>
      <w:r w:rsidR="00DE3EFD" w:rsidRPr="00F242C8">
        <w:rPr>
          <w:rFonts w:ascii="Arial" w:hAnsi="Arial" w:cs="Arial"/>
          <w:color w:val="000000" w:themeColor="text1"/>
          <w:sz w:val="24"/>
          <w:szCs w:val="24"/>
        </w:rPr>
        <w:t xml:space="preserve">. </w:t>
      </w:r>
      <w:r w:rsidR="00BA1D0B" w:rsidRPr="00F242C8">
        <w:rPr>
          <w:rFonts w:ascii="Arial" w:hAnsi="Arial" w:cs="Arial"/>
          <w:color w:val="000000" w:themeColor="text1"/>
          <w:sz w:val="24"/>
          <w:szCs w:val="24"/>
        </w:rPr>
        <w:t>Phase</w:t>
      </w:r>
      <w:r w:rsidR="00BD16A4">
        <w:rPr>
          <w:rFonts w:ascii="Arial" w:hAnsi="Arial" w:cs="Arial"/>
          <w:color w:val="000000" w:themeColor="text1"/>
          <w:sz w:val="24"/>
          <w:szCs w:val="24"/>
        </w:rPr>
        <w:t xml:space="preserve"> II enzymes </w:t>
      </w:r>
      <w:r w:rsidR="00311817">
        <w:rPr>
          <w:rFonts w:ascii="Arial" w:hAnsi="Arial" w:cs="Arial"/>
          <w:color w:val="000000" w:themeColor="text1"/>
          <w:sz w:val="24"/>
          <w:szCs w:val="24"/>
        </w:rPr>
        <w:t>produce</w:t>
      </w:r>
      <w:r w:rsidR="00BD16A4">
        <w:rPr>
          <w:rFonts w:ascii="Arial" w:hAnsi="Arial" w:cs="Arial"/>
          <w:color w:val="000000" w:themeColor="text1"/>
          <w:sz w:val="24"/>
          <w:szCs w:val="24"/>
        </w:rPr>
        <w:t xml:space="preserve"> water soluble glutathione</w:t>
      </w:r>
      <w:r w:rsidR="00DC1CED">
        <w:rPr>
          <w:rFonts w:ascii="Arial" w:hAnsi="Arial" w:cs="Arial"/>
          <w:color w:val="000000" w:themeColor="text1"/>
          <w:sz w:val="24"/>
          <w:szCs w:val="24"/>
        </w:rPr>
        <w:t xml:space="preserve">, sulfate, and glucuronide conjugates of naphthalene </w:t>
      </w:r>
      <w:r w:rsidR="003D56D0">
        <w:rPr>
          <w:rFonts w:ascii="Arial" w:hAnsi="Arial" w:cs="Arial"/>
          <w:color w:val="000000" w:themeColor="text1"/>
          <w:sz w:val="24"/>
          <w:szCs w:val="24"/>
        </w:rPr>
        <w:t xml:space="preserve">metabolites </w:t>
      </w:r>
      <w:r w:rsidR="00886555">
        <w:rPr>
          <w:rFonts w:ascii="Arial" w:hAnsi="Arial" w:cs="Arial"/>
          <w:color w:val="000000" w:themeColor="text1"/>
          <w:sz w:val="24"/>
          <w:szCs w:val="24"/>
        </w:rPr>
        <w:t>are recognized by transporter</w:t>
      </w:r>
      <w:r w:rsidR="00F60F26">
        <w:rPr>
          <w:rFonts w:ascii="Arial" w:hAnsi="Arial" w:cs="Arial"/>
          <w:color w:val="000000" w:themeColor="text1"/>
          <w:sz w:val="24"/>
          <w:szCs w:val="24"/>
        </w:rPr>
        <w:t xml:space="preserve"> enzymes </w:t>
      </w:r>
      <w:r w:rsidR="00345A46">
        <w:rPr>
          <w:rFonts w:ascii="Arial" w:hAnsi="Arial" w:cs="Arial"/>
          <w:color w:val="000000" w:themeColor="text1"/>
          <w:sz w:val="24"/>
          <w:szCs w:val="24"/>
        </w:rPr>
        <w:t xml:space="preserve">for export </w:t>
      </w:r>
      <w:r w:rsidR="00F60F26">
        <w:rPr>
          <w:rFonts w:ascii="Arial" w:hAnsi="Arial" w:cs="Arial"/>
          <w:color w:val="000000" w:themeColor="text1"/>
          <w:sz w:val="24"/>
          <w:szCs w:val="24"/>
        </w:rPr>
        <w:t xml:space="preserve">out of tissues </w:t>
      </w:r>
      <w:r w:rsidR="00655413">
        <w:rPr>
          <w:rFonts w:ascii="Arial" w:hAnsi="Arial" w:cs="Arial"/>
          <w:color w:val="000000" w:themeColor="text1"/>
          <w:sz w:val="24"/>
          <w:szCs w:val="24"/>
        </w:rPr>
        <w:t>and</w:t>
      </w:r>
      <w:r w:rsidR="00F60F26">
        <w:rPr>
          <w:rFonts w:ascii="Arial" w:hAnsi="Arial" w:cs="Arial"/>
          <w:color w:val="000000" w:themeColor="text1"/>
          <w:sz w:val="24"/>
          <w:szCs w:val="24"/>
        </w:rPr>
        <w:t xml:space="preserve"> elimination</w:t>
      </w:r>
      <w:r w:rsidR="00370437">
        <w:rPr>
          <w:rFonts w:ascii="Arial" w:hAnsi="Arial" w:cs="Arial"/>
          <w:color w:val="000000" w:themeColor="text1"/>
          <w:sz w:val="24"/>
          <w:szCs w:val="24"/>
        </w:rPr>
        <w:t xml:space="preserve"> from the body. Phase II enzymes </w:t>
      </w:r>
      <w:r w:rsidR="00DC1F85" w:rsidRPr="00F242C8">
        <w:rPr>
          <w:rFonts w:ascii="Arial" w:hAnsi="Arial" w:cs="Arial"/>
          <w:color w:val="000000" w:themeColor="text1"/>
          <w:sz w:val="24"/>
          <w:szCs w:val="24"/>
        </w:rPr>
        <w:t>participate in</w:t>
      </w:r>
      <w:r w:rsidR="00F242C8" w:rsidRPr="00F242C8">
        <w:rPr>
          <w:rFonts w:ascii="Arial" w:hAnsi="Arial" w:cs="Arial"/>
          <w:color w:val="000000" w:themeColor="text1"/>
          <w:sz w:val="24"/>
          <w:szCs w:val="24"/>
        </w:rPr>
        <w:t xml:space="preserve"> the detoxication</w:t>
      </w:r>
      <w:r w:rsidR="001730FE">
        <w:rPr>
          <w:rFonts w:ascii="Arial" w:hAnsi="Arial" w:cs="Arial"/>
          <w:color w:val="000000" w:themeColor="text1"/>
          <w:sz w:val="24"/>
          <w:szCs w:val="24"/>
        </w:rPr>
        <w:t xml:space="preserve"> and elimination </w:t>
      </w:r>
      <w:r w:rsidR="001730FE" w:rsidRPr="00F242C8">
        <w:rPr>
          <w:rFonts w:ascii="Arial" w:hAnsi="Arial" w:cs="Arial"/>
          <w:color w:val="000000" w:themeColor="text1"/>
          <w:sz w:val="24"/>
          <w:szCs w:val="24"/>
        </w:rPr>
        <w:t xml:space="preserve">of naphthalene </w:t>
      </w:r>
      <w:r w:rsidR="00F242C8" w:rsidRPr="00F242C8">
        <w:rPr>
          <w:rFonts w:ascii="Arial" w:hAnsi="Arial" w:cs="Arial"/>
          <w:color w:val="000000" w:themeColor="text1"/>
          <w:sz w:val="24"/>
          <w:szCs w:val="24"/>
        </w:rPr>
        <w:t xml:space="preserve">with </w:t>
      </w:r>
      <w:r w:rsidR="00F242C8" w:rsidRPr="00F242C8">
        <w:rPr>
          <w:rFonts w:ascii="Arial" w:hAnsi="Arial" w:cs="Arial"/>
          <w:color w:val="000000" w:themeColor="text1"/>
          <w:sz w:val="24"/>
          <w:szCs w:val="24"/>
          <w:shd w:val="clear" w:color="auto" w:fill="FFFFFF"/>
        </w:rPr>
        <w:t>glutathione-derived metabolites</w:t>
      </w:r>
      <w:r w:rsidR="00A03C7C">
        <w:rPr>
          <w:rFonts w:ascii="Arial" w:hAnsi="Arial" w:cs="Arial"/>
          <w:color w:val="000000" w:themeColor="text1"/>
          <w:sz w:val="24"/>
          <w:szCs w:val="24"/>
          <w:shd w:val="clear" w:color="auto" w:fill="FFFFFF"/>
        </w:rPr>
        <w:t xml:space="preserve"> </w:t>
      </w:r>
      <w:r w:rsidR="00F242C8" w:rsidRPr="00F242C8">
        <w:rPr>
          <w:rFonts w:ascii="Arial" w:hAnsi="Arial" w:cs="Arial"/>
          <w:color w:val="000000" w:themeColor="text1"/>
          <w:sz w:val="24"/>
          <w:szCs w:val="24"/>
          <w:shd w:val="clear" w:color="auto" w:fill="FFFFFF"/>
        </w:rPr>
        <w:t>account</w:t>
      </w:r>
      <w:r w:rsidR="00C272EB">
        <w:rPr>
          <w:rFonts w:ascii="Arial" w:hAnsi="Arial" w:cs="Arial"/>
          <w:color w:val="000000" w:themeColor="text1"/>
          <w:sz w:val="24"/>
          <w:szCs w:val="24"/>
          <w:shd w:val="clear" w:color="auto" w:fill="FFFFFF"/>
        </w:rPr>
        <w:t>ing</w:t>
      </w:r>
      <w:r w:rsidR="00F242C8" w:rsidRPr="00F242C8">
        <w:rPr>
          <w:rFonts w:ascii="Arial" w:hAnsi="Arial" w:cs="Arial"/>
          <w:color w:val="000000" w:themeColor="text1"/>
          <w:sz w:val="24"/>
          <w:szCs w:val="24"/>
          <w:shd w:val="clear" w:color="auto" w:fill="FFFFFF"/>
        </w:rPr>
        <w:t xml:space="preserve"> for 60-70% of the total measured metabolites</w:t>
      </w:r>
      <w:r w:rsidR="008A6BF6">
        <w:rPr>
          <w:rFonts w:ascii="Arial" w:hAnsi="Arial" w:cs="Arial"/>
          <w:color w:val="000000" w:themeColor="text1"/>
          <w:sz w:val="24"/>
          <w:szCs w:val="24"/>
          <w:shd w:val="clear" w:color="auto" w:fill="FFFFFF"/>
        </w:rPr>
        <w:t xml:space="preserve"> </w:t>
      </w:r>
      <w:r w:rsidR="00A603A0">
        <w:rPr>
          <w:rFonts w:ascii="Arial" w:hAnsi="Arial" w:cs="Arial"/>
          <w:color w:val="000000" w:themeColor="text1"/>
          <w:sz w:val="24"/>
          <w:szCs w:val="24"/>
          <w:shd w:val="clear" w:color="auto" w:fill="FFFFFF"/>
        </w:rPr>
        <w:t xml:space="preserve">excreted in urine </w:t>
      </w:r>
      <w:r w:rsidR="008A6BF6">
        <w:rPr>
          <w:rFonts w:ascii="Arial" w:hAnsi="Arial" w:cs="Arial"/>
          <w:color w:val="000000" w:themeColor="text1"/>
          <w:sz w:val="24"/>
          <w:szCs w:val="24"/>
          <w:shd w:val="clear" w:color="auto" w:fill="FFFFFF"/>
        </w:rPr>
        <w:t xml:space="preserve">with </w:t>
      </w:r>
      <w:r w:rsidR="00F242C8" w:rsidRPr="00F242C8">
        <w:rPr>
          <w:rFonts w:ascii="Arial" w:hAnsi="Arial" w:cs="Arial"/>
          <w:color w:val="000000" w:themeColor="text1"/>
          <w:sz w:val="24"/>
          <w:szCs w:val="24"/>
          <w:shd w:val="clear" w:color="auto" w:fill="FFFFFF"/>
        </w:rPr>
        <w:t>sulfate and glucuronide conjugates eliminated in equal amounts</w:t>
      </w:r>
      <w:r w:rsidR="003269F2">
        <w:rPr>
          <w:rFonts w:ascii="Arial" w:hAnsi="Arial" w:cs="Arial"/>
          <w:color w:val="000000" w:themeColor="text1"/>
          <w:sz w:val="24"/>
          <w:szCs w:val="24"/>
          <w:shd w:val="clear" w:color="auto" w:fill="FFFFFF"/>
        </w:rPr>
        <w:t xml:space="preserve"> from mice exposed to </w:t>
      </w:r>
      <w:r w:rsidR="001F5D91">
        <w:rPr>
          <w:rFonts w:ascii="Arial" w:hAnsi="Arial" w:cs="Arial"/>
          <w:color w:val="000000" w:themeColor="text1"/>
          <w:sz w:val="24"/>
          <w:szCs w:val="24"/>
          <w:shd w:val="clear" w:color="auto" w:fill="FFFFFF"/>
        </w:rPr>
        <w:t>inhaled naphthalene (Ayala et al., 2016)</w:t>
      </w:r>
      <w:r w:rsidR="00704BF7" w:rsidRPr="00F242C8">
        <w:rPr>
          <w:rFonts w:ascii="Arial" w:hAnsi="Arial" w:cs="Arial"/>
          <w:color w:val="000000" w:themeColor="text1"/>
          <w:sz w:val="24"/>
          <w:szCs w:val="24"/>
          <w:shd w:val="clear" w:color="auto" w:fill="FFFFFF"/>
        </w:rPr>
        <w:t>.</w:t>
      </w:r>
      <w:r w:rsidR="00704BF7">
        <w:rPr>
          <w:rFonts w:ascii="Arial" w:hAnsi="Arial" w:cs="Arial"/>
          <w:color w:val="000000" w:themeColor="text1"/>
          <w:sz w:val="24"/>
          <w:szCs w:val="24"/>
          <w:shd w:val="clear" w:color="auto" w:fill="FFFFFF"/>
        </w:rPr>
        <w:t xml:space="preserve"> </w:t>
      </w:r>
      <w:r w:rsidR="00643FE7">
        <w:rPr>
          <w:rFonts w:ascii="Arial" w:hAnsi="Arial" w:cs="Arial"/>
          <w:color w:val="000000" w:themeColor="text1"/>
          <w:sz w:val="24"/>
          <w:szCs w:val="24"/>
        </w:rPr>
        <w:t>These Phase II metabolites are the primary metabolites ex</w:t>
      </w:r>
      <w:r w:rsidR="0059344B">
        <w:rPr>
          <w:rFonts w:ascii="Arial" w:hAnsi="Arial" w:cs="Arial"/>
          <w:color w:val="000000" w:themeColor="text1"/>
          <w:sz w:val="24"/>
          <w:szCs w:val="24"/>
        </w:rPr>
        <w:t>creted in urine from human</w:t>
      </w:r>
      <w:r w:rsidR="002F5863">
        <w:rPr>
          <w:rFonts w:ascii="Arial" w:hAnsi="Arial" w:cs="Arial"/>
          <w:color w:val="000000" w:themeColor="text1"/>
          <w:sz w:val="24"/>
          <w:szCs w:val="24"/>
        </w:rPr>
        <w:t>s</w:t>
      </w:r>
      <w:r w:rsidR="00D503C2">
        <w:rPr>
          <w:rFonts w:ascii="Arial" w:hAnsi="Arial" w:cs="Arial"/>
          <w:color w:val="000000" w:themeColor="text1"/>
          <w:sz w:val="24"/>
          <w:szCs w:val="24"/>
        </w:rPr>
        <w:t xml:space="preserve"> and can be used to biomonitor human exposure to naphthalene.</w:t>
      </w:r>
      <w:r w:rsidR="0059344B">
        <w:rPr>
          <w:rFonts w:ascii="Arial" w:hAnsi="Arial" w:cs="Arial"/>
          <w:color w:val="000000" w:themeColor="text1"/>
          <w:sz w:val="24"/>
          <w:szCs w:val="24"/>
        </w:rPr>
        <w:t xml:space="preserve"> </w:t>
      </w:r>
      <w:r w:rsidR="00A603A0">
        <w:rPr>
          <w:rFonts w:ascii="Arial" w:hAnsi="Arial" w:cs="Arial"/>
          <w:color w:val="000000" w:themeColor="text1"/>
          <w:sz w:val="24"/>
          <w:szCs w:val="24"/>
        </w:rPr>
        <w:t xml:space="preserve">Depletion of </w:t>
      </w:r>
      <w:r w:rsidR="00967047">
        <w:rPr>
          <w:rFonts w:ascii="Arial" w:hAnsi="Arial" w:cs="Arial"/>
          <w:color w:val="000000" w:themeColor="text1"/>
          <w:sz w:val="24"/>
          <w:szCs w:val="24"/>
        </w:rPr>
        <w:t xml:space="preserve">glutathione is a major determinant of </w:t>
      </w:r>
      <w:r w:rsidR="00892EE2">
        <w:rPr>
          <w:rFonts w:ascii="Arial" w:hAnsi="Arial" w:cs="Arial"/>
          <w:color w:val="000000" w:themeColor="text1"/>
          <w:sz w:val="24"/>
          <w:szCs w:val="24"/>
        </w:rPr>
        <w:t xml:space="preserve">naphthalene cytotoxicity </w:t>
      </w:r>
      <w:r w:rsidR="001F2B2D">
        <w:rPr>
          <w:rFonts w:ascii="Arial" w:hAnsi="Arial" w:cs="Arial"/>
          <w:color w:val="000000" w:themeColor="text1"/>
          <w:sz w:val="24"/>
          <w:szCs w:val="24"/>
        </w:rPr>
        <w:t>that parallels loss of viability in human hepatocytes (Kedderis et al., 2014). I</w:t>
      </w:r>
      <w:r w:rsidR="00421F54">
        <w:rPr>
          <w:rFonts w:ascii="Arial" w:hAnsi="Arial" w:cs="Arial"/>
          <w:color w:val="000000" w:themeColor="text1"/>
          <w:sz w:val="24"/>
          <w:szCs w:val="24"/>
        </w:rPr>
        <w:t xml:space="preserve">nhibition of </w:t>
      </w:r>
      <w:r w:rsidR="008A10D8">
        <w:rPr>
          <w:rFonts w:ascii="Arial" w:hAnsi="Arial" w:cs="Arial"/>
          <w:color w:val="000000" w:themeColor="text1"/>
          <w:sz w:val="24"/>
          <w:szCs w:val="24"/>
        </w:rPr>
        <w:t>sulfation and glucuronidation</w:t>
      </w:r>
      <w:r w:rsidR="00787C74">
        <w:rPr>
          <w:rFonts w:ascii="Arial" w:hAnsi="Arial" w:cs="Arial"/>
          <w:color w:val="000000" w:themeColor="text1"/>
          <w:sz w:val="24"/>
          <w:szCs w:val="24"/>
        </w:rPr>
        <w:t xml:space="preserve"> in</w:t>
      </w:r>
      <w:r w:rsidR="008A10D8">
        <w:rPr>
          <w:rFonts w:ascii="Arial" w:hAnsi="Arial" w:cs="Arial"/>
          <w:color w:val="000000" w:themeColor="text1"/>
          <w:sz w:val="24"/>
          <w:szCs w:val="24"/>
        </w:rPr>
        <w:t xml:space="preserve"> hepatocytes causes </w:t>
      </w:r>
      <w:r w:rsidR="00617924">
        <w:rPr>
          <w:rFonts w:ascii="Arial" w:hAnsi="Arial" w:cs="Arial"/>
          <w:color w:val="000000" w:themeColor="text1"/>
          <w:sz w:val="24"/>
          <w:szCs w:val="24"/>
        </w:rPr>
        <w:t xml:space="preserve">10-fold increases in </w:t>
      </w:r>
      <w:r w:rsidR="004F0E43">
        <w:rPr>
          <w:rFonts w:ascii="Arial" w:hAnsi="Arial" w:cs="Arial"/>
          <w:color w:val="000000" w:themeColor="text1"/>
          <w:sz w:val="24"/>
          <w:szCs w:val="24"/>
        </w:rPr>
        <w:t xml:space="preserve">naphthalene </w:t>
      </w:r>
      <w:r w:rsidR="00617924">
        <w:rPr>
          <w:rFonts w:ascii="Arial" w:hAnsi="Arial" w:cs="Arial"/>
          <w:color w:val="000000" w:themeColor="text1"/>
          <w:sz w:val="24"/>
          <w:szCs w:val="24"/>
        </w:rPr>
        <w:t>covalent binding</w:t>
      </w:r>
      <w:r w:rsidR="00183CDC">
        <w:rPr>
          <w:rFonts w:ascii="Arial" w:hAnsi="Arial" w:cs="Arial"/>
          <w:color w:val="000000" w:themeColor="text1"/>
          <w:sz w:val="24"/>
          <w:szCs w:val="24"/>
        </w:rPr>
        <w:t xml:space="preserve"> (</w:t>
      </w:r>
      <w:r w:rsidR="00183CDC" w:rsidRPr="00F528DC">
        <w:rPr>
          <w:rFonts w:ascii="Arial" w:eastAsia="Calibri" w:hAnsi="Arial" w:cs="Arial"/>
          <w:color w:val="000000"/>
          <w:sz w:val="24"/>
          <w:szCs w:val="24"/>
        </w:rPr>
        <w:t>Schwarz</w:t>
      </w:r>
      <w:r w:rsidR="00183CDC">
        <w:rPr>
          <w:rFonts w:ascii="Arial" w:eastAsia="Calibri" w:hAnsi="Arial" w:cs="Arial"/>
          <w:color w:val="000000"/>
          <w:sz w:val="24"/>
          <w:szCs w:val="24"/>
        </w:rPr>
        <w:t xml:space="preserve"> et al. 19</w:t>
      </w:r>
      <w:r w:rsidR="009971F7">
        <w:rPr>
          <w:rFonts w:ascii="Arial" w:eastAsia="Calibri" w:hAnsi="Arial" w:cs="Arial"/>
          <w:color w:val="000000"/>
          <w:sz w:val="24"/>
          <w:szCs w:val="24"/>
        </w:rPr>
        <w:t>80)</w:t>
      </w:r>
      <w:r w:rsidR="00617924">
        <w:rPr>
          <w:rFonts w:ascii="Arial" w:hAnsi="Arial" w:cs="Arial"/>
          <w:color w:val="000000" w:themeColor="text1"/>
          <w:sz w:val="24"/>
          <w:szCs w:val="24"/>
        </w:rPr>
        <w:t xml:space="preserve">, indicating </w:t>
      </w:r>
      <w:r w:rsidR="003F08CE">
        <w:rPr>
          <w:rFonts w:ascii="Arial" w:hAnsi="Arial" w:cs="Arial"/>
          <w:color w:val="000000" w:themeColor="text1"/>
          <w:sz w:val="24"/>
          <w:szCs w:val="24"/>
        </w:rPr>
        <w:t>that all three of the primary Phase II enzyme</w:t>
      </w:r>
      <w:r w:rsidR="003C0ACC">
        <w:rPr>
          <w:rFonts w:ascii="Arial" w:hAnsi="Arial" w:cs="Arial"/>
          <w:color w:val="000000" w:themeColor="text1"/>
          <w:sz w:val="24"/>
          <w:szCs w:val="24"/>
        </w:rPr>
        <w:t xml:space="preserve"> pathways </w:t>
      </w:r>
      <w:r w:rsidR="00A10451">
        <w:rPr>
          <w:rFonts w:ascii="Arial" w:hAnsi="Arial" w:cs="Arial"/>
          <w:color w:val="000000" w:themeColor="text1"/>
          <w:sz w:val="24"/>
          <w:szCs w:val="24"/>
        </w:rPr>
        <w:t xml:space="preserve">operate in concert to </w:t>
      </w:r>
      <w:r w:rsidR="00C71DAC">
        <w:rPr>
          <w:rFonts w:ascii="Arial" w:hAnsi="Arial" w:cs="Arial"/>
          <w:color w:val="000000" w:themeColor="text1"/>
          <w:sz w:val="24"/>
          <w:szCs w:val="24"/>
        </w:rPr>
        <w:t>eliminate</w:t>
      </w:r>
      <w:r w:rsidR="00A10451">
        <w:rPr>
          <w:rFonts w:ascii="Arial" w:hAnsi="Arial" w:cs="Arial"/>
          <w:color w:val="000000" w:themeColor="text1"/>
          <w:sz w:val="24"/>
          <w:szCs w:val="24"/>
        </w:rPr>
        <w:t xml:space="preserve"> </w:t>
      </w:r>
      <w:r w:rsidR="003C0ACC">
        <w:rPr>
          <w:rFonts w:ascii="Arial" w:hAnsi="Arial" w:cs="Arial"/>
          <w:color w:val="000000" w:themeColor="text1"/>
          <w:sz w:val="24"/>
          <w:szCs w:val="24"/>
        </w:rPr>
        <w:t xml:space="preserve">naphthalene </w:t>
      </w:r>
      <w:r w:rsidR="00A00EC1">
        <w:rPr>
          <w:rFonts w:ascii="Arial" w:hAnsi="Arial" w:cs="Arial"/>
          <w:color w:val="000000" w:themeColor="text1"/>
          <w:sz w:val="24"/>
          <w:szCs w:val="24"/>
        </w:rPr>
        <w:t>reactive metabolites</w:t>
      </w:r>
      <w:r w:rsidR="00897F12">
        <w:rPr>
          <w:rFonts w:ascii="Arial" w:hAnsi="Arial" w:cs="Arial"/>
          <w:color w:val="000000" w:themeColor="text1"/>
          <w:sz w:val="24"/>
          <w:szCs w:val="24"/>
        </w:rPr>
        <w:t xml:space="preserve">. Phase II enzymes have a key role in </w:t>
      </w:r>
      <w:r w:rsidR="001C7636">
        <w:rPr>
          <w:rFonts w:ascii="Arial" w:hAnsi="Arial" w:cs="Arial"/>
          <w:color w:val="000000" w:themeColor="text1"/>
          <w:sz w:val="24"/>
          <w:szCs w:val="24"/>
        </w:rPr>
        <w:t xml:space="preserve">determining </w:t>
      </w:r>
      <w:r w:rsidR="002E4CBB">
        <w:rPr>
          <w:rFonts w:ascii="Arial" w:hAnsi="Arial" w:cs="Arial"/>
          <w:color w:val="000000" w:themeColor="text1"/>
          <w:sz w:val="24"/>
          <w:szCs w:val="24"/>
        </w:rPr>
        <w:t>nontarget</w:t>
      </w:r>
      <w:r w:rsidR="00F31091">
        <w:rPr>
          <w:rFonts w:ascii="Arial" w:hAnsi="Arial" w:cs="Arial"/>
          <w:color w:val="000000" w:themeColor="text1"/>
          <w:sz w:val="24"/>
          <w:szCs w:val="24"/>
        </w:rPr>
        <w:t>/</w:t>
      </w:r>
      <w:r w:rsidR="001C7636">
        <w:rPr>
          <w:rFonts w:ascii="Arial" w:hAnsi="Arial" w:cs="Arial"/>
          <w:color w:val="000000" w:themeColor="text1"/>
          <w:sz w:val="24"/>
          <w:szCs w:val="24"/>
        </w:rPr>
        <w:t>target</w:t>
      </w:r>
      <w:r w:rsidR="00F31091">
        <w:rPr>
          <w:rFonts w:ascii="Arial" w:hAnsi="Arial" w:cs="Arial"/>
          <w:color w:val="000000" w:themeColor="text1"/>
          <w:sz w:val="24"/>
          <w:szCs w:val="24"/>
        </w:rPr>
        <w:t xml:space="preserve"> </w:t>
      </w:r>
      <w:r w:rsidR="001C7636">
        <w:rPr>
          <w:rFonts w:ascii="Arial" w:hAnsi="Arial" w:cs="Arial"/>
          <w:color w:val="000000" w:themeColor="text1"/>
          <w:sz w:val="24"/>
          <w:szCs w:val="24"/>
        </w:rPr>
        <w:t xml:space="preserve">tissue </w:t>
      </w:r>
      <w:r w:rsidR="00F31091">
        <w:rPr>
          <w:rFonts w:ascii="Arial" w:hAnsi="Arial" w:cs="Arial"/>
          <w:color w:val="000000" w:themeColor="text1"/>
          <w:sz w:val="24"/>
          <w:szCs w:val="24"/>
        </w:rPr>
        <w:t xml:space="preserve">and species </w:t>
      </w:r>
      <w:r w:rsidR="001C7636">
        <w:rPr>
          <w:rFonts w:ascii="Arial" w:hAnsi="Arial" w:cs="Arial"/>
          <w:color w:val="000000" w:themeColor="text1"/>
          <w:sz w:val="24"/>
          <w:szCs w:val="24"/>
        </w:rPr>
        <w:t>specificity</w:t>
      </w:r>
      <w:r w:rsidR="002E4CBB">
        <w:rPr>
          <w:rFonts w:ascii="Arial" w:hAnsi="Arial" w:cs="Arial"/>
          <w:color w:val="000000" w:themeColor="text1"/>
          <w:sz w:val="24"/>
          <w:szCs w:val="24"/>
        </w:rPr>
        <w:t xml:space="preserve"> </w:t>
      </w:r>
      <w:r w:rsidR="00F31091">
        <w:rPr>
          <w:rFonts w:ascii="Arial" w:hAnsi="Arial" w:cs="Arial"/>
          <w:color w:val="000000" w:themeColor="text1"/>
          <w:sz w:val="24"/>
          <w:szCs w:val="24"/>
        </w:rPr>
        <w:t xml:space="preserve">of adverse outcomes </w:t>
      </w:r>
      <w:r w:rsidR="002E4CBB">
        <w:rPr>
          <w:rFonts w:ascii="Arial" w:hAnsi="Arial" w:cs="Arial"/>
          <w:color w:val="000000" w:themeColor="text1"/>
          <w:sz w:val="24"/>
          <w:szCs w:val="24"/>
        </w:rPr>
        <w:t>from inhaled naphthalene.</w:t>
      </w:r>
      <w:r w:rsidR="001C7636">
        <w:rPr>
          <w:rFonts w:ascii="Arial" w:hAnsi="Arial" w:cs="Arial"/>
          <w:color w:val="000000" w:themeColor="text1"/>
          <w:sz w:val="24"/>
          <w:szCs w:val="24"/>
        </w:rPr>
        <w:t xml:space="preserve"> </w:t>
      </w:r>
    </w:p>
    <w:p w14:paraId="5095B961" w14:textId="77777777" w:rsidR="001C7636" w:rsidRPr="00F242C8" w:rsidRDefault="001C7636" w:rsidP="003C4E50">
      <w:pPr>
        <w:spacing w:after="0" w:line="480" w:lineRule="auto"/>
        <w:jc w:val="both"/>
        <w:rPr>
          <w:rFonts w:ascii="Arial" w:hAnsi="Arial" w:cs="Arial"/>
          <w:color w:val="000000" w:themeColor="text1"/>
          <w:sz w:val="24"/>
          <w:szCs w:val="24"/>
        </w:rPr>
      </w:pPr>
    </w:p>
    <w:p w14:paraId="55F408E9" w14:textId="5AC12B46" w:rsidR="00742496" w:rsidRPr="00ED6A53" w:rsidRDefault="00134723" w:rsidP="003C4E50">
      <w:pPr>
        <w:spacing w:after="0" w:line="480" w:lineRule="auto"/>
        <w:jc w:val="both"/>
        <w:rPr>
          <w:rFonts w:ascii="Arial" w:hAnsi="Arial" w:cs="Arial"/>
          <w:sz w:val="24"/>
          <w:szCs w:val="24"/>
        </w:rPr>
      </w:pPr>
      <w:r w:rsidRPr="00ED6A53">
        <w:rPr>
          <w:rFonts w:ascii="Arial" w:hAnsi="Arial" w:cs="Arial"/>
          <w:sz w:val="24"/>
          <w:szCs w:val="24"/>
        </w:rPr>
        <w:t xml:space="preserve">Reviews on the genotoxicity of naphthalene have concluded that naphthalene is </w:t>
      </w:r>
      <w:r w:rsidRPr="00ED6A53">
        <w:rPr>
          <w:rFonts w:ascii="Arial" w:hAnsi="Arial" w:cs="Arial"/>
          <w:i/>
          <w:iCs/>
          <w:sz w:val="24"/>
          <w:szCs w:val="24"/>
        </w:rPr>
        <w:t>not mutagenic</w:t>
      </w:r>
      <w:r w:rsidRPr="00ED6A53">
        <w:rPr>
          <w:rFonts w:ascii="Arial" w:hAnsi="Arial" w:cs="Arial"/>
          <w:sz w:val="24"/>
          <w:szCs w:val="24"/>
        </w:rPr>
        <w:t xml:space="preserve"> in bacterial or mammalian cell culture systems and is not genotoxic </w:t>
      </w:r>
      <w:r w:rsidRPr="00ED6A53">
        <w:rPr>
          <w:rFonts w:ascii="Arial" w:hAnsi="Arial" w:cs="Arial"/>
          <w:i/>
          <w:iCs/>
          <w:sz w:val="24"/>
          <w:szCs w:val="24"/>
        </w:rPr>
        <w:t>in vivo</w:t>
      </w:r>
      <w:r w:rsidRPr="00ED6A53">
        <w:rPr>
          <w:rFonts w:ascii="Arial" w:hAnsi="Arial" w:cs="Arial"/>
          <w:sz w:val="24"/>
          <w:szCs w:val="24"/>
        </w:rPr>
        <w:t xml:space="preserve"> (Brusick, 2008; Brusick et al., 2008; IARC, 2002; Schreiner, 2003).</w:t>
      </w:r>
      <w:r w:rsidR="00877735">
        <w:rPr>
          <w:rFonts w:ascii="Arial" w:hAnsi="Arial" w:cs="Arial"/>
          <w:sz w:val="24"/>
          <w:szCs w:val="24"/>
        </w:rPr>
        <w:t xml:space="preserve"> </w:t>
      </w:r>
      <w:r w:rsidRPr="00ED6A53">
        <w:rPr>
          <w:rFonts w:ascii="Arial" w:hAnsi="Arial" w:cs="Arial"/>
          <w:sz w:val="24"/>
          <w:szCs w:val="24"/>
        </w:rPr>
        <w:t xml:space="preserve">However, naphthalene induces </w:t>
      </w:r>
      <w:r w:rsidR="00434C14" w:rsidRPr="00ED6A53">
        <w:rPr>
          <w:rFonts w:ascii="Arial" w:hAnsi="Arial" w:cs="Arial"/>
          <w:sz w:val="24"/>
          <w:szCs w:val="24"/>
        </w:rPr>
        <w:t xml:space="preserve">in vitro </w:t>
      </w:r>
      <w:r w:rsidRPr="00ED6A53">
        <w:rPr>
          <w:rFonts w:ascii="Arial" w:hAnsi="Arial" w:cs="Arial"/>
          <w:sz w:val="24"/>
          <w:szCs w:val="24"/>
        </w:rPr>
        <w:t xml:space="preserve">chromosomal damage at exposure levels that are cytotoxic, and the naphthalene metabolite 1,2-naphthoquinone is </w:t>
      </w:r>
      <w:r w:rsidR="004F7126" w:rsidRPr="00ED6A53">
        <w:rPr>
          <w:rFonts w:ascii="Arial" w:hAnsi="Arial" w:cs="Arial"/>
          <w:sz w:val="24"/>
          <w:szCs w:val="24"/>
        </w:rPr>
        <w:t xml:space="preserve">a direct </w:t>
      </w:r>
      <w:r w:rsidRPr="00ED6A53">
        <w:rPr>
          <w:rFonts w:ascii="Arial" w:hAnsi="Arial" w:cs="Arial"/>
          <w:sz w:val="24"/>
          <w:szCs w:val="24"/>
        </w:rPr>
        <w:t>mutagen in bacterial mutation tester strains that respond to oxidative stress (Brusick, 2008; Brusick et al., 2008</w:t>
      </w:r>
      <w:r w:rsidR="00C5148C">
        <w:rPr>
          <w:rFonts w:ascii="Arial" w:hAnsi="Arial" w:cs="Arial"/>
          <w:sz w:val="24"/>
          <w:szCs w:val="24"/>
        </w:rPr>
        <w:t>;</w:t>
      </w:r>
      <w:r w:rsidR="00C5148C" w:rsidRPr="00C5148C">
        <w:rPr>
          <w:rFonts w:ascii="Arial" w:hAnsi="Arial" w:cs="Arial"/>
          <w:sz w:val="24"/>
          <w:szCs w:val="24"/>
        </w:rPr>
        <w:t xml:space="preserve"> </w:t>
      </w:r>
      <w:r w:rsidR="00C5148C">
        <w:rPr>
          <w:rFonts w:ascii="Arial" w:hAnsi="Arial" w:cs="Arial"/>
          <w:sz w:val="24"/>
          <w:szCs w:val="24"/>
        </w:rPr>
        <w:t>Bailey et al., 2016</w:t>
      </w:r>
      <w:r w:rsidRPr="00ED6A53">
        <w:rPr>
          <w:rFonts w:ascii="Arial" w:hAnsi="Arial" w:cs="Arial"/>
          <w:sz w:val="24"/>
          <w:szCs w:val="24"/>
        </w:rPr>
        <w:t xml:space="preserve">). </w:t>
      </w:r>
      <w:r w:rsidR="00C57C06" w:rsidRPr="00ED6A53">
        <w:rPr>
          <w:rFonts w:ascii="Arial" w:hAnsi="Arial" w:cs="Arial"/>
          <w:sz w:val="24"/>
          <w:szCs w:val="24"/>
        </w:rPr>
        <w:t>The</w:t>
      </w:r>
      <w:r w:rsidR="00971D32" w:rsidRPr="00ED6A53">
        <w:rPr>
          <w:rFonts w:ascii="Arial" w:hAnsi="Arial" w:cs="Arial"/>
          <w:sz w:val="24"/>
          <w:szCs w:val="24"/>
        </w:rPr>
        <w:t xml:space="preserve"> </w:t>
      </w:r>
      <w:r w:rsidR="00B53B27">
        <w:rPr>
          <w:rFonts w:ascii="Arial" w:hAnsi="Arial" w:cs="Arial"/>
          <w:sz w:val="24"/>
          <w:szCs w:val="24"/>
        </w:rPr>
        <w:t xml:space="preserve">site specific </w:t>
      </w:r>
      <w:r w:rsidR="00A12265">
        <w:rPr>
          <w:rFonts w:ascii="Arial" w:hAnsi="Arial" w:cs="Arial"/>
          <w:sz w:val="24"/>
          <w:szCs w:val="24"/>
        </w:rPr>
        <w:t xml:space="preserve">tumors in mouse lung and rat nasal tissues are </w:t>
      </w:r>
      <w:r w:rsidR="00B3620C">
        <w:rPr>
          <w:rFonts w:ascii="Arial" w:hAnsi="Arial" w:cs="Arial"/>
          <w:sz w:val="24"/>
          <w:szCs w:val="24"/>
        </w:rPr>
        <w:t xml:space="preserve">believed to be caused by </w:t>
      </w:r>
      <w:r w:rsidR="00DC0BDA">
        <w:rPr>
          <w:rFonts w:ascii="Arial" w:hAnsi="Arial" w:cs="Arial"/>
          <w:sz w:val="24"/>
          <w:szCs w:val="24"/>
        </w:rPr>
        <w:t xml:space="preserve">high </w:t>
      </w:r>
      <w:r w:rsidR="008253BD">
        <w:rPr>
          <w:rFonts w:ascii="Arial" w:hAnsi="Arial" w:cs="Arial"/>
          <w:sz w:val="24"/>
          <w:szCs w:val="24"/>
        </w:rPr>
        <w:t xml:space="preserve">naphthalene </w:t>
      </w:r>
      <w:r w:rsidR="00264B77">
        <w:rPr>
          <w:rFonts w:ascii="Arial" w:hAnsi="Arial" w:cs="Arial"/>
          <w:sz w:val="24"/>
          <w:szCs w:val="24"/>
        </w:rPr>
        <w:t>exposure</w:t>
      </w:r>
      <w:r w:rsidR="00814DD8">
        <w:rPr>
          <w:rFonts w:ascii="Arial" w:hAnsi="Arial" w:cs="Arial"/>
          <w:sz w:val="24"/>
          <w:szCs w:val="24"/>
        </w:rPr>
        <w:t>s</w:t>
      </w:r>
      <w:r w:rsidR="00264B77">
        <w:rPr>
          <w:rFonts w:ascii="Arial" w:hAnsi="Arial" w:cs="Arial"/>
          <w:sz w:val="24"/>
          <w:szCs w:val="24"/>
        </w:rPr>
        <w:t xml:space="preserve"> with </w:t>
      </w:r>
      <w:r w:rsidR="00D71CDB">
        <w:rPr>
          <w:rFonts w:ascii="Arial" w:hAnsi="Arial" w:cs="Arial"/>
          <w:sz w:val="24"/>
          <w:szCs w:val="24"/>
        </w:rPr>
        <w:t xml:space="preserve">tissue specific bioactivation to reactive metabolites that deplete </w:t>
      </w:r>
      <w:r w:rsidR="00431CD0">
        <w:rPr>
          <w:rFonts w:ascii="Arial" w:hAnsi="Arial" w:cs="Arial"/>
          <w:sz w:val="24"/>
          <w:szCs w:val="24"/>
        </w:rPr>
        <w:t>Phase II enzyme detoxification</w:t>
      </w:r>
      <w:r w:rsidR="00FB298E">
        <w:rPr>
          <w:rFonts w:ascii="Arial" w:hAnsi="Arial" w:cs="Arial"/>
          <w:sz w:val="24"/>
          <w:szCs w:val="24"/>
        </w:rPr>
        <w:t>. Depletion of GSH</w:t>
      </w:r>
      <w:r w:rsidR="00A419BE">
        <w:rPr>
          <w:rFonts w:ascii="Arial" w:hAnsi="Arial" w:cs="Arial"/>
          <w:sz w:val="24"/>
          <w:szCs w:val="24"/>
        </w:rPr>
        <w:t xml:space="preserve">, sulfate and glucuronide conjugation </w:t>
      </w:r>
      <w:r w:rsidR="00D76CF2">
        <w:rPr>
          <w:rFonts w:ascii="Arial" w:hAnsi="Arial" w:cs="Arial"/>
          <w:sz w:val="24"/>
          <w:szCs w:val="24"/>
        </w:rPr>
        <w:t xml:space="preserve">will lead to </w:t>
      </w:r>
      <w:r w:rsidRPr="00ED6A53">
        <w:rPr>
          <w:rFonts w:ascii="Arial" w:hAnsi="Arial" w:cs="Arial"/>
          <w:sz w:val="24"/>
          <w:szCs w:val="24"/>
        </w:rPr>
        <w:t xml:space="preserve">cytotoxicity via </w:t>
      </w:r>
      <w:r w:rsidR="00FB298E">
        <w:rPr>
          <w:rFonts w:ascii="Arial" w:hAnsi="Arial" w:cs="Arial"/>
          <w:sz w:val="24"/>
          <w:szCs w:val="24"/>
        </w:rPr>
        <w:t xml:space="preserve">free </w:t>
      </w:r>
      <w:r w:rsidRPr="00ED6A53">
        <w:rPr>
          <w:rFonts w:ascii="Arial" w:hAnsi="Arial" w:cs="Arial"/>
          <w:sz w:val="24"/>
          <w:szCs w:val="24"/>
        </w:rPr>
        <w:t>epoxide/quinone naphthalene metabolites</w:t>
      </w:r>
      <w:r w:rsidR="003E5F90">
        <w:rPr>
          <w:rFonts w:ascii="Arial" w:hAnsi="Arial" w:cs="Arial"/>
          <w:sz w:val="24"/>
          <w:szCs w:val="24"/>
        </w:rPr>
        <w:t xml:space="preserve">, </w:t>
      </w:r>
      <w:r w:rsidRPr="00ED6A53">
        <w:rPr>
          <w:rFonts w:ascii="Arial" w:hAnsi="Arial" w:cs="Arial"/>
          <w:sz w:val="24"/>
          <w:szCs w:val="24"/>
        </w:rPr>
        <w:t xml:space="preserve">production of oxidative stress </w:t>
      </w:r>
      <w:r w:rsidR="001D7EFF">
        <w:rPr>
          <w:rFonts w:ascii="Arial" w:hAnsi="Arial" w:cs="Arial"/>
          <w:sz w:val="24"/>
          <w:szCs w:val="24"/>
        </w:rPr>
        <w:t xml:space="preserve">and indirect genotoxicity </w:t>
      </w:r>
      <w:r w:rsidRPr="00ED6A53">
        <w:rPr>
          <w:rFonts w:ascii="Arial" w:hAnsi="Arial" w:cs="Arial"/>
          <w:sz w:val="24"/>
          <w:szCs w:val="24"/>
        </w:rPr>
        <w:t>(Brusick, 2008; Brusick et al., 2008; U.S. EPA, 2004a,b</w:t>
      </w:r>
      <w:r w:rsidR="00C5148C">
        <w:rPr>
          <w:rFonts w:ascii="Arial" w:hAnsi="Arial" w:cs="Arial"/>
          <w:sz w:val="24"/>
          <w:szCs w:val="24"/>
        </w:rPr>
        <w:t>; Bailey et al., 2016</w:t>
      </w:r>
      <w:r w:rsidRPr="00ED6A53">
        <w:rPr>
          <w:rFonts w:ascii="Arial" w:hAnsi="Arial" w:cs="Arial"/>
          <w:sz w:val="24"/>
          <w:szCs w:val="24"/>
        </w:rPr>
        <w:t xml:space="preserve">). </w:t>
      </w:r>
    </w:p>
    <w:p w14:paraId="042A35FD" w14:textId="77777777" w:rsidR="00BA77E2" w:rsidRPr="00ED6A53" w:rsidRDefault="00BA77E2" w:rsidP="003C4E50">
      <w:pPr>
        <w:spacing w:after="0" w:line="480" w:lineRule="auto"/>
        <w:jc w:val="both"/>
        <w:rPr>
          <w:rFonts w:ascii="Arial" w:hAnsi="Arial" w:cs="Arial"/>
          <w:sz w:val="24"/>
          <w:szCs w:val="24"/>
        </w:rPr>
      </w:pPr>
    </w:p>
    <w:p w14:paraId="7D101FE7" w14:textId="42001059" w:rsidR="002A33FB" w:rsidRDefault="0043063C" w:rsidP="003C4E50">
      <w:pPr>
        <w:spacing w:after="0" w:line="480" w:lineRule="auto"/>
        <w:jc w:val="both"/>
        <w:rPr>
          <w:rFonts w:ascii="Arial" w:hAnsi="Arial" w:cs="Arial"/>
          <w:sz w:val="24"/>
          <w:szCs w:val="24"/>
        </w:rPr>
      </w:pPr>
      <w:r>
        <w:rPr>
          <w:rFonts w:ascii="Arial" w:hAnsi="Arial" w:cs="Arial"/>
          <w:sz w:val="24"/>
          <w:szCs w:val="24"/>
        </w:rPr>
        <w:t>A</w:t>
      </w:r>
      <w:r w:rsidR="00A3215B">
        <w:rPr>
          <w:rFonts w:ascii="Arial" w:hAnsi="Arial" w:cs="Arial"/>
          <w:sz w:val="24"/>
          <w:szCs w:val="24"/>
        </w:rPr>
        <w:t xml:space="preserve"> positive response from the genetic toxicology test </w:t>
      </w:r>
      <w:r w:rsidR="002613B2">
        <w:rPr>
          <w:rFonts w:ascii="Arial" w:hAnsi="Arial" w:cs="Arial"/>
          <w:sz w:val="24"/>
          <w:szCs w:val="24"/>
        </w:rPr>
        <w:t>battery</w:t>
      </w:r>
      <w:r w:rsidR="00046A99">
        <w:rPr>
          <w:rFonts w:ascii="Arial" w:hAnsi="Arial" w:cs="Arial"/>
          <w:sz w:val="24"/>
          <w:szCs w:val="24"/>
        </w:rPr>
        <w:t xml:space="preserve"> </w:t>
      </w:r>
      <w:r>
        <w:rPr>
          <w:rFonts w:ascii="Arial" w:hAnsi="Arial" w:cs="Arial"/>
          <w:sz w:val="24"/>
          <w:szCs w:val="24"/>
        </w:rPr>
        <w:t xml:space="preserve">requires </w:t>
      </w:r>
      <w:r w:rsidR="00046A99">
        <w:rPr>
          <w:rFonts w:ascii="Arial" w:hAnsi="Arial" w:cs="Arial"/>
          <w:sz w:val="24"/>
          <w:szCs w:val="24"/>
        </w:rPr>
        <w:t>follow up</w:t>
      </w:r>
      <w:r w:rsidR="00291D82">
        <w:rPr>
          <w:rFonts w:ascii="Arial" w:hAnsi="Arial" w:cs="Arial"/>
          <w:sz w:val="24"/>
          <w:szCs w:val="24"/>
        </w:rPr>
        <w:t xml:space="preserve"> </w:t>
      </w:r>
      <w:r w:rsidR="00EF7021">
        <w:rPr>
          <w:rFonts w:ascii="Arial" w:hAnsi="Arial" w:cs="Arial"/>
          <w:sz w:val="24"/>
          <w:szCs w:val="24"/>
        </w:rPr>
        <w:t xml:space="preserve">in vivo </w:t>
      </w:r>
      <w:r w:rsidR="00291D82">
        <w:rPr>
          <w:rFonts w:ascii="Arial" w:hAnsi="Arial" w:cs="Arial"/>
          <w:sz w:val="24"/>
          <w:szCs w:val="24"/>
        </w:rPr>
        <w:t xml:space="preserve">genotoxicity testing with an </w:t>
      </w:r>
      <w:r w:rsidR="00E26807">
        <w:rPr>
          <w:rFonts w:ascii="Arial" w:hAnsi="Arial" w:cs="Arial"/>
          <w:sz w:val="24"/>
          <w:szCs w:val="24"/>
        </w:rPr>
        <w:t>appropriate</w:t>
      </w:r>
      <w:r w:rsidR="00291D82">
        <w:rPr>
          <w:rFonts w:ascii="Arial" w:hAnsi="Arial" w:cs="Arial"/>
          <w:sz w:val="24"/>
          <w:szCs w:val="24"/>
        </w:rPr>
        <w:t xml:space="preserve"> endpoin</w:t>
      </w:r>
      <w:r w:rsidR="00EF7021">
        <w:rPr>
          <w:rFonts w:ascii="Arial" w:hAnsi="Arial" w:cs="Arial"/>
          <w:sz w:val="24"/>
          <w:szCs w:val="24"/>
        </w:rPr>
        <w:t>t that matches the in vi</w:t>
      </w:r>
      <w:r w:rsidR="002613B2">
        <w:rPr>
          <w:rFonts w:ascii="Arial" w:hAnsi="Arial" w:cs="Arial"/>
          <w:sz w:val="24"/>
          <w:szCs w:val="24"/>
        </w:rPr>
        <w:t xml:space="preserve">tro response. </w:t>
      </w:r>
      <w:r w:rsidR="00537F1D">
        <w:rPr>
          <w:rFonts w:ascii="Arial" w:hAnsi="Arial" w:cs="Arial"/>
          <w:sz w:val="24"/>
          <w:szCs w:val="24"/>
        </w:rPr>
        <w:t>In the case of a</w:t>
      </w:r>
      <w:r w:rsidR="00051E71">
        <w:rPr>
          <w:rFonts w:ascii="Arial" w:hAnsi="Arial" w:cs="Arial"/>
          <w:sz w:val="24"/>
          <w:szCs w:val="24"/>
        </w:rPr>
        <w:t>n in vitro</w:t>
      </w:r>
      <w:r w:rsidR="00537F1D">
        <w:rPr>
          <w:rFonts w:ascii="Arial" w:hAnsi="Arial" w:cs="Arial"/>
          <w:sz w:val="24"/>
          <w:szCs w:val="24"/>
        </w:rPr>
        <w:t xml:space="preserve"> MN positive response </w:t>
      </w:r>
      <w:r w:rsidR="00E26807">
        <w:rPr>
          <w:rFonts w:ascii="Arial" w:hAnsi="Arial" w:cs="Arial"/>
          <w:sz w:val="24"/>
          <w:szCs w:val="24"/>
        </w:rPr>
        <w:t xml:space="preserve">the </w:t>
      </w:r>
      <w:r w:rsidR="0025441B">
        <w:rPr>
          <w:rFonts w:ascii="Arial" w:hAnsi="Arial" w:cs="Arial"/>
          <w:sz w:val="24"/>
          <w:szCs w:val="24"/>
        </w:rPr>
        <w:t xml:space="preserve">bone marrow </w:t>
      </w:r>
      <w:r w:rsidR="00E26807">
        <w:rPr>
          <w:rFonts w:ascii="Arial" w:hAnsi="Arial" w:cs="Arial"/>
          <w:sz w:val="24"/>
          <w:szCs w:val="24"/>
        </w:rPr>
        <w:t>micronucleus assay</w:t>
      </w:r>
      <w:r w:rsidR="00537F1D">
        <w:rPr>
          <w:rFonts w:ascii="Arial" w:hAnsi="Arial" w:cs="Arial"/>
          <w:sz w:val="24"/>
          <w:szCs w:val="24"/>
        </w:rPr>
        <w:t xml:space="preserve"> </w:t>
      </w:r>
      <w:r w:rsidR="00051E71">
        <w:rPr>
          <w:rFonts w:ascii="Arial" w:hAnsi="Arial" w:cs="Arial"/>
          <w:sz w:val="24"/>
          <w:szCs w:val="24"/>
        </w:rPr>
        <w:t>and</w:t>
      </w:r>
      <w:r w:rsidR="005F69A4">
        <w:rPr>
          <w:rFonts w:ascii="Arial" w:hAnsi="Arial" w:cs="Arial"/>
          <w:sz w:val="24"/>
          <w:szCs w:val="24"/>
        </w:rPr>
        <w:t xml:space="preserve"> </w:t>
      </w:r>
      <w:r w:rsidR="008414B4">
        <w:rPr>
          <w:rFonts w:ascii="Arial" w:hAnsi="Arial" w:cs="Arial"/>
          <w:sz w:val="24"/>
          <w:szCs w:val="24"/>
        </w:rPr>
        <w:t>the</w:t>
      </w:r>
      <w:r w:rsidR="0025441B">
        <w:rPr>
          <w:rFonts w:ascii="Arial" w:hAnsi="Arial" w:cs="Arial"/>
          <w:sz w:val="24"/>
          <w:szCs w:val="24"/>
        </w:rPr>
        <w:t xml:space="preserve"> </w:t>
      </w:r>
      <w:r w:rsidR="00ED05E3">
        <w:rPr>
          <w:rFonts w:ascii="Arial" w:hAnsi="Arial" w:cs="Arial"/>
          <w:sz w:val="24"/>
          <w:szCs w:val="24"/>
        </w:rPr>
        <w:t xml:space="preserve">liver </w:t>
      </w:r>
      <w:r w:rsidR="0025441B">
        <w:rPr>
          <w:rFonts w:ascii="Arial" w:hAnsi="Arial" w:cs="Arial"/>
          <w:sz w:val="24"/>
          <w:szCs w:val="24"/>
        </w:rPr>
        <w:t xml:space="preserve">comet assay </w:t>
      </w:r>
      <w:r w:rsidR="00D72B8F">
        <w:rPr>
          <w:rFonts w:ascii="Arial" w:hAnsi="Arial" w:cs="Arial"/>
          <w:sz w:val="24"/>
          <w:szCs w:val="24"/>
        </w:rPr>
        <w:t xml:space="preserve">can be used to assess chromosomal damage and DNA damage </w:t>
      </w:r>
      <w:r w:rsidR="0025441B">
        <w:rPr>
          <w:rFonts w:ascii="Arial" w:hAnsi="Arial" w:cs="Arial"/>
          <w:sz w:val="24"/>
          <w:szCs w:val="24"/>
        </w:rPr>
        <w:t>in liver</w:t>
      </w:r>
      <w:r w:rsidR="00ED05E3">
        <w:rPr>
          <w:rFonts w:ascii="Arial" w:hAnsi="Arial" w:cs="Arial"/>
          <w:sz w:val="24"/>
          <w:szCs w:val="24"/>
        </w:rPr>
        <w:t>.</w:t>
      </w:r>
      <w:r w:rsidR="00D05B2D">
        <w:rPr>
          <w:rFonts w:ascii="Arial" w:hAnsi="Arial" w:cs="Arial"/>
          <w:sz w:val="24"/>
          <w:szCs w:val="24"/>
        </w:rPr>
        <w:t xml:space="preserve"> </w:t>
      </w:r>
      <w:r w:rsidR="00ED05E3">
        <w:rPr>
          <w:rFonts w:ascii="Arial" w:hAnsi="Arial" w:cs="Arial"/>
          <w:sz w:val="24"/>
          <w:szCs w:val="24"/>
        </w:rPr>
        <w:t>In</w:t>
      </w:r>
      <w:r w:rsidR="00D05B2D">
        <w:rPr>
          <w:rFonts w:ascii="Arial" w:hAnsi="Arial" w:cs="Arial"/>
          <w:sz w:val="24"/>
          <w:szCs w:val="24"/>
        </w:rPr>
        <w:t xml:space="preserve"> the case of Ames test positive the Pig-a or transgenic mouse mutation assay</w:t>
      </w:r>
      <w:r w:rsidR="00A62FBD">
        <w:rPr>
          <w:rFonts w:ascii="Arial" w:hAnsi="Arial" w:cs="Arial"/>
          <w:sz w:val="24"/>
          <w:szCs w:val="24"/>
        </w:rPr>
        <w:t xml:space="preserve"> are appropriate follow ups</w:t>
      </w:r>
      <w:r w:rsidR="00840B52">
        <w:rPr>
          <w:rFonts w:ascii="Arial" w:hAnsi="Arial" w:cs="Arial"/>
          <w:sz w:val="24"/>
          <w:szCs w:val="24"/>
        </w:rPr>
        <w:t xml:space="preserve"> </w:t>
      </w:r>
      <w:r w:rsidR="001F58EA">
        <w:rPr>
          <w:rFonts w:ascii="Arial" w:hAnsi="Arial" w:cs="Arial"/>
          <w:sz w:val="24"/>
          <w:szCs w:val="24"/>
        </w:rPr>
        <w:t>(Robison et al., 202</w:t>
      </w:r>
      <w:r w:rsidR="00670FBA">
        <w:rPr>
          <w:rFonts w:ascii="Arial" w:hAnsi="Arial" w:cs="Arial"/>
          <w:sz w:val="24"/>
          <w:szCs w:val="24"/>
        </w:rPr>
        <w:t>1</w:t>
      </w:r>
      <w:r w:rsidR="001F58EA">
        <w:rPr>
          <w:rFonts w:ascii="Arial" w:hAnsi="Arial" w:cs="Arial"/>
          <w:sz w:val="24"/>
          <w:szCs w:val="24"/>
        </w:rPr>
        <w:t>)</w:t>
      </w:r>
      <w:r w:rsidR="0025441B">
        <w:rPr>
          <w:rFonts w:ascii="Arial" w:hAnsi="Arial" w:cs="Arial"/>
          <w:sz w:val="24"/>
          <w:szCs w:val="24"/>
        </w:rPr>
        <w:t xml:space="preserve">. However, </w:t>
      </w:r>
      <w:r w:rsidR="00DC1F85">
        <w:rPr>
          <w:rFonts w:ascii="Arial" w:hAnsi="Arial" w:cs="Arial"/>
          <w:sz w:val="24"/>
          <w:szCs w:val="24"/>
        </w:rPr>
        <w:t xml:space="preserve">several </w:t>
      </w:r>
      <w:r w:rsidR="0025441B">
        <w:rPr>
          <w:rFonts w:ascii="Arial" w:hAnsi="Arial" w:cs="Arial"/>
          <w:sz w:val="24"/>
          <w:szCs w:val="24"/>
        </w:rPr>
        <w:t>industries are not supportive of animal testing</w:t>
      </w:r>
      <w:r w:rsidR="00A83431">
        <w:rPr>
          <w:rFonts w:ascii="Arial" w:hAnsi="Arial" w:cs="Arial"/>
          <w:sz w:val="24"/>
          <w:szCs w:val="24"/>
        </w:rPr>
        <w:t xml:space="preserve"> </w:t>
      </w:r>
      <w:r w:rsidR="00291D82">
        <w:rPr>
          <w:rFonts w:ascii="Arial" w:hAnsi="Arial" w:cs="Arial"/>
          <w:sz w:val="24"/>
          <w:szCs w:val="24"/>
        </w:rPr>
        <w:t xml:space="preserve">yet </w:t>
      </w:r>
      <w:r w:rsidR="00972425">
        <w:rPr>
          <w:rFonts w:ascii="Arial" w:hAnsi="Arial" w:cs="Arial"/>
          <w:sz w:val="24"/>
          <w:szCs w:val="24"/>
        </w:rPr>
        <w:t xml:space="preserve">still </w:t>
      </w:r>
      <w:r w:rsidR="0099184C">
        <w:rPr>
          <w:rFonts w:ascii="Arial" w:hAnsi="Arial" w:cs="Arial"/>
          <w:sz w:val="24"/>
          <w:szCs w:val="24"/>
        </w:rPr>
        <w:t xml:space="preserve">require </w:t>
      </w:r>
      <w:r w:rsidR="00972425">
        <w:rPr>
          <w:rFonts w:ascii="Arial" w:hAnsi="Arial" w:cs="Arial"/>
          <w:sz w:val="24"/>
          <w:szCs w:val="24"/>
        </w:rPr>
        <w:t xml:space="preserve">a follow up from </w:t>
      </w:r>
      <w:r w:rsidR="00291D82">
        <w:rPr>
          <w:rFonts w:ascii="Arial" w:hAnsi="Arial" w:cs="Arial"/>
          <w:sz w:val="24"/>
          <w:szCs w:val="24"/>
        </w:rPr>
        <w:t xml:space="preserve">genetic toxicology </w:t>
      </w:r>
      <w:r w:rsidR="007103C4">
        <w:rPr>
          <w:rFonts w:ascii="Arial" w:hAnsi="Arial" w:cs="Arial"/>
          <w:sz w:val="24"/>
          <w:szCs w:val="24"/>
        </w:rPr>
        <w:t xml:space="preserve">hazard identification bioassays to </w:t>
      </w:r>
      <w:r w:rsidR="0099184C">
        <w:rPr>
          <w:rFonts w:ascii="Arial" w:hAnsi="Arial" w:cs="Arial"/>
          <w:sz w:val="24"/>
          <w:szCs w:val="24"/>
        </w:rPr>
        <w:t xml:space="preserve">human </w:t>
      </w:r>
      <w:r w:rsidR="007103C4">
        <w:rPr>
          <w:rFonts w:ascii="Arial" w:hAnsi="Arial" w:cs="Arial"/>
          <w:sz w:val="24"/>
          <w:szCs w:val="24"/>
        </w:rPr>
        <w:t>relevant</w:t>
      </w:r>
      <w:r w:rsidR="00972425">
        <w:rPr>
          <w:rFonts w:ascii="Arial" w:hAnsi="Arial" w:cs="Arial"/>
          <w:sz w:val="24"/>
          <w:szCs w:val="24"/>
        </w:rPr>
        <w:t xml:space="preserve"> </w:t>
      </w:r>
      <w:r w:rsidR="00BF75D0">
        <w:rPr>
          <w:rFonts w:ascii="Arial" w:hAnsi="Arial" w:cs="Arial"/>
          <w:sz w:val="24"/>
          <w:szCs w:val="24"/>
        </w:rPr>
        <w:t>bio</w:t>
      </w:r>
      <w:r w:rsidR="00972425">
        <w:rPr>
          <w:rFonts w:ascii="Arial" w:hAnsi="Arial" w:cs="Arial"/>
          <w:sz w:val="24"/>
          <w:szCs w:val="24"/>
        </w:rPr>
        <w:t xml:space="preserve">assays </w:t>
      </w:r>
      <w:r w:rsidR="007103C4">
        <w:rPr>
          <w:rFonts w:ascii="Arial" w:hAnsi="Arial" w:cs="Arial"/>
          <w:sz w:val="24"/>
          <w:szCs w:val="24"/>
        </w:rPr>
        <w:t>that can be used to assess risk to humans</w:t>
      </w:r>
      <w:r w:rsidR="00DE435C">
        <w:rPr>
          <w:rFonts w:ascii="Arial" w:hAnsi="Arial" w:cs="Arial"/>
          <w:sz w:val="24"/>
          <w:szCs w:val="24"/>
        </w:rPr>
        <w:t xml:space="preserve">. </w:t>
      </w:r>
      <w:r w:rsidR="00D05B2D">
        <w:rPr>
          <w:rFonts w:ascii="Arial" w:hAnsi="Arial" w:cs="Arial"/>
          <w:sz w:val="24"/>
          <w:szCs w:val="24"/>
        </w:rPr>
        <w:t>Secondly</w:t>
      </w:r>
      <w:r w:rsidR="007B57AB">
        <w:rPr>
          <w:rFonts w:ascii="Arial" w:hAnsi="Arial" w:cs="Arial"/>
          <w:sz w:val="24"/>
          <w:szCs w:val="24"/>
        </w:rPr>
        <w:t>,</w:t>
      </w:r>
      <w:r w:rsidR="00D05B2D">
        <w:rPr>
          <w:rFonts w:ascii="Arial" w:hAnsi="Arial" w:cs="Arial"/>
          <w:sz w:val="24"/>
          <w:szCs w:val="24"/>
        </w:rPr>
        <w:t xml:space="preserve"> there is an ongoing shift</w:t>
      </w:r>
      <w:r w:rsidR="003B1F43" w:rsidRPr="003B1F43">
        <w:rPr>
          <w:rFonts w:ascii="Arial" w:hAnsi="Arial" w:cs="Arial"/>
          <w:sz w:val="24"/>
          <w:szCs w:val="24"/>
        </w:rPr>
        <w:t xml:space="preserve"> in the safety assessment of new drug candidates and environmental chemicals </w:t>
      </w:r>
      <w:r w:rsidR="005D4DFC">
        <w:rPr>
          <w:rFonts w:ascii="Arial" w:hAnsi="Arial" w:cs="Arial"/>
          <w:sz w:val="24"/>
          <w:szCs w:val="24"/>
        </w:rPr>
        <w:t>significantly impact</w:t>
      </w:r>
      <w:r w:rsidR="00DE435C">
        <w:rPr>
          <w:rFonts w:ascii="Arial" w:hAnsi="Arial" w:cs="Arial"/>
          <w:sz w:val="24"/>
          <w:szCs w:val="24"/>
        </w:rPr>
        <w:t>ing</w:t>
      </w:r>
      <w:r w:rsidR="005D4DFC">
        <w:rPr>
          <w:rFonts w:ascii="Arial" w:hAnsi="Arial" w:cs="Arial"/>
          <w:sz w:val="24"/>
          <w:szCs w:val="24"/>
        </w:rPr>
        <w:t xml:space="preserve"> </w:t>
      </w:r>
      <w:r w:rsidR="003B1F43" w:rsidRPr="003B1F43">
        <w:rPr>
          <w:rFonts w:ascii="Arial" w:hAnsi="Arial" w:cs="Arial"/>
          <w:sz w:val="24"/>
          <w:szCs w:val="24"/>
        </w:rPr>
        <w:t xml:space="preserve">the practice of regulatory </w:t>
      </w:r>
      <w:r w:rsidR="00047A39">
        <w:rPr>
          <w:rFonts w:ascii="Arial" w:hAnsi="Arial" w:cs="Arial"/>
          <w:sz w:val="24"/>
          <w:szCs w:val="24"/>
        </w:rPr>
        <w:t>toxicology, including genetic toxicology</w:t>
      </w:r>
      <w:r w:rsidR="003B1F43" w:rsidRPr="003B1F43">
        <w:rPr>
          <w:rFonts w:ascii="Arial" w:hAnsi="Arial" w:cs="Arial"/>
          <w:sz w:val="24"/>
          <w:szCs w:val="24"/>
        </w:rPr>
        <w:t xml:space="preserve">. This shift includes reducing, and in some cases eliminating, traditional toxicity testing in animals with the </w:t>
      </w:r>
      <w:r w:rsidR="00C41979">
        <w:rPr>
          <w:rFonts w:ascii="Arial" w:hAnsi="Arial" w:cs="Arial"/>
          <w:sz w:val="24"/>
          <w:szCs w:val="24"/>
        </w:rPr>
        <w:t xml:space="preserve">development and </w:t>
      </w:r>
      <w:r w:rsidR="003B1F43" w:rsidRPr="003B1F43">
        <w:rPr>
          <w:rFonts w:ascii="Arial" w:hAnsi="Arial" w:cs="Arial"/>
          <w:sz w:val="24"/>
          <w:szCs w:val="24"/>
        </w:rPr>
        <w:t xml:space="preserve">implementation </w:t>
      </w:r>
      <w:r w:rsidR="00C41979">
        <w:rPr>
          <w:rFonts w:ascii="Arial" w:hAnsi="Arial" w:cs="Arial"/>
          <w:sz w:val="24"/>
          <w:szCs w:val="24"/>
        </w:rPr>
        <w:t>of human relevant New Alternative Methodologies</w:t>
      </w:r>
      <w:r w:rsidR="000920F3">
        <w:rPr>
          <w:rFonts w:ascii="Arial" w:hAnsi="Arial" w:cs="Arial"/>
          <w:sz w:val="24"/>
          <w:szCs w:val="24"/>
        </w:rPr>
        <w:t xml:space="preserve"> (NAMs) using </w:t>
      </w:r>
      <w:r w:rsidR="004216BA">
        <w:rPr>
          <w:rFonts w:ascii="Arial" w:hAnsi="Arial" w:cs="Arial"/>
          <w:sz w:val="24"/>
          <w:szCs w:val="24"/>
        </w:rPr>
        <w:t xml:space="preserve">in vitro test systems </w:t>
      </w:r>
      <w:r w:rsidR="00962D72">
        <w:rPr>
          <w:rFonts w:ascii="Arial" w:hAnsi="Arial" w:cs="Arial"/>
          <w:sz w:val="24"/>
          <w:szCs w:val="24"/>
        </w:rPr>
        <w:t>that reflect human tissues</w:t>
      </w:r>
      <w:r w:rsidR="005D5B0C">
        <w:rPr>
          <w:rFonts w:ascii="Arial" w:hAnsi="Arial" w:cs="Arial"/>
          <w:sz w:val="24"/>
          <w:szCs w:val="24"/>
        </w:rPr>
        <w:t xml:space="preserve"> (Stucki et al., </w:t>
      </w:r>
      <w:r w:rsidR="00784B98">
        <w:rPr>
          <w:rFonts w:ascii="Arial" w:hAnsi="Arial" w:cs="Arial"/>
          <w:sz w:val="24"/>
          <w:szCs w:val="24"/>
        </w:rPr>
        <w:t>2022)</w:t>
      </w:r>
      <w:r w:rsidR="00962D72">
        <w:rPr>
          <w:rFonts w:ascii="Arial" w:hAnsi="Arial" w:cs="Arial"/>
          <w:sz w:val="24"/>
          <w:szCs w:val="24"/>
        </w:rPr>
        <w:t xml:space="preserve">. </w:t>
      </w:r>
      <w:r w:rsidR="003B1F43" w:rsidRPr="003B1F43">
        <w:rPr>
          <w:rFonts w:ascii="Arial" w:hAnsi="Arial" w:cs="Arial"/>
          <w:sz w:val="24"/>
          <w:szCs w:val="24"/>
        </w:rPr>
        <w:t xml:space="preserve">However, replacing traditional animal toxicity tests </w:t>
      </w:r>
      <w:r w:rsidR="00962D72">
        <w:rPr>
          <w:rFonts w:ascii="Arial" w:hAnsi="Arial" w:cs="Arial"/>
          <w:sz w:val="24"/>
          <w:szCs w:val="24"/>
        </w:rPr>
        <w:t xml:space="preserve">requires the </w:t>
      </w:r>
      <w:r w:rsidR="007F2F57">
        <w:rPr>
          <w:rFonts w:ascii="Arial" w:hAnsi="Arial" w:cs="Arial"/>
          <w:sz w:val="24"/>
          <w:szCs w:val="24"/>
        </w:rPr>
        <w:t>demonstration</w:t>
      </w:r>
      <w:r w:rsidR="00962D72">
        <w:rPr>
          <w:rFonts w:ascii="Arial" w:hAnsi="Arial" w:cs="Arial"/>
          <w:sz w:val="24"/>
          <w:szCs w:val="24"/>
        </w:rPr>
        <w:t xml:space="preserve"> that </w:t>
      </w:r>
      <w:r w:rsidR="007F2F57">
        <w:rPr>
          <w:rFonts w:ascii="Arial" w:hAnsi="Arial" w:cs="Arial"/>
          <w:sz w:val="24"/>
          <w:szCs w:val="24"/>
        </w:rPr>
        <w:t xml:space="preserve">NAMs </w:t>
      </w:r>
      <w:r w:rsidR="003B1F43" w:rsidRPr="003B1F43">
        <w:rPr>
          <w:rFonts w:ascii="Arial" w:hAnsi="Arial" w:cs="Arial"/>
          <w:sz w:val="24"/>
          <w:szCs w:val="24"/>
        </w:rPr>
        <w:t>can accurately predict both the responses known to occur in traditional regulatory testing and, more importantly, what can occur in humans</w:t>
      </w:r>
      <w:r w:rsidR="007F2F57">
        <w:rPr>
          <w:rFonts w:ascii="Arial" w:hAnsi="Arial" w:cs="Arial"/>
          <w:sz w:val="24"/>
          <w:szCs w:val="24"/>
        </w:rPr>
        <w:t>.</w:t>
      </w:r>
    </w:p>
    <w:p w14:paraId="6A3D013C" w14:textId="21BD6D7F" w:rsidR="007B57AB" w:rsidRDefault="007B57AB" w:rsidP="003C4E50">
      <w:pPr>
        <w:spacing w:after="0" w:line="480" w:lineRule="auto"/>
        <w:jc w:val="both"/>
        <w:rPr>
          <w:rFonts w:ascii="Arial" w:hAnsi="Arial" w:cs="Arial"/>
          <w:sz w:val="24"/>
          <w:szCs w:val="24"/>
        </w:rPr>
      </w:pPr>
    </w:p>
    <w:p w14:paraId="0843A716" w14:textId="47590AF7" w:rsidR="0049116B" w:rsidRDefault="007B57AB" w:rsidP="003C4E50">
      <w:pPr>
        <w:spacing w:after="0" w:line="480" w:lineRule="auto"/>
        <w:jc w:val="both"/>
        <w:rPr>
          <w:rFonts w:ascii="Arial" w:hAnsi="Arial" w:cs="Arial"/>
          <w:sz w:val="24"/>
          <w:szCs w:val="24"/>
        </w:rPr>
      </w:pPr>
      <w:r>
        <w:rPr>
          <w:rFonts w:ascii="Arial" w:hAnsi="Arial" w:cs="Arial"/>
          <w:sz w:val="24"/>
          <w:szCs w:val="24"/>
        </w:rPr>
        <w:t xml:space="preserve">For this study, we report the results of a positive response in the MN assay </w:t>
      </w:r>
      <w:r w:rsidR="00C35D96">
        <w:rPr>
          <w:rFonts w:ascii="Arial" w:hAnsi="Arial" w:cs="Arial"/>
          <w:sz w:val="24"/>
          <w:szCs w:val="24"/>
        </w:rPr>
        <w:t xml:space="preserve">for naphthalene with rat liver S9 </w:t>
      </w:r>
      <w:r>
        <w:rPr>
          <w:rFonts w:ascii="Arial" w:hAnsi="Arial" w:cs="Arial"/>
          <w:sz w:val="24"/>
          <w:szCs w:val="24"/>
        </w:rPr>
        <w:t xml:space="preserve">in human TK6 cells </w:t>
      </w:r>
      <w:r w:rsidR="0049116B">
        <w:rPr>
          <w:rFonts w:ascii="Arial" w:hAnsi="Arial" w:cs="Arial"/>
          <w:sz w:val="24"/>
          <w:szCs w:val="24"/>
        </w:rPr>
        <w:t>(Recio et al., 201</w:t>
      </w:r>
      <w:r w:rsidR="0028459F">
        <w:rPr>
          <w:rFonts w:ascii="Arial" w:hAnsi="Arial" w:cs="Arial"/>
          <w:sz w:val="24"/>
          <w:szCs w:val="24"/>
        </w:rPr>
        <w:t>2</w:t>
      </w:r>
      <w:r w:rsidR="0049116B">
        <w:rPr>
          <w:rFonts w:ascii="Arial" w:hAnsi="Arial" w:cs="Arial"/>
          <w:sz w:val="24"/>
          <w:szCs w:val="24"/>
        </w:rPr>
        <w:t xml:space="preserve">) </w:t>
      </w:r>
      <w:r>
        <w:rPr>
          <w:rFonts w:ascii="Arial" w:hAnsi="Arial" w:cs="Arial"/>
          <w:sz w:val="24"/>
          <w:szCs w:val="24"/>
        </w:rPr>
        <w:t>and follow up these results with</w:t>
      </w:r>
      <w:r w:rsidR="00C35D96">
        <w:rPr>
          <w:rFonts w:ascii="Arial" w:hAnsi="Arial" w:cs="Arial"/>
          <w:sz w:val="24"/>
          <w:szCs w:val="24"/>
        </w:rPr>
        <w:t xml:space="preserve"> the comet assay and the MN assay</w:t>
      </w:r>
      <w:r>
        <w:rPr>
          <w:rFonts w:ascii="Arial" w:hAnsi="Arial" w:cs="Arial"/>
          <w:sz w:val="24"/>
          <w:szCs w:val="24"/>
        </w:rPr>
        <w:t xml:space="preserve"> </w:t>
      </w:r>
      <w:r w:rsidR="005E25B3">
        <w:rPr>
          <w:rFonts w:ascii="Arial" w:hAnsi="Arial" w:cs="Arial"/>
          <w:sz w:val="24"/>
          <w:szCs w:val="24"/>
        </w:rPr>
        <w:t xml:space="preserve">using </w:t>
      </w:r>
      <w:r>
        <w:rPr>
          <w:rFonts w:ascii="Arial" w:hAnsi="Arial" w:cs="Arial"/>
          <w:sz w:val="24"/>
          <w:szCs w:val="24"/>
        </w:rPr>
        <w:t>metabolically competent HepaRG</w:t>
      </w:r>
      <w:r w:rsidR="005E25B3">
        <w:rPr>
          <w:rFonts w:ascii="Arial" w:hAnsi="Arial" w:cs="Arial"/>
          <w:sz w:val="24"/>
          <w:szCs w:val="24"/>
        </w:rPr>
        <w:t>™</w:t>
      </w:r>
      <w:r>
        <w:rPr>
          <w:rFonts w:ascii="Arial" w:hAnsi="Arial" w:cs="Arial"/>
          <w:sz w:val="24"/>
          <w:szCs w:val="24"/>
        </w:rPr>
        <w:t xml:space="preserve"> cells</w:t>
      </w:r>
      <w:r w:rsidR="00C35D96">
        <w:rPr>
          <w:rFonts w:ascii="Arial" w:hAnsi="Arial" w:cs="Arial"/>
          <w:sz w:val="24"/>
          <w:szCs w:val="24"/>
        </w:rPr>
        <w:t xml:space="preserve">. </w:t>
      </w:r>
      <w:r w:rsidR="0049116B">
        <w:rPr>
          <w:rFonts w:ascii="Arial" w:hAnsi="Arial" w:cs="Arial"/>
          <w:sz w:val="24"/>
          <w:szCs w:val="24"/>
        </w:rPr>
        <w:t xml:space="preserve">Rat liver S9 is devoid of Phase II enzyme activity that are key determinants of naphthalene </w:t>
      </w:r>
      <w:r w:rsidR="009550DB">
        <w:rPr>
          <w:rFonts w:ascii="Arial" w:hAnsi="Arial" w:cs="Arial"/>
          <w:sz w:val="24"/>
          <w:szCs w:val="24"/>
        </w:rPr>
        <w:t xml:space="preserve">tissue specific </w:t>
      </w:r>
      <w:r w:rsidR="0049116B">
        <w:rPr>
          <w:rFonts w:ascii="Arial" w:hAnsi="Arial" w:cs="Arial"/>
          <w:sz w:val="24"/>
          <w:szCs w:val="24"/>
        </w:rPr>
        <w:t xml:space="preserve">cytotoxicity and genotoxicity. Since Phase II enzymes play a key role in protecting cells from the effects of biologically reactive </w:t>
      </w:r>
      <w:r w:rsidR="009550DB">
        <w:rPr>
          <w:rFonts w:ascii="Arial" w:hAnsi="Arial" w:cs="Arial"/>
          <w:sz w:val="24"/>
          <w:szCs w:val="24"/>
        </w:rPr>
        <w:t xml:space="preserve">naphthalene </w:t>
      </w:r>
      <w:r w:rsidR="0049116B">
        <w:rPr>
          <w:rFonts w:ascii="Arial" w:hAnsi="Arial" w:cs="Arial"/>
          <w:sz w:val="24"/>
          <w:szCs w:val="24"/>
        </w:rPr>
        <w:t>metabolites, we have used naphthalene exposure in HepaRG™</w:t>
      </w:r>
      <w:r w:rsidR="002B6E5B">
        <w:rPr>
          <w:rFonts w:ascii="Arial" w:hAnsi="Arial" w:cs="Arial"/>
          <w:sz w:val="24"/>
          <w:szCs w:val="24"/>
        </w:rPr>
        <w:t xml:space="preserve"> to assess the effects of intact </w:t>
      </w:r>
      <w:r w:rsidR="00E91E00">
        <w:rPr>
          <w:rFonts w:ascii="Arial" w:hAnsi="Arial" w:cs="Arial"/>
          <w:sz w:val="24"/>
          <w:szCs w:val="24"/>
        </w:rPr>
        <w:t>Phase I and P</w:t>
      </w:r>
      <w:r w:rsidR="002B6E5B">
        <w:rPr>
          <w:rFonts w:ascii="Arial" w:hAnsi="Arial" w:cs="Arial"/>
          <w:sz w:val="24"/>
          <w:szCs w:val="24"/>
        </w:rPr>
        <w:t>hase II metabolism on the genotoxicity of naphthalene,</w:t>
      </w:r>
    </w:p>
    <w:p w14:paraId="7EFC42E5" w14:textId="77777777" w:rsidR="0049116B" w:rsidRDefault="0049116B" w:rsidP="003C4E50">
      <w:pPr>
        <w:spacing w:after="0" w:line="480" w:lineRule="auto"/>
        <w:jc w:val="both"/>
        <w:rPr>
          <w:rFonts w:ascii="Arial" w:hAnsi="Arial" w:cs="Arial"/>
          <w:sz w:val="24"/>
          <w:szCs w:val="24"/>
        </w:rPr>
      </w:pPr>
    </w:p>
    <w:p w14:paraId="0489AD22" w14:textId="77777777" w:rsidR="0049116B" w:rsidRDefault="0049116B" w:rsidP="003C4E50">
      <w:pPr>
        <w:spacing w:after="0" w:line="480" w:lineRule="auto"/>
        <w:jc w:val="both"/>
        <w:rPr>
          <w:rFonts w:ascii="Arial" w:hAnsi="Arial" w:cs="Arial"/>
          <w:sz w:val="24"/>
          <w:szCs w:val="24"/>
        </w:rPr>
      </w:pPr>
    </w:p>
    <w:p w14:paraId="061BB5CE" w14:textId="109F4434" w:rsidR="00727E3F" w:rsidRDefault="00727E3F" w:rsidP="003C4E50">
      <w:pPr>
        <w:spacing w:after="0" w:line="480" w:lineRule="auto"/>
        <w:jc w:val="both"/>
        <w:rPr>
          <w:rFonts w:ascii="Arial" w:hAnsi="Arial" w:cs="Arial"/>
          <w:sz w:val="24"/>
          <w:szCs w:val="24"/>
        </w:rPr>
      </w:pPr>
    </w:p>
    <w:p w14:paraId="0F736ECF" w14:textId="77777777" w:rsidR="00311817" w:rsidRDefault="00311817">
      <w:pPr>
        <w:rPr>
          <w:rFonts w:ascii="Arial" w:hAnsi="Arial" w:cs="Arial"/>
          <w:b/>
          <w:bCs/>
          <w:sz w:val="24"/>
          <w:szCs w:val="24"/>
        </w:rPr>
      </w:pPr>
      <w:r>
        <w:rPr>
          <w:rFonts w:ascii="Arial" w:hAnsi="Arial" w:cs="Arial"/>
          <w:b/>
          <w:bCs/>
          <w:sz w:val="24"/>
          <w:szCs w:val="24"/>
        </w:rPr>
        <w:br w:type="page"/>
      </w:r>
    </w:p>
    <w:p w14:paraId="23B749B2" w14:textId="32F8D796" w:rsidR="00380432" w:rsidRPr="00ED6A53" w:rsidRDefault="00380432" w:rsidP="003C4E50">
      <w:pPr>
        <w:spacing w:after="0" w:line="480" w:lineRule="auto"/>
        <w:jc w:val="both"/>
        <w:rPr>
          <w:rFonts w:ascii="Arial" w:hAnsi="Arial" w:cs="Arial"/>
          <w:b/>
          <w:bCs/>
          <w:sz w:val="24"/>
          <w:szCs w:val="24"/>
        </w:rPr>
      </w:pPr>
      <w:r w:rsidRPr="00ED6A53">
        <w:rPr>
          <w:rFonts w:ascii="Arial" w:hAnsi="Arial" w:cs="Arial"/>
          <w:b/>
          <w:bCs/>
          <w:sz w:val="24"/>
          <w:szCs w:val="24"/>
        </w:rPr>
        <w:t>MATERIALS AND METHODS</w:t>
      </w:r>
    </w:p>
    <w:p w14:paraId="49930356" w14:textId="2B1C95CE" w:rsidR="00380432" w:rsidRPr="00ED6A53" w:rsidRDefault="00380432" w:rsidP="003C4E50">
      <w:pPr>
        <w:spacing w:after="0" w:line="480" w:lineRule="auto"/>
        <w:jc w:val="both"/>
        <w:rPr>
          <w:rFonts w:ascii="Arial" w:hAnsi="Arial" w:cs="Arial"/>
          <w:b/>
          <w:bCs/>
          <w:sz w:val="24"/>
          <w:szCs w:val="24"/>
        </w:rPr>
      </w:pPr>
      <w:r w:rsidRPr="00ED6A53">
        <w:rPr>
          <w:rFonts w:ascii="Arial" w:hAnsi="Arial" w:cs="Arial"/>
          <w:b/>
          <w:bCs/>
          <w:sz w:val="24"/>
          <w:szCs w:val="24"/>
        </w:rPr>
        <w:t>Chemicals</w:t>
      </w:r>
      <w:r w:rsidR="008D72DA" w:rsidRPr="00ED6A53">
        <w:rPr>
          <w:rFonts w:ascii="Arial" w:hAnsi="Arial" w:cs="Arial"/>
          <w:b/>
          <w:bCs/>
          <w:sz w:val="24"/>
          <w:szCs w:val="24"/>
        </w:rPr>
        <w:t xml:space="preserve"> and No-Spin HepaRG™ cells</w:t>
      </w:r>
    </w:p>
    <w:p w14:paraId="27F3D3A2" w14:textId="41DB8613" w:rsidR="00380432" w:rsidRPr="00ED6A53" w:rsidRDefault="008D72DA" w:rsidP="003C4E50">
      <w:pPr>
        <w:spacing w:after="0" w:line="480" w:lineRule="auto"/>
        <w:jc w:val="both"/>
        <w:rPr>
          <w:rFonts w:ascii="Arial" w:hAnsi="Arial" w:cs="Arial"/>
          <w:sz w:val="24"/>
          <w:szCs w:val="24"/>
        </w:rPr>
      </w:pPr>
      <w:r w:rsidRPr="00ED6A53">
        <w:rPr>
          <w:rFonts w:ascii="Arial" w:hAnsi="Arial" w:cs="Arial"/>
          <w:sz w:val="24"/>
          <w:szCs w:val="24"/>
        </w:rPr>
        <w:t xml:space="preserve">Vehicle (methanol), positive controls, and naphthalene </w:t>
      </w:r>
      <w:r w:rsidR="00D163E5" w:rsidRPr="00ED6A53">
        <w:rPr>
          <w:rFonts w:ascii="Arial" w:hAnsi="Arial" w:cs="Arial"/>
          <w:sz w:val="24"/>
          <w:szCs w:val="24"/>
        </w:rPr>
        <w:t>were</w:t>
      </w:r>
      <w:r w:rsidR="00380432" w:rsidRPr="00ED6A53">
        <w:rPr>
          <w:rFonts w:ascii="Arial" w:hAnsi="Arial" w:cs="Arial"/>
          <w:sz w:val="24"/>
          <w:szCs w:val="24"/>
        </w:rPr>
        <w:t xml:space="preserve"> purchased from Millipore Sigma (St. Louis, MO, USA) for exposures in fully differentiated, cryopreserved No-Spin HepaRG™ cells (Triangle Research Labs (TRL), Durham, NC, USA; acquired by Lonza Bioscience). </w:t>
      </w:r>
      <w:r w:rsidRPr="00ED6A53">
        <w:rPr>
          <w:rFonts w:ascii="Arial" w:hAnsi="Arial" w:cs="Arial"/>
          <w:sz w:val="24"/>
          <w:szCs w:val="24"/>
        </w:rPr>
        <w:t>C</w:t>
      </w:r>
      <w:r w:rsidR="00380432" w:rsidRPr="00ED6A53">
        <w:rPr>
          <w:rFonts w:ascii="Arial" w:hAnsi="Arial" w:cs="Arial"/>
          <w:sz w:val="24"/>
          <w:szCs w:val="24"/>
        </w:rPr>
        <w:t>hemical exposures in HepaRG™ cells, cell viability studies, and the paired high-throughput CometChip® analysis were conducted at Integrated Laboratory Systems, Inc. (ILS; Research Triangle Park, Durham, NC, USA</w:t>
      </w:r>
      <w:r w:rsidRPr="00ED6A53">
        <w:rPr>
          <w:rFonts w:ascii="Arial" w:hAnsi="Arial" w:cs="Arial"/>
          <w:sz w:val="24"/>
          <w:szCs w:val="24"/>
        </w:rPr>
        <w:t xml:space="preserve"> now Inotiv</w:t>
      </w:r>
      <w:r w:rsidR="00380432" w:rsidRPr="00ED6A53">
        <w:rPr>
          <w:rFonts w:ascii="Arial" w:hAnsi="Arial" w:cs="Arial"/>
          <w:sz w:val="24"/>
          <w:szCs w:val="24"/>
        </w:rPr>
        <w:t>).</w:t>
      </w:r>
    </w:p>
    <w:p w14:paraId="62DB2409" w14:textId="77777777" w:rsidR="009859AB" w:rsidRDefault="009859AB" w:rsidP="003C4E50">
      <w:pPr>
        <w:spacing w:after="0" w:line="480" w:lineRule="auto"/>
        <w:jc w:val="both"/>
        <w:rPr>
          <w:rFonts w:ascii="Arial" w:hAnsi="Arial" w:cs="Arial"/>
          <w:sz w:val="24"/>
          <w:szCs w:val="24"/>
        </w:rPr>
      </w:pPr>
    </w:p>
    <w:p w14:paraId="25547E9D" w14:textId="26C2B0FF" w:rsidR="009859AB" w:rsidRDefault="009859AB" w:rsidP="003C4E50">
      <w:pPr>
        <w:spacing w:after="0" w:line="480" w:lineRule="auto"/>
        <w:jc w:val="both"/>
        <w:rPr>
          <w:rFonts w:ascii="Arial" w:hAnsi="Arial" w:cs="Arial"/>
          <w:b/>
          <w:bCs/>
          <w:sz w:val="24"/>
          <w:szCs w:val="24"/>
        </w:rPr>
      </w:pPr>
      <w:r w:rsidRPr="009859AB">
        <w:rPr>
          <w:rFonts w:ascii="Arial" w:hAnsi="Arial" w:cs="Arial"/>
          <w:b/>
          <w:bCs/>
          <w:sz w:val="24"/>
          <w:szCs w:val="24"/>
        </w:rPr>
        <w:t xml:space="preserve">TK6 Cell Micronucleus </w:t>
      </w:r>
      <w:r w:rsidR="00CB2030">
        <w:rPr>
          <w:rFonts w:ascii="Arial" w:hAnsi="Arial" w:cs="Arial"/>
          <w:b/>
          <w:bCs/>
          <w:sz w:val="24"/>
          <w:szCs w:val="24"/>
        </w:rPr>
        <w:t xml:space="preserve">(MN) </w:t>
      </w:r>
      <w:r w:rsidRPr="009859AB">
        <w:rPr>
          <w:rFonts w:ascii="Arial" w:hAnsi="Arial" w:cs="Arial"/>
          <w:b/>
          <w:bCs/>
          <w:sz w:val="24"/>
          <w:szCs w:val="24"/>
        </w:rPr>
        <w:t>assay</w:t>
      </w:r>
      <w:r w:rsidR="00D17896">
        <w:rPr>
          <w:rFonts w:ascii="Arial" w:hAnsi="Arial" w:cs="Arial"/>
          <w:b/>
          <w:bCs/>
          <w:sz w:val="24"/>
          <w:szCs w:val="24"/>
        </w:rPr>
        <w:t xml:space="preserve"> </w:t>
      </w:r>
      <w:r w:rsidR="00D17896" w:rsidRPr="006D4542">
        <w:rPr>
          <w:rFonts w:ascii="Arial" w:hAnsi="Arial" w:cs="Arial"/>
          <w:sz w:val="24"/>
          <w:szCs w:val="24"/>
        </w:rPr>
        <w:t>Human</w:t>
      </w:r>
      <w:r w:rsidR="00D17896" w:rsidRPr="006D4542">
        <w:rPr>
          <w:rFonts w:ascii="Arial" w:hAnsi="Arial" w:cs="Arial"/>
          <w:bCs/>
          <w:sz w:val="24"/>
          <w:szCs w:val="24"/>
        </w:rPr>
        <w:t xml:space="preserve"> TK6 cells were </w:t>
      </w:r>
      <w:r w:rsidR="00D17896" w:rsidRPr="006D4542">
        <w:rPr>
          <w:rFonts w:ascii="Arial" w:hAnsi="Arial" w:cs="Arial"/>
          <w:sz w:val="24"/>
          <w:szCs w:val="24"/>
        </w:rPr>
        <w:t xml:space="preserve">originally obtained in 2008 from the American Type Culture Collection: </w:t>
      </w:r>
      <w:smartTag w:uri="urn:schemas-microsoft-com:office:smarttags" w:element="stockticker">
        <w:r w:rsidR="00D17896" w:rsidRPr="006D4542">
          <w:rPr>
            <w:rFonts w:ascii="Arial" w:hAnsi="Arial" w:cs="Arial"/>
            <w:sz w:val="24"/>
            <w:szCs w:val="24"/>
          </w:rPr>
          <w:t>ATCC</w:t>
        </w:r>
      </w:smartTag>
      <w:r w:rsidR="00D17896" w:rsidRPr="006D4542">
        <w:rPr>
          <w:rFonts w:ascii="Arial" w:hAnsi="Arial" w:cs="Arial"/>
          <w:sz w:val="24"/>
          <w:szCs w:val="24"/>
        </w:rPr>
        <w:t xml:space="preserve">, 10801 University Boulevard, Manassas, VA  20110.  </w:t>
      </w:r>
      <w:r w:rsidR="00F127AB">
        <w:rPr>
          <w:rFonts w:ascii="Arial" w:hAnsi="Arial" w:cs="Arial"/>
          <w:sz w:val="24"/>
          <w:szCs w:val="24"/>
        </w:rPr>
        <w:t xml:space="preserve">The conduct of the </w:t>
      </w:r>
      <w:r w:rsidR="00CB2030">
        <w:rPr>
          <w:rFonts w:ascii="Arial" w:hAnsi="Arial" w:cs="Arial"/>
          <w:sz w:val="24"/>
          <w:szCs w:val="24"/>
        </w:rPr>
        <w:t xml:space="preserve">MN </w:t>
      </w:r>
      <w:r w:rsidR="00F127AB">
        <w:rPr>
          <w:rFonts w:ascii="Arial" w:hAnsi="Arial" w:cs="Arial"/>
          <w:sz w:val="24"/>
          <w:szCs w:val="24"/>
        </w:rPr>
        <w:t xml:space="preserve">assay </w:t>
      </w:r>
      <w:r w:rsidR="00CB2030">
        <w:rPr>
          <w:rFonts w:ascii="Arial" w:hAnsi="Arial" w:cs="Arial"/>
          <w:sz w:val="24"/>
          <w:szCs w:val="24"/>
        </w:rPr>
        <w:t xml:space="preserve">in TK6 cells and corresponding </w:t>
      </w:r>
      <w:r w:rsidR="00A1079F">
        <w:rPr>
          <w:rFonts w:ascii="Arial" w:hAnsi="Arial" w:cs="Arial"/>
          <w:sz w:val="24"/>
          <w:szCs w:val="24"/>
        </w:rPr>
        <w:t xml:space="preserve">details are in Recio et al., 2012. Some of those data are reproduced in this manuscript to permit </w:t>
      </w:r>
      <w:r w:rsidR="004E662C">
        <w:rPr>
          <w:rFonts w:ascii="Arial" w:hAnsi="Arial" w:cs="Arial"/>
          <w:sz w:val="24"/>
          <w:szCs w:val="24"/>
        </w:rPr>
        <w:t>a</w:t>
      </w:r>
      <w:r w:rsidR="00A1079F">
        <w:rPr>
          <w:rFonts w:ascii="Arial" w:hAnsi="Arial" w:cs="Arial"/>
          <w:sz w:val="24"/>
          <w:szCs w:val="24"/>
        </w:rPr>
        <w:t xml:space="preserve"> direct comparison </w:t>
      </w:r>
      <w:r w:rsidR="004E662C">
        <w:rPr>
          <w:rFonts w:ascii="Arial" w:hAnsi="Arial" w:cs="Arial"/>
          <w:sz w:val="24"/>
          <w:szCs w:val="24"/>
        </w:rPr>
        <w:t>for the readers to the data obtained with napht</w:t>
      </w:r>
      <w:r w:rsidR="00E828BC">
        <w:rPr>
          <w:rFonts w:ascii="Arial" w:hAnsi="Arial" w:cs="Arial"/>
          <w:sz w:val="24"/>
          <w:szCs w:val="24"/>
        </w:rPr>
        <w:t xml:space="preserve">halene exposures </w:t>
      </w:r>
      <w:r w:rsidR="004E662C">
        <w:rPr>
          <w:rFonts w:ascii="Arial" w:hAnsi="Arial" w:cs="Arial"/>
          <w:sz w:val="24"/>
          <w:szCs w:val="24"/>
        </w:rPr>
        <w:t xml:space="preserve">in </w:t>
      </w:r>
      <w:r w:rsidR="00E828BC">
        <w:rPr>
          <w:rFonts w:ascii="Arial" w:hAnsi="Arial" w:cs="Arial"/>
          <w:sz w:val="24"/>
          <w:szCs w:val="24"/>
        </w:rPr>
        <w:t xml:space="preserve">metabolically competent </w:t>
      </w:r>
      <w:r w:rsidR="004E662C">
        <w:rPr>
          <w:rFonts w:ascii="Arial" w:hAnsi="Arial" w:cs="Arial"/>
          <w:sz w:val="24"/>
          <w:szCs w:val="24"/>
        </w:rPr>
        <w:t>HepaRG™ cells.</w:t>
      </w:r>
    </w:p>
    <w:p w14:paraId="18F8277B" w14:textId="77777777" w:rsidR="009859AB" w:rsidRPr="009859AB" w:rsidRDefault="009859AB" w:rsidP="003C4E50">
      <w:pPr>
        <w:spacing w:after="0" w:line="480" w:lineRule="auto"/>
        <w:jc w:val="both"/>
        <w:rPr>
          <w:rFonts w:ascii="Arial" w:hAnsi="Arial" w:cs="Arial"/>
          <w:b/>
          <w:bCs/>
          <w:sz w:val="24"/>
          <w:szCs w:val="24"/>
        </w:rPr>
      </w:pPr>
    </w:p>
    <w:p w14:paraId="46DE1705" w14:textId="1F233928" w:rsidR="00380432" w:rsidRPr="00ED6A53" w:rsidRDefault="00380432" w:rsidP="003C4E50">
      <w:pPr>
        <w:spacing w:after="0" w:line="480" w:lineRule="auto"/>
        <w:jc w:val="both"/>
        <w:rPr>
          <w:rFonts w:ascii="Arial" w:hAnsi="Arial" w:cs="Arial"/>
          <w:b/>
          <w:bCs/>
          <w:sz w:val="24"/>
          <w:szCs w:val="24"/>
        </w:rPr>
      </w:pPr>
      <w:r w:rsidRPr="00ED6A53">
        <w:rPr>
          <w:rFonts w:ascii="Arial" w:hAnsi="Arial" w:cs="Arial"/>
          <w:b/>
          <w:bCs/>
          <w:sz w:val="24"/>
          <w:szCs w:val="24"/>
        </w:rPr>
        <w:t xml:space="preserve">HepaRG™ Cell </w:t>
      </w:r>
      <w:r w:rsidR="00BA264F" w:rsidRPr="00ED6A53">
        <w:rPr>
          <w:rFonts w:ascii="Arial" w:hAnsi="Arial" w:cs="Arial"/>
          <w:b/>
          <w:bCs/>
          <w:sz w:val="24"/>
          <w:szCs w:val="24"/>
        </w:rPr>
        <w:t>Culture</w:t>
      </w:r>
      <w:r w:rsidR="00D26D64" w:rsidRPr="00ED6A53">
        <w:rPr>
          <w:rFonts w:ascii="Arial" w:hAnsi="Arial" w:cs="Arial"/>
          <w:b/>
          <w:bCs/>
          <w:sz w:val="24"/>
          <w:szCs w:val="24"/>
        </w:rPr>
        <w:t xml:space="preserve">, </w:t>
      </w:r>
      <w:r w:rsidRPr="00ED6A53">
        <w:rPr>
          <w:rFonts w:ascii="Arial" w:hAnsi="Arial" w:cs="Arial"/>
          <w:b/>
          <w:bCs/>
          <w:sz w:val="24"/>
          <w:szCs w:val="24"/>
        </w:rPr>
        <w:t>Chemical Exposures</w:t>
      </w:r>
      <w:r w:rsidR="00D26D64" w:rsidRPr="00ED6A53">
        <w:rPr>
          <w:rFonts w:ascii="Arial" w:hAnsi="Arial" w:cs="Arial"/>
          <w:b/>
          <w:bCs/>
          <w:sz w:val="24"/>
          <w:szCs w:val="24"/>
        </w:rPr>
        <w:t xml:space="preserve"> and conduct of HepaRG™ CometChip® and MN Assay</w:t>
      </w:r>
    </w:p>
    <w:p w14:paraId="1FF951CB" w14:textId="0CFADE01" w:rsidR="009169EF" w:rsidRPr="00ED6A53" w:rsidRDefault="00D26D64" w:rsidP="003C4E50">
      <w:pPr>
        <w:spacing w:after="0" w:line="480" w:lineRule="auto"/>
        <w:jc w:val="both"/>
        <w:rPr>
          <w:rFonts w:ascii="Arial" w:hAnsi="Arial" w:cs="Arial"/>
          <w:sz w:val="24"/>
          <w:szCs w:val="24"/>
        </w:rPr>
      </w:pPr>
      <w:r w:rsidRPr="00ED6A53">
        <w:rPr>
          <w:rFonts w:ascii="Arial" w:hAnsi="Arial" w:cs="Arial"/>
          <w:sz w:val="24"/>
          <w:szCs w:val="24"/>
        </w:rPr>
        <w:t xml:space="preserve">A detailed protocol for the cell culture of NoSpin® HepaRG™ cells (Lonza), chemical exposures, and conduct of the CometChip® assay has </w:t>
      </w:r>
      <w:r w:rsidR="007F4634" w:rsidRPr="00ED6A53">
        <w:rPr>
          <w:rFonts w:ascii="Arial" w:hAnsi="Arial" w:cs="Arial"/>
          <w:sz w:val="24"/>
          <w:szCs w:val="24"/>
        </w:rPr>
        <w:t>been</w:t>
      </w:r>
      <w:r w:rsidR="00A82B68" w:rsidRPr="00ED6A53">
        <w:rPr>
          <w:rFonts w:ascii="Arial" w:hAnsi="Arial" w:cs="Arial"/>
          <w:sz w:val="24"/>
          <w:szCs w:val="24"/>
        </w:rPr>
        <w:t xml:space="preserve"> published</w:t>
      </w:r>
      <w:r w:rsidRPr="00ED6A53">
        <w:rPr>
          <w:rFonts w:ascii="Arial" w:hAnsi="Arial" w:cs="Arial"/>
          <w:sz w:val="24"/>
          <w:szCs w:val="24"/>
        </w:rPr>
        <w:t xml:space="preserve"> (Owiti et al., 2022; Buick et al., 2021). The details regarding the conduct of HepaRG™ MN assay have been published in detail (Buick et al., 2019). For the studies in this manuscript</w:t>
      </w:r>
      <w:r w:rsidR="00914896" w:rsidRPr="00ED6A53">
        <w:rPr>
          <w:rFonts w:ascii="Arial" w:hAnsi="Arial" w:cs="Arial"/>
          <w:sz w:val="24"/>
          <w:szCs w:val="24"/>
        </w:rPr>
        <w:t>,</w:t>
      </w:r>
      <w:r w:rsidRPr="00ED6A53">
        <w:rPr>
          <w:rFonts w:ascii="Arial" w:hAnsi="Arial" w:cs="Arial"/>
          <w:sz w:val="24"/>
          <w:szCs w:val="24"/>
        </w:rPr>
        <w:t xml:space="preserve"> we used the same 3-day repeat exposure regimen as done previously </w:t>
      </w:r>
      <w:r w:rsidR="00695CF5" w:rsidRPr="00ED6A53">
        <w:rPr>
          <w:rFonts w:ascii="Arial" w:hAnsi="Arial" w:cs="Arial"/>
          <w:sz w:val="24"/>
          <w:szCs w:val="24"/>
        </w:rPr>
        <w:t xml:space="preserve">and described in detail </w:t>
      </w:r>
      <w:r w:rsidRPr="00ED6A53">
        <w:rPr>
          <w:rFonts w:ascii="Arial" w:hAnsi="Arial" w:cs="Arial"/>
          <w:sz w:val="24"/>
          <w:szCs w:val="24"/>
        </w:rPr>
        <w:t>(Buick et al., 2019, 2021</w:t>
      </w:r>
      <w:r w:rsidR="00914896" w:rsidRPr="00ED6A53">
        <w:rPr>
          <w:rFonts w:ascii="Arial" w:hAnsi="Arial" w:cs="Arial"/>
          <w:sz w:val="24"/>
          <w:szCs w:val="24"/>
        </w:rPr>
        <w:t>, Owiti et al., 2022).</w:t>
      </w:r>
    </w:p>
    <w:p w14:paraId="49C77FA4" w14:textId="77777777" w:rsidR="00D26D64" w:rsidRPr="00ED6A53" w:rsidRDefault="00D26D64" w:rsidP="003C4E50">
      <w:pPr>
        <w:spacing w:after="0" w:line="480" w:lineRule="auto"/>
        <w:jc w:val="both"/>
        <w:rPr>
          <w:rFonts w:ascii="Arial" w:hAnsi="Arial" w:cs="Arial"/>
          <w:sz w:val="24"/>
          <w:szCs w:val="24"/>
        </w:rPr>
      </w:pPr>
    </w:p>
    <w:p w14:paraId="2895D934" w14:textId="67447EF6" w:rsidR="00D26D64" w:rsidRPr="00ED6A53" w:rsidRDefault="00D26D64" w:rsidP="003C4E50">
      <w:pPr>
        <w:spacing w:after="0" w:line="480" w:lineRule="auto"/>
        <w:jc w:val="both"/>
        <w:rPr>
          <w:rFonts w:ascii="Arial" w:hAnsi="Arial" w:cs="Arial"/>
          <w:b/>
          <w:bCs/>
          <w:sz w:val="24"/>
          <w:szCs w:val="24"/>
        </w:rPr>
      </w:pPr>
      <w:r w:rsidRPr="00ED6A53">
        <w:rPr>
          <w:rFonts w:ascii="Arial" w:hAnsi="Arial" w:cs="Arial"/>
          <w:b/>
          <w:bCs/>
          <w:sz w:val="24"/>
          <w:szCs w:val="24"/>
        </w:rPr>
        <w:t>Cell Viability Assay</w:t>
      </w:r>
    </w:p>
    <w:p w14:paraId="2E085438" w14:textId="5F56969A" w:rsidR="00D26D64" w:rsidRPr="00ED6A53" w:rsidRDefault="00D26D64" w:rsidP="003C4E50">
      <w:pPr>
        <w:spacing w:after="0" w:line="480" w:lineRule="auto"/>
        <w:jc w:val="both"/>
        <w:rPr>
          <w:rFonts w:ascii="Arial" w:hAnsi="Arial" w:cs="Arial"/>
          <w:sz w:val="24"/>
          <w:szCs w:val="24"/>
        </w:rPr>
      </w:pPr>
      <w:r w:rsidRPr="00ED6A53">
        <w:rPr>
          <w:rFonts w:ascii="Arial" w:hAnsi="Arial" w:cs="Arial"/>
          <w:sz w:val="24"/>
          <w:szCs w:val="24"/>
        </w:rPr>
        <w:t xml:space="preserve">The CellTiter-Glo® Luminescent Cell Viability Assay (Promega, Madison, WI, USA) was used to determine the number of viable HepaRG™ cells based on the quantification of ATP present following each chemical treatment. Cytotoxicity was evaluated 4 </w:t>
      </w:r>
      <w:r w:rsidR="001B5A75" w:rsidRPr="00ED6A53">
        <w:rPr>
          <w:rFonts w:ascii="Arial" w:hAnsi="Arial" w:cs="Arial"/>
          <w:sz w:val="24"/>
          <w:szCs w:val="24"/>
        </w:rPr>
        <w:t>hrs</w:t>
      </w:r>
      <w:r w:rsidRPr="00ED6A53">
        <w:rPr>
          <w:rFonts w:ascii="Arial" w:hAnsi="Arial" w:cs="Arial"/>
          <w:sz w:val="24"/>
          <w:szCs w:val="24"/>
        </w:rPr>
        <w:t xml:space="preserve"> after the last exposure following the manufacturer’s instructions in 96-well plates. Briefly, wells containing 100 µl cell samples were equilibrated at room temperature for 30 min prior to the addition of CellTiter-Glo® Reagent to each well in a volume equal to that of the cell culture medium (e.g., 100 µl). The contents were mixed for 2 min on an orbital shaker to induce cell lysis prior to incubation at room temperature for 10 min to stabilize the luminescent signal. Luminescence was measured on a SpectraMax® plate reader (Molecular Devices, San Jose, CA, USA). Luminescent signal is the result of the release of ATP from metabolically active cells and is directly proportional to the number of viable cells in the culture. The cytotoxicity cut-off was &gt; 60% cytotoxic (equivalent to &lt; 40% viable cells).</w:t>
      </w:r>
    </w:p>
    <w:p w14:paraId="6353149B" w14:textId="77777777" w:rsidR="00695CF5" w:rsidRPr="00ED6A53" w:rsidRDefault="00695CF5" w:rsidP="003C4E50">
      <w:pPr>
        <w:spacing w:after="0" w:line="480" w:lineRule="auto"/>
        <w:jc w:val="both"/>
        <w:rPr>
          <w:rFonts w:ascii="Arial" w:hAnsi="Arial" w:cs="Arial"/>
          <w:sz w:val="24"/>
          <w:szCs w:val="24"/>
        </w:rPr>
      </w:pPr>
    </w:p>
    <w:p w14:paraId="054A72C0" w14:textId="7884A4F2" w:rsidR="00695CF5" w:rsidRPr="00ED6A53" w:rsidRDefault="008D72DA" w:rsidP="003C4E50">
      <w:pPr>
        <w:spacing w:after="0" w:line="480" w:lineRule="auto"/>
        <w:jc w:val="both"/>
        <w:rPr>
          <w:rFonts w:ascii="Arial" w:hAnsi="Arial" w:cs="Arial"/>
          <w:b/>
          <w:bCs/>
          <w:sz w:val="24"/>
          <w:szCs w:val="24"/>
        </w:rPr>
      </w:pPr>
      <w:r w:rsidRPr="00ED6A53">
        <w:rPr>
          <w:rFonts w:ascii="Arial" w:hAnsi="Arial" w:cs="Arial"/>
          <w:b/>
          <w:bCs/>
          <w:sz w:val="24"/>
          <w:szCs w:val="24"/>
        </w:rPr>
        <w:t>Bio</w:t>
      </w:r>
      <w:r w:rsidR="00E96448" w:rsidRPr="00ED6A53">
        <w:rPr>
          <w:rFonts w:ascii="Arial" w:hAnsi="Arial" w:cs="Arial"/>
          <w:b/>
          <w:bCs/>
          <w:sz w:val="24"/>
          <w:szCs w:val="24"/>
        </w:rPr>
        <w:t>-</w:t>
      </w:r>
      <w:r w:rsidRPr="00ED6A53">
        <w:rPr>
          <w:rFonts w:ascii="Arial" w:hAnsi="Arial" w:cs="Arial"/>
          <w:b/>
          <w:bCs/>
          <w:sz w:val="24"/>
          <w:szCs w:val="24"/>
        </w:rPr>
        <w:t>techne</w:t>
      </w:r>
      <w:r w:rsidR="00E96448" w:rsidRPr="00ED6A53">
        <w:rPr>
          <w:rFonts w:ascii="Arial" w:hAnsi="Arial" w:cs="Arial"/>
          <w:b/>
          <w:bCs/>
          <w:sz w:val="24"/>
          <w:szCs w:val="24"/>
        </w:rPr>
        <w:t>®</w:t>
      </w:r>
      <w:r w:rsidR="00695CF5" w:rsidRPr="00ED6A53">
        <w:rPr>
          <w:rFonts w:ascii="Arial" w:hAnsi="Arial" w:cs="Arial"/>
          <w:b/>
          <w:bCs/>
          <w:sz w:val="24"/>
          <w:szCs w:val="24"/>
        </w:rPr>
        <w:t xml:space="preserve"> CometChip® Assay</w:t>
      </w:r>
    </w:p>
    <w:p w14:paraId="1420ED92" w14:textId="0E23B5A1" w:rsidR="00695CF5" w:rsidRPr="00ED6A53" w:rsidRDefault="00695CF5" w:rsidP="003C4E50">
      <w:pPr>
        <w:spacing w:after="0" w:line="480" w:lineRule="auto"/>
        <w:jc w:val="both"/>
        <w:rPr>
          <w:rFonts w:ascii="Arial" w:hAnsi="Arial" w:cs="Arial"/>
          <w:sz w:val="24"/>
          <w:szCs w:val="24"/>
        </w:rPr>
      </w:pPr>
      <w:r w:rsidRPr="00ED6A53">
        <w:rPr>
          <w:rFonts w:ascii="Arial" w:hAnsi="Arial" w:cs="Arial"/>
          <w:sz w:val="24"/>
          <w:szCs w:val="24"/>
        </w:rPr>
        <w:t xml:space="preserve">Exposed and control HepaRG™ cells were loaded into the CometChip® wells and were allowed to settle into microwells of a 96-well CometChip®. A 1% agarose overlay was then applied, and the cells were lysed in cold lysis buffer (2.5 M NaCl, 100 mM EDTA, 10 mM Tris, pH 10 with 1% Triton X-100 (Sigma, St. Louis, MO, USA) and 10% DMSO) overnight at 4°C. Following lysis, the CometChip® was equilibrated in an alkaline electrophoresis buffer (300 mM NaOH/1 mM EDTA) for </w:t>
      </w:r>
      <w:r w:rsidR="007E60A4" w:rsidRPr="00ED6A53">
        <w:rPr>
          <w:rFonts w:ascii="Arial" w:hAnsi="Arial" w:cs="Arial"/>
          <w:sz w:val="24"/>
          <w:szCs w:val="24"/>
        </w:rPr>
        <w:t>6</w:t>
      </w:r>
      <w:r w:rsidRPr="00ED6A53">
        <w:rPr>
          <w:rFonts w:ascii="Arial" w:hAnsi="Arial" w:cs="Arial"/>
          <w:sz w:val="24"/>
          <w:szCs w:val="24"/>
        </w:rPr>
        <w:t xml:space="preserve">0 min and electrophoresed for 50 min under a 300 mA current at 4°C. These alkaline conditions are used to detect DNA </w:t>
      </w:r>
      <w:r w:rsidR="00BD127B">
        <w:rPr>
          <w:rFonts w:ascii="Arial" w:hAnsi="Arial" w:cs="Arial"/>
          <w:sz w:val="24"/>
          <w:szCs w:val="24"/>
        </w:rPr>
        <w:t>single strand breaks</w:t>
      </w:r>
      <w:r w:rsidRPr="00ED6A53">
        <w:rPr>
          <w:rFonts w:ascii="Arial" w:hAnsi="Arial" w:cs="Arial"/>
          <w:sz w:val="24"/>
          <w:szCs w:val="24"/>
        </w:rPr>
        <w:t>. Following electrophoresis, the CometChip® was neutralized at 4°C for 2 × 15 min in 0.4 M Tris, pH 7.4 and equilibrated overnight at 4°C in 20 mM Tris, pH 7.4. Once equilibrated, the CometChip® was stained for 30 min at 4°C in 0.1X SYBR Gold and then de</w:t>
      </w:r>
      <w:r w:rsidR="002A3783" w:rsidRPr="00ED6A53">
        <w:rPr>
          <w:rFonts w:ascii="Arial" w:hAnsi="Arial" w:cs="Arial"/>
          <w:sz w:val="24"/>
          <w:szCs w:val="24"/>
        </w:rPr>
        <w:t>-</w:t>
      </w:r>
      <w:r w:rsidRPr="00ED6A53">
        <w:rPr>
          <w:rFonts w:ascii="Arial" w:hAnsi="Arial" w:cs="Arial"/>
          <w:sz w:val="24"/>
          <w:szCs w:val="24"/>
        </w:rPr>
        <w:t xml:space="preserve">stained for &gt;1 </w:t>
      </w:r>
      <w:r w:rsidR="002A3783" w:rsidRPr="00ED6A53">
        <w:rPr>
          <w:rFonts w:ascii="Arial" w:hAnsi="Arial" w:cs="Arial"/>
          <w:sz w:val="24"/>
          <w:szCs w:val="24"/>
        </w:rPr>
        <w:t>hr.</w:t>
      </w:r>
      <w:r w:rsidRPr="00ED6A53">
        <w:rPr>
          <w:rFonts w:ascii="Arial" w:hAnsi="Arial" w:cs="Arial"/>
          <w:sz w:val="24"/>
          <w:szCs w:val="24"/>
        </w:rPr>
        <w:t xml:space="preserve"> at 4°C in 20 mM Tris, pH 7.4.  After de</w:t>
      </w:r>
      <w:r w:rsidR="002A3783" w:rsidRPr="00ED6A53">
        <w:rPr>
          <w:rFonts w:ascii="Arial" w:hAnsi="Arial" w:cs="Arial"/>
          <w:sz w:val="24"/>
          <w:szCs w:val="24"/>
        </w:rPr>
        <w:t>-</w:t>
      </w:r>
      <w:r w:rsidRPr="00ED6A53">
        <w:rPr>
          <w:rFonts w:ascii="Arial" w:hAnsi="Arial" w:cs="Arial"/>
          <w:sz w:val="24"/>
          <w:szCs w:val="24"/>
        </w:rPr>
        <w:t>staining, images were taken at 4X magnification of all 96 wells. The tiff images were captured and analyzed using Trevigen® Comet Analysis Software.</w:t>
      </w:r>
    </w:p>
    <w:p w14:paraId="4E46A7E5" w14:textId="77777777" w:rsidR="00695CF5" w:rsidRPr="00ED6A53" w:rsidRDefault="00695CF5" w:rsidP="003C4E50">
      <w:pPr>
        <w:spacing w:after="0" w:line="480" w:lineRule="auto"/>
        <w:jc w:val="both"/>
        <w:rPr>
          <w:rFonts w:ascii="Arial" w:hAnsi="Arial" w:cs="Arial"/>
          <w:sz w:val="24"/>
          <w:szCs w:val="24"/>
        </w:rPr>
      </w:pPr>
    </w:p>
    <w:p w14:paraId="07A3DC54" w14:textId="77777777" w:rsidR="00695CF5" w:rsidRPr="00ED6A53" w:rsidRDefault="00695CF5" w:rsidP="003C4E50">
      <w:pPr>
        <w:spacing w:after="0" w:line="480" w:lineRule="auto"/>
        <w:jc w:val="both"/>
        <w:rPr>
          <w:rFonts w:ascii="Arial" w:hAnsi="Arial" w:cs="Arial"/>
          <w:b/>
          <w:bCs/>
          <w:sz w:val="24"/>
          <w:szCs w:val="24"/>
        </w:rPr>
      </w:pPr>
      <w:r w:rsidRPr="00ED6A53">
        <w:rPr>
          <w:rFonts w:ascii="Arial" w:hAnsi="Arial" w:cs="Arial"/>
          <w:b/>
          <w:bCs/>
          <w:sz w:val="24"/>
          <w:szCs w:val="24"/>
        </w:rPr>
        <w:t>Statistical Analysis of CometChip® Data</w:t>
      </w:r>
    </w:p>
    <w:p w14:paraId="344837B7" w14:textId="146D4BA9" w:rsidR="00695CF5" w:rsidRPr="00ED6A53" w:rsidRDefault="00695CF5" w:rsidP="003C4E50">
      <w:pPr>
        <w:spacing w:after="0" w:line="480" w:lineRule="auto"/>
        <w:jc w:val="both"/>
        <w:rPr>
          <w:rFonts w:ascii="Arial" w:hAnsi="Arial" w:cs="Arial"/>
          <w:sz w:val="24"/>
          <w:szCs w:val="24"/>
        </w:rPr>
      </w:pPr>
      <w:r w:rsidRPr="00ED6A53">
        <w:rPr>
          <w:rFonts w:ascii="Arial" w:hAnsi="Arial" w:cs="Arial"/>
          <w:sz w:val="24"/>
          <w:szCs w:val="24"/>
        </w:rPr>
        <w:t xml:space="preserve">The median % tail DNA for the CometChip® data was analyzed using one-way analysis of variance (ANOVA). The Anderson-Darling statistic was used to </w:t>
      </w:r>
      <w:r w:rsidR="001A1B42" w:rsidRPr="00ED6A53">
        <w:rPr>
          <w:rFonts w:ascii="Arial" w:hAnsi="Arial" w:cs="Arial"/>
          <w:sz w:val="24"/>
          <w:szCs w:val="24"/>
        </w:rPr>
        <w:t>evaluate</w:t>
      </w:r>
      <w:r w:rsidRPr="00ED6A53">
        <w:rPr>
          <w:rFonts w:ascii="Arial" w:hAnsi="Arial" w:cs="Arial"/>
          <w:sz w:val="24"/>
          <w:szCs w:val="24"/>
        </w:rPr>
        <w:t xml:space="preserve"> the normality assumption and the Fligner-Killeen test of homogeneity of variances was used to test the common variance assumption. If either assumption was not satisfied, the rank transformation was applied and </w:t>
      </w:r>
      <w:r w:rsidR="00065948">
        <w:rPr>
          <w:rFonts w:ascii="Arial" w:hAnsi="Arial" w:cs="Arial"/>
          <w:sz w:val="24"/>
          <w:szCs w:val="24"/>
        </w:rPr>
        <w:t>a</w:t>
      </w:r>
      <w:r w:rsidRPr="00ED6A53">
        <w:rPr>
          <w:rFonts w:ascii="Arial" w:hAnsi="Arial" w:cs="Arial"/>
          <w:sz w:val="24"/>
          <w:szCs w:val="24"/>
        </w:rPr>
        <w:t xml:space="preserve"> non-parametric one-way ANOVA was performed (Conover &amp; Iman, 1981). Any pairwise comparisons to matched vehicle controls were conducted using the t-test. The resulting p-values were then </w:t>
      </w:r>
      <w:r w:rsidR="00170A7B" w:rsidRPr="00170A7B">
        <w:rPr>
          <w:rFonts w:ascii="Arial" w:hAnsi="Arial" w:cs="Arial"/>
          <w:sz w:val="24"/>
          <w:szCs w:val="24"/>
        </w:rPr>
        <w:t xml:space="preserve">family-wise error rate </w:t>
      </w:r>
      <w:r w:rsidRPr="00ED6A53">
        <w:rPr>
          <w:rFonts w:ascii="Arial" w:hAnsi="Arial" w:cs="Arial"/>
          <w:sz w:val="24"/>
          <w:szCs w:val="24"/>
        </w:rPr>
        <w:t xml:space="preserve">adjusted using </w:t>
      </w:r>
      <w:r w:rsidR="00415CA9" w:rsidRPr="00ED6A53">
        <w:rPr>
          <w:rFonts w:ascii="Arial" w:hAnsi="Arial" w:cs="Arial"/>
          <w:sz w:val="24"/>
          <w:szCs w:val="24"/>
        </w:rPr>
        <w:t>Dunnett’s</w:t>
      </w:r>
      <w:r w:rsidRPr="00ED6A53">
        <w:rPr>
          <w:rFonts w:ascii="Arial" w:hAnsi="Arial" w:cs="Arial"/>
          <w:sz w:val="24"/>
          <w:szCs w:val="24"/>
        </w:rPr>
        <w:t xml:space="preserve"> method. </w:t>
      </w:r>
    </w:p>
    <w:p w14:paraId="0AA95298" w14:textId="77777777" w:rsidR="00695CF5" w:rsidRPr="00ED6A53" w:rsidRDefault="00695CF5" w:rsidP="003C4E50">
      <w:pPr>
        <w:spacing w:after="0" w:line="480" w:lineRule="auto"/>
        <w:jc w:val="both"/>
        <w:rPr>
          <w:rFonts w:ascii="Arial" w:hAnsi="Arial" w:cs="Arial"/>
          <w:sz w:val="24"/>
          <w:szCs w:val="24"/>
        </w:rPr>
      </w:pPr>
    </w:p>
    <w:p w14:paraId="2A8F556B" w14:textId="77777777" w:rsidR="00380432" w:rsidRPr="00ED6A53" w:rsidRDefault="00380432" w:rsidP="003C4E50">
      <w:pPr>
        <w:spacing w:after="0" w:line="480" w:lineRule="auto"/>
        <w:jc w:val="both"/>
        <w:rPr>
          <w:rFonts w:ascii="Arial" w:hAnsi="Arial" w:cs="Arial"/>
          <w:b/>
          <w:bCs/>
          <w:sz w:val="24"/>
          <w:szCs w:val="24"/>
        </w:rPr>
      </w:pPr>
      <w:r w:rsidRPr="00ED6A53">
        <w:rPr>
          <w:rFonts w:ascii="Arial" w:hAnsi="Arial" w:cs="Arial"/>
          <w:b/>
          <w:bCs/>
          <w:sz w:val="24"/>
          <w:szCs w:val="24"/>
        </w:rPr>
        <w:t>HepaRG™ Cell MN Assay Culture and Chemical Exposures</w:t>
      </w:r>
    </w:p>
    <w:p w14:paraId="57CCC4E8" w14:textId="488397E6" w:rsidR="00380432" w:rsidRPr="00ED6A53" w:rsidRDefault="005D6B8D" w:rsidP="003C4E50">
      <w:pPr>
        <w:spacing w:after="0" w:line="480" w:lineRule="auto"/>
        <w:jc w:val="both"/>
        <w:rPr>
          <w:rFonts w:ascii="Arial" w:hAnsi="Arial" w:cs="Arial"/>
          <w:sz w:val="24"/>
          <w:szCs w:val="24"/>
        </w:rPr>
      </w:pPr>
      <w:r w:rsidRPr="00ED6A53">
        <w:rPr>
          <w:rFonts w:ascii="Arial" w:hAnsi="Arial" w:cs="Arial"/>
          <w:sz w:val="24"/>
          <w:szCs w:val="24"/>
        </w:rPr>
        <w:t>Methods for the conduct of the in vitro MN assay in</w:t>
      </w:r>
      <w:r w:rsidR="00D03098" w:rsidRPr="00ED6A53">
        <w:rPr>
          <w:rFonts w:ascii="Arial" w:hAnsi="Arial" w:cs="Arial"/>
          <w:sz w:val="24"/>
          <w:szCs w:val="24"/>
        </w:rPr>
        <w:t xml:space="preserve"> </w:t>
      </w:r>
      <w:r w:rsidRPr="00ED6A53">
        <w:rPr>
          <w:rFonts w:ascii="Arial" w:hAnsi="Arial" w:cs="Arial"/>
          <w:sz w:val="24"/>
          <w:szCs w:val="24"/>
        </w:rPr>
        <w:t>HepaRG cell</w:t>
      </w:r>
      <w:r w:rsidR="00A60EE8" w:rsidRPr="00ED6A53">
        <w:rPr>
          <w:rFonts w:ascii="Arial" w:hAnsi="Arial" w:cs="Arial"/>
          <w:sz w:val="24"/>
          <w:szCs w:val="24"/>
        </w:rPr>
        <w:t>s ha</w:t>
      </w:r>
      <w:r w:rsidR="000D5C18" w:rsidRPr="00ED6A53">
        <w:rPr>
          <w:rFonts w:ascii="Arial" w:hAnsi="Arial" w:cs="Arial"/>
          <w:sz w:val="24"/>
          <w:szCs w:val="24"/>
        </w:rPr>
        <w:t>ve</w:t>
      </w:r>
      <w:r w:rsidR="00A60EE8" w:rsidRPr="00ED6A53">
        <w:rPr>
          <w:rFonts w:ascii="Arial" w:hAnsi="Arial" w:cs="Arial"/>
          <w:sz w:val="24"/>
          <w:szCs w:val="24"/>
        </w:rPr>
        <w:t xml:space="preserve"> been published in detail (Buick et al., 2019). </w:t>
      </w:r>
      <w:r w:rsidR="008D72DA" w:rsidRPr="00ED6A53">
        <w:rPr>
          <w:rFonts w:ascii="Arial" w:hAnsi="Arial" w:cs="Arial"/>
          <w:sz w:val="24"/>
          <w:szCs w:val="24"/>
        </w:rPr>
        <w:t xml:space="preserve">Briefly, HepaRG cells </w:t>
      </w:r>
      <w:r w:rsidR="00380432" w:rsidRPr="00ED6A53">
        <w:rPr>
          <w:rFonts w:ascii="Arial" w:hAnsi="Arial" w:cs="Arial"/>
          <w:sz w:val="24"/>
          <w:szCs w:val="24"/>
        </w:rPr>
        <w:t xml:space="preserve">were </w:t>
      </w:r>
      <w:r w:rsidR="008D72DA" w:rsidRPr="00ED6A53">
        <w:rPr>
          <w:rFonts w:ascii="Arial" w:hAnsi="Arial" w:cs="Arial"/>
          <w:sz w:val="24"/>
          <w:szCs w:val="24"/>
        </w:rPr>
        <w:t>exposed</w:t>
      </w:r>
      <w:r w:rsidR="00380432" w:rsidRPr="00ED6A53">
        <w:rPr>
          <w:rFonts w:ascii="Arial" w:hAnsi="Arial" w:cs="Arial"/>
          <w:sz w:val="24"/>
          <w:szCs w:val="24"/>
        </w:rPr>
        <w:t xml:space="preserve"> </w:t>
      </w:r>
      <w:r w:rsidR="008D72DA" w:rsidRPr="00ED6A53">
        <w:rPr>
          <w:rFonts w:ascii="Arial" w:hAnsi="Arial" w:cs="Arial"/>
          <w:sz w:val="24"/>
          <w:szCs w:val="24"/>
        </w:rPr>
        <w:t xml:space="preserve">to </w:t>
      </w:r>
      <w:r w:rsidR="00380432" w:rsidRPr="00ED6A53">
        <w:rPr>
          <w:rFonts w:ascii="Arial" w:hAnsi="Arial" w:cs="Arial"/>
          <w:sz w:val="24"/>
          <w:szCs w:val="24"/>
        </w:rPr>
        <w:t xml:space="preserve">six concentrations of </w:t>
      </w:r>
      <w:r w:rsidR="009F1156" w:rsidRPr="00ED6A53">
        <w:rPr>
          <w:rFonts w:ascii="Arial" w:hAnsi="Arial" w:cs="Arial"/>
          <w:sz w:val="24"/>
          <w:szCs w:val="24"/>
        </w:rPr>
        <w:t>naphthalene</w:t>
      </w:r>
      <w:r w:rsidR="00380432" w:rsidRPr="00ED6A53">
        <w:rPr>
          <w:rFonts w:ascii="Arial" w:hAnsi="Arial" w:cs="Arial"/>
          <w:sz w:val="24"/>
          <w:szCs w:val="24"/>
        </w:rPr>
        <w:t xml:space="preserve"> refreshed with media and test article daily for 3 days, </w:t>
      </w:r>
      <w:r w:rsidR="00F42F95" w:rsidRPr="00ED6A53">
        <w:rPr>
          <w:rFonts w:ascii="Arial" w:hAnsi="Arial" w:cs="Arial"/>
          <w:sz w:val="24"/>
          <w:szCs w:val="24"/>
        </w:rPr>
        <w:t>i.e.,</w:t>
      </w:r>
      <w:r w:rsidR="00380432" w:rsidRPr="00ED6A53">
        <w:rPr>
          <w:rFonts w:ascii="Arial" w:hAnsi="Arial" w:cs="Arial"/>
          <w:sz w:val="24"/>
          <w:szCs w:val="24"/>
        </w:rPr>
        <w:t xml:space="preserve"> 3-day repeat exposures (0 hr, 24 hr, and 48 hr). </w:t>
      </w:r>
      <w:r w:rsidR="006F5D63" w:rsidRPr="00ED6A53">
        <w:rPr>
          <w:rFonts w:ascii="Arial" w:hAnsi="Arial" w:cs="Arial"/>
          <w:sz w:val="24"/>
          <w:szCs w:val="24"/>
        </w:rPr>
        <w:t>Twenty-four</w:t>
      </w:r>
      <w:r w:rsidR="00380432" w:rsidRPr="00ED6A53">
        <w:rPr>
          <w:rFonts w:ascii="Arial" w:hAnsi="Arial" w:cs="Arial"/>
          <w:sz w:val="24"/>
          <w:szCs w:val="24"/>
        </w:rPr>
        <w:t xml:space="preserve"> hrs after the day 3 exposure test articles were then removed, </w:t>
      </w:r>
      <w:r w:rsidR="006F5D63" w:rsidRPr="00ED6A53">
        <w:rPr>
          <w:rFonts w:ascii="Arial" w:hAnsi="Arial" w:cs="Arial"/>
          <w:sz w:val="24"/>
          <w:szCs w:val="24"/>
        </w:rPr>
        <w:t xml:space="preserve">fresh </w:t>
      </w:r>
      <w:r w:rsidR="00380432" w:rsidRPr="00ED6A53">
        <w:rPr>
          <w:rFonts w:ascii="Arial" w:hAnsi="Arial" w:cs="Arial"/>
          <w:sz w:val="24"/>
          <w:szCs w:val="24"/>
        </w:rPr>
        <w:t xml:space="preserve">media was </w:t>
      </w:r>
      <w:r w:rsidR="006F5D63" w:rsidRPr="00ED6A53">
        <w:rPr>
          <w:rFonts w:ascii="Arial" w:hAnsi="Arial" w:cs="Arial"/>
          <w:sz w:val="24"/>
          <w:szCs w:val="24"/>
        </w:rPr>
        <w:t>added,</w:t>
      </w:r>
      <w:r w:rsidR="00380432" w:rsidRPr="00ED6A53">
        <w:rPr>
          <w:rFonts w:ascii="Arial" w:hAnsi="Arial" w:cs="Arial"/>
          <w:sz w:val="24"/>
          <w:szCs w:val="24"/>
        </w:rPr>
        <w:t xml:space="preserve"> and the cells were stimulated with human Epidermal Growth Factor-1 (hEGF) for an additional 72 hours to induce cell division (i.e., 144 hr total time following the last chemical exposure). The 3-day mitogen stimulation was found to increase the cell population by approximately 2-fold. </w:t>
      </w:r>
    </w:p>
    <w:p w14:paraId="0123B782" w14:textId="77777777" w:rsidR="009F1156" w:rsidRPr="00ED6A53" w:rsidRDefault="009F1156" w:rsidP="003C4E50">
      <w:pPr>
        <w:spacing w:after="0" w:line="480" w:lineRule="auto"/>
        <w:jc w:val="both"/>
        <w:rPr>
          <w:rFonts w:ascii="Arial" w:hAnsi="Arial" w:cs="Arial"/>
          <w:sz w:val="24"/>
          <w:szCs w:val="24"/>
        </w:rPr>
      </w:pPr>
    </w:p>
    <w:p w14:paraId="65AAECB8" w14:textId="3FDDD70E" w:rsidR="00380432" w:rsidRPr="00ED6A53" w:rsidRDefault="00380432" w:rsidP="003C4E50">
      <w:pPr>
        <w:spacing w:after="0" w:line="480" w:lineRule="auto"/>
        <w:jc w:val="both"/>
        <w:rPr>
          <w:rFonts w:ascii="Arial" w:hAnsi="Arial" w:cs="Arial"/>
          <w:b/>
          <w:bCs/>
          <w:sz w:val="24"/>
          <w:szCs w:val="24"/>
        </w:rPr>
      </w:pPr>
      <w:r w:rsidRPr="00ED6A53">
        <w:rPr>
          <w:rFonts w:ascii="Arial" w:hAnsi="Arial" w:cs="Arial"/>
          <w:b/>
          <w:bCs/>
          <w:sz w:val="24"/>
          <w:szCs w:val="24"/>
        </w:rPr>
        <w:t>In Vitro MicroFlow</w:t>
      </w:r>
      <w:r w:rsidR="004E20BF">
        <w:rPr>
          <w:rFonts w:ascii="Arial" w:hAnsi="Arial" w:cs="Arial"/>
          <w:b/>
          <w:bCs/>
          <w:sz w:val="24"/>
          <w:szCs w:val="24"/>
        </w:rPr>
        <w:t>®</w:t>
      </w:r>
      <w:r w:rsidRPr="00ED6A53">
        <w:rPr>
          <w:rFonts w:ascii="Arial" w:hAnsi="Arial" w:cs="Arial"/>
          <w:b/>
          <w:bCs/>
          <w:sz w:val="24"/>
          <w:szCs w:val="24"/>
        </w:rPr>
        <w:t xml:space="preserve"> MN Assay</w:t>
      </w:r>
    </w:p>
    <w:p w14:paraId="556DDBBB" w14:textId="7D6E675F" w:rsidR="00E74D51" w:rsidRPr="00ED6A53" w:rsidRDefault="00380432" w:rsidP="003C4E50">
      <w:pPr>
        <w:spacing w:after="0" w:line="480" w:lineRule="auto"/>
        <w:jc w:val="both"/>
        <w:rPr>
          <w:rFonts w:ascii="Arial" w:hAnsi="Arial" w:cs="Arial"/>
          <w:sz w:val="24"/>
          <w:szCs w:val="24"/>
        </w:rPr>
      </w:pPr>
      <w:r w:rsidRPr="00ED6A53">
        <w:rPr>
          <w:rFonts w:ascii="Arial" w:hAnsi="Arial" w:cs="Arial"/>
          <w:sz w:val="24"/>
          <w:szCs w:val="24"/>
        </w:rPr>
        <w:t>The flow cytometry-based cytotoxicity and MN assay was performed using the In Vitro MicroFlow</w:t>
      </w:r>
      <w:r w:rsidR="004E20BF">
        <w:rPr>
          <w:rFonts w:ascii="Arial" w:hAnsi="Arial" w:cs="Arial"/>
          <w:sz w:val="24"/>
          <w:szCs w:val="24"/>
        </w:rPr>
        <w:t>®</w:t>
      </w:r>
      <w:r w:rsidRPr="00ED6A53">
        <w:rPr>
          <w:rFonts w:ascii="Arial" w:hAnsi="Arial" w:cs="Arial"/>
          <w:sz w:val="24"/>
          <w:szCs w:val="24"/>
        </w:rPr>
        <w:t xml:space="preserve"> kit (Litron Laboratories, Rochester, New York, USA)</w:t>
      </w:r>
      <w:r w:rsidR="00FF6F71" w:rsidRPr="00ED6A53">
        <w:rPr>
          <w:rFonts w:ascii="Arial" w:hAnsi="Arial" w:cs="Arial"/>
          <w:sz w:val="24"/>
          <w:szCs w:val="24"/>
        </w:rPr>
        <w:t xml:space="preserve"> (Bryce et al., </w:t>
      </w:r>
      <w:r w:rsidR="00574198" w:rsidRPr="00ED6A53">
        <w:rPr>
          <w:rFonts w:ascii="Arial" w:hAnsi="Arial" w:cs="Arial"/>
          <w:sz w:val="24"/>
          <w:szCs w:val="24"/>
        </w:rPr>
        <w:t>2008)</w:t>
      </w:r>
      <w:r w:rsidRPr="00ED6A53">
        <w:rPr>
          <w:rFonts w:ascii="Arial" w:hAnsi="Arial" w:cs="Arial"/>
          <w:sz w:val="24"/>
          <w:szCs w:val="24"/>
        </w:rPr>
        <w:t xml:space="preserve">. Sample preparation, staining and other methods were performed according to the Instructional Manual provided with the kit. Data </w:t>
      </w:r>
      <w:r w:rsidR="00415CA9" w:rsidRPr="00ED6A53">
        <w:rPr>
          <w:rFonts w:ascii="Arial" w:hAnsi="Arial" w:cs="Arial"/>
          <w:sz w:val="24"/>
          <w:szCs w:val="24"/>
        </w:rPr>
        <w:t>was</w:t>
      </w:r>
      <w:r w:rsidRPr="00ED6A53">
        <w:rPr>
          <w:rFonts w:ascii="Arial" w:hAnsi="Arial" w:cs="Arial"/>
          <w:sz w:val="24"/>
          <w:szCs w:val="24"/>
        </w:rPr>
        <w:t xml:space="preserve"> collected using a Becton-Dickinson </w:t>
      </w:r>
      <w:r w:rsidR="004E20BF" w:rsidRPr="00ED6A53">
        <w:rPr>
          <w:rFonts w:ascii="Arial" w:hAnsi="Arial" w:cs="Arial"/>
          <w:sz w:val="24"/>
          <w:szCs w:val="24"/>
        </w:rPr>
        <w:t>Faisalabad</w:t>
      </w:r>
      <w:r w:rsidRPr="00ED6A53">
        <w:rPr>
          <w:rFonts w:ascii="Arial" w:hAnsi="Arial" w:cs="Arial"/>
          <w:sz w:val="24"/>
          <w:szCs w:val="24"/>
        </w:rPr>
        <w:t xml:space="preserve"> 2 laser 4-color instrument. Unless precluded by cytotoxicity, </w:t>
      </w:r>
      <w:r w:rsidR="002B6E5B">
        <w:rPr>
          <w:rFonts w:ascii="Arial" w:hAnsi="Arial" w:cs="Arial"/>
          <w:sz w:val="24"/>
          <w:szCs w:val="24"/>
        </w:rPr>
        <w:t>5</w:t>
      </w:r>
      <w:r w:rsidRPr="00ED6A53">
        <w:rPr>
          <w:rFonts w:ascii="Arial" w:hAnsi="Arial" w:cs="Arial"/>
          <w:sz w:val="24"/>
          <w:szCs w:val="24"/>
        </w:rPr>
        <w:t>,000 (± 2,000) cells were analyzed to determine relative survival (% RS) and the MN frequency (% MN). A detailed description of the methods is outlined in Buick et al. (</w:t>
      </w:r>
      <w:r w:rsidR="009F1156" w:rsidRPr="00ED6A53">
        <w:rPr>
          <w:rFonts w:ascii="Arial" w:hAnsi="Arial" w:cs="Arial"/>
          <w:sz w:val="24"/>
          <w:szCs w:val="24"/>
        </w:rPr>
        <w:t>2019</w:t>
      </w:r>
      <w:r w:rsidRPr="00ED6A53">
        <w:rPr>
          <w:rFonts w:ascii="Arial" w:hAnsi="Arial" w:cs="Arial"/>
          <w:sz w:val="24"/>
          <w:szCs w:val="24"/>
        </w:rPr>
        <w:t xml:space="preserve">). In brief, % RS was determined using intact viable nuclei-to-bead ratios in exposed versus control cells by spiking in counting beads to the cell suspensions to function as the internal standards. MN induction was measured simultaneously using the double staining procedure. The RS and MN data were analyzed using generalized estimating equations (GEEs) as outlined in Yauk et al. (2016) (49). Briefly, a normal distribution for the RS data and a binomial distribution for MN data were assumed for the error terms. The geepack library in R was used for this analysis. GEEs only require specification of the first two moments, the mean and the variance. In the MN analysis, a log link function was used. The results were then back transformed to the original scale using the delta method. MN induction </w:t>
      </w:r>
      <w:r w:rsidR="00C94252" w:rsidRPr="00ED6A53">
        <w:rPr>
          <w:rFonts w:ascii="Arial" w:hAnsi="Arial" w:cs="Arial"/>
          <w:sz w:val="24"/>
          <w:szCs w:val="24"/>
        </w:rPr>
        <w:t>was</w:t>
      </w:r>
      <w:r w:rsidRPr="00ED6A53">
        <w:rPr>
          <w:rFonts w:ascii="Arial" w:hAnsi="Arial" w:cs="Arial"/>
          <w:sz w:val="24"/>
          <w:szCs w:val="24"/>
        </w:rPr>
        <w:t xml:space="preserve"> positive if the MN frequency was statistically significant and </w:t>
      </w:r>
      <w:r w:rsidR="00685DC6">
        <w:rPr>
          <w:rFonts w:ascii="Arial" w:hAnsi="Arial" w:cs="Arial"/>
          <w:sz w:val="24"/>
          <w:szCs w:val="24"/>
        </w:rPr>
        <w:t xml:space="preserve">there was </w:t>
      </w:r>
      <w:r w:rsidRPr="00ED6A53">
        <w:rPr>
          <w:rFonts w:ascii="Arial" w:hAnsi="Arial" w:cs="Arial"/>
          <w:sz w:val="24"/>
          <w:szCs w:val="24"/>
        </w:rPr>
        <w:t>at least</w:t>
      </w:r>
      <w:r w:rsidR="00680510">
        <w:rPr>
          <w:rFonts w:ascii="Arial" w:hAnsi="Arial" w:cs="Arial"/>
          <w:sz w:val="24"/>
          <w:szCs w:val="24"/>
        </w:rPr>
        <w:t xml:space="preserve"> a</w:t>
      </w:r>
      <w:r w:rsidRPr="00ED6A53">
        <w:rPr>
          <w:rFonts w:ascii="Arial" w:hAnsi="Arial" w:cs="Arial"/>
          <w:sz w:val="24"/>
          <w:szCs w:val="24"/>
        </w:rPr>
        <w:t xml:space="preserve"> twofold </w:t>
      </w:r>
      <w:r w:rsidR="00680510">
        <w:rPr>
          <w:rFonts w:ascii="Arial" w:hAnsi="Arial" w:cs="Arial"/>
          <w:sz w:val="24"/>
          <w:szCs w:val="24"/>
        </w:rPr>
        <w:t xml:space="preserve">increase </w:t>
      </w:r>
      <w:r w:rsidRPr="00ED6A53">
        <w:rPr>
          <w:rFonts w:ascii="Arial" w:hAnsi="Arial" w:cs="Arial"/>
          <w:sz w:val="24"/>
          <w:szCs w:val="24"/>
        </w:rPr>
        <w:t>above matched solvent vehicle controls.</w:t>
      </w:r>
    </w:p>
    <w:p w14:paraId="1B3B65CA" w14:textId="04F64742" w:rsidR="00BB22F0" w:rsidRPr="00ED6A53" w:rsidRDefault="00BB22F0" w:rsidP="003C4E50">
      <w:pPr>
        <w:spacing w:after="0" w:line="480" w:lineRule="auto"/>
        <w:jc w:val="both"/>
        <w:rPr>
          <w:rFonts w:ascii="Arial" w:hAnsi="Arial" w:cs="Arial"/>
          <w:sz w:val="24"/>
          <w:szCs w:val="24"/>
        </w:rPr>
      </w:pPr>
    </w:p>
    <w:p w14:paraId="0746616F" w14:textId="77777777" w:rsidR="00CD5BF7" w:rsidRDefault="00CD5BF7">
      <w:pPr>
        <w:rPr>
          <w:rFonts w:ascii="Arial" w:hAnsi="Arial" w:cs="Arial"/>
          <w:b/>
          <w:bCs/>
          <w:sz w:val="24"/>
          <w:szCs w:val="24"/>
        </w:rPr>
      </w:pPr>
      <w:r>
        <w:rPr>
          <w:rFonts w:ascii="Arial" w:hAnsi="Arial" w:cs="Arial"/>
          <w:b/>
          <w:bCs/>
          <w:sz w:val="24"/>
          <w:szCs w:val="24"/>
        </w:rPr>
        <w:br w:type="page"/>
      </w:r>
    </w:p>
    <w:p w14:paraId="7718617A" w14:textId="67501BC6" w:rsidR="00C94252" w:rsidRDefault="00C94252" w:rsidP="003C4E50">
      <w:pPr>
        <w:spacing w:after="0" w:line="480" w:lineRule="auto"/>
        <w:jc w:val="both"/>
        <w:rPr>
          <w:rFonts w:ascii="Arial" w:hAnsi="Arial" w:cs="Arial"/>
          <w:b/>
          <w:bCs/>
          <w:sz w:val="24"/>
          <w:szCs w:val="24"/>
        </w:rPr>
      </w:pPr>
      <w:r w:rsidRPr="00ED6A53">
        <w:rPr>
          <w:rFonts w:ascii="Arial" w:hAnsi="Arial" w:cs="Arial"/>
          <w:b/>
          <w:bCs/>
          <w:sz w:val="24"/>
          <w:szCs w:val="24"/>
        </w:rPr>
        <w:t>RESULTS</w:t>
      </w:r>
    </w:p>
    <w:p w14:paraId="1E5324B9" w14:textId="440CBB18" w:rsidR="005D6437" w:rsidRPr="00CD5BF7" w:rsidRDefault="00CD5BF7" w:rsidP="005D6437">
      <w:pPr>
        <w:spacing w:after="0" w:line="480" w:lineRule="auto"/>
        <w:jc w:val="both"/>
        <w:rPr>
          <w:rFonts w:ascii="Arial" w:hAnsi="Arial" w:cs="Arial"/>
          <w:b/>
          <w:bCs/>
          <w:sz w:val="24"/>
          <w:szCs w:val="24"/>
        </w:rPr>
      </w:pPr>
      <w:r>
        <w:rPr>
          <w:rFonts w:ascii="Arial" w:hAnsi="Arial" w:cs="Arial"/>
          <w:b/>
          <w:bCs/>
          <w:sz w:val="24"/>
          <w:szCs w:val="24"/>
        </w:rPr>
        <w:t>Micronucleus assay in human TK6 cells with rat liver S9</w:t>
      </w:r>
    </w:p>
    <w:p w14:paraId="236B7CD9" w14:textId="0457F618" w:rsidR="0083491F" w:rsidRPr="00ED6A53" w:rsidRDefault="005D6437" w:rsidP="002B6E5B">
      <w:pPr>
        <w:spacing w:after="0" w:line="480" w:lineRule="auto"/>
        <w:jc w:val="both"/>
        <w:rPr>
          <w:rFonts w:ascii="Arial" w:hAnsi="Arial" w:cs="Arial"/>
          <w:sz w:val="24"/>
          <w:szCs w:val="24"/>
        </w:rPr>
      </w:pPr>
      <w:r w:rsidRPr="00ED6A53">
        <w:rPr>
          <w:rFonts w:ascii="Arial" w:hAnsi="Arial" w:cs="Arial"/>
          <w:sz w:val="24"/>
          <w:szCs w:val="24"/>
        </w:rPr>
        <w:t xml:space="preserve">In parallel with naphthalene studies in hepatocytes (Kedderis et al., 2014), naphthalene cytotoxicity and genotoxicity </w:t>
      </w:r>
      <w:r w:rsidR="0010366F">
        <w:rPr>
          <w:rFonts w:ascii="Arial" w:hAnsi="Arial" w:cs="Arial"/>
          <w:sz w:val="24"/>
          <w:szCs w:val="24"/>
        </w:rPr>
        <w:t>were</w:t>
      </w:r>
      <w:r w:rsidR="00CD5BF7">
        <w:rPr>
          <w:rFonts w:ascii="Arial" w:hAnsi="Arial" w:cs="Arial"/>
          <w:sz w:val="24"/>
          <w:szCs w:val="24"/>
        </w:rPr>
        <w:t xml:space="preserve"> </w:t>
      </w:r>
      <w:r w:rsidRPr="00ED6A53">
        <w:rPr>
          <w:rFonts w:ascii="Arial" w:hAnsi="Arial" w:cs="Arial"/>
          <w:sz w:val="24"/>
          <w:szCs w:val="24"/>
        </w:rPr>
        <w:t>determined in the micronucleus (MN) assay using human TK6 cells with Phenobarbital/β-naphthoflavone rat liver S9 supplemented with CYP450 cofactors to provide CYP450 mediated biotransformation (OECD 487) (Recio et al., 2012). In this study, naphthalene induced a dose-dependent increase in cytotoxicity and a nonlinear dose-response for the induction of MN (P &lt; 0.05 at ≥ 5.0 µM by ANOVA Dunnett’s), with a pronounced break in the dose-response curve at exposure concentrations &gt; 20 µM corresponding to approximately 80% survival and a twofold increase MN</w:t>
      </w:r>
      <w:r>
        <w:rPr>
          <w:rFonts w:ascii="Arial" w:hAnsi="Arial" w:cs="Arial"/>
          <w:sz w:val="24"/>
          <w:szCs w:val="24"/>
        </w:rPr>
        <w:t xml:space="preserve">. </w:t>
      </w:r>
      <w:r w:rsidR="00CD5BF7">
        <w:rPr>
          <w:rFonts w:ascii="Arial" w:hAnsi="Arial" w:cs="Arial"/>
          <w:sz w:val="24"/>
          <w:szCs w:val="24"/>
        </w:rPr>
        <w:t xml:space="preserve">The dose-response curves for </w:t>
      </w:r>
      <w:r w:rsidR="006871F3">
        <w:rPr>
          <w:rFonts w:ascii="Arial" w:hAnsi="Arial" w:cs="Arial"/>
          <w:sz w:val="24"/>
          <w:szCs w:val="24"/>
        </w:rPr>
        <w:t>MN and fraction of apoptotic/necrotic cells increased in parallel with increa</w:t>
      </w:r>
      <w:r w:rsidR="00C115D6">
        <w:rPr>
          <w:rFonts w:ascii="Arial" w:hAnsi="Arial" w:cs="Arial"/>
          <w:sz w:val="24"/>
          <w:szCs w:val="24"/>
        </w:rPr>
        <w:t xml:space="preserve">sed exposure to naphthalene. </w:t>
      </w:r>
      <w:r w:rsidRPr="00ED6A53">
        <w:rPr>
          <w:rFonts w:ascii="Arial" w:hAnsi="Arial" w:cs="Arial"/>
          <w:sz w:val="24"/>
          <w:szCs w:val="24"/>
        </w:rPr>
        <w:t>The BMD10 for naphthalene induced MN was 6.2 µM (3.3 – 9.2 µM 95% confidence interval).</w:t>
      </w:r>
      <w:r>
        <w:rPr>
          <w:rFonts w:ascii="Arial" w:hAnsi="Arial" w:cs="Arial"/>
          <w:sz w:val="24"/>
          <w:szCs w:val="24"/>
        </w:rPr>
        <w:t xml:space="preserve"> </w:t>
      </w:r>
      <w:r w:rsidR="00C115D6">
        <w:rPr>
          <w:rFonts w:ascii="Arial" w:hAnsi="Arial" w:cs="Arial"/>
          <w:sz w:val="24"/>
          <w:szCs w:val="24"/>
        </w:rPr>
        <w:t xml:space="preserve">Since </w:t>
      </w:r>
      <w:r w:rsidR="003A631A">
        <w:rPr>
          <w:rFonts w:ascii="Arial" w:hAnsi="Arial" w:cs="Arial"/>
          <w:sz w:val="24"/>
          <w:szCs w:val="24"/>
        </w:rPr>
        <w:t xml:space="preserve">the primary pathway for detoxication of naphthalene </w:t>
      </w:r>
      <w:r w:rsidR="009702A5">
        <w:rPr>
          <w:rFonts w:ascii="Arial" w:hAnsi="Arial" w:cs="Arial"/>
          <w:sz w:val="24"/>
          <w:szCs w:val="24"/>
        </w:rPr>
        <w:t xml:space="preserve">reactive metabolites is glutathione conjugation </w:t>
      </w:r>
      <w:r>
        <w:rPr>
          <w:rFonts w:ascii="Arial" w:hAnsi="Arial" w:cs="Arial"/>
          <w:sz w:val="24"/>
          <w:szCs w:val="24"/>
        </w:rPr>
        <w:t xml:space="preserve">addition of GSH at physiological concentrations of 5 mM to the S9 eliminated the cytotoxicity and genotoxicity of naphthalene in human TK6 cells when </w:t>
      </w:r>
      <w:r w:rsidR="001A1B42">
        <w:rPr>
          <w:rFonts w:ascii="Arial" w:hAnsi="Arial" w:cs="Arial"/>
          <w:sz w:val="24"/>
          <w:szCs w:val="24"/>
        </w:rPr>
        <w:t>evaluated</w:t>
      </w:r>
      <w:r>
        <w:rPr>
          <w:rFonts w:ascii="Arial" w:hAnsi="Arial" w:cs="Arial"/>
          <w:sz w:val="24"/>
          <w:szCs w:val="24"/>
        </w:rPr>
        <w:t xml:space="preserve"> up to 500 µM</w:t>
      </w:r>
      <w:r w:rsidR="009702A5">
        <w:rPr>
          <w:rFonts w:ascii="Arial" w:hAnsi="Arial" w:cs="Arial"/>
          <w:sz w:val="24"/>
          <w:szCs w:val="24"/>
        </w:rPr>
        <w:t xml:space="preserve"> </w:t>
      </w:r>
      <w:r w:rsidR="00855004">
        <w:rPr>
          <w:rFonts w:ascii="Arial" w:hAnsi="Arial" w:cs="Arial"/>
          <w:sz w:val="24"/>
          <w:szCs w:val="24"/>
        </w:rPr>
        <w:t xml:space="preserve">(Table I) </w:t>
      </w:r>
      <w:r w:rsidR="009702A5">
        <w:rPr>
          <w:rFonts w:ascii="Arial" w:hAnsi="Arial" w:cs="Arial"/>
          <w:sz w:val="24"/>
          <w:szCs w:val="24"/>
        </w:rPr>
        <w:t>(Recio et al., 2012)</w:t>
      </w:r>
      <w:r>
        <w:rPr>
          <w:rFonts w:ascii="Arial" w:hAnsi="Arial" w:cs="Arial"/>
          <w:sz w:val="24"/>
          <w:szCs w:val="24"/>
        </w:rPr>
        <w:t>. This data in TK6 cell</w:t>
      </w:r>
      <w:r w:rsidR="002944BD">
        <w:rPr>
          <w:rFonts w:ascii="Arial" w:hAnsi="Arial" w:cs="Arial"/>
          <w:sz w:val="24"/>
          <w:szCs w:val="24"/>
        </w:rPr>
        <w:t>s</w:t>
      </w:r>
      <w:r>
        <w:rPr>
          <w:rFonts w:ascii="Arial" w:hAnsi="Arial" w:cs="Arial"/>
          <w:sz w:val="24"/>
          <w:szCs w:val="24"/>
        </w:rPr>
        <w:t xml:space="preserve"> with GSH supplemented S9 and data in human hepatocytes </w:t>
      </w:r>
      <w:r w:rsidR="00D60562">
        <w:rPr>
          <w:rFonts w:ascii="Arial" w:hAnsi="Arial" w:cs="Arial"/>
          <w:sz w:val="24"/>
          <w:szCs w:val="24"/>
        </w:rPr>
        <w:t xml:space="preserve">(Kedderis et al., 2014) </w:t>
      </w:r>
      <w:r w:rsidR="0010366F">
        <w:rPr>
          <w:rFonts w:ascii="Arial" w:hAnsi="Arial" w:cs="Arial"/>
          <w:sz w:val="24"/>
          <w:szCs w:val="24"/>
        </w:rPr>
        <w:t>indicates</w:t>
      </w:r>
      <w:r>
        <w:rPr>
          <w:rFonts w:ascii="Arial" w:hAnsi="Arial" w:cs="Arial"/>
          <w:sz w:val="24"/>
          <w:szCs w:val="24"/>
        </w:rPr>
        <w:t xml:space="preserve"> that GSH conjugation is a critical determinant of naphthalene </w:t>
      </w:r>
      <w:r w:rsidR="00D60562">
        <w:rPr>
          <w:rFonts w:ascii="Arial" w:hAnsi="Arial" w:cs="Arial"/>
          <w:sz w:val="24"/>
          <w:szCs w:val="24"/>
        </w:rPr>
        <w:t xml:space="preserve">cytotoxicity </w:t>
      </w:r>
      <w:r w:rsidR="00945D7B">
        <w:rPr>
          <w:rFonts w:ascii="Arial" w:hAnsi="Arial" w:cs="Arial"/>
          <w:sz w:val="24"/>
          <w:szCs w:val="24"/>
        </w:rPr>
        <w:t>and genotoxicity</w:t>
      </w:r>
      <w:r>
        <w:rPr>
          <w:rFonts w:ascii="Arial" w:hAnsi="Arial" w:cs="Arial"/>
          <w:sz w:val="24"/>
          <w:szCs w:val="24"/>
        </w:rPr>
        <w:t xml:space="preserve">. </w:t>
      </w:r>
    </w:p>
    <w:p w14:paraId="5FAC5206" w14:textId="77777777" w:rsidR="0083491F" w:rsidRPr="00ED6A53" w:rsidRDefault="0083491F" w:rsidP="003C4E50">
      <w:pPr>
        <w:spacing w:after="0" w:line="480" w:lineRule="auto"/>
        <w:jc w:val="both"/>
        <w:rPr>
          <w:rFonts w:ascii="Arial" w:hAnsi="Arial" w:cs="Arial"/>
          <w:sz w:val="24"/>
          <w:szCs w:val="24"/>
        </w:rPr>
      </w:pPr>
    </w:p>
    <w:p w14:paraId="5D8BB87D" w14:textId="66FD297B" w:rsidR="004C0605" w:rsidRPr="00ED6A53" w:rsidRDefault="004C0605" w:rsidP="003C4E50">
      <w:pPr>
        <w:spacing w:after="0" w:line="480" w:lineRule="auto"/>
        <w:jc w:val="both"/>
        <w:rPr>
          <w:rFonts w:ascii="Arial" w:hAnsi="Arial" w:cs="Arial"/>
          <w:b/>
          <w:bCs/>
          <w:sz w:val="24"/>
          <w:szCs w:val="24"/>
        </w:rPr>
      </w:pPr>
      <w:r w:rsidRPr="00ED6A53">
        <w:rPr>
          <w:rFonts w:ascii="Arial" w:hAnsi="Arial" w:cs="Arial"/>
          <w:b/>
          <w:bCs/>
          <w:sz w:val="24"/>
          <w:szCs w:val="24"/>
        </w:rPr>
        <w:t>HepaRG™ CometChip® Assay</w:t>
      </w:r>
    </w:p>
    <w:p w14:paraId="192D4248" w14:textId="414B0FF5" w:rsidR="004C0605" w:rsidRPr="00ED6A53" w:rsidRDefault="00377851" w:rsidP="003C4E50">
      <w:pPr>
        <w:spacing w:after="0" w:line="480" w:lineRule="auto"/>
        <w:jc w:val="both"/>
        <w:rPr>
          <w:rFonts w:ascii="Arial" w:hAnsi="Arial" w:cs="Arial"/>
          <w:sz w:val="24"/>
          <w:szCs w:val="24"/>
        </w:rPr>
      </w:pPr>
      <w:r w:rsidRPr="00ED6A53">
        <w:rPr>
          <w:rFonts w:ascii="Arial" w:hAnsi="Arial" w:cs="Arial"/>
          <w:sz w:val="24"/>
          <w:szCs w:val="24"/>
        </w:rPr>
        <w:t>Naphthalene</w:t>
      </w:r>
      <w:r w:rsidR="00A2604E" w:rsidRPr="00ED6A53">
        <w:rPr>
          <w:rFonts w:ascii="Arial" w:hAnsi="Arial" w:cs="Arial"/>
          <w:sz w:val="24"/>
          <w:szCs w:val="24"/>
        </w:rPr>
        <w:t xml:space="preserve"> was tested </w:t>
      </w:r>
      <w:r w:rsidRPr="00ED6A53">
        <w:rPr>
          <w:rFonts w:ascii="Arial" w:hAnsi="Arial" w:cs="Arial"/>
          <w:sz w:val="24"/>
          <w:szCs w:val="24"/>
        </w:rPr>
        <w:t xml:space="preserve">for DNA damage </w:t>
      </w:r>
      <w:r w:rsidR="00104E6B" w:rsidRPr="00ED6A53">
        <w:rPr>
          <w:rFonts w:ascii="Arial" w:hAnsi="Arial" w:cs="Arial"/>
          <w:sz w:val="24"/>
          <w:szCs w:val="24"/>
        </w:rPr>
        <w:t xml:space="preserve">in the HepaRG™ CometChip® assay using a 3-day repeat </w:t>
      </w:r>
      <w:r w:rsidR="009C130D" w:rsidRPr="00ED6A53">
        <w:rPr>
          <w:rFonts w:ascii="Arial" w:hAnsi="Arial" w:cs="Arial"/>
          <w:sz w:val="24"/>
          <w:szCs w:val="24"/>
        </w:rPr>
        <w:t>dosing protocol as detailed in Owiti et al., 2022. A</w:t>
      </w:r>
      <w:r w:rsidR="00F31260" w:rsidRPr="00ED6A53">
        <w:rPr>
          <w:rFonts w:ascii="Arial" w:hAnsi="Arial" w:cs="Arial"/>
          <w:sz w:val="24"/>
          <w:szCs w:val="24"/>
        </w:rPr>
        <w:t xml:space="preserve">fter the conduct of </w:t>
      </w:r>
      <w:r w:rsidR="00622BBB">
        <w:rPr>
          <w:rFonts w:ascii="Arial" w:hAnsi="Arial" w:cs="Arial"/>
          <w:sz w:val="24"/>
          <w:szCs w:val="24"/>
        </w:rPr>
        <w:t xml:space="preserve">a </w:t>
      </w:r>
      <w:r w:rsidR="00E203CC">
        <w:rPr>
          <w:rFonts w:ascii="Arial" w:hAnsi="Arial" w:cs="Arial"/>
          <w:sz w:val="24"/>
          <w:szCs w:val="24"/>
        </w:rPr>
        <w:t xml:space="preserve">dose </w:t>
      </w:r>
      <w:r w:rsidR="00F31260" w:rsidRPr="00ED6A53">
        <w:rPr>
          <w:rFonts w:ascii="Arial" w:hAnsi="Arial" w:cs="Arial"/>
          <w:sz w:val="24"/>
          <w:szCs w:val="24"/>
        </w:rPr>
        <w:t>range</w:t>
      </w:r>
      <w:r w:rsidR="00622BBB">
        <w:rPr>
          <w:rFonts w:ascii="Arial" w:hAnsi="Arial" w:cs="Arial"/>
          <w:sz w:val="24"/>
          <w:szCs w:val="24"/>
        </w:rPr>
        <w:t xml:space="preserve"> </w:t>
      </w:r>
      <w:r w:rsidR="00F31260" w:rsidRPr="00ED6A53">
        <w:rPr>
          <w:rFonts w:ascii="Arial" w:hAnsi="Arial" w:cs="Arial"/>
          <w:sz w:val="24"/>
          <w:szCs w:val="24"/>
        </w:rPr>
        <w:t xml:space="preserve">finder study using </w:t>
      </w:r>
      <w:r w:rsidR="00662670" w:rsidRPr="00ED6A53">
        <w:rPr>
          <w:rFonts w:ascii="Arial" w:hAnsi="Arial" w:cs="Arial"/>
          <w:sz w:val="24"/>
          <w:szCs w:val="24"/>
        </w:rPr>
        <w:t>eight</w:t>
      </w:r>
      <w:r w:rsidR="00F31260" w:rsidRPr="00ED6A53">
        <w:rPr>
          <w:rFonts w:ascii="Arial" w:hAnsi="Arial" w:cs="Arial"/>
          <w:sz w:val="24"/>
          <w:szCs w:val="24"/>
        </w:rPr>
        <w:t xml:space="preserve"> concentrations of naphthalene</w:t>
      </w:r>
      <w:r w:rsidR="00D73EF5" w:rsidRPr="00ED6A53">
        <w:rPr>
          <w:rFonts w:ascii="Arial" w:hAnsi="Arial" w:cs="Arial"/>
          <w:sz w:val="24"/>
          <w:szCs w:val="24"/>
        </w:rPr>
        <w:t>, 6 exposure concentrations of naphthalene were</w:t>
      </w:r>
      <w:r w:rsidR="008844D6" w:rsidRPr="00ED6A53">
        <w:rPr>
          <w:rFonts w:ascii="Arial" w:hAnsi="Arial" w:cs="Arial"/>
          <w:sz w:val="24"/>
          <w:szCs w:val="24"/>
        </w:rPr>
        <w:t xml:space="preserve"> tested </w:t>
      </w:r>
      <w:r w:rsidR="00F17DEA" w:rsidRPr="00ED6A53">
        <w:rPr>
          <w:rFonts w:ascii="Arial" w:hAnsi="Arial" w:cs="Arial"/>
          <w:sz w:val="24"/>
          <w:szCs w:val="24"/>
        </w:rPr>
        <w:t xml:space="preserve">based on cytotoxicity </w:t>
      </w:r>
      <w:r w:rsidR="008844D6" w:rsidRPr="00ED6A53">
        <w:rPr>
          <w:rFonts w:ascii="Arial" w:hAnsi="Arial" w:cs="Arial"/>
          <w:sz w:val="24"/>
          <w:szCs w:val="24"/>
        </w:rPr>
        <w:t>for DNA damage</w:t>
      </w:r>
      <w:r w:rsidR="00D73EF5" w:rsidRPr="00ED6A53">
        <w:rPr>
          <w:rFonts w:ascii="Arial" w:hAnsi="Arial" w:cs="Arial"/>
          <w:sz w:val="24"/>
          <w:szCs w:val="24"/>
        </w:rPr>
        <w:t xml:space="preserve"> ranging from </w:t>
      </w:r>
      <w:r w:rsidR="0040791D" w:rsidRPr="00ED6A53">
        <w:rPr>
          <w:rFonts w:ascii="Arial" w:hAnsi="Arial" w:cs="Arial"/>
          <w:sz w:val="24"/>
          <w:szCs w:val="24"/>
        </w:rPr>
        <w:t>39 µM to 1.25 mM</w:t>
      </w:r>
      <w:r w:rsidR="00F07E7E" w:rsidRPr="00ED6A53">
        <w:rPr>
          <w:rFonts w:ascii="Arial" w:hAnsi="Arial" w:cs="Arial"/>
          <w:sz w:val="24"/>
          <w:szCs w:val="24"/>
        </w:rPr>
        <w:t xml:space="preserve"> (</w:t>
      </w:r>
      <w:r w:rsidR="00F07E7E" w:rsidRPr="00ED6A53">
        <w:rPr>
          <w:rFonts w:ascii="Arial" w:hAnsi="Arial" w:cs="Arial"/>
          <w:b/>
          <w:bCs/>
          <w:sz w:val="24"/>
          <w:szCs w:val="24"/>
        </w:rPr>
        <w:t>Fig. 2</w:t>
      </w:r>
      <w:r w:rsidR="00F07E7E" w:rsidRPr="00ED6A53">
        <w:rPr>
          <w:rFonts w:ascii="Arial" w:hAnsi="Arial" w:cs="Arial"/>
          <w:sz w:val="24"/>
          <w:szCs w:val="24"/>
        </w:rPr>
        <w:t>)</w:t>
      </w:r>
      <w:r w:rsidR="0040791D" w:rsidRPr="00ED6A53">
        <w:rPr>
          <w:rFonts w:ascii="Arial" w:hAnsi="Arial" w:cs="Arial"/>
          <w:sz w:val="24"/>
          <w:szCs w:val="24"/>
        </w:rPr>
        <w:t xml:space="preserve">. </w:t>
      </w:r>
      <w:r w:rsidR="00B2771D" w:rsidRPr="00ED6A53">
        <w:rPr>
          <w:rFonts w:ascii="Arial" w:hAnsi="Arial" w:cs="Arial"/>
          <w:sz w:val="24"/>
          <w:szCs w:val="24"/>
        </w:rPr>
        <w:t>There</w:t>
      </w:r>
      <w:r w:rsidR="0040791D" w:rsidRPr="00ED6A53">
        <w:rPr>
          <w:rFonts w:ascii="Arial" w:hAnsi="Arial" w:cs="Arial"/>
          <w:sz w:val="24"/>
          <w:szCs w:val="24"/>
        </w:rPr>
        <w:t xml:space="preserve"> was </w:t>
      </w:r>
      <w:r w:rsidR="00387A50" w:rsidRPr="00ED6A53">
        <w:rPr>
          <w:rFonts w:ascii="Arial" w:hAnsi="Arial" w:cs="Arial"/>
          <w:sz w:val="24"/>
          <w:szCs w:val="24"/>
        </w:rPr>
        <w:t>no</w:t>
      </w:r>
      <w:r w:rsidR="0040791D" w:rsidRPr="00ED6A53">
        <w:rPr>
          <w:rFonts w:ascii="Arial" w:hAnsi="Arial" w:cs="Arial"/>
          <w:sz w:val="24"/>
          <w:szCs w:val="24"/>
        </w:rPr>
        <w:t xml:space="preserve"> </w:t>
      </w:r>
      <w:r w:rsidR="00F07E7E" w:rsidRPr="00ED6A53">
        <w:rPr>
          <w:rFonts w:ascii="Arial" w:hAnsi="Arial" w:cs="Arial"/>
          <w:sz w:val="24"/>
          <w:szCs w:val="24"/>
        </w:rPr>
        <w:t>significant</w:t>
      </w:r>
      <w:r w:rsidR="0040791D" w:rsidRPr="00ED6A53">
        <w:rPr>
          <w:rFonts w:ascii="Arial" w:hAnsi="Arial" w:cs="Arial"/>
          <w:sz w:val="24"/>
          <w:szCs w:val="24"/>
        </w:rPr>
        <w:t xml:space="preserve"> cytotoxicity based on levels of cellular ATP</w:t>
      </w:r>
      <w:r w:rsidR="00387A50" w:rsidRPr="00ED6A53">
        <w:rPr>
          <w:rFonts w:ascii="Arial" w:hAnsi="Arial" w:cs="Arial"/>
          <w:sz w:val="24"/>
          <w:szCs w:val="24"/>
        </w:rPr>
        <w:t xml:space="preserve"> until an exposure level of </w:t>
      </w:r>
      <w:r w:rsidR="00CC7A81" w:rsidRPr="00ED6A53">
        <w:rPr>
          <w:rFonts w:ascii="Arial" w:hAnsi="Arial" w:cs="Arial"/>
          <w:sz w:val="24"/>
          <w:szCs w:val="24"/>
        </w:rPr>
        <w:t xml:space="preserve">1.25 mM naphthalene </w:t>
      </w:r>
      <w:r w:rsidR="00D9193F" w:rsidRPr="00ED6A53">
        <w:rPr>
          <w:rFonts w:ascii="Arial" w:hAnsi="Arial" w:cs="Arial"/>
          <w:sz w:val="24"/>
          <w:szCs w:val="24"/>
        </w:rPr>
        <w:t xml:space="preserve">that induced 50% cytotoxicity. </w:t>
      </w:r>
      <w:r w:rsidR="00381A7C">
        <w:rPr>
          <w:rFonts w:ascii="Arial" w:hAnsi="Arial" w:cs="Arial"/>
          <w:sz w:val="24"/>
          <w:szCs w:val="24"/>
        </w:rPr>
        <w:t xml:space="preserve">Despite significant </w:t>
      </w:r>
      <w:r w:rsidR="00CC4E45">
        <w:rPr>
          <w:rFonts w:ascii="Arial" w:hAnsi="Arial" w:cs="Arial"/>
          <w:sz w:val="24"/>
          <w:szCs w:val="24"/>
        </w:rPr>
        <w:t xml:space="preserve">cytotoxicity </w:t>
      </w:r>
      <w:r w:rsidR="00646D3B">
        <w:rPr>
          <w:rFonts w:ascii="Arial" w:hAnsi="Arial" w:cs="Arial"/>
          <w:sz w:val="24"/>
          <w:szCs w:val="24"/>
        </w:rPr>
        <w:t>induced by</w:t>
      </w:r>
      <w:r w:rsidR="00CC4E45">
        <w:rPr>
          <w:rFonts w:ascii="Arial" w:hAnsi="Arial" w:cs="Arial"/>
          <w:sz w:val="24"/>
          <w:szCs w:val="24"/>
        </w:rPr>
        <w:t xml:space="preserve"> naphthalene</w:t>
      </w:r>
      <w:r w:rsidR="00646D3B">
        <w:rPr>
          <w:rFonts w:ascii="Arial" w:hAnsi="Arial" w:cs="Arial"/>
          <w:sz w:val="24"/>
          <w:szCs w:val="24"/>
        </w:rPr>
        <w:t xml:space="preserve"> at the top exposure concentration</w:t>
      </w:r>
      <w:r w:rsidR="00585AB2">
        <w:rPr>
          <w:rFonts w:ascii="Arial" w:hAnsi="Arial" w:cs="Arial"/>
          <w:sz w:val="24"/>
          <w:szCs w:val="24"/>
        </w:rPr>
        <w:t>,</w:t>
      </w:r>
      <w:r w:rsidR="00CC4E45">
        <w:rPr>
          <w:rFonts w:ascii="Arial" w:hAnsi="Arial" w:cs="Arial"/>
          <w:sz w:val="24"/>
          <w:szCs w:val="24"/>
        </w:rPr>
        <w:t xml:space="preserve"> t</w:t>
      </w:r>
      <w:r w:rsidR="00D9193F" w:rsidRPr="00ED6A53">
        <w:rPr>
          <w:rFonts w:ascii="Arial" w:hAnsi="Arial" w:cs="Arial"/>
          <w:sz w:val="24"/>
          <w:szCs w:val="24"/>
        </w:rPr>
        <w:t>here was no increase</w:t>
      </w:r>
      <w:r w:rsidR="00381A7C">
        <w:rPr>
          <w:rFonts w:ascii="Arial" w:hAnsi="Arial" w:cs="Arial"/>
          <w:sz w:val="24"/>
          <w:szCs w:val="24"/>
        </w:rPr>
        <w:t xml:space="preserve"> </w:t>
      </w:r>
      <w:r w:rsidR="00D9193F" w:rsidRPr="00ED6A53">
        <w:rPr>
          <w:rFonts w:ascii="Arial" w:hAnsi="Arial" w:cs="Arial"/>
          <w:sz w:val="24"/>
          <w:szCs w:val="24"/>
        </w:rPr>
        <w:t xml:space="preserve">in </w:t>
      </w:r>
      <w:r w:rsidR="002D720A" w:rsidRPr="00ED6A53">
        <w:rPr>
          <w:rFonts w:ascii="Arial" w:hAnsi="Arial" w:cs="Arial"/>
          <w:sz w:val="24"/>
          <w:szCs w:val="24"/>
        </w:rPr>
        <w:t>naphthalene-induced DNA damage across all the exposure levels of naphthalene tested</w:t>
      </w:r>
      <w:r w:rsidR="004327A7" w:rsidRPr="00ED6A53">
        <w:rPr>
          <w:rFonts w:ascii="Arial" w:hAnsi="Arial" w:cs="Arial"/>
          <w:sz w:val="24"/>
          <w:szCs w:val="24"/>
        </w:rPr>
        <w:t xml:space="preserve"> at up to </w:t>
      </w:r>
      <w:r w:rsidR="00B649B6" w:rsidRPr="00ED6A53">
        <w:rPr>
          <w:rFonts w:ascii="Arial" w:hAnsi="Arial" w:cs="Arial"/>
          <w:sz w:val="24"/>
          <w:szCs w:val="24"/>
        </w:rPr>
        <w:t xml:space="preserve">1.25 mM that caused </w:t>
      </w:r>
      <w:r w:rsidR="00F84B9C" w:rsidRPr="00ED6A53">
        <w:rPr>
          <w:rFonts w:ascii="Arial" w:hAnsi="Arial" w:cs="Arial"/>
          <w:sz w:val="24"/>
          <w:szCs w:val="24"/>
        </w:rPr>
        <w:t>~50% cytotoxicity</w:t>
      </w:r>
      <w:r w:rsidR="002D720A" w:rsidRPr="00ED6A53">
        <w:rPr>
          <w:rFonts w:ascii="Arial" w:hAnsi="Arial" w:cs="Arial"/>
          <w:sz w:val="24"/>
          <w:szCs w:val="24"/>
        </w:rPr>
        <w:t>.</w:t>
      </w:r>
    </w:p>
    <w:p w14:paraId="48249DF8" w14:textId="3B27224F" w:rsidR="002D720A" w:rsidRPr="00ED6A53" w:rsidRDefault="002D720A" w:rsidP="003C4E50">
      <w:pPr>
        <w:spacing w:after="0" w:line="480" w:lineRule="auto"/>
        <w:jc w:val="both"/>
        <w:rPr>
          <w:rFonts w:ascii="Arial" w:hAnsi="Arial" w:cs="Arial"/>
          <w:sz w:val="24"/>
          <w:szCs w:val="24"/>
        </w:rPr>
      </w:pPr>
    </w:p>
    <w:p w14:paraId="675C019F" w14:textId="43C092F4" w:rsidR="002D720A" w:rsidRPr="00ED6A53" w:rsidRDefault="002D720A" w:rsidP="003C4E50">
      <w:pPr>
        <w:spacing w:after="0" w:line="480" w:lineRule="auto"/>
        <w:jc w:val="both"/>
        <w:rPr>
          <w:rFonts w:ascii="Arial" w:hAnsi="Arial" w:cs="Arial"/>
          <w:b/>
          <w:bCs/>
          <w:sz w:val="24"/>
          <w:szCs w:val="24"/>
        </w:rPr>
      </w:pPr>
      <w:r w:rsidRPr="00ED6A53">
        <w:rPr>
          <w:rFonts w:ascii="Arial" w:hAnsi="Arial" w:cs="Arial"/>
          <w:b/>
          <w:bCs/>
          <w:sz w:val="24"/>
          <w:szCs w:val="24"/>
        </w:rPr>
        <w:t xml:space="preserve">Micronucleus Assay in HepaRG cells </w:t>
      </w:r>
    </w:p>
    <w:p w14:paraId="7FC3DE82" w14:textId="7E6BD0FD" w:rsidR="008F6A34" w:rsidRPr="00ED6A53" w:rsidRDefault="004830A1" w:rsidP="003C4E50">
      <w:pPr>
        <w:spacing w:after="0" w:line="480" w:lineRule="auto"/>
        <w:jc w:val="both"/>
        <w:rPr>
          <w:rFonts w:ascii="Arial" w:hAnsi="Arial" w:cs="Arial"/>
          <w:sz w:val="24"/>
          <w:szCs w:val="24"/>
        </w:rPr>
      </w:pPr>
      <w:r w:rsidRPr="00ED6A53">
        <w:rPr>
          <w:rFonts w:ascii="Arial" w:hAnsi="Arial" w:cs="Arial"/>
          <w:sz w:val="24"/>
          <w:szCs w:val="24"/>
        </w:rPr>
        <w:t xml:space="preserve">Naphthalene was tested for the induction of MN in HepaRG™ cells using a 3-day repeat dosing protocol as detailed in </w:t>
      </w:r>
      <w:r w:rsidR="009B06D4" w:rsidRPr="00ED6A53">
        <w:rPr>
          <w:rFonts w:ascii="Arial" w:hAnsi="Arial" w:cs="Arial"/>
          <w:sz w:val="24"/>
          <w:szCs w:val="24"/>
        </w:rPr>
        <w:t>Buick et al., 2019</w:t>
      </w:r>
      <w:r w:rsidR="0014224E" w:rsidRPr="00ED6A53">
        <w:rPr>
          <w:rFonts w:ascii="Arial" w:hAnsi="Arial" w:cs="Arial"/>
          <w:sz w:val="24"/>
          <w:szCs w:val="24"/>
        </w:rPr>
        <w:t xml:space="preserve"> and </w:t>
      </w:r>
      <w:r w:rsidRPr="00ED6A53">
        <w:rPr>
          <w:rFonts w:ascii="Arial" w:hAnsi="Arial" w:cs="Arial"/>
          <w:sz w:val="24"/>
          <w:szCs w:val="24"/>
        </w:rPr>
        <w:t xml:space="preserve">Owiti et al., 2022. After the conduct of </w:t>
      </w:r>
      <w:r w:rsidR="00585AB2">
        <w:rPr>
          <w:rFonts w:ascii="Arial" w:hAnsi="Arial" w:cs="Arial"/>
          <w:sz w:val="24"/>
          <w:szCs w:val="24"/>
        </w:rPr>
        <w:t xml:space="preserve">a </w:t>
      </w:r>
      <w:proofErr w:type="spellStart"/>
      <w:r w:rsidR="00585AB2">
        <w:rPr>
          <w:rFonts w:ascii="Arial" w:hAnsi="Arial" w:cs="Arial"/>
          <w:sz w:val="24"/>
          <w:szCs w:val="24"/>
        </w:rPr>
        <w:t>dose</w:t>
      </w:r>
      <w:r w:rsidRPr="00ED6A53">
        <w:rPr>
          <w:rFonts w:ascii="Arial" w:hAnsi="Arial" w:cs="Arial"/>
          <w:sz w:val="24"/>
          <w:szCs w:val="24"/>
        </w:rPr>
        <w:t>range</w:t>
      </w:r>
      <w:proofErr w:type="spellEnd"/>
      <w:r w:rsidRPr="00ED6A53">
        <w:rPr>
          <w:rFonts w:ascii="Arial" w:hAnsi="Arial" w:cs="Arial"/>
          <w:sz w:val="24"/>
          <w:szCs w:val="24"/>
        </w:rPr>
        <w:t xml:space="preserve"> finder study, </w:t>
      </w:r>
      <w:r w:rsidR="00662670" w:rsidRPr="00ED6A53">
        <w:rPr>
          <w:rFonts w:ascii="Arial" w:hAnsi="Arial" w:cs="Arial"/>
          <w:sz w:val="24"/>
          <w:szCs w:val="24"/>
        </w:rPr>
        <w:t>twelve</w:t>
      </w:r>
      <w:r w:rsidRPr="00ED6A53">
        <w:rPr>
          <w:rFonts w:ascii="Arial" w:hAnsi="Arial" w:cs="Arial"/>
          <w:sz w:val="24"/>
          <w:szCs w:val="24"/>
        </w:rPr>
        <w:t xml:space="preserve"> exposure concentrations of naphthalene were </w:t>
      </w:r>
      <w:r w:rsidR="0014224E" w:rsidRPr="00ED6A53">
        <w:rPr>
          <w:rFonts w:ascii="Arial" w:hAnsi="Arial" w:cs="Arial"/>
          <w:sz w:val="24"/>
          <w:szCs w:val="24"/>
        </w:rPr>
        <w:t>tested for MN induction</w:t>
      </w:r>
      <w:r w:rsidRPr="00ED6A53">
        <w:rPr>
          <w:rFonts w:ascii="Arial" w:hAnsi="Arial" w:cs="Arial"/>
          <w:sz w:val="24"/>
          <w:szCs w:val="24"/>
        </w:rPr>
        <w:t xml:space="preserve"> ranging from </w:t>
      </w:r>
      <w:r w:rsidR="008844D6" w:rsidRPr="00ED6A53">
        <w:rPr>
          <w:rFonts w:ascii="Arial" w:hAnsi="Arial" w:cs="Arial"/>
          <w:sz w:val="24"/>
          <w:szCs w:val="24"/>
        </w:rPr>
        <w:t>340</w:t>
      </w:r>
      <w:r w:rsidRPr="00ED6A53">
        <w:rPr>
          <w:rFonts w:ascii="Arial" w:hAnsi="Arial" w:cs="Arial"/>
          <w:sz w:val="24"/>
          <w:szCs w:val="24"/>
        </w:rPr>
        <w:t xml:space="preserve"> µM to </w:t>
      </w:r>
      <w:r w:rsidR="008844D6" w:rsidRPr="00ED6A53">
        <w:rPr>
          <w:rFonts w:ascii="Arial" w:hAnsi="Arial" w:cs="Arial"/>
          <w:sz w:val="24"/>
          <w:szCs w:val="24"/>
        </w:rPr>
        <w:t>2.5</w:t>
      </w:r>
      <w:r w:rsidRPr="00ED6A53">
        <w:rPr>
          <w:rFonts w:ascii="Arial" w:hAnsi="Arial" w:cs="Arial"/>
          <w:sz w:val="24"/>
          <w:szCs w:val="24"/>
        </w:rPr>
        <w:t xml:space="preserve"> mM</w:t>
      </w:r>
      <w:r w:rsidR="00F84B9C" w:rsidRPr="00ED6A53">
        <w:rPr>
          <w:rFonts w:ascii="Arial" w:hAnsi="Arial" w:cs="Arial"/>
          <w:sz w:val="24"/>
          <w:szCs w:val="24"/>
        </w:rPr>
        <w:t xml:space="preserve"> (</w:t>
      </w:r>
      <w:r w:rsidR="00F84B9C" w:rsidRPr="00ED6A53">
        <w:rPr>
          <w:rFonts w:ascii="Arial" w:hAnsi="Arial" w:cs="Arial"/>
          <w:b/>
          <w:bCs/>
          <w:sz w:val="24"/>
          <w:szCs w:val="24"/>
        </w:rPr>
        <w:t>Fig. 3</w:t>
      </w:r>
      <w:r w:rsidR="00F84B9C" w:rsidRPr="00ED6A53">
        <w:rPr>
          <w:rFonts w:ascii="Arial" w:hAnsi="Arial" w:cs="Arial"/>
          <w:sz w:val="24"/>
          <w:szCs w:val="24"/>
        </w:rPr>
        <w:t>)</w:t>
      </w:r>
      <w:r w:rsidRPr="00ED6A53">
        <w:rPr>
          <w:rFonts w:ascii="Arial" w:hAnsi="Arial" w:cs="Arial"/>
          <w:sz w:val="24"/>
          <w:szCs w:val="24"/>
        </w:rPr>
        <w:t xml:space="preserve">. </w:t>
      </w:r>
      <w:r w:rsidR="008D3941" w:rsidRPr="00ED6A53">
        <w:rPr>
          <w:rFonts w:ascii="Arial" w:hAnsi="Arial" w:cs="Arial"/>
          <w:sz w:val="24"/>
          <w:szCs w:val="24"/>
        </w:rPr>
        <w:t>There</w:t>
      </w:r>
      <w:r w:rsidRPr="00ED6A53">
        <w:rPr>
          <w:rFonts w:ascii="Arial" w:hAnsi="Arial" w:cs="Arial"/>
          <w:sz w:val="24"/>
          <w:szCs w:val="24"/>
        </w:rPr>
        <w:t xml:space="preserve"> was </w:t>
      </w:r>
      <w:r w:rsidR="00B652BE" w:rsidRPr="00ED6A53">
        <w:rPr>
          <w:rFonts w:ascii="Arial" w:hAnsi="Arial" w:cs="Arial"/>
          <w:sz w:val="24"/>
          <w:szCs w:val="24"/>
        </w:rPr>
        <w:t>no</w:t>
      </w:r>
      <w:r w:rsidRPr="00ED6A53">
        <w:rPr>
          <w:rFonts w:ascii="Arial" w:hAnsi="Arial" w:cs="Arial"/>
          <w:sz w:val="24"/>
          <w:szCs w:val="24"/>
        </w:rPr>
        <w:t xml:space="preserve"> dose dependent decline in </w:t>
      </w:r>
      <w:r w:rsidR="00C23389">
        <w:rPr>
          <w:rFonts w:ascii="Arial" w:hAnsi="Arial" w:cs="Arial"/>
          <w:sz w:val="24"/>
          <w:szCs w:val="24"/>
        </w:rPr>
        <w:t xml:space="preserve">cell survival </w:t>
      </w:r>
      <w:r w:rsidRPr="00ED6A53">
        <w:rPr>
          <w:rFonts w:ascii="Arial" w:hAnsi="Arial" w:cs="Arial"/>
          <w:sz w:val="24"/>
          <w:szCs w:val="24"/>
        </w:rPr>
        <w:t xml:space="preserve">based on </w:t>
      </w:r>
      <w:r w:rsidR="0014224E" w:rsidRPr="00ED6A53">
        <w:rPr>
          <w:rFonts w:ascii="Arial" w:hAnsi="Arial" w:cs="Arial"/>
          <w:sz w:val="24"/>
          <w:szCs w:val="24"/>
        </w:rPr>
        <w:t xml:space="preserve">nuclei:bead ratio by flow cytometry </w:t>
      </w:r>
      <w:r w:rsidRPr="00ED6A53">
        <w:rPr>
          <w:rFonts w:ascii="Arial" w:hAnsi="Arial" w:cs="Arial"/>
          <w:sz w:val="24"/>
          <w:szCs w:val="24"/>
        </w:rPr>
        <w:t xml:space="preserve">until an exposure level of </w:t>
      </w:r>
      <w:r w:rsidR="00BF611E">
        <w:rPr>
          <w:rFonts w:ascii="Arial" w:hAnsi="Arial" w:cs="Arial"/>
          <w:sz w:val="24"/>
          <w:szCs w:val="24"/>
        </w:rPr>
        <w:t xml:space="preserve">≥ </w:t>
      </w:r>
      <w:r w:rsidRPr="00ED6A53">
        <w:rPr>
          <w:rFonts w:ascii="Arial" w:hAnsi="Arial" w:cs="Arial"/>
          <w:sz w:val="24"/>
          <w:szCs w:val="24"/>
        </w:rPr>
        <w:t>1.</w:t>
      </w:r>
      <w:r w:rsidR="00B652BE" w:rsidRPr="00ED6A53">
        <w:rPr>
          <w:rFonts w:ascii="Arial" w:hAnsi="Arial" w:cs="Arial"/>
          <w:sz w:val="24"/>
          <w:szCs w:val="24"/>
        </w:rPr>
        <w:t>00</w:t>
      </w:r>
      <w:r w:rsidRPr="00ED6A53">
        <w:rPr>
          <w:rFonts w:ascii="Arial" w:hAnsi="Arial" w:cs="Arial"/>
          <w:sz w:val="24"/>
          <w:szCs w:val="24"/>
        </w:rPr>
        <w:t xml:space="preserve"> mM naphthalene</w:t>
      </w:r>
      <w:r w:rsidR="00B26052">
        <w:rPr>
          <w:rFonts w:ascii="Arial" w:hAnsi="Arial" w:cs="Arial"/>
          <w:sz w:val="24"/>
          <w:szCs w:val="24"/>
        </w:rPr>
        <w:t xml:space="preserve"> followed by </w:t>
      </w:r>
      <w:r w:rsidR="004537EC" w:rsidRPr="00ED6A53">
        <w:rPr>
          <w:rFonts w:ascii="Arial" w:hAnsi="Arial" w:cs="Arial"/>
          <w:sz w:val="24"/>
          <w:szCs w:val="24"/>
        </w:rPr>
        <w:t>a dose dependent decrease in cell survival to 30% survival at 2.08 mM</w:t>
      </w:r>
      <w:r w:rsidR="00EB5A21" w:rsidRPr="00ED6A53">
        <w:rPr>
          <w:rFonts w:ascii="Arial" w:hAnsi="Arial" w:cs="Arial"/>
          <w:sz w:val="24"/>
          <w:szCs w:val="24"/>
        </w:rPr>
        <w:t>, exceeding cytotoxicity criteria for the MN assay</w:t>
      </w:r>
      <w:r w:rsidR="00D56E8E">
        <w:rPr>
          <w:rFonts w:ascii="Arial" w:hAnsi="Arial" w:cs="Arial"/>
          <w:sz w:val="24"/>
          <w:szCs w:val="24"/>
        </w:rPr>
        <w:t xml:space="preserve"> in OECD 487</w:t>
      </w:r>
      <w:r w:rsidRPr="00ED6A53">
        <w:rPr>
          <w:rFonts w:ascii="Arial" w:hAnsi="Arial" w:cs="Arial"/>
          <w:sz w:val="24"/>
          <w:szCs w:val="24"/>
        </w:rPr>
        <w:t xml:space="preserve">. There was no increase in naphthalene-induced </w:t>
      </w:r>
      <w:r w:rsidR="002953F1" w:rsidRPr="00ED6A53">
        <w:rPr>
          <w:rFonts w:ascii="Arial" w:hAnsi="Arial" w:cs="Arial"/>
          <w:sz w:val="24"/>
          <w:szCs w:val="24"/>
        </w:rPr>
        <w:t>MN</w:t>
      </w:r>
      <w:r w:rsidRPr="00ED6A53">
        <w:rPr>
          <w:rFonts w:ascii="Arial" w:hAnsi="Arial" w:cs="Arial"/>
          <w:sz w:val="24"/>
          <w:szCs w:val="24"/>
        </w:rPr>
        <w:t xml:space="preserve"> across all the exposure levels of naphthalene tested</w:t>
      </w:r>
      <w:r w:rsidR="00EB5A21" w:rsidRPr="00ED6A53">
        <w:rPr>
          <w:rFonts w:ascii="Arial" w:hAnsi="Arial" w:cs="Arial"/>
          <w:sz w:val="24"/>
          <w:szCs w:val="24"/>
        </w:rPr>
        <w:t xml:space="preserve">, </w:t>
      </w:r>
      <w:r w:rsidR="00A15CA0" w:rsidRPr="00ED6A53">
        <w:rPr>
          <w:rFonts w:ascii="Arial" w:hAnsi="Arial" w:cs="Arial"/>
          <w:sz w:val="24"/>
          <w:szCs w:val="24"/>
        </w:rPr>
        <w:t xml:space="preserve">until the top level of cytotoxicity </w:t>
      </w:r>
      <w:r w:rsidR="005111DE">
        <w:rPr>
          <w:rFonts w:ascii="Arial" w:hAnsi="Arial" w:cs="Arial"/>
          <w:sz w:val="24"/>
          <w:szCs w:val="24"/>
        </w:rPr>
        <w:t>(≥ 5</w:t>
      </w:r>
      <w:r w:rsidR="00D56E8E">
        <w:rPr>
          <w:rFonts w:ascii="Arial" w:hAnsi="Arial" w:cs="Arial"/>
          <w:sz w:val="24"/>
          <w:szCs w:val="24"/>
        </w:rPr>
        <w:t>5 ± 5</w:t>
      </w:r>
      <w:r w:rsidR="005111DE">
        <w:rPr>
          <w:rFonts w:ascii="Arial" w:hAnsi="Arial" w:cs="Arial"/>
          <w:sz w:val="24"/>
          <w:szCs w:val="24"/>
        </w:rPr>
        <w:t xml:space="preserve">%) </w:t>
      </w:r>
      <w:r w:rsidR="002953F1" w:rsidRPr="00ED6A53">
        <w:rPr>
          <w:rFonts w:ascii="Arial" w:hAnsi="Arial" w:cs="Arial"/>
          <w:sz w:val="24"/>
          <w:szCs w:val="24"/>
        </w:rPr>
        <w:t xml:space="preserve">was exceeded at 2.08 </w:t>
      </w:r>
      <w:r w:rsidR="002B565B" w:rsidRPr="00ED6A53">
        <w:rPr>
          <w:rFonts w:ascii="Arial" w:hAnsi="Arial" w:cs="Arial"/>
          <w:sz w:val="24"/>
          <w:szCs w:val="24"/>
        </w:rPr>
        <w:t xml:space="preserve">and 2.5 </w:t>
      </w:r>
      <w:r w:rsidR="002953F1" w:rsidRPr="00ED6A53">
        <w:rPr>
          <w:rFonts w:ascii="Arial" w:hAnsi="Arial" w:cs="Arial"/>
          <w:sz w:val="24"/>
          <w:szCs w:val="24"/>
        </w:rPr>
        <w:t>mM</w:t>
      </w:r>
      <w:r w:rsidRPr="00ED6A53">
        <w:rPr>
          <w:rFonts w:ascii="Arial" w:hAnsi="Arial" w:cs="Arial"/>
          <w:sz w:val="24"/>
          <w:szCs w:val="24"/>
        </w:rPr>
        <w:t>.</w:t>
      </w:r>
      <w:r w:rsidR="00244C11" w:rsidRPr="00ED6A53">
        <w:rPr>
          <w:rFonts w:ascii="Arial" w:hAnsi="Arial" w:cs="Arial"/>
          <w:sz w:val="24"/>
          <w:szCs w:val="24"/>
        </w:rPr>
        <w:t xml:space="preserve"> The increases in MN </w:t>
      </w:r>
      <w:r w:rsidR="009426E8" w:rsidRPr="00ED6A53">
        <w:rPr>
          <w:rFonts w:ascii="Arial" w:hAnsi="Arial" w:cs="Arial"/>
          <w:sz w:val="24"/>
          <w:szCs w:val="24"/>
        </w:rPr>
        <w:t xml:space="preserve">observed </w:t>
      </w:r>
      <w:r w:rsidR="00244C11" w:rsidRPr="00ED6A53">
        <w:rPr>
          <w:rFonts w:ascii="Arial" w:hAnsi="Arial" w:cs="Arial"/>
          <w:sz w:val="24"/>
          <w:szCs w:val="24"/>
        </w:rPr>
        <w:t xml:space="preserve">at ≥ 2.08 mM </w:t>
      </w:r>
      <w:r w:rsidR="002841E9" w:rsidRPr="00ED6A53">
        <w:rPr>
          <w:rFonts w:ascii="Arial" w:hAnsi="Arial" w:cs="Arial"/>
          <w:sz w:val="24"/>
          <w:szCs w:val="24"/>
        </w:rPr>
        <w:t>are not relevant since they exceed the criteria</w:t>
      </w:r>
      <w:r w:rsidR="00876591" w:rsidRPr="00ED6A53">
        <w:rPr>
          <w:rFonts w:ascii="Arial" w:hAnsi="Arial" w:cs="Arial"/>
          <w:sz w:val="24"/>
          <w:szCs w:val="24"/>
        </w:rPr>
        <w:t xml:space="preserve"> for cytotoxicity</w:t>
      </w:r>
      <w:r w:rsidR="002B565B" w:rsidRPr="00ED6A53">
        <w:rPr>
          <w:rFonts w:ascii="Arial" w:hAnsi="Arial" w:cs="Arial"/>
          <w:sz w:val="24"/>
          <w:szCs w:val="24"/>
        </w:rPr>
        <w:t xml:space="preserve">. However, this </w:t>
      </w:r>
      <w:r w:rsidR="00876591" w:rsidRPr="00ED6A53">
        <w:rPr>
          <w:rFonts w:ascii="Arial" w:hAnsi="Arial" w:cs="Arial"/>
          <w:sz w:val="24"/>
          <w:szCs w:val="24"/>
        </w:rPr>
        <w:t>demonstrate</w:t>
      </w:r>
      <w:r w:rsidR="002B565B" w:rsidRPr="00ED6A53">
        <w:rPr>
          <w:rFonts w:ascii="Arial" w:hAnsi="Arial" w:cs="Arial"/>
          <w:sz w:val="24"/>
          <w:szCs w:val="24"/>
        </w:rPr>
        <w:t>s</w:t>
      </w:r>
      <w:r w:rsidR="00876591" w:rsidRPr="00ED6A53">
        <w:rPr>
          <w:rFonts w:ascii="Arial" w:hAnsi="Arial" w:cs="Arial"/>
          <w:sz w:val="24"/>
          <w:szCs w:val="24"/>
        </w:rPr>
        <w:t xml:space="preserve"> that </w:t>
      </w:r>
      <w:r w:rsidR="005E1939" w:rsidRPr="00ED6A53">
        <w:rPr>
          <w:rFonts w:ascii="Arial" w:hAnsi="Arial" w:cs="Arial"/>
          <w:sz w:val="24"/>
          <w:szCs w:val="24"/>
        </w:rPr>
        <w:t xml:space="preserve">highly cytotoxic irrelevant exposures of hepatocytes to naphthalene can produce “false positive” MN </w:t>
      </w:r>
      <w:r w:rsidR="007D72C1" w:rsidRPr="00ED6A53">
        <w:rPr>
          <w:rFonts w:ascii="Arial" w:hAnsi="Arial" w:cs="Arial"/>
          <w:sz w:val="24"/>
          <w:szCs w:val="24"/>
        </w:rPr>
        <w:t>responses</w:t>
      </w:r>
      <w:r w:rsidR="005111DE">
        <w:rPr>
          <w:rFonts w:ascii="Arial" w:hAnsi="Arial" w:cs="Arial"/>
          <w:sz w:val="24"/>
          <w:szCs w:val="24"/>
        </w:rPr>
        <w:t xml:space="preserve"> likely due to depletion </w:t>
      </w:r>
      <w:r w:rsidR="00A07F4B">
        <w:rPr>
          <w:rFonts w:ascii="Arial" w:hAnsi="Arial" w:cs="Arial"/>
          <w:sz w:val="24"/>
          <w:szCs w:val="24"/>
        </w:rPr>
        <w:t xml:space="preserve">glutathione </w:t>
      </w:r>
      <w:r w:rsidR="002E2BE2">
        <w:rPr>
          <w:rFonts w:ascii="Arial" w:hAnsi="Arial" w:cs="Arial"/>
          <w:sz w:val="24"/>
          <w:szCs w:val="24"/>
        </w:rPr>
        <w:t xml:space="preserve">by reactive naphthalene </w:t>
      </w:r>
      <w:r w:rsidR="00D56E8E">
        <w:rPr>
          <w:rFonts w:ascii="Arial" w:hAnsi="Arial" w:cs="Arial"/>
          <w:sz w:val="24"/>
          <w:szCs w:val="24"/>
        </w:rPr>
        <w:t>metabolites.</w:t>
      </w:r>
      <w:r w:rsidR="007D72C1" w:rsidRPr="00ED6A53">
        <w:rPr>
          <w:rFonts w:ascii="Arial" w:hAnsi="Arial" w:cs="Arial"/>
          <w:sz w:val="24"/>
          <w:szCs w:val="24"/>
        </w:rPr>
        <w:t xml:space="preserve"> </w:t>
      </w:r>
    </w:p>
    <w:p w14:paraId="488B10FD" w14:textId="1A178CB5" w:rsidR="002B71A9" w:rsidRPr="00ED6A53" w:rsidRDefault="002B71A9" w:rsidP="003C4E50">
      <w:pPr>
        <w:spacing w:after="0" w:line="480" w:lineRule="auto"/>
        <w:jc w:val="both"/>
        <w:rPr>
          <w:rFonts w:ascii="Arial" w:hAnsi="Arial" w:cs="Arial"/>
          <w:sz w:val="24"/>
          <w:szCs w:val="24"/>
        </w:rPr>
      </w:pPr>
    </w:p>
    <w:p w14:paraId="20439545" w14:textId="160B2A6A" w:rsidR="00881A9C" w:rsidRDefault="002B71A9" w:rsidP="003C4E50">
      <w:pPr>
        <w:spacing w:after="0" w:line="480" w:lineRule="auto"/>
        <w:jc w:val="both"/>
        <w:rPr>
          <w:rFonts w:ascii="Arial" w:hAnsi="Arial" w:cs="Arial"/>
          <w:b/>
          <w:bCs/>
          <w:sz w:val="24"/>
          <w:szCs w:val="24"/>
        </w:rPr>
      </w:pPr>
      <w:r w:rsidRPr="00ED6A53">
        <w:rPr>
          <w:rFonts w:ascii="Arial" w:hAnsi="Arial" w:cs="Arial"/>
          <w:b/>
          <w:bCs/>
          <w:sz w:val="24"/>
          <w:szCs w:val="24"/>
        </w:rPr>
        <w:t>DISCUSSION</w:t>
      </w:r>
    </w:p>
    <w:p w14:paraId="0D477860" w14:textId="0F16725E" w:rsidR="002071CD" w:rsidRDefault="00B7483F" w:rsidP="003C4E50">
      <w:pPr>
        <w:spacing w:after="0" w:line="480" w:lineRule="auto"/>
        <w:jc w:val="both"/>
        <w:rPr>
          <w:rFonts w:ascii="Arial" w:hAnsi="Arial" w:cs="Arial"/>
          <w:sz w:val="24"/>
          <w:szCs w:val="24"/>
        </w:rPr>
      </w:pPr>
      <w:r>
        <w:rPr>
          <w:rFonts w:ascii="Arial" w:hAnsi="Arial" w:cs="Arial"/>
          <w:sz w:val="24"/>
          <w:szCs w:val="24"/>
        </w:rPr>
        <w:t xml:space="preserve">A number of laboratories are developing NAMs </w:t>
      </w:r>
      <w:r w:rsidR="003A20B4">
        <w:rPr>
          <w:rFonts w:ascii="Arial" w:hAnsi="Arial" w:cs="Arial"/>
          <w:sz w:val="24"/>
          <w:szCs w:val="24"/>
        </w:rPr>
        <w:t>that recapitulate</w:t>
      </w:r>
      <w:r>
        <w:rPr>
          <w:rFonts w:ascii="Arial" w:hAnsi="Arial" w:cs="Arial"/>
          <w:sz w:val="24"/>
          <w:szCs w:val="24"/>
        </w:rPr>
        <w:t xml:space="preserve"> </w:t>
      </w:r>
      <w:r w:rsidR="00DF23AB">
        <w:rPr>
          <w:rFonts w:ascii="Arial" w:hAnsi="Arial" w:cs="Arial"/>
          <w:sz w:val="24"/>
          <w:szCs w:val="24"/>
        </w:rPr>
        <w:t xml:space="preserve">the biology and responses of </w:t>
      </w:r>
      <w:r>
        <w:rPr>
          <w:rFonts w:ascii="Arial" w:hAnsi="Arial" w:cs="Arial"/>
          <w:sz w:val="24"/>
          <w:szCs w:val="24"/>
        </w:rPr>
        <w:t xml:space="preserve">human tissues </w:t>
      </w:r>
      <w:r w:rsidR="00DF23AB">
        <w:rPr>
          <w:rFonts w:ascii="Arial" w:hAnsi="Arial" w:cs="Arial"/>
          <w:sz w:val="24"/>
          <w:szCs w:val="24"/>
        </w:rPr>
        <w:t xml:space="preserve">to xenobiotic exposures </w:t>
      </w:r>
      <w:r>
        <w:rPr>
          <w:rFonts w:ascii="Arial" w:hAnsi="Arial" w:cs="Arial"/>
          <w:sz w:val="24"/>
          <w:szCs w:val="24"/>
        </w:rPr>
        <w:t xml:space="preserve">as in vitro </w:t>
      </w:r>
      <w:r w:rsidR="00934B98">
        <w:rPr>
          <w:rFonts w:ascii="Arial" w:hAnsi="Arial" w:cs="Arial"/>
          <w:sz w:val="24"/>
          <w:szCs w:val="24"/>
        </w:rPr>
        <w:t xml:space="preserve">toxicology </w:t>
      </w:r>
      <w:r>
        <w:rPr>
          <w:rFonts w:ascii="Arial" w:hAnsi="Arial" w:cs="Arial"/>
          <w:sz w:val="24"/>
          <w:szCs w:val="24"/>
        </w:rPr>
        <w:t>alternatives to animal testing</w:t>
      </w:r>
      <w:r w:rsidR="00962F48">
        <w:rPr>
          <w:rFonts w:ascii="Arial" w:hAnsi="Arial" w:cs="Arial"/>
          <w:sz w:val="24"/>
          <w:szCs w:val="24"/>
        </w:rPr>
        <w:t>.</w:t>
      </w:r>
      <w:r>
        <w:rPr>
          <w:rFonts w:ascii="Arial" w:hAnsi="Arial" w:cs="Arial"/>
          <w:sz w:val="24"/>
          <w:szCs w:val="24"/>
        </w:rPr>
        <w:t xml:space="preserve"> </w:t>
      </w:r>
      <w:r w:rsidR="002E524A">
        <w:rPr>
          <w:rFonts w:ascii="Arial" w:hAnsi="Arial" w:cs="Arial"/>
          <w:sz w:val="24"/>
          <w:szCs w:val="24"/>
        </w:rPr>
        <w:t>R</w:t>
      </w:r>
      <w:r w:rsidR="002E524A" w:rsidRPr="002E524A">
        <w:rPr>
          <w:rFonts w:ascii="Arial" w:hAnsi="Arial" w:cs="Arial"/>
          <w:sz w:val="24"/>
          <w:szCs w:val="24"/>
        </w:rPr>
        <w:t>elying primarily or exclusively on animals for safety and risk assessments may not adequately characterize the spectrum of potential effects in humans limiting the ability to accurately assess human health hazards and potential risk.</w:t>
      </w:r>
      <w:r w:rsidR="00E36D98">
        <w:rPr>
          <w:rFonts w:ascii="Arial" w:hAnsi="Arial" w:cs="Arial"/>
          <w:sz w:val="24"/>
          <w:szCs w:val="24"/>
        </w:rPr>
        <w:t xml:space="preserve"> (National Academy of Sciences, 2023)</w:t>
      </w:r>
      <w:r>
        <w:rPr>
          <w:rFonts w:ascii="Arial" w:hAnsi="Arial" w:cs="Arial"/>
          <w:sz w:val="24"/>
          <w:szCs w:val="24"/>
        </w:rPr>
        <w:t xml:space="preserve">. </w:t>
      </w:r>
      <w:r w:rsidR="00262E95">
        <w:rPr>
          <w:rFonts w:ascii="Arial" w:hAnsi="Arial" w:cs="Arial"/>
          <w:sz w:val="24"/>
          <w:szCs w:val="24"/>
        </w:rPr>
        <w:t xml:space="preserve">Secondly, </w:t>
      </w:r>
      <w:r w:rsidR="00E36D98">
        <w:rPr>
          <w:rFonts w:ascii="Arial" w:hAnsi="Arial" w:cs="Arial"/>
          <w:sz w:val="24"/>
          <w:szCs w:val="24"/>
        </w:rPr>
        <w:t xml:space="preserve">these human-relevant </w:t>
      </w:r>
      <w:r w:rsidR="00962F48">
        <w:rPr>
          <w:rFonts w:ascii="Arial" w:hAnsi="Arial" w:cs="Arial"/>
          <w:sz w:val="24"/>
          <w:szCs w:val="24"/>
        </w:rPr>
        <w:t>NAMs</w:t>
      </w:r>
      <w:r w:rsidR="00FB7B1C">
        <w:rPr>
          <w:rFonts w:ascii="Arial" w:hAnsi="Arial" w:cs="Arial"/>
          <w:sz w:val="24"/>
          <w:szCs w:val="24"/>
        </w:rPr>
        <w:t xml:space="preserve"> are being employed in the pharmaceutical</w:t>
      </w:r>
      <w:r w:rsidR="002E524A">
        <w:rPr>
          <w:rFonts w:ascii="Arial" w:hAnsi="Arial" w:cs="Arial"/>
          <w:sz w:val="24"/>
          <w:szCs w:val="24"/>
        </w:rPr>
        <w:t xml:space="preserve"> and chemical industries</w:t>
      </w:r>
      <w:r w:rsidR="00FB7B1C">
        <w:rPr>
          <w:rFonts w:ascii="Arial" w:hAnsi="Arial" w:cs="Arial"/>
          <w:sz w:val="24"/>
          <w:szCs w:val="24"/>
        </w:rPr>
        <w:t xml:space="preserve"> to identify </w:t>
      </w:r>
      <w:r w:rsidR="00A127B9">
        <w:rPr>
          <w:rFonts w:ascii="Arial" w:hAnsi="Arial" w:cs="Arial"/>
          <w:sz w:val="24"/>
          <w:szCs w:val="24"/>
        </w:rPr>
        <w:t xml:space="preserve">human-relevant </w:t>
      </w:r>
      <w:r w:rsidR="00FB7B1C">
        <w:rPr>
          <w:rFonts w:ascii="Arial" w:hAnsi="Arial" w:cs="Arial"/>
          <w:sz w:val="24"/>
          <w:szCs w:val="24"/>
        </w:rPr>
        <w:t>potential hazards ea</w:t>
      </w:r>
      <w:r w:rsidR="00A127B9">
        <w:rPr>
          <w:rFonts w:ascii="Arial" w:hAnsi="Arial" w:cs="Arial"/>
          <w:sz w:val="24"/>
          <w:szCs w:val="24"/>
        </w:rPr>
        <w:t>r</w:t>
      </w:r>
      <w:r w:rsidR="00FB7B1C">
        <w:rPr>
          <w:rFonts w:ascii="Arial" w:hAnsi="Arial" w:cs="Arial"/>
          <w:sz w:val="24"/>
          <w:szCs w:val="24"/>
        </w:rPr>
        <w:t xml:space="preserve">ly </w:t>
      </w:r>
      <w:r w:rsidR="00A127B9">
        <w:rPr>
          <w:rFonts w:ascii="Arial" w:hAnsi="Arial" w:cs="Arial"/>
          <w:sz w:val="24"/>
          <w:szCs w:val="24"/>
        </w:rPr>
        <w:t>development prior to</w:t>
      </w:r>
      <w:r w:rsidR="00CF6661">
        <w:rPr>
          <w:rFonts w:ascii="Arial" w:hAnsi="Arial" w:cs="Arial"/>
          <w:sz w:val="24"/>
          <w:szCs w:val="24"/>
        </w:rPr>
        <w:t xml:space="preserve"> going forward for regulatory safety assessment testing</w:t>
      </w:r>
      <w:r w:rsidR="00AD3139">
        <w:rPr>
          <w:rFonts w:ascii="Arial" w:hAnsi="Arial" w:cs="Arial"/>
          <w:sz w:val="24"/>
          <w:szCs w:val="24"/>
        </w:rPr>
        <w:t xml:space="preserve"> (Avi</w:t>
      </w:r>
      <w:r w:rsidR="006D7EFA">
        <w:rPr>
          <w:rFonts w:ascii="Arial" w:hAnsi="Arial" w:cs="Arial"/>
          <w:sz w:val="24"/>
          <w:szCs w:val="24"/>
        </w:rPr>
        <w:t>la</w:t>
      </w:r>
      <w:r w:rsidR="00AD3139">
        <w:rPr>
          <w:rFonts w:ascii="Arial" w:hAnsi="Arial" w:cs="Arial"/>
          <w:sz w:val="24"/>
          <w:szCs w:val="24"/>
        </w:rPr>
        <w:t xml:space="preserve"> et al., 2020)</w:t>
      </w:r>
      <w:r w:rsidR="00CF6661">
        <w:rPr>
          <w:rFonts w:ascii="Arial" w:hAnsi="Arial" w:cs="Arial"/>
          <w:sz w:val="24"/>
          <w:szCs w:val="24"/>
        </w:rPr>
        <w:t>.</w:t>
      </w:r>
      <w:r w:rsidR="002E524A">
        <w:rPr>
          <w:rFonts w:ascii="Arial" w:hAnsi="Arial" w:cs="Arial"/>
          <w:sz w:val="24"/>
          <w:szCs w:val="24"/>
        </w:rPr>
        <w:t xml:space="preserve"> </w:t>
      </w:r>
      <w:r>
        <w:rPr>
          <w:rFonts w:ascii="Arial" w:hAnsi="Arial" w:cs="Arial"/>
          <w:sz w:val="24"/>
          <w:szCs w:val="24"/>
        </w:rPr>
        <w:t xml:space="preserve">Integrating data from these test systems with computational tools for in vitro to in vivo extrapolation (IVIVE) modeling are beginning </w:t>
      </w:r>
      <w:r w:rsidR="0019519E">
        <w:rPr>
          <w:rFonts w:ascii="Arial" w:hAnsi="Arial" w:cs="Arial"/>
          <w:sz w:val="24"/>
          <w:szCs w:val="24"/>
        </w:rPr>
        <w:t>to impact</w:t>
      </w:r>
      <w:r>
        <w:rPr>
          <w:rFonts w:ascii="Arial" w:hAnsi="Arial" w:cs="Arial"/>
          <w:sz w:val="24"/>
          <w:szCs w:val="24"/>
        </w:rPr>
        <w:t xml:space="preserve"> risk </w:t>
      </w:r>
      <w:r w:rsidR="0019519E">
        <w:rPr>
          <w:rFonts w:ascii="Arial" w:hAnsi="Arial" w:cs="Arial"/>
          <w:sz w:val="24"/>
          <w:szCs w:val="24"/>
        </w:rPr>
        <w:t xml:space="preserve">assessments </w:t>
      </w:r>
      <w:r>
        <w:rPr>
          <w:rFonts w:ascii="Arial" w:hAnsi="Arial" w:cs="Arial"/>
          <w:sz w:val="24"/>
          <w:szCs w:val="24"/>
        </w:rPr>
        <w:t>to humans</w:t>
      </w:r>
      <w:r w:rsidR="00E96444">
        <w:rPr>
          <w:rFonts w:ascii="Arial" w:hAnsi="Arial" w:cs="Arial"/>
          <w:sz w:val="24"/>
          <w:szCs w:val="24"/>
        </w:rPr>
        <w:t xml:space="preserve"> (</w:t>
      </w:r>
      <w:proofErr w:type="spellStart"/>
      <w:r w:rsidR="00E96444" w:rsidRPr="000D1655">
        <w:rPr>
          <w:rFonts w:ascii="Arial" w:eastAsia="Calibri" w:hAnsi="Arial" w:cs="Arial"/>
          <w:color w:val="000000"/>
          <w:sz w:val="24"/>
          <w:szCs w:val="24"/>
        </w:rPr>
        <w:t>Ramanarayanan</w:t>
      </w:r>
      <w:proofErr w:type="spellEnd"/>
      <w:r w:rsidR="00E96444">
        <w:rPr>
          <w:rFonts w:ascii="Arial" w:eastAsia="Calibri" w:hAnsi="Arial" w:cs="Arial"/>
          <w:color w:val="000000"/>
          <w:sz w:val="24"/>
          <w:szCs w:val="24"/>
        </w:rPr>
        <w:t xml:space="preserve"> et al., 2022; Moreau et al</w:t>
      </w:r>
      <w:r w:rsidR="00D252BD">
        <w:rPr>
          <w:rFonts w:ascii="Arial" w:eastAsia="Calibri" w:hAnsi="Arial" w:cs="Arial"/>
          <w:color w:val="000000"/>
          <w:sz w:val="24"/>
          <w:szCs w:val="24"/>
        </w:rPr>
        <w:t>., 2022).</w:t>
      </w:r>
      <w:r w:rsidR="00BC2B8A">
        <w:rPr>
          <w:rFonts w:ascii="Arial" w:hAnsi="Arial" w:cs="Arial"/>
          <w:sz w:val="24"/>
          <w:szCs w:val="24"/>
        </w:rPr>
        <w:t xml:space="preserve"> </w:t>
      </w:r>
      <w:r>
        <w:rPr>
          <w:rFonts w:ascii="Arial" w:hAnsi="Arial" w:cs="Arial"/>
          <w:sz w:val="24"/>
          <w:szCs w:val="24"/>
        </w:rPr>
        <w:t>Our laboratory is focused on developing multiple genetic toxicology</w:t>
      </w:r>
      <w:r w:rsidR="003E5A93">
        <w:rPr>
          <w:rFonts w:ascii="Arial" w:hAnsi="Arial" w:cs="Arial"/>
          <w:sz w:val="24"/>
          <w:szCs w:val="24"/>
        </w:rPr>
        <w:t xml:space="preserve"> endpoints </w:t>
      </w:r>
      <w:r w:rsidR="00D56DD7">
        <w:rPr>
          <w:rFonts w:ascii="Arial" w:hAnsi="Arial" w:cs="Arial"/>
          <w:sz w:val="24"/>
          <w:szCs w:val="24"/>
        </w:rPr>
        <w:t>in human hepatocytes</w:t>
      </w:r>
      <w:r w:rsidR="00457C16">
        <w:rPr>
          <w:rFonts w:ascii="Arial" w:hAnsi="Arial" w:cs="Arial"/>
          <w:sz w:val="24"/>
          <w:szCs w:val="24"/>
        </w:rPr>
        <w:t xml:space="preserve"> since liver is the primary target organ affected </w:t>
      </w:r>
      <w:r w:rsidR="0073401C">
        <w:rPr>
          <w:rFonts w:ascii="Arial" w:hAnsi="Arial" w:cs="Arial"/>
          <w:sz w:val="24"/>
          <w:szCs w:val="24"/>
        </w:rPr>
        <w:t xml:space="preserve">in </w:t>
      </w:r>
      <w:r w:rsidR="00AB2EB1">
        <w:rPr>
          <w:rFonts w:ascii="Arial" w:hAnsi="Arial" w:cs="Arial"/>
          <w:sz w:val="24"/>
          <w:szCs w:val="24"/>
        </w:rPr>
        <w:t>regulatory toxicology testing in rodents</w:t>
      </w:r>
      <w:r w:rsidR="00B53757">
        <w:rPr>
          <w:rFonts w:ascii="Arial" w:hAnsi="Arial" w:cs="Arial"/>
          <w:sz w:val="24"/>
          <w:szCs w:val="24"/>
        </w:rPr>
        <w:t xml:space="preserve">, drug induced liver injury </w:t>
      </w:r>
      <w:r w:rsidR="00FA4323">
        <w:rPr>
          <w:rFonts w:ascii="Arial" w:hAnsi="Arial" w:cs="Arial"/>
          <w:sz w:val="24"/>
          <w:szCs w:val="24"/>
        </w:rPr>
        <w:t xml:space="preserve">in humans </w:t>
      </w:r>
      <w:r w:rsidR="00B53757">
        <w:rPr>
          <w:rFonts w:ascii="Arial" w:hAnsi="Arial" w:cs="Arial"/>
          <w:sz w:val="24"/>
          <w:szCs w:val="24"/>
        </w:rPr>
        <w:t xml:space="preserve">remains a significant issue in drug development </w:t>
      </w:r>
      <w:r w:rsidR="00FA4323">
        <w:rPr>
          <w:rFonts w:ascii="Arial" w:hAnsi="Arial" w:cs="Arial"/>
          <w:sz w:val="24"/>
          <w:szCs w:val="24"/>
        </w:rPr>
        <w:t xml:space="preserve">exposed </w:t>
      </w:r>
      <w:r w:rsidR="00B63DE0">
        <w:rPr>
          <w:rFonts w:ascii="Arial" w:hAnsi="Arial" w:cs="Arial"/>
          <w:sz w:val="24"/>
          <w:szCs w:val="24"/>
        </w:rPr>
        <w:t xml:space="preserve">during clinical trials, and liver is </w:t>
      </w:r>
      <w:r w:rsidR="009319F7">
        <w:rPr>
          <w:rFonts w:ascii="Arial" w:hAnsi="Arial" w:cs="Arial"/>
          <w:sz w:val="24"/>
          <w:szCs w:val="24"/>
        </w:rPr>
        <w:t>the primary tissues for the in vivo</w:t>
      </w:r>
      <w:r w:rsidR="00FA4323">
        <w:rPr>
          <w:rFonts w:ascii="Arial" w:hAnsi="Arial" w:cs="Arial"/>
          <w:sz w:val="24"/>
          <w:szCs w:val="24"/>
        </w:rPr>
        <w:t xml:space="preserve"> </w:t>
      </w:r>
      <w:r w:rsidR="009319F7">
        <w:rPr>
          <w:rFonts w:ascii="Arial" w:hAnsi="Arial" w:cs="Arial"/>
          <w:sz w:val="24"/>
          <w:szCs w:val="24"/>
        </w:rPr>
        <w:t>comet assay</w:t>
      </w:r>
      <w:r w:rsidR="00F33A29">
        <w:rPr>
          <w:rFonts w:ascii="Arial" w:hAnsi="Arial" w:cs="Arial"/>
          <w:sz w:val="24"/>
          <w:szCs w:val="24"/>
        </w:rPr>
        <w:t xml:space="preserve"> used for regulatory genetic toxicology testing. </w:t>
      </w:r>
      <w:r w:rsidR="00B05562">
        <w:rPr>
          <w:rFonts w:ascii="Arial" w:hAnsi="Arial" w:cs="Arial"/>
          <w:sz w:val="24"/>
          <w:szCs w:val="24"/>
        </w:rPr>
        <w:t xml:space="preserve"> The current study examines the use HepaRG</w:t>
      </w:r>
      <w:r w:rsidR="00DA2ED6">
        <w:rPr>
          <w:rFonts w:ascii="Arial" w:hAnsi="Arial" w:cs="Arial"/>
          <w:sz w:val="24"/>
          <w:szCs w:val="24"/>
        </w:rPr>
        <w:t>™</w:t>
      </w:r>
      <w:r w:rsidR="00B05562">
        <w:rPr>
          <w:rFonts w:ascii="Arial" w:hAnsi="Arial" w:cs="Arial"/>
          <w:sz w:val="24"/>
          <w:szCs w:val="24"/>
        </w:rPr>
        <w:t xml:space="preserve"> as a genetic toxicology NAM</w:t>
      </w:r>
      <w:r w:rsidR="00DA2ED6">
        <w:rPr>
          <w:rFonts w:ascii="Arial" w:hAnsi="Arial" w:cs="Arial"/>
          <w:sz w:val="24"/>
          <w:szCs w:val="24"/>
        </w:rPr>
        <w:t xml:space="preserve"> alternative to the in vivo comet and MN assays using naphthalene as a prototype in vitro </w:t>
      </w:r>
      <w:r w:rsidR="00F33A29">
        <w:rPr>
          <w:rFonts w:ascii="Arial" w:hAnsi="Arial" w:cs="Arial"/>
          <w:sz w:val="24"/>
          <w:szCs w:val="24"/>
        </w:rPr>
        <w:t xml:space="preserve">genotoxic </w:t>
      </w:r>
      <w:r w:rsidR="00332E9F">
        <w:rPr>
          <w:rFonts w:ascii="Arial" w:hAnsi="Arial" w:cs="Arial"/>
          <w:sz w:val="24"/>
          <w:szCs w:val="24"/>
        </w:rPr>
        <w:t>compound requiring metabolic activation</w:t>
      </w:r>
      <w:r w:rsidR="00DA2ED6">
        <w:rPr>
          <w:rFonts w:ascii="Arial" w:hAnsi="Arial" w:cs="Arial"/>
          <w:sz w:val="24"/>
          <w:szCs w:val="24"/>
        </w:rPr>
        <w:t>.</w:t>
      </w:r>
      <w:r w:rsidR="005D7E57" w:rsidRPr="005D7E57">
        <w:t xml:space="preserve"> </w:t>
      </w:r>
    </w:p>
    <w:p w14:paraId="3A4EDDC6" w14:textId="77777777" w:rsidR="00E40607" w:rsidRPr="00ED6A53" w:rsidRDefault="00E40607" w:rsidP="003C4E50">
      <w:pPr>
        <w:spacing w:after="0" w:line="480" w:lineRule="auto"/>
        <w:jc w:val="both"/>
        <w:rPr>
          <w:rFonts w:ascii="Arial" w:hAnsi="Arial" w:cs="Arial"/>
          <w:sz w:val="24"/>
          <w:szCs w:val="24"/>
        </w:rPr>
      </w:pPr>
    </w:p>
    <w:p w14:paraId="5D34DEBC" w14:textId="139BCA0C" w:rsidR="00713C24" w:rsidRPr="00ED6A53" w:rsidRDefault="002071CD" w:rsidP="003C4E50">
      <w:pPr>
        <w:spacing w:after="0" w:line="480" w:lineRule="auto"/>
        <w:jc w:val="both"/>
        <w:rPr>
          <w:rFonts w:ascii="Arial" w:hAnsi="Arial" w:cs="Arial"/>
          <w:sz w:val="24"/>
          <w:szCs w:val="24"/>
        </w:rPr>
      </w:pPr>
      <w:r w:rsidRPr="00ED6A53">
        <w:rPr>
          <w:rFonts w:ascii="Arial" w:hAnsi="Arial" w:cs="Arial"/>
          <w:sz w:val="24"/>
          <w:szCs w:val="24"/>
        </w:rPr>
        <w:t>To provide xenobiotic metabolizing capability to cells devoid of CYP450, genetic toxicology employs a highly induced liver homogenate preparation referred to as S9</w:t>
      </w:r>
      <w:r w:rsidR="00553945" w:rsidRPr="00ED6A53">
        <w:rPr>
          <w:rFonts w:ascii="Arial" w:hAnsi="Arial" w:cs="Arial"/>
          <w:sz w:val="24"/>
          <w:szCs w:val="24"/>
        </w:rPr>
        <w:t xml:space="preserve"> (McGregor et al</w:t>
      </w:r>
      <w:r w:rsidR="00FB2076" w:rsidRPr="00ED6A53">
        <w:rPr>
          <w:rFonts w:ascii="Arial" w:hAnsi="Arial" w:cs="Arial"/>
          <w:sz w:val="24"/>
          <w:szCs w:val="24"/>
        </w:rPr>
        <w:t>.,</w:t>
      </w:r>
      <w:r w:rsidR="00BC6342" w:rsidRPr="00ED6A53">
        <w:rPr>
          <w:rFonts w:ascii="Arial" w:hAnsi="Arial" w:cs="Arial"/>
          <w:sz w:val="24"/>
          <w:szCs w:val="24"/>
        </w:rPr>
        <w:t xml:space="preserve"> 1991)</w:t>
      </w:r>
      <w:r w:rsidRPr="00ED6A53">
        <w:rPr>
          <w:rFonts w:ascii="Arial" w:hAnsi="Arial" w:cs="Arial"/>
          <w:sz w:val="24"/>
          <w:szCs w:val="24"/>
        </w:rPr>
        <w:t xml:space="preserve">. </w:t>
      </w:r>
      <w:r w:rsidR="00653CA9" w:rsidRPr="00ED6A53">
        <w:rPr>
          <w:rFonts w:ascii="Arial" w:hAnsi="Arial" w:cs="Arial"/>
          <w:sz w:val="24"/>
          <w:szCs w:val="24"/>
        </w:rPr>
        <w:t>For t</w:t>
      </w:r>
      <w:r w:rsidR="001574A5" w:rsidRPr="00ED6A53">
        <w:rPr>
          <w:rFonts w:ascii="Arial" w:hAnsi="Arial" w:cs="Arial"/>
          <w:sz w:val="24"/>
          <w:szCs w:val="24"/>
        </w:rPr>
        <w:t xml:space="preserve">he preparation of rat liver </w:t>
      </w:r>
      <w:r w:rsidR="00653CA9" w:rsidRPr="00ED6A53">
        <w:rPr>
          <w:rFonts w:ascii="Arial" w:hAnsi="Arial" w:cs="Arial"/>
          <w:sz w:val="24"/>
          <w:szCs w:val="24"/>
        </w:rPr>
        <w:t>S9 for commercial sale, rats</w:t>
      </w:r>
      <w:r w:rsidRPr="00ED6A53">
        <w:rPr>
          <w:rFonts w:ascii="Arial" w:hAnsi="Arial" w:cs="Arial"/>
          <w:sz w:val="24"/>
          <w:szCs w:val="24"/>
        </w:rPr>
        <w:t xml:space="preserve"> are dosed with the highly potent CYP450 enzyme inducers, phenobarbital and β-naphthoflavone causing proliferation of the endoplasmic reticulum, hepatocellular hypertrophy</w:t>
      </w:r>
      <w:r w:rsidR="00C86BDF" w:rsidRPr="00ED6A53">
        <w:rPr>
          <w:rFonts w:ascii="Arial" w:hAnsi="Arial" w:cs="Arial"/>
          <w:sz w:val="24"/>
          <w:szCs w:val="24"/>
        </w:rPr>
        <w:t>,</w:t>
      </w:r>
      <w:r w:rsidRPr="00ED6A53">
        <w:rPr>
          <w:rFonts w:ascii="Arial" w:hAnsi="Arial" w:cs="Arial"/>
          <w:sz w:val="24"/>
          <w:szCs w:val="24"/>
        </w:rPr>
        <w:t xml:space="preserve"> and increased liver weight.</w:t>
      </w:r>
      <w:r w:rsidR="00661534" w:rsidRPr="00ED6A53">
        <w:rPr>
          <w:rFonts w:ascii="Arial" w:hAnsi="Arial" w:cs="Arial"/>
          <w:sz w:val="24"/>
          <w:szCs w:val="24"/>
        </w:rPr>
        <w:t xml:space="preserve"> The liver homogenate as used in regulatory genetic toxicology testing is the supernatant of a 9000xg spin (S9) of homogenized livers from </w:t>
      </w:r>
      <w:r w:rsidR="00E340D2">
        <w:rPr>
          <w:rFonts w:ascii="Arial" w:hAnsi="Arial" w:cs="Arial"/>
          <w:sz w:val="24"/>
          <w:szCs w:val="24"/>
        </w:rPr>
        <w:t>pheno</w:t>
      </w:r>
      <w:r w:rsidR="00401CD1">
        <w:rPr>
          <w:rFonts w:ascii="Arial" w:hAnsi="Arial" w:cs="Arial"/>
          <w:sz w:val="24"/>
          <w:szCs w:val="24"/>
        </w:rPr>
        <w:t xml:space="preserve">barbital/β-naphthoflavone </w:t>
      </w:r>
      <w:r w:rsidR="00401CD1" w:rsidRPr="00ED6A53">
        <w:rPr>
          <w:rFonts w:ascii="Arial" w:hAnsi="Arial" w:cs="Arial"/>
          <w:sz w:val="24"/>
          <w:szCs w:val="24"/>
        </w:rPr>
        <w:t>induced rats</w:t>
      </w:r>
      <w:r w:rsidR="00661534" w:rsidRPr="00ED6A53">
        <w:rPr>
          <w:rFonts w:ascii="Arial" w:hAnsi="Arial" w:cs="Arial"/>
          <w:sz w:val="24"/>
          <w:szCs w:val="24"/>
        </w:rPr>
        <w:t xml:space="preserve">. </w:t>
      </w:r>
      <w:r w:rsidR="000D0D8F" w:rsidRPr="00ED6A53">
        <w:rPr>
          <w:rFonts w:ascii="Arial" w:hAnsi="Arial" w:cs="Arial"/>
          <w:sz w:val="24"/>
          <w:szCs w:val="24"/>
        </w:rPr>
        <w:t xml:space="preserve">For regulatory testing, </w:t>
      </w:r>
      <w:r w:rsidR="00661534" w:rsidRPr="00ED6A53">
        <w:rPr>
          <w:rFonts w:ascii="Arial" w:hAnsi="Arial" w:cs="Arial"/>
          <w:sz w:val="24"/>
          <w:szCs w:val="24"/>
        </w:rPr>
        <w:t>S9 is supplemented with CYP450 cofactors only (NADPH</w:t>
      </w:r>
      <w:r w:rsidR="00664934" w:rsidRPr="00ED6A53">
        <w:rPr>
          <w:rFonts w:ascii="Arial" w:hAnsi="Arial" w:cs="Arial"/>
          <w:sz w:val="24"/>
          <w:szCs w:val="24"/>
        </w:rPr>
        <w:t>) referred to as S9 mix</w:t>
      </w:r>
      <w:r w:rsidR="00661534" w:rsidRPr="00ED6A53">
        <w:rPr>
          <w:rFonts w:ascii="Arial" w:hAnsi="Arial" w:cs="Arial"/>
          <w:sz w:val="24"/>
          <w:szCs w:val="24"/>
        </w:rPr>
        <w:t xml:space="preserve">. </w:t>
      </w:r>
      <w:r w:rsidR="000D0D8F" w:rsidRPr="00ED6A53">
        <w:rPr>
          <w:rFonts w:ascii="Arial" w:hAnsi="Arial" w:cs="Arial"/>
          <w:sz w:val="24"/>
          <w:szCs w:val="24"/>
        </w:rPr>
        <w:t>The induction regimen used to prepare rat liver S9</w:t>
      </w:r>
      <w:r w:rsidRPr="00ED6A53">
        <w:rPr>
          <w:rFonts w:ascii="Arial" w:hAnsi="Arial" w:cs="Arial"/>
          <w:sz w:val="24"/>
          <w:szCs w:val="24"/>
        </w:rPr>
        <w:t xml:space="preserve"> induce</w:t>
      </w:r>
      <w:r w:rsidR="000D0D8F" w:rsidRPr="00ED6A53">
        <w:rPr>
          <w:rFonts w:ascii="Arial" w:hAnsi="Arial" w:cs="Arial"/>
          <w:sz w:val="24"/>
          <w:szCs w:val="24"/>
        </w:rPr>
        <w:t>s</w:t>
      </w:r>
      <w:r w:rsidRPr="00ED6A53">
        <w:rPr>
          <w:rFonts w:ascii="Arial" w:hAnsi="Arial" w:cs="Arial"/>
          <w:sz w:val="24"/>
          <w:szCs w:val="24"/>
        </w:rPr>
        <w:t xml:space="preserve"> </w:t>
      </w:r>
      <w:r w:rsidR="000D0D8F" w:rsidRPr="00ED6A53">
        <w:rPr>
          <w:rFonts w:ascii="Arial" w:hAnsi="Arial" w:cs="Arial"/>
          <w:sz w:val="24"/>
          <w:szCs w:val="24"/>
        </w:rPr>
        <w:t xml:space="preserve">Cyp450s greater than </w:t>
      </w:r>
      <w:r w:rsidRPr="00ED6A53">
        <w:rPr>
          <w:rFonts w:ascii="Arial" w:hAnsi="Arial" w:cs="Arial"/>
          <w:sz w:val="24"/>
          <w:szCs w:val="24"/>
        </w:rPr>
        <w:t>100-fold enabling the enhanced biotransformation of a broad spectrum of xenobiotics</w:t>
      </w:r>
      <w:r w:rsidR="000D0D8F" w:rsidRPr="00ED6A53">
        <w:rPr>
          <w:rFonts w:ascii="Arial" w:hAnsi="Arial" w:cs="Arial"/>
          <w:sz w:val="24"/>
          <w:szCs w:val="24"/>
        </w:rPr>
        <w:t xml:space="preserve">. </w:t>
      </w:r>
      <w:r w:rsidR="00713C24" w:rsidRPr="00ED6A53">
        <w:rPr>
          <w:rFonts w:ascii="Arial" w:hAnsi="Arial" w:cs="Arial"/>
          <w:sz w:val="24"/>
          <w:szCs w:val="24"/>
        </w:rPr>
        <w:t>This high level of induction can provide enhanced CYP450 mediated bioactivation without detoxication since rat liver S9 is supplemented with CYP450 cofactors (NADPH</w:t>
      </w:r>
      <w:r w:rsidR="00132AD5">
        <w:rPr>
          <w:rFonts w:ascii="Arial" w:hAnsi="Arial" w:cs="Arial"/>
          <w:sz w:val="24"/>
          <w:szCs w:val="24"/>
        </w:rPr>
        <w:t>) only</w:t>
      </w:r>
      <w:r w:rsidR="00713C24" w:rsidRPr="00ED6A53">
        <w:rPr>
          <w:rFonts w:ascii="Arial" w:hAnsi="Arial" w:cs="Arial"/>
          <w:sz w:val="24"/>
          <w:szCs w:val="24"/>
        </w:rPr>
        <w:t xml:space="preserve"> and Phase II biotransformation enzymes are inactive due to lack of cofactors required by glucuronyl transferases, </w:t>
      </w:r>
      <w:r w:rsidR="00F07682" w:rsidRPr="00ED6A53">
        <w:rPr>
          <w:rFonts w:ascii="Arial" w:hAnsi="Arial" w:cs="Arial"/>
          <w:sz w:val="24"/>
          <w:szCs w:val="24"/>
        </w:rPr>
        <w:t>sulfotransferases,</w:t>
      </w:r>
      <w:r w:rsidR="00713C24" w:rsidRPr="00ED6A53">
        <w:rPr>
          <w:rFonts w:ascii="Arial" w:hAnsi="Arial" w:cs="Arial"/>
          <w:sz w:val="24"/>
          <w:szCs w:val="24"/>
        </w:rPr>
        <w:t xml:space="preserve"> and glutathione-S-transferases. This high level of CYP450 bioactivation without Phase II detoxication represents a significant imbalance in xenobiotic biotransformation. In liver and in hepatocytes Phase I and Phase II metabolism are intact and linked in contrast to rat liver S9 supplemented with Cyp450 cofactors </w:t>
      </w:r>
      <w:r w:rsidR="00910AA0" w:rsidRPr="00ED6A53">
        <w:rPr>
          <w:rFonts w:ascii="Arial" w:hAnsi="Arial" w:cs="Arial"/>
          <w:sz w:val="24"/>
          <w:szCs w:val="24"/>
        </w:rPr>
        <w:t xml:space="preserve">only supporting Cyp450 </w:t>
      </w:r>
      <w:r w:rsidR="0082621D" w:rsidRPr="00ED6A53">
        <w:rPr>
          <w:rFonts w:ascii="Arial" w:hAnsi="Arial" w:cs="Arial"/>
          <w:sz w:val="24"/>
          <w:szCs w:val="24"/>
        </w:rPr>
        <w:t xml:space="preserve">mediated </w:t>
      </w:r>
      <w:r w:rsidR="00910AA0" w:rsidRPr="00ED6A53">
        <w:rPr>
          <w:rFonts w:ascii="Arial" w:hAnsi="Arial" w:cs="Arial"/>
          <w:sz w:val="24"/>
          <w:szCs w:val="24"/>
        </w:rPr>
        <w:t>bioactivation</w:t>
      </w:r>
      <w:r w:rsidR="0082621D" w:rsidRPr="00ED6A53">
        <w:rPr>
          <w:rFonts w:ascii="Arial" w:hAnsi="Arial" w:cs="Arial"/>
          <w:sz w:val="24"/>
          <w:szCs w:val="24"/>
        </w:rPr>
        <w:t>.</w:t>
      </w:r>
      <w:r w:rsidR="00161B0D">
        <w:rPr>
          <w:rFonts w:ascii="Arial" w:hAnsi="Arial" w:cs="Arial"/>
          <w:sz w:val="24"/>
          <w:szCs w:val="24"/>
        </w:rPr>
        <w:t xml:space="preserve"> This imbalance of bioactivation with detoxication can lead to false positive responses in genetic toxicology </w:t>
      </w:r>
      <w:proofErr w:type="spellStart"/>
      <w:r w:rsidR="00161B0D">
        <w:rPr>
          <w:rFonts w:ascii="Arial" w:hAnsi="Arial" w:cs="Arial"/>
          <w:sz w:val="24"/>
          <w:szCs w:val="24"/>
        </w:rPr>
        <w:t>teting</w:t>
      </w:r>
      <w:proofErr w:type="spellEnd"/>
      <w:r w:rsidR="00161B0D">
        <w:rPr>
          <w:rFonts w:ascii="Arial" w:hAnsi="Arial" w:cs="Arial"/>
          <w:sz w:val="24"/>
          <w:szCs w:val="24"/>
        </w:rPr>
        <w:t>.</w:t>
      </w:r>
    </w:p>
    <w:p w14:paraId="2BD0C01D" w14:textId="77777777" w:rsidR="00C55C35" w:rsidRPr="00ED6A53" w:rsidRDefault="00C55C35" w:rsidP="00C55C35">
      <w:pPr>
        <w:spacing w:after="0" w:line="480" w:lineRule="auto"/>
        <w:jc w:val="both"/>
        <w:rPr>
          <w:rFonts w:ascii="Arial" w:hAnsi="Arial" w:cs="Arial"/>
          <w:sz w:val="24"/>
          <w:szCs w:val="24"/>
        </w:rPr>
      </w:pPr>
    </w:p>
    <w:p w14:paraId="4959AA95" w14:textId="1B98378B" w:rsidR="009C2264" w:rsidRDefault="00C55C35" w:rsidP="00C55C35">
      <w:pPr>
        <w:spacing w:after="0" w:line="480" w:lineRule="auto"/>
        <w:jc w:val="both"/>
        <w:rPr>
          <w:rFonts w:ascii="Arial" w:hAnsi="Arial" w:cs="Arial"/>
          <w:sz w:val="24"/>
          <w:szCs w:val="24"/>
        </w:rPr>
      </w:pPr>
      <w:r w:rsidRPr="00ED6A53">
        <w:rPr>
          <w:rFonts w:ascii="Arial" w:hAnsi="Arial" w:cs="Arial"/>
          <w:sz w:val="24"/>
          <w:szCs w:val="24"/>
        </w:rPr>
        <w:t xml:space="preserve">As indicated previously, when naphthalene was tested according to OECD 487 in TK6 cells with S9, naphthalene induced a dose-dependent increase in MN at exposure concentrations &gt; 20 µM corresponding to approximately 80% survival and a twofold increase </w:t>
      </w:r>
      <w:r w:rsidR="002C4AAB" w:rsidRPr="00ED6A53">
        <w:rPr>
          <w:rFonts w:ascii="Arial" w:hAnsi="Arial" w:cs="Arial"/>
          <w:sz w:val="24"/>
          <w:szCs w:val="24"/>
        </w:rPr>
        <w:t xml:space="preserve">in </w:t>
      </w:r>
      <w:r w:rsidRPr="00ED6A53">
        <w:rPr>
          <w:rFonts w:ascii="Arial" w:hAnsi="Arial" w:cs="Arial"/>
          <w:sz w:val="24"/>
          <w:szCs w:val="24"/>
        </w:rPr>
        <w:t>MN as a second criterion for positive test concentrations</w:t>
      </w:r>
      <w:r w:rsidR="00C303C5">
        <w:rPr>
          <w:rFonts w:ascii="Arial" w:hAnsi="Arial" w:cs="Arial"/>
          <w:sz w:val="24"/>
          <w:szCs w:val="24"/>
        </w:rPr>
        <w:t xml:space="preserve"> (Recio et al., 2012)</w:t>
      </w:r>
      <w:r w:rsidRPr="00ED6A53">
        <w:rPr>
          <w:rFonts w:ascii="Arial" w:hAnsi="Arial" w:cs="Arial"/>
          <w:sz w:val="24"/>
          <w:szCs w:val="24"/>
        </w:rPr>
        <w:t>. The benchmark dose in TK6 cells with 95% confidence interval in human TK6 cells was 3.4- 9.8 µM, well below the concentration in liver (96 µM) of rodent</w:t>
      </w:r>
      <w:r w:rsidR="002C4AAB" w:rsidRPr="00ED6A53">
        <w:rPr>
          <w:rFonts w:ascii="Arial" w:hAnsi="Arial" w:cs="Arial"/>
          <w:sz w:val="24"/>
          <w:szCs w:val="24"/>
        </w:rPr>
        <w:t>s</w:t>
      </w:r>
      <w:r w:rsidRPr="00ED6A53">
        <w:rPr>
          <w:rFonts w:ascii="Arial" w:hAnsi="Arial" w:cs="Arial"/>
          <w:sz w:val="24"/>
          <w:szCs w:val="24"/>
        </w:rPr>
        <w:t xml:space="preserve"> exposed to </w:t>
      </w:r>
      <w:r w:rsidR="00B27BD9">
        <w:rPr>
          <w:rFonts w:ascii="Arial" w:hAnsi="Arial" w:cs="Arial"/>
          <w:sz w:val="24"/>
          <w:szCs w:val="24"/>
        </w:rPr>
        <w:t xml:space="preserve">inhaled </w:t>
      </w:r>
      <w:r w:rsidRPr="00ED6A53">
        <w:rPr>
          <w:rFonts w:ascii="Arial" w:hAnsi="Arial" w:cs="Arial"/>
          <w:sz w:val="24"/>
          <w:szCs w:val="24"/>
        </w:rPr>
        <w:t>naphthalene</w:t>
      </w:r>
      <w:r w:rsidR="009B53A4">
        <w:rPr>
          <w:rFonts w:ascii="Arial" w:hAnsi="Arial" w:cs="Arial"/>
          <w:sz w:val="24"/>
          <w:szCs w:val="24"/>
        </w:rPr>
        <w:t xml:space="preserve"> </w:t>
      </w:r>
      <w:r w:rsidR="009B53A4" w:rsidRPr="00ED6A53">
        <w:rPr>
          <w:rFonts w:ascii="Arial" w:hAnsi="Arial" w:cs="Arial"/>
          <w:sz w:val="24"/>
          <w:szCs w:val="24"/>
        </w:rPr>
        <w:t>(Willems et al., 2001)</w:t>
      </w:r>
      <w:r w:rsidRPr="00ED6A53">
        <w:rPr>
          <w:rFonts w:ascii="Arial" w:hAnsi="Arial" w:cs="Arial"/>
          <w:sz w:val="24"/>
          <w:szCs w:val="24"/>
        </w:rPr>
        <w:t xml:space="preserve">. </w:t>
      </w:r>
      <w:r w:rsidR="00C303C5">
        <w:rPr>
          <w:rFonts w:ascii="Arial" w:hAnsi="Arial" w:cs="Arial"/>
          <w:sz w:val="24"/>
          <w:szCs w:val="24"/>
        </w:rPr>
        <w:t>Ad</w:t>
      </w:r>
      <w:r w:rsidR="00FC3166" w:rsidRPr="00ED6A53">
        <w:rPr>
          <w:rFonts w:ascii="Arial" w:hAnsi="Arial" w:cs="Arial"/>
          <w:sz w:val="24"/>
          <w:szCs w:val="24"/>
        </w:rPr>
        <w:t xml:space="preserve">dition of glutathione at liver physiological concentrations </w:t>
      </w:r>
      <w:r w:rsidR="0090129A" w:rsidRPr="00ED6A53">
        <w:rPr>
          <w:rFonts w:ascii="Arial" w:hAnsi="Arial" w:cs="Arial"/>
          <w:sz w:val="24"/>
          <w:szCs w:val="24"/>
        </w:rPr>
        <w:t xml:space="preserve">of </w:t>
      </w:r>
      <w:r w:rsidR="007871FF">
        <w:rPr>
          <w:rFonts w:ascii="Arial" w:hAnsi="Arial" w:cs="Arial"/>
          <w:sz w:val="24"/>
          <w:szCs w:val="24"/>
        </w:rPr>
        <w:t>5 m</w:t>
      </w:r>
      <w:r w:rsidR="0090129A" w:rsidRPr="00ED6A53">
        <w:rPr>
          <w:rFonts w:ascii="Arial" w:hAnsi="Arial" w:cs="Arial"/>
          <w:sz w:val="24"/>
          <w:szCs w:val="24"/>
        </w:rPr>
        <w:t>M to the S9 mix eliminated naphthalene induce</w:t>
      </w:r>
      <w:r w:rsidR="00E34A00" w:rsidRPr="00ED6A53">
        <w:rPr>
          <w:rFonts w:ascii="Arial" w:hAnsi="Arial" w:cs="Arial"/>
          <w:sz w:val="24"/>
          <w:szCs w:val="24"/>
        </w:rPr>
        <w:t>d</w:t>
      </w:r>
      <w:r w:rsidR="0090129A" w:rsidRPr="00ED6A53">
        <w:rPr>
          <w:rFonts w:ascii="Arial" w:hAnsi="Arial" w:cs="Arial"/>
          <w:sz w:val="24"/>
          <w:szCs w:val="24"/>
        </w:rPr>
        <w:t xml:space="preserve"> cytotoxicity and genotoxicity. </w:t>
      </w:r>
      <w:r w:rsidR="0030761A" w:rsidRPr="00ED6A53">
        <w:rPr>
          <w:rFonts w:ascii="Arial" w:hAnsi="Arial" w:cs="Arial"/>
          <w:sz w:val="24"/>
          <w:szCs w:val="24"/>
        </w:rPr>
        <w:t xml:space="preserve">Although naphthalene is genotoxic by inducing chromosome aberrations in mammalian cell systems (Galloway et al., 1987), and the induction </w:t>
      </w:r>
      <w:r w:rsidR="00E34A00" w:rsidRPr="00ED6A53">
        <w:rPr>
          <w:rFonts w:ascii="Arial" w:hAnsi="Arial" w:cs="Arial"/>
          <w:sz w:val="24"/>
          <w:szCs w:val="24"/>
        </w:rPr>
        <w:t xml:space="preserve">of </w:t>
      </w:r>
      <w:r w:rsidR="0030761A" w:rsidRPr="00ED6A53">
        <w:rPr>
          <w:rFonts w:ascii="Arial" w:hAnsi="Arial" w:cs="Arial"/>
          <w:sz w:val="24"/>
          <w:szCs w:val="24"/>
        </w:rPr>
        <w:t>MN in human TK6 cells with rat liver S9</w:t>
      </w:r>
      <w:r w:rsidR="002C60D3" w:rsidRPr="00ED6A53">
        <w:rPr>
          <w:rFonts w:ascii="Arial" w:hAnsi="Arial" w:cs="Arial"/>
          <w:sz w:val="24"/>
          <w:szCs w:val="24"/>
        </w:rPr>
        <w:t>,</w:t>
      </w:r>
      <w:r w:rsidR="0030761A" w:rsidRPr="00ED6A53">
        <w:rPr>
          <w:rFonts w:ascii="Arial" w:hAnsi="Arial" w:cs="Arial"/>
          <w:sz w:val="24"/>
          <w:szCs w:val="24"/>
        </w:rPr>
        <w:t xml:space="preserve"> naphthalene is not genotoxic in </w:t>
      </w:r>
      <w:r w:rsidR="00864812" w:rsidRPr="00ED6A53">
        <w:rPr>
          <w:rFonts w:ascii="Arial" w:hAnsi="Arial" w:cs="Arial"/>
          <w:sz w:val="24"/>
          <w:szCs w:val="24"/>
        </w:rPr>
        <w:t>rodent liver or bone marrow (Brusick 2008; Brusick et al., 2008).</w:t>
      </w:r>
    </w:p>
    <w:p w14:paraId="3514F159" w14:textId="77777777" w:rsidR="009872F2" w:rsidRPr="00ED6A53" w:rsidRDefault="009872F2" w:rsidP="00C55C35">
      <w:pPr>
        <w:spacing w:after="0" w:line="480" w:lineRule="auto"/>
        <w:jc w:val="both"/>
        <w:rPr>
          <w:rFonts w:ascii="Arial" w:hAnsi="Arial" w:cs="Arial"/>
          <w:sz w:val="24"/>
          <w:szCs w:val="24"/>
        </w:rPr>
      </w:pPr>
    </w:p>
    <w:p w14:paraId="4E4936C1" w14:textId="2C6D539C" w:rsidR="00D74D7A" w:rsidRPr="009B53A4" w:rsidRDefault="009C2264" w:rsidP="0021414A">
      <w:pPr>
        <w:spacing w:after="0" w:line="480" w:lineRule="auto"/>
        <w:jc w:val="both"/>
        <w:rPr>
          <w:rFonts w:ascii="Arial" w:hAnsi="Arial" w:cs="Arial"/>
          <w:sz w:val="24"/>
          <w:szCs w:val="24"/>
        </w:rPr>
      </w:pPr>
      <w:r w:rsidRPr="00ED6A53">
        <w:rPr>
          <w:rFonts w:ascii="Arial" w:hAnsi="Arial" w:cs="Arial"/>
          <w:sz w:val="24"/>
          <w:szCs w:val="24"/>
        </w:rPr>
        <w:t>T</w:t>
      </w:r>
      <w:r w:rsidR="00C55C35" w:rsidRPr="00ED6A53">
        <w:rPr>
          <w:rFonts w:ascii="Arial" w:hAnsi="Arial" w:cs="Arial"/>
          <w:sz w:val="24"/>
          <w:szCs w:val="24"/>
        </w:rPr>
        <w:t>he previous results testing naphthalene with rat liver S9 in TK6 cells is in direct contrast to the results observed with metabolically competent HepaRG™</w:t>
      </w:r>
      <w:r w:rsidR="00332864" w:rsidRPr="00ED6A53">
        <w:rPr>
          <w:rFonts w:ascii="Arial" w:hAnsi="Arial" w:cs="Arial"/>
          <w:sz w:val="24"/>
          <w:szCs w:val="24"/>
        </w:rPr>
        <w:t xml:space="preserve"> (</w:t>
      </w:r>
      <w:r w:rsidR="00332864" w:rsidRPr="00AB7047">
        <w:rPr>
          <w:rFonts w:ascii="Arial" w:hAnsi="Arial" w:cs="Arial"/>
          <w:sz w:val="24"/>
          <w:szCs w:val="24"/>
        </w:rPr>
        <w:t xml:space="preserve">Fig. </w:t>
      </w:r>
      <w:r w:rsidR="00BD7183" w:rsidRPr="00AB7047">
        <w:rPr>
          <w:rFonts w:ascii="Arial" w:hAnsi="Arial" w:cs="Arial"/>
          <w:sz w:val="24"/>
          <w:szCs w:val="24"/>
        </w:rPr>
        <w:t xml:space="preserve">3 and </w:t>
      </w:r>
      <w:r w:rsidR="00332864" w:rsidRPr="00AB7047">
        <w:rPr>
          <w:rFonts w:ascii="Arial" w:hAnsi="Arial" w:cs="Arial"/>
          <w:sz w:val="24"/>
          <w:szCs w:val="24"/>
        </w:rPr>
        <w:t>4</w:t>
      </w:r>
      <w:r w:rsidR="00332864" w:rsidRPr="00ED6A53">
        <w:rPr>
          <w:rFonts w:ascii="Arial" w:hAnsi="Arial" w:cs="Arial"/>
          <w:sz w:val="24"/>
          <w:szCs w:val="24"/>
        </w:rPr>
        <w:t>)</w:t>
      </w:r>
      <w:r w:rsidR="00C55C35" w:rsidRPr="00ED6A53">
        <w:rPr>
          <w:rFonts w:ascii="Arial" w:hAnsi="Arial" w:cs="Arial"/>
          <w:sz w:val="24"/>
          <w:szCs w:val="24"/>
        </w:rPr>
        <w:t xml:space="preserve">. </w:t>
      </w:r>
      <w:r w:rsidR="00A3263D" w:rsidRPr="00ED6A53">
        <w:rPr>
          <w:rFonts w:ascii="Arial" w:hAnsi="Arial" w:cs="Arial"/>
          <w:sz w:val="24"/>
          <w:szCs w:val="24"/>
        </w:rPr>
        <w:t>These data indicate that</w:t>
      </w:r>
      <w:r w:rsidR="00C55C35" w:rsidRPr="00ED6A53">
        <w:rPr>
          <w:rFonts w:ascii="Arial" w:hAnsi="Arial" w:cs="Arial"/>
          <w:sz w:val="24"/>
          <w:szCs w:val="24"/>
        </w:rPr>
        <w:t xml:space="preserve"> </w:t>
      </w:r>
      <w:r w:rsidR="00A3263D" w:rsidRPr="00ED6A53">
        <w:rPr>
          <w:rFonts w:ascii="Arial" w:hAnsi="Arial" w:cs="Arial"/>
          <w:sz w:val="24"/>
          <w:szCs w:val="24"/>
        </w:rPr>
        <w:t xml:space="preserve">in </w:t>
      </w:r>
      <w:r w:rsidR="00C55C35" w:rsidRPr="00ED6A53">
        <w:rPr>
          <w:rFonts w:ascii="Arial" w:hAnsi="Arial" w:cs="Arial"/>
          <w:sz w:val="24"/>
          <w:szCs w:val="24"/>
        </w:rPr>
        <w:t>HepaRG™ cells naphthalene reactive epoxide metabolites are efficiently conjugated and detoxified by glutathione conjugation and phenols/dihydrodiols are conjugated by glucuronidation or sulfation blocking further metabolism to quinones and the formation or cytotoxic/genotoxic reactive oxygen species. These data indicate that the positive response for naphthalene in TK6 cells with S9 tested as per OECD 487 was a false positive response due to bioactivation by CYP450 without Phase II detoxication that is absent in rat liver S9.</w:t>
      </w:r>
      <w:r w:rsidR="00097AA1" w:rsidRPr="00ED6A53">
        <w:rPr>
          <w:rFonts w:ascii="Arial" w:hAnsi="Arial" w:cs="Arial"/>
          <w:sz w:val="24"/>
          <w:szCs w:val="24"/>
        </w:rPr>
        <w:t xml:space="preserve"> The lack of a genotoxic effect for naphthalene </w:t>
      </w:r>
      <w:r w:rsidR="00E81249" w:rsidRPr="00ED6A53">
        <w:rPr>
          <w:rFonts w:ascii="Arial" w:hAnsi="Arial" w:cs="Arial"/>
          <w:sz w:val="24"/>
          <w:szCs w:val="24"/>
        </w:rPr>
        <w:t xml:space="preserve">in HepaRG™ cells is consistent with the lack of </w:t>
      </w:r>
      <w:r w:rsidR="00E00A0D" w:rsidRPr="00ED6A53">
        <w:rPr>
          <w:rFonts w:ascii="Arial" w:hAnsi="Arial" w:cs="Arial"/>
          <w:sz w:val="24"/>
          <w:szCs w:val="24"/>
        </w:rPr>
        <w:t>na</w:t>
      </w:r>
      <w:r w:rsidR="001E4608" w:rsidRPr="00ED6A53">
        <w:rPr>
          <w:rFonts w:ascii="Arial" w:hAnsi="Arial" w:cs="Arial"/>
          <w:sz w:val="24"/>
          <w:szCs w:val="24"/>
        </w:rPr>
        <w:t xml:space="preserve">phthalene </w:t>
      </w:r>
      <w:r w:rsidR="00760A52">
        <w:rPr>
          <w:rFonts w:ascii="Arial" w:hAnsi="Arial" w:cs="Arial"/>
          <w:sz w:val="24"/>
          <w:szCs w:val="24"/>
        </w:rPr>
        <w:t>genotoxicity in rat hepatocytes</w:t>
      </w:r>
      <w:r w:rsidR="005A09A3">
        <w:rPr>
          <w:rFonts w:ascii="Arial" w:hAnsi="Arial" w:cs="Arial"/>
          <w:sz w:val="24"/>
          <w:szCs w:val="24"/>
        </w:rPr>
        <w:t xml:space="preserve"> using the alkaline elution assay (Sina et al., 19</w:t>
      </w:r>
      <w:r w:rsidR="00AB7047">
        <w:rPr>
          <w:rFonts w:ascii="Arial" w:hAnsi="Arial" w:cs="Arial"/>
          <w:sz w:val="24"/>
          <w:szCs w:val="24"/>
        </w:rPr>
        <w:t>83)</w:t>
      </w:r>
      <w:r w:rsidR="00760A52">
        <w:rPr>
          <w:rFonts w:ascii="Arial" w:hAnsi="Arial" w:cs="Arial"/>
          <w:sz w:val="24"/>
          <w:szCs w:val="24"/>
        </w:rPr>
        <w:t xml:space="preserve"> and</w:t>
      </w:r>
      <w:r w:rsidR="00AB7047">
        <w:rPr>
          <w:rFonts w:ascii="Arial" w:hAnsi="Arial" w:cs="Arial"/>
          <w:sz w:val="24"/>
          <w:szCs w:val="24"/>
        </w:rPr>
        <w:t xml:space="preserve"> </w:t>
      </w:r>
      <w:r w:rsidR="00F95632">
        <w:rPr>
          <w:rFonts w:ascii="Arial" w:hAnsi="Arial" w:cs="Arial"/>
          <w:sz w:val="24"/>
          <w:szCs w:val="24"/>
        </w:rPr>
        <w:t>the</w:t>
      </w:r>
      <w:r w:rsidR="00760A52" w:rsidRPr="00ED6A53">
        <w:rPr>
          <w:rFonts w:ascii="Arial" w:hAnsi="Arial" w:cs="Arial"/>
          <w:i/>
          <w:iCs/>
          <w:sz w:val="24"/>
          <w:szCs w:val="24"/>
        </w:rPr>
        <w:t xml:space="preserve"> in</w:t>
      </w:r>
      <w:r w:rsidR="00172134" w:rsidRPr="00ED6A53">
        <w:rPr>
          <w:rFonts w:ascii="Arial" w:hAnsi="Arial" w:cs="Arial"/>
          <w:i/>
          <w:iCs/>
          <w:sz w:val="24"/>
          <w:szCs w:val="24"/>
        </w:rPr>
        <w:t xml:space="preserve"> vivo</w:t>
      </w:r>
      <w:r w:rsidR="00F95632">
        <w:rPr>
          <w:rFonts w:ascii="Arial" w:hAnsi="Arial" w:cs="Arial"/>
          <w:sz w:val="24"/>
          <w:szCs w:val="24"/>
        </w:rPr>
        <w:t xml:space="preserve"> </w:t>
      </w:r>
      <w:r w:rsidR="00AB7047">
        <w:rPr>
          <w:rFonts w:ascii="Arial" w:hAnsi="Arial" w:cs="Arial"/>
          <w:sz w:val="24"/>
          <w:szCs w:val="24"/>
        </w:rPr>
        <w:t>MN</w:t>
      </w:r>
      <w:r w:rsidR="00F95632">
        <w:rPr>
          <w:rFonts w:ascii="Arial" w:hAnsi="Arial" w:cs="Arial"/>
          <w:sz w:val="24"/>
          <w:szCs w:val="24"/>
        </w:rPr>
        <w:t xml:space="preserve"> assay</w:t>
      </w:r>
      <w:r w:rsidR="00B80416">
        <w:rPr>
          <w:rFonts w:ascii="Arial" w:hAnsi="Arial" w:cs="Arial"/>
          <w:sz w:val="24"/>
          <w:szCs w:val="24"/>
        </w:rPr>
        <w:t>.</w:t>
      </w:r>
    </w:p>
    <w:p w14:paraId="760861F2" w14:textId="6C80D912" w:rsidR="0021414A" w:rsidRPr="00ED6A53" w:rsidRDefault="0021414A" w:rsidP="003C4E50">
      <w:pPr>
        <w:spacing w:after="0" w:line="480" w:lineRule="auto"/>
        <w:jc w:val="both"/>
        <w:rPr>
          <w:rFonts w:ascii="Arial" w:hAnsi="Arial" w:cs="Arial"/>
          <w:sz w:val="24"/>
          <w:szCs w:val="24"/>
        </w:rPr>
      </w:pPr>
    </w:p>
    <w:p w14:paraId="41C741CC" w14:textId="44D85679" w:rsidR="00AC30C1" w:rsidRDefault="002071CD" w:rsidP="003C4E50">
      <w:pPr>
        <w:spacing w:after="0" w:line="480" w:lineRule="auto"/>
        <w:jc w:val="both"/>
        <w:rPr>
          <w:rFonts w:ascii="Arial" w:hAnsi="Arial" w:cs="Arial"/>
          <w:sz w:val="24"/>
          <w:szCs w:val="24"/>
        </w:rPr>
      </w:pPr>
      <w:r w:rsidRPr="00ED6A53">
        <w:rPr>
          <w:rFonts w:ascii="Arial" w:hAnsi="Arial" w:cs="Arial"/>
          <w:sz w:val="24"/>
          <w:szCs w:val="24"/>
        </w:rPr>
        <w:t xml:space="preserve">Current genetic toxicology requirements </w:t>
      </w:r>
      <w:r w:rsidR="00C92C58">
        <w:rPr>
          <w:rFonts w:ascii="Arial" w:hAnsi="Arial" w:cs="Arial"/>
          <w:sz w:val="24"/>
          <w:szCs w:val="24"/>
        </w:rPr>
        <w:t xml:space="preserve">for the pharmaceutical industry </w:t>
      </w:r>
      <w:r w:rsidRPr="00ED6A53">
        <w:rPr>
          <w:rFonts w:ascii="Arial" w:hAnsi="Arial" w:cs="Arial"/>
          <w:sz w:val="24"/>
          <w:szCs w:val="24"/>
        </w:rPr>
        <w:t>dictate</w:t>
      </w:r>
      <w:r w:rsidR="00C92C58">
        <w:rPr>
          <w:rFonts w:ascii="Arial" w:hAnsi="Arial" w:cs="Arial"/>
          <w:sz w:val="24"/>
          <w:szCs w:val="24"/>
        </w:rPr>
        <w:t>s</w:t>
      </w:r>
      <w:r w:rsidRPr="00ED6A53">
        <w:rPr>
          <w:rFonts w:ascii="Arial" w:hAnsi="Arial" w:cs="Arial"/>
          <w:sz w:val="24"/>
          <w:szCs w:val="24"/>
        </w:rPr>
        <w:t xml:space="preserve"> that a positive result from a single bacterial mutation assay or </w:t>
      </w:r>
      <w:r w:rsidRPr="00ED6A53">
        <w:rPr>
          <w:rFonts w:ascii="Arial" w:hAnsi="Arial" w:cs="Arial"/>
          <w:i/>
          <w:iCs/>
          <w:sz w:val="24"/>
          <w:szCs w:val="24"/>
        </w:rPr>
        <w:t>in vitro</w:t>
      </w:r>
      <w:r w:rsidRPr="00ED6A53">
        <w:rPr>
          <w:rFonts w:ascii="Arial" w:hAnsi="Arial" w:cs="Arial"/>
          <w:sz w:val="24"/>
          <w:szCs w:val="24"/>
        </w:rPr>
        <w:t xml:space="preserve"> mammalian cell genotoxicity assay used in the regulatory testing battery can trigger costly, time-consuming animal studies</w:t>
      </w:r>
      <w:r w:rsidR="00C92C58">
        <w:rPr>
          <w:rFonts w:ascii="Arial" w:hAnsi="Arial" w:cs="Arial"/>
          <w:sz w:val="24"/>
          <w:szCs w:val="24"/>
        </w:rPr>
        <w:t xml:space="preserve"> (Robison et al</w:t>
      </w:r>
      <w:r w:rsidR="0005208C">
        <w:rPr>
          <w:rFonts w:ascii="Arial" w:hAnsi="Arial" w:cs="Arial"/>
          <w:sz w:val="24"/>
          <w:szCs w:val="24"/>
        </w:rPr>
        <w:t>., 2022)</w:t>
      </w:r>
      <w:r w:rsidRPr="00ED6A53">
        <w:rPr>
          <w:rFonts w:ascii="Arial" w:hAnsi="Arial" w:cs="Arial"/>
          <w:sz w:val="24"/>
          <w:szCs w:val="24"/>
        </w:rPr>
        <w:t xml:space="preserve">. The liver homogenate preparations incorporated into the regulatory genetic toxicology test battery used to provide biotransformation/bioactivation of xenobiotics integrated with cells devoid of endogenous metabolism does not include Phase II conjugation enzymes, and false positives due to CYP450 bioactivation without Phase II detoxication can cause needless animal testing. </w:t>
      </w:r>
      <w:r w:rsidR="00590744" w:rsidRPr="00ED6A53">
        <w:rPr>
          <w:rFonts w:ascii="Arial" w:hAnsi="Arial" w:cs="Arial"/>
          <w:sz w:val="24"/>
          <w:szCs w:val="24"/>
        </w:rPr>
        <w:t xml:space="preserve">The use of S9 mix in short-term genetic toxicology results in a bias toward the production of toxic metabolites formed that can differ significantly from </w:t>
      </w:r>
      <w:r w:rsidR="00590744" w:rsidRPr="00ED6A53">
        <w:rPr>
          <w:rFonts w:ascii="Arial" w:hAnsi="Arial" w:cs="Arial"/>
          <w:i/>
          <w:iCs/>
          <w:sz w:val="24"/>
          <w:szCs w:val="24"/>
        </w:rPr>
        <w:t>in vivo</w:t>
      </w:r>
      <w:r w:rsidR="00590744" w:rsidRPr="00ED6A53">
        <w:rPr>
          <w:rFonts w:ascii="Arial" w:hAnsi="Arial" w:cs="Arial"/>
          <w:sz w:val="24"/>
          <w:szCs w:val="24"/>
        </w:rPr>
        <w:t xml:space="preserve"> pathways of biotransformation or those that occur in intact hepatocytes. </w:t>
      </w:r>
      <w:r w:rsidRPr="00ED6A53">
        <w:rPr>
          <w:rFonts w:ascii="Arial" w:hAnsi="Arial" w:cs="Arial"/>
          <w:sz w:val="24"/>
          <w:szCs w:val="24"/>
        </w:rPr>
        <w:t>In many cases</w:t>
      </w:r>
      <w:r w:rsidR="00C57F29">
        <w:rPr>
          <w:rFonts w:ascii="Arial" w:hAnsi="Arial" w:cs="Arial"/>
          <w:sz w:val="24"/>
          <w:szCs w:val="24"/>
        </w:rPr>
        <w:t xml:space="preserve"> but not all</w:t>
      </w:r>
      <w:r w:rsidRPr="00ED6A53">
        <w:rPr>
          <w:rFonts w:ascii="Arial" w:hAnsi="Arial" w:cs="Arial"/>
          <w:sz w:val="24"/>
          <w:szCs w:val="24"/>
        </w:rPr>
        <w:t xml:space="preserve">, </w:t>
      </w:r>
      <w:r w:rsidRPr="00ED6A53">
        <w:rPr>
          <w:rFonts w:ascii="Arial" w:hAnsi="Arial" w:cs="Arial"/>
          <w:i/>
          <w:iCs/>
          <w:sz w:val="24"/>
          <w:szCs w:val="24"/>
        </w:rPr>
        <w:t>in vitro</w:t>
      </w:r>
      <w:r w:rsidRPr="00ED6A53">
        <w:rPr>
          <w:rFonts w:ascii="Arial" w:hAnsi="Arial" w:cs="Arial"/>
          <w:sz w:val="24"/>
          <w:szCs w:val="24"/>
        </w:rPr>
        <w:t xml:space="preserve"> positives are not positive </w:t>
      </w:r>
      <w:r w:rsidRPr="00ED6A53">
        <w:rPr>
          <w:rFonts w:ascii="Arial" w:hAnsi="Arial" w:cs="Arial"/>
          <w:i/>
          <w:iCs/>
          <w:sz w:val="24"/>
          <w:szCs w:val="24"/>
        </w:rPr>
        <w:t>in vivo</w:t>
      </w:r>
      <w:r w:rsidRPr="00ED6A53">
        <w:rPr>
          <w:rFonts w:ascii="Arial" w:hAnsi="Arial" w:cs="Arial"/>
          <w:sz w:val="24"/>
          <w:szCs w:val="24"/>
        </w:rPr>
        <w:t xml:space="preserve"> and frequently </w:t>
      </w:r>
      <w:r w:rsidR="00321DAC">
        <w:rPr>
          <w:rFonts w:ascii="Arial" w:hAnsi="Arial" w:cs="Arial"/>
          <w:sz w:val="24"/>
          <w:szCs w:val="24"/>
        </w:rPr>
        <w:t xml:space="preserve">in vitro </w:t>
      </w:r>
      <w:r w:rsidRPr="00ED6A53">
        <w:rPr>
          <w:rFonts w:ascii="Arial" w:hAnsi="Arial" w:cs="Arial"/>
          <w:sz w:val="24"/>
          <w:szCs w:val="24"/>
        </w:rPr>
        <w:t xml:space="preserve">positive results </w:t>
      </w:r>
      <w:r w:rsidR="00321DAC">
        <w:rPr>
          <w:rFonts w:ascii="Arial" w:hAnsi="Arial" w:cs="Arial"/>
          <w:sz w:val="24"/>
          <w:szCs w:val="24"/>
        </w:rPr>
        <w:t xml:space="preserve">are overruled </w:t>
      </w:r>
      <w:r w:rsidR="00E56AA4">
        <w:rPr>
          <w:rFonts w:ascii="Arial" w:hAnsi="Arial" w:cs="Arial"/>
          <w:sz w:val="24"/>
          <w:szCs w:val="24"/>
        </w:rPr>
        <w:t xml:space="preserve">by the </w:t>
      </w:r>
      <w:r w:rsidRPr="00ED6A53">
        <w:rPr>
          <w:rFonts w:ascii="Arial" w:hAnsi="Arial" w:cs="Arial"/>
          <w:sz w:val="24"/>
          <w:szCs w:val="24"/>
        </w:rPr>
        <w:t>conduct of an in vivo genotoxicity assay</w:t>
      </w:r>
      <w:r w:rsidR="00F23E6F" w:rsidRPr="00ED6A53">
        <w:rPr>
          <w:rFonts w:ascii="Arial" w:hAnsi="Arial" w:cs="Arial"/>
          <w:sz w:val="24"/>
          <w:szCs w:val="24"/>
        </w:rPr>
        <w:t xml:space="preserve">. </w:t>
      </w:r>
      <w:r w:rsidR="00E56AA4">
        <w:rPr>
          <w:rFonts w:ascii="Arial" w:hAnsi="Arial" w:cs="Arial"/>
          <w:sz w:val="24"/>
          <w:szCs w:val="24"/>
        </w:rPr>
        <w:t xml:space="preserve">However, as indicated </w:t>
      </w:r>
      <w:r w:rsidR="00BD1D0B">
        <w:rPr>
          <w:rFonts w:ascii="Arial" w:hAnsi="Arial" w:cs="Arial"/>
          <w:sz w:val="24"/>
          <w:szCs w:val="24"/>
        </w:rPr>
        <w:t xml:space="preserve">previously, </w:t>
      </w:r>
      <w:r w:rsidR="005068AA">
        <w:rPr>
          <w:rFonts w:ascii="Arial" w:hAnsi="Arial" w:cs="Arial"/>
          <w:sz w:val="24"/>
          <w:szCs w:val="24"/>
        </w:rPr>
        <w:t xml:space="preserve">certain industries are reducing reliance on animals while for others </w:t>
      </w:r>
      <w:r w:rsidR="0086004B">
        <w:rPr>
          <w:rFonts w:ascii="Arial" w:hAnsi="Arial" w:cs="Arial"/>
          <w:sz w:val="24"/>
          <w:szCs w:val="24"/>
        </w:rPr>
        <w:t>animal testing</w:t>
      </w:r>
      <w:r w:rsidR="00F11AF6">
        <w:rPr>
          <w:rFonts w:ascii="Arial" w:hAnsi="Arial" w:cs="Arial"/>
          <w:sz w:val="24"/>
          <w:szCs w:val="24"/>
        </w:rPr>
        <w:t xml:space="preserve"> cannot be employed</w:t>
      </w:r>
      <w:r w:rsidR="005068AA">
        <w:rPr>
          <w:rFonts w:ascii="Arial" w:hAnsi="Arial" w:cs="Arial"/>
          <w:sz w:val="24"/>
          <w:szCs w:val="24"/>
        </w:rPr>
        <w:t xml:space="preserve"> </w:t>
      </w:r>
      <w:r w:rsidR="00F374EA">
        <w:rPr>
          <w:rFonts w:ascii="Arial" w:hAnsi="Arial" w:cs="Arial"/>
          <w:sz w:val="24"/>
          <w:szCs w:val="24"/>
        </w:rPr>
        <w:t xml:space="preserve">to follow up in vitro positive genetic toxicology tests, </w:t>
      </w:r>
      <w:r w:rsidR="005068AA">
        <w:rPr>
          <w:rFonts w:ascii="Arial" w:hAnsi="Arial" w:cs="Arial"/>
          <w:sz w:val="24"/>
          <w:szCs w:val="24"/>
        </w:rPr>
        <w:t xml:space="preserve">therefore </w:t>
      </w:r>
      <w:r w:rsidR="00A51949">
        <w:rPr>
          <w:rFonts w:ascii="Arial" w:hAnsi="Arial" w:cs="Arial"/>
          <w:sz w:val="24"/>
          <w:szCs w:val="24"/>
        </w:rPr>
        <w:t xml:space="preserve">in vitro alternatives need to be developed as </w:t>
      </w:r>
      <w:r w:rsidR="00F374EA">
        <w:rPr>
          <w:rFonts w:ascii="Arial" w:hAnsi="Arial" w:cs="Arial"/>
          <w:sz w:val="24"/>
          <w:szCs w:val="24"/>
        </w:rPr>
        <w:t xml:space="preserve">human relevant </w:t>
      </w:r>
      <w:r w:rsidR="00A449C9">
        <w:rPr>
          <w:rFonts w:ascii="Arial" w:hAnsi="Arial" w:cs="Arial"/>
          <w:sz w:val="24"/>
          <w:szCs w:val="24"/>
        </w:rPr>
        <w:t>alternatives to animals to assess the genotoxic potential</w:t>
      </w:r>
      <w:r w:rsidR="00010408">
        <w:rPr>
          <w:rFonts w:ascii="Arial" w:hAnsi="Arial" w:cs="Arial"/>
          <w:sz w:val="24"/>
          <w:szCs w:val="24"/>
        </w:rPr>
        <w:t xml:space="preserve"> of xenobiotics.</w:t>
      </w:r>
    </w:p>
    <w:p w14:paraId="1D7E2B26" w14:textId="77777777" w:rsidR="00AC30C1" w:rsidRDefault="00AC30C1" w:rsidP="003C4E50">
      <w:pPr>
        <w:spacing w:after="0" w:line="480" w:lineRule="auto"/>
        <w:jc w:val="both"/>
        <w:rPr>
          <w:rFonts w:ascii="Arial" w:hAnsi="Arial" w:cs="Arial"/>
          <w:sz w:val="24"/>
          <w:szCs w:val="24"/>
        </w:rPr>
      </w:pPr>
    </w:p>
    <w:p w14:paraId="2486C294" w14:textId="3CE4398A" w:rsidR="00B4620F" w:rsidRPr="00ED6A53" w:rsidRDefault="00590744" w:rsidP="003C4E50">
      <w:pPr>
        <w:spacing w:after="0" w:line="480" w:lineRule="auto"/>
        <w:jc w:val="both"/>
        <w:rPr>
          <w:rFonts w:ascii="Arial" w:hAnsi="Arial" w:cs="Arial"/>
          <w:color w:val="202124"/>
          <w:sz w:val="24"/>
          <w:szCs w:val="24"/>
          <w:shd w:val="clear" w:color="auto" w:fill="FFFFFF"/>
        </w:rPr>
      </w:pPr>
      <w:r w:rsidRPr="00ED6A53">
        <w:rPr>
          <w:rFonts w:ascii="Arial" w:hAnsi="Arial" w:cs="Arial"/>
          <w:sz w:val="24"/>
          <w:szCs w:val="24"/>
        </w:rPr>
        <w:t xml:space="preserve">We suggest that </w:t>
      </w:r>
      <w:r w:rsidR="00313333">
        <w:rPr>
          <w:rFonts w:ascii="Arial" w:hAnsi="Arial" w:cs="Arial"/>
          <w:sz w:val="24"/>
          <w:szCs w:val="24"/>
        </w:rPr>
        <w:t>S</w:t>
      </w:r>
      <w:r w:rsidR="00A2110D" w:rsidRPr="00ED6A53">
        <w:rPr>
          <w:rFonts w:ascii="Arial" w:hAnsi="Arial" w:cs="Arial"/>
          <w:sz w:val="24"/>
          <w:szCs w:val="24"/>
        </w:rPr>
        <w:t xml:space="preserve">9 mediated </w:t>
      </w:r>
      <w:r w:rsidR="00BD3F29" w:rsidRPr="00ED6A53">
        <w:rPr>
          <w:rFonts w:ascii="Arial" w:hAnsi="Arial" w:cs="Arial"/>
          <w:sz w:val="24"/>
          <w:szCs w:val="24"/>
        </w:rPr>
        <w:t xml:space="preserve">positives from the </w:t>
      </w:r>
      <w:r w:rsidR="00BD3F29" w:rsidRPr="00ED6A53">
        <w:rPr>
          <w:rFonts w:ascii="Arial" w:hAnsi="Arial" w:cs="Arial"/>
          <w:i/>
          <w:iCs/>
          <w:sz w:val="24"/>
          <w:szCs w:val="24"/>
        </w:rPr>
        <w:t>in vitro</w:t>
      </w:r>
      <w:r w:rsidR="00BD3F29" w:rsidRPr="00ED6A53">
        <w:rPr>
          <w:rFonts w:ascii="Arial" w:hAnsi="Arial" w:cs="Arial"/>
          <w:sz w:val="24"/>
          <w:szCs w:val="24"/>
        </w:rPr>
        <w:t xml:space="preserve"> MN assay</w:t>
      </w:r>
      <w:r w:rsidR="009C1BE2" w:rsidRPr="00ED6A53">
        <w:rPr>
          <w:rFonts w:ascii="Arial" w:hAnsi="Arial" w:cs="Arial"/>
          <w:sz w:val="24"/>
          <w:szCs w:val="24"/>
        </w:rPr>
        <w:t xml:space="preserve"> can be </w:t>
      </w:r>
      <w:r w:rsidR="00313333">
        <w:rPr>
          <w:rFonts w:ascii="Arial" w:hAnsi="Arial" w:cs="Arial"/>
          <w:sz w:val="24"/>
          <w:szCs w:val="24"/>
        </w:rPr>
        <w:t xml:space="preserve">followed </w:t>
      </w:r>
      <w:r w:rsidR="009C1BE2" w:rsidRPr="00ED6A53">
        <w:rPr>
          <w:rFonts w:ascii="Arial" w:hAnsi="Arial" w:cs="Arial"/>
          <w:sz w:val="24"/>
          <w:szCs w:val="24"/>
        </w:rPr>
        <w:t xml:space="preserve">in human relevant </w:t>
      </w:r>
      <w:r w:rsidR="00A4482C">
        <w:rPr>
          <w:rFonts w:ascii="Arial" w:hAnsi="Arial" w:cs="Arial"/>
          <w:sz w:val="24"/>
          <w:szCs w:val="24"/>
        </w:rPr>
        <w:t>NAMs</w:t>
      </w:r>
      <w:r w:rsidR="009C1BE2" w:rsidRPr="00ED6A53">
        <w:rPr>
          <w:rFonts w:ascii="Arial" w:hAnsi="Arial" w:cs="Arial"/>
          <w:sz w:val="24"/>
          <w:szCs w:val="24"/>
        </w:rPr>
        <w:t xml:space="preserve"> employing metabolic competent HepaRG™ cells </w:t>
      </w:r>
      <w:r w:rsidR="00260240" w:rsidRPr="00ED6A53">
        <w:rPr>
          <w:rFonts w:ascii="Arial" w:hAnsi="Arial" w:cs="Arial"/>
          <w:sz w:val="24"/>
          <w:szCs w:val="24"/>
        </w:rPr>
        <w:t>with CometChip for DNA damage</w:t>
      </w:r>
      <w:r w:rsidR="00313333">
        <w:rPr>
          <w:rFonts w:ascii="Arial" w:hAnsi="Arial" w:cs="Arial"/>
          <w:sz w:val="24"/>
          <w:szCs w:val="24"/>
        </w:rPr>
        <w:t xml:space="preserve">, </w:t>
      </w:r>
      <w:r w:rsidR="00260240" w:rsidRPr="00ED6A53">
        <w:rPr>
          <w:rFonts w:ascii="Arial" w:hAnsi="Arial" w:cs="Arial"/>
          <w:sz w:val="24"/>
          <w:szCs w:val="24"/>
        </w:rPr>
        <w:t xml:space="preserve">the MN assay for chromosomal </w:t>
      </w:r>
      <w:r w:rsidR="00CD4E06" w:rsidRPr="00ED6A53">
        <w:rPr>
          <w:rFonts w:ascii="Arial" w:hAnsi="Arial" w:cs="Arial"/>
          <w:sz w:val="24"/>
          <w:szCs w:val="24"/>
        </w:rPr>
        <w:t>aberrations</w:t>
      </w:r>
      <w:r w:rsidR="00DA3F3C" w:rsidRPr="00ED6A53">
        <w:rPr>
          <w:rFonts w:ascii="Arial" w:hAnsi="Arial" w:cs="Arial"/>
          <w:sz w:val="24"/>
          <w:szCs w:val="24"/>
        </w:rPr>
        <w:t xml:space="preserve"> </w:t>
      </w:r>
      <w:r w:rsidR="00313333">
        <w:rPr>
          <w:rFonts w:ascii="Arial" w:hAnsi="Arial" w:cs="Arial"/>
          <w:sz w:val="24"/>
          <w:szCs w:val="24"/>
        </w:rPr>
        <w:t xml:space="preserve">and TGx-DDI </w:t>
      </w:r>
      <w:r w:rsidR="00DA3F3C" w:rsidRPr="00ED6A53">
        <w:rPr>
          <w:rFonts w:ascii="Arial" w:hAnsi="Arial" w:cs="Arial"/>
          <w:sz w:val="24"/>
          <w:szCs w:val="24"/>
        </w:rPr>
        <w:t xml:space="preserve">(Buick et al., </w:t>
      </w:r>
      <w:r w:rsidR="00405188" w:rsidRPr="00ED6A53">
        <w:rPr>
          <w:rFonts w:ascii="Arial" w:hAnsi="Arial" w:cs="Arial"/>
          <w:sz w:val="24"/>
          <w:szCs w:val="24"/>
        </w:rPr>
        <w:t>2019; 2021; Owiti et al., 2022)</w:t>
      </w:r>
      <w:r w:rsidR="00CD4E06" w:rsidRPr="00ED6A53">
        <w:rPr>
          <w:rFonts w:ascii="Arial" w:hAnsi="Arial" w:cs="Arial"/>
          <w:sz w:val="24"/>
          <w:szCs w:val="24"/>
        </w:rPr>
        <w:t xml:space="preserve">, rather than the conduct of </w:t>
      </w:r>
      <w:r w:rsidR="00CD4E06" w:rsidRPr="00ED6A53">
        <w:rPr>
          <w:rFonts w:ascii="Arial" w:hAnsi="Arial" w:cs="Arial"/>
          <w:i/>
          <w:iCs/>
          <w:sz w:val="24"/>
          <w:szCs w:val="24"/>
        </w:rPr>
        <w:t>in vivo</w:t>
      </w:r>
      <w:r w:rsidR="00CD4E06" w:rsidRPr="00ED6A53">
        <w:rPr>
          <w:rFonts w:ascii="Arial" w:hAnsi="Arial" w:cs="Arial"/>
          <w:sz w:val="24"/>
          <w:szCs w:val="24"/>
        </w:rPr>
        <w:t xml:space="preserve"> Comet and MN assays in rodents using up to </w:t>
      </w:r>
      <w:r w:rsidR="004B0DAD" w:rsidRPr="00ED6A53">
        <w:rPr>
          <w:rFonts w:ascii="Arial" w:hAnsi="Arial" w:cs="Arial"/>
          <w:sz w:val="24"/>
          <w:szCs w:val="24"/>
        </w:rPr>
        <w:t xml:space="preserve">90 animals when conducted independently. </w:t>
      </w:r>
      <w:r w:rsidR="00405188" w:rsidRPr="00ED6A53">
        <w:rPr>
          <w:rFonts w:ascii="Arial" w:hAnsi="Arial" w:cs="Arial"/>
          <w:sz w:val="24"/>
          <w:szCs w:val="24"/>
        </w:rPr>
        <w:t xml:space="preserve">Use of </w:t>
      </w:r>
      <w:r w:rsidR="0014686D" w:rsidRPr="00ED6A53">
        <w:rPr>
          <w:rFonts w:ascii="Arial" w:hAnsi="Arial" w:cs="Arial"/>
          <w:sz w:val="24"/>
          <w:szCs w:val="24"/>
        </w:rPr>
        <w:t xml:space="preserve">human relevant </w:t>
      </w:r>
      <w:r w:rsidR="00405188" w:rsidRPr="00ED6A53">
        <w:rPr>
          <w:rFonts w:ascii="Arial" w:hAnsi="Arial" w:cs="Arial"/>
          <w:sz w:val="24"/>
          <w:szCs w:val="24"/>
        </w:rPr>
        <w:t xml:space="preserve">metabolically competent </w:t>
      </w:r>
      <w:r w:rsidR="0014686D" w:rsidRPr="00ED6A53">
        <w:rPr>
          <w:rFonts w:ascii="Arial" w:hAnsi="Arial" w:cs="Arial"/>
          <w:sz w:val="24"/>
          <w:szCs w:val="24"/>
        </w:rPr>
        <w:t>models</w:t>
      </w:r>
      <w:r w:rsidR="008E568F">
        <w:rPr>
          <w:rFonts w:ascii="Arial" w:hAnsi="Arial" w:cs="Arial"/>
          <w:sz w:val="24"/>
          <w:szCs w:val="24"/>
        </w:rPr>
        <w:t xml:space="preserve"> from various tissues</w:t>
      </w:r>
      <w:r w:rsidR="0081463A">
        <w:rPr>
          <w:rFonts w:ascii="Arial" w:hAnsi="Arial" w:cs="Arial"/>
          <w:sz w:val="24"/>
          <w:szCs w:val="24"/>
        </w:rPr>
        <w:t xml:space="preserve"> such as liver, lung, skin or GI tract</w:t>
      </w:r>
      <w:r w:rsidR="0014686D" w:rsidRPr="00ED6A53">
        <w:rPr>
          <w:rFonts w:ascii="Arial" w:hAnsi="Arial" w:cs="Arial"/>
          <w:sz w:val="24"/>
          <w:szCs w:val="24"/>
        </w:rPr>
        <w:t xml:space="preserve"> that measure the identical genetic toxicology endpoints </w:t>
      </w:r>
      <w:r w:rsidR="0081463A">
        <w:rPr>
          <w:rFonts w:ascii="Arial" w:hAnsi="Arial" w:cs="Arial"/>
          <w:sz w:val="24"/>
          <w:szCs w:val="24"/>
        </w:rPr>
        <w:t xml:space="preserve">as </w:t>
      </w:r>
      <w:r w:rsidR="00F46480" w:rsidRPr="00ED6A53">
        <w:rPr>
          <w:rFonts w:ascii="Arial" w:hAnsi="Arial" w:cs="Arial"/>
          <w:sz w:val="24"/>
          <w:szCs w:val="24"/>
        </w:rPr>
        <w:t xml:space="preserve">measured </w:t>
      </w:r>
      <w:r w:rsidR="00F46480" w:rsidRPr="00ED6A53">
        <w:rPr>
          <w:rFonts w:ascii="Arial" w:hAnsi="Arial" w:cs="Arial"/>
          <w:i/>
          <w:iCs/>
          <w:sz w:val="24"/>
          <w:szCs w:val="24"/>
        </w:rPr>
        <w:t>in vivo</w:t>
      </w:r>
      <w:r w:rsidR="00F46480" w:rsidRPr="00ED6A53">
        <w:rPr>
          <w:rFonts w:ascii="Arial" w:hAnsi="Arial" w:cs="Arial"/>
          <w:sz w:val="24"/>
          <w:szCs w:val="24"/>
        </w:rPr>
        <w:t xml:space="preserve"> can be used </w:t>
      </w:r>
      <w:r w:rsidR="00772D05" w:rsidRPr="00ED6A53">
        <w:rPr>
          <w:rFonts w:ascii="Arial" w:hAnsi="Arial" w:cs="Arial"/>
          <w:sz w:val="24"/>
          <w:szCs w:val="24"/>
        </w:rPr>
        <w:t xml:space="preserve">to </w:t>
      </w:r>
      <w:r w:rsidR="00787831" w:rsidRPr="00ED6A53">
        <w:rPr>
          <w:rFonts w:ascii="Arial" w:hAnsi="Arial" w:cs="Arial"/>
          <w:color w:val="202124"/>
          <w:sz w:val="24"/>
          <w:szCs w:val="24"/>
          <w:shd w:val="clear" w:color="auto" w:fill="FFFFFF"/>
        </w:rPr>
        <w:t>r</w:t>
      </w:r>
      <w:r w:rsidR="00772D05" w:rsidRPr="00ED6A53">
        <w:rPr>
          <w:rFonts w:ascii="Arial" w:hAnsi="Arial" w:cs="Arial"/>
          <w:color w:val="202124"/>
          <w:sz w:val="24"/>
          <w:szCs w:val="24"/>
          <w:shd w:val="clear" w:color="auto" w:fill="FFFFFF"/>
        </w:rPr>
        <w:t xml:space="preserve">eplace, </w:t>
      </w:r>
      <w:r w:rsidR="00787831" w:rsidRPr="00ED6A53">
        <w:rPr>
          <w:rFonts w:ascii="Arial" w:hAnsi="Arial" w:cs="Arial"/>
          <w:color w:val="202124"/>
          <w:sz w:val="24"/>
          <w:szCs w:val="24"/>
          <w:shd w:val="clear" w:color="auto" w:fill="FFFFFF"/>
        </w:rPr>
        <w:t>r</w:t>
      </w:r>
      <w:r w:rsidR="00772D05" w:rsidRPr="00ED6A53">
        <w:rPr>
          <w:rFonts w:ascii="Arial" w:hAnsi="Arial" w:cs="Arial"/>
          <w:color w:val="202124"/>
          <w:sz w:val="24"/>
          <w:szCs w:val="24"/>
          <w:shd w:val="clear" w:color="auto" w:fill="FFFFFF"/>
        </w:rPr>
        <w:t>educe</w:t>
      </w:r>
      <w:r w:rsidR="00787831" w:rsidRPr="00ED6A53">
        <w:rPr>
          <w:rFonts w:ascii="Arial" w:hAnsi="Arial" w:cs="Arial"/>
          <w:color w:val="202124"/>
          <w:sz w:val="24"/>
          <w:szCs w:val="24"/>
          <w:shd w:val="clear" w:color="auto" w:fill="FFFFFF"/>
        </w:rPr>
        <w:t>,</w:t>
      </w:r>
      <w:r w:rsidR="00772D05" w:rsidRPr="00ED6A53">
        <w:rPr>
          <w:rFonts w:ascii="Arial" w:hAnsi="Arial" w:cs="Arial"/>
          <w:color w:val="202124"/>
          <w:sz w:val="24"/>
          <w:szCs w:val="24"/>
          <w:shd w:val="clear" w:color="auto" w:fill="FFFFFF"/>
        </w:rPr>
        <w:t xml:space="preserve"> and </w:t>
      </w:r>
      <w:r w:rsidR="00787831" w:rsidRPr="00ED6A53">
        <w:rPr>
          <w:rFonts w:ascii="Arial" w:hAnsi="Arial" w:cs="Arial"/>
          <w:color w:val="202124"/>
          <w:sz w:val="24"/>
          <w:szCs w:val="24"/>
          <w:shd w:val="clear" w:color="auto" w:fill="FFFFFF"/>
        </w:rPr>
        <w:t>r</w:t>
      </w:r>
      <w:r w:rsidR="00772D05" w:rsidRPr="00ED6A53">
        <w:rPr>
          <w:rFonts w:ascii="Arial" w:hAnsi="Arial" w:cs="Arial"/>
          <w:color w:val="202124"/>
          <w:sz w:val="24"/>
          <w:szCs w:val="24"/>
          <w:shd w:val="clear" w:color="auto" w:fill="FFFFFF"/>
        </w:rPr>
        <w:t xml:space="preserve">efine the </w:t>
      </w:r>
      <w:r w:rsidR="001427D0" w:rsidRPr="00ED6A53">
        <w:rPr>
          <w:rFonts w:ascii="Arial" w:hAnsi="Arial" w:cs="Arial"/>
          <w:color w:val="202124"/>
          <w:sz w:val="24"/>
          <w:szCs w:val="24"/>
          <w:shd w:val="clear" w:color="auto" w:fill="FFFFFF"/>
        </w:rPr>
        <w:t>use of animals in the practice o</w:t>
      </w:r>
      <w:r w:rsidR="00486271">
        <w:rPr>
          <w:rFonts w:ascii="Arial" w:hAnsi="Arial" w:cs="Arial"/>
          <w:color w:val="202124"/>
          <w:sz w:val="24"/>
          <w:szCs w:val="24"/>
          <w:shd w:val="clear" w:color="auto" w:fill="FFFFFF"/>
        </w:rPr>
        <w:t>f</w:t>
      </w:r>
      <w:r w:rsidR="001427D0" w:rsidRPr="00ED6A53">
        <w:rPr>
          <w:rFonts w:ascii="Arial" w:hAnsi="Arial" w:cs="Arial"/>
          <w:color w:val="202124"/>
          <w:sz w:val="24"/>
          <w:szCs w:val="24"/>
          <w:shd w:val="clear" w:color="auto" w:fill="FFFFFF"/>
        </w:rPr>
        <w:t xml:space="preserve"> </w:t>
      </w:r>
      <w:r w:rsidR="00486271">
        <w:rPr>
          <w:rFonts w:ascii="Arial" w:hAnsi="Arial" w:cs="Arial"/>
          <w:color w:val="202124"/>
          <w:sz w:val="24"/>
          <w:szCs w:val="24"/>
          <w:shd w:val="clear" w:color="auto" w:fill="FFFFFF"/>
        </w:rPr>
        <w:t xml:space="preserve">investigative and </w:t>
      </w:r>
      <w:r w:rsidR="001427D0" w:rsidRPr="00ED6A53">
        <w:rPr>
          <w:rFonts w:ascii="Arial" w:hAnsi="Arial" w:cs="Arial"/>
          <w:color w:val="202124"/>
          <w:sz w:val="24"/>
          <w:szCs w:val="24"/>
          <w:shd w:val="clear" w:color="auto" w:fill="FFFFFF"/>
        </w:rPr>
        <w:t>regulatory genetic toxicology.</w:t>
      </w:r>
    </w:p>
    <w:p w14:paraId="2B77CC3C" w14:textId="77777777" w:rsidR="00787831" w:rsidRPr="00ED6A53" w:rsidRDefault="00787831" w:rsidP="003C4E50">
      <w:pPr>
        <w:spacing w:after="0" w:line="480" w:lineRule="auto"/>
        <w:jc w:val="both"/>
        <w:rPr>
          <w:rFonts w:ascii="Arial" w:hAnsi="Arial" w:cs="Arial"/>
          <w:sz w:val="24"/>
          <w:szCs w:val="24"/>
        </w:rPr>
      </w:pPr>
    </w:p>
    <w:p w14:paraId="60E36056" w14:textId="77777777" w:rsidR="00B4620F" w:rsidRPr="00ED6A53" w:rsidRDefault="00B4620F" w:rsidP="003C4E50">
      <w:pPr>
        <w:spacing w:after="0" w:line="480" w:lineRule="auto"/>
        <w:jc w:val="both"/>
        <w:rPr>
          <w:rFonts w:ascii="Arial" w:eastAsia="Calibri" w:hAnsi="Arial" w:cs="Arial"/>
          <w:b/>
          <w:sz w:val="24"/>
          <w:szCs w:val="24"/>
        </w:rPr>
      </w:pPr>
      <w:r w:rsidRPr="00ED6A53">
        <w:rPr>
          <w:rFonts w:ascii="Arial" w:eastAsia="Calibri" w:hAnsi="Arial" w:cs="Arial"/>
          <w:b/>
          <w:sz w:val="24"/>
          <w:szCs w:val="24"/>
        </w:rPr>
        <w:t>Funding</w:t>
      </w:r>
    </w:p>
    <w:p w14:paraId="401C5603" w14:textId="6E543087" w:rsidR="004D6061" w:rsidRDefault="00B4620F" w:rsidP="004D6061">
      <w:pPr>
        <w:spacing w:after="0" w:line="480" w:lineRule="auto"/>
        <w:jc w:val="both"/>
        <w:rPr>
          <w:rFonts w:ascii="Arial" w:hAnsi="Arial" w:cs="Arial"/>
          <w:sz w:val="24"/>
          <w:szCs w:val="24"/>
        </w:rPr>
      </w:pPr>
      <w:r w:rsidRPr="00ED6A53">
        <w:rPr>
          <w:rFonts w:ascii="Arial" w:eastAsia="Calibri" w:hAnsi="Arial" w:cs="Arial"/>
          <w:sz w:val="24"/>
          <w:szCs w:val="24"/>
        </w:rPr>
        <w:t xml:space="preserve">This work was supported by a grant </w:t>
      </w:r>
      <w:r w:rsidR="005F7A5F" w:rsidRPr="00ED6A53">
        <w:rPr>
          <w:rFonts w:ascii="Arial" w:hAnsi="Arial" w:cs="Arial"/>
          <w:sz w:val="24"/>
          <w:szCs w:val="24"/>
        </w:rPr>
        <w:t>4R44ES024698-02</w:t>
      </w:r>
      <w:r w:rsidR="005F7A5F">
        <w:rPr>
          <w:rFonts w:ascii="Arial" w:hAnsi="Arial" w:cs="Arial"/>
          <w:sz w:val="24"/>
          <w:szCs w:val="24"/>
        </w:rPr>
        <w:t xml:space="preserve"> </w:t>
      </w:r>
      <w:r w:rsidR="004D6061" w:rsidRPr="00ED6A53">
        <w:rPr>
          <w:rFonts w:ascii="Arial" w:hAnsi="Arial" w:cs="Arial"/>
          <w:sz w:val="24"/>
          <w:szCs w:val="24"/>
        </w:rPr>
        <w:t>funded by</w:t>
      </w:r>
      <w:r w:rsidR="005F7A5F">
        <w:rPr>
          <w:rFonts w:ascii="Arial" w:hAnsi="Arial" w:cs="Arial"/>
          <w:sz w:val="24"/>
          <w:szCs w:val="24"/>
        </w:rPr>
        <w:t xml:space="preserve"> the </w:t>
      </w:r>
      <w:r w:rsidR="004D6061" w:rsidRPr="00ED6A53">
        <w:rPr>
          <w:rFonts w:ascii="Arial" w:hAnsi="Arial" w:cs="Arial"/>
          <w:sz w:val="24"/>
          <w:szCs w:val="24"/>
        </w:rPr>
        <w:t>NIEHS</w:t>
      </w:r>
      <w:r w:rsidR="005F7A5F">
        <w:rPr>
          <w:rFonts w:ascii="Arial" w:hAnsi="Arial" w:cs="Arial"/>
          <w:sz w:val="24"/>
          <w:szCs w:val="24"/>
        </w:rPr>
        <w:t>.</w:t>
      </w:r>
    </w:p>
    <w:p w14:paraId="76702866" w14:textId="1DB109F8" w:rsidR="000C5FAC" w:rsidRDefault="000C5FAC" w:rsidP="004D6061">
      <w:pPr>
        <w:spacing w:after="0" w:line="480" w:lineRule="auto"/>
        <w:jc w:val="both"/>
        <w:rPr>
          <w:rFonts w:ascii="Arial" w:hAnsi="Arial" w:cs="Arial"/>
          <w:b/>
          <w:bCs/>
          <w:sz w:val="24"/>
          <w:szCs w:val="24"/>
        </w:rPr>
      </w:pPr>
      <w:r w:rsidRPr="000C5FAC">
        <w:rPr>
          <w:rFonts w:ascii="Arial" w:hAnsi="Arial" w:cs="Arial"/>
          <w:b/>
          <w:bCs/>
          <w:sz w:val="24"/>
          <w:szCs w:val="24"/>
        </w:rPr>
        <w:t>Role of each Author</w:t>
      </w:r>
    </w:p>
    <w:p w14:paraId="52680271" w14:textId="6EF05DAC" w:rsidR="000C5FAC" w:rsidRPr="00B91195" w:rsidRDefault="000C5FAC" w:rsidP="004D6061">
      <w:pPr>
        <w:spacing w:after="0" w:line="480" w:lineRule="auto"/>
        <w:jc w:val="both"/>
        <w:rPr>
          <w:rFonts w:ascii="Arial" w:hAnsi="Arial" w:cs="Arial"/>
          <w:sz w:val="24"/>
          <w:szCs w:val="24"/>
        </w:rPr>
      </w:pPr>
      <w:r>
        <w:rPr>
          <w:rFonts w:ascii="Arial" w:hAnsi="Arial" w:cs="Arial"/>
          <w:b/>
          <w:bCs/>
          <w:sz w:val="24"/>
          <w:szCs w:val="24"/>
        </w:rPr>
        <w:t xml:space="preserve">LR </w:t>
      </w:r>
      <w:r w:rsidR="00B91195">
        <w:rPr>
          <w:rFonts w:ascii="Arial" w:hAnsi="Arial" w:cs="Arial"/>
          <w:b/>
          <w:bCs/>
          <w:sz w:val="24"/>
          <w:szCs w:val="24"/>
        </w:rPr>
        <w:t>–</w:t>
      </w:r>
      <w:r>
        <w:rPr>
          <w:rFonts w:ascii="Arial" w:hAnsi="Arial" w:cs="Arial"/>
          <w:b/>
          <w:bCs/>
          <w:sz w:val="24"/>
          <w:szCs w:val="24"/>
        </w:rPr>
        <w:t xml:space="preserve"> </w:t>
      </w:r>
      <w:r w:rsidRPr="00B91195">
        <w:rPr>
          <w:rFonts w:ascii="Arial" w:hAnsi="Arial" w:cs="Arial"/>
          <w:sz w:val="24"/>
          <w:szCs w:val="24"/>
        </w:rPr>
        <w:t>P</w:t>
      </w:r>
      <w:r w:rsidR="00B91195" w:rsidRPr="00B91195">
        <w:rPr>
          <w:rFonts w:ascii="Arial" w:hAnsi="Arial" w:cs="Arial"/>
          <w:sz w:val="24"/>
          <w:szCs w:val="24"/>
        </w:rPr>
        <w:t>rincipal Investigator, Experimental design, wrote manuscript.</w:t>
      </w:r>
    </w:p>
    <w:p w14:paraId="49B69D1A" w14:textId="7EF03D9F" w:rsidR="00B91195" w:rsidRPr="00AD452F" w:rsidRDefault="00B91195" w:rsidP="004D6061">
      <w:pPr>
        <w:spacing w:after="0" w:line="480" w:lineRule="auto"/>
        <w:jc w:val="both"/>
        <w:rPr>
          <w:rFonts w:ascii="Arial" w:hAnsi="Arial" w:cs="Arial"/>
          <w:sz w:val="24"/>
          <w:szCs w:val="24"/>
        </w:rPr>
      </w:pPr>
      <w:r>
        <w:rPr>
          <w:rFonts w:ascii="Arial" w:hAnsi="Arial" w:cs="Arial"/>
          <w:b/>
          <w:bCs/>
          <w:sz w:val="24"/>
          <w:szCs w:val="24"/>
        </w:rPr>
        <w:t xml:space="preserve">JF </w:t>
      </w:r>
      <w:r w:rsidRPr="00AD452F">
        <w:rPr>
          <w:rFonts w:ascii="Arial" w:hAnsi="Arial" w:cs="Arial"/>
          <w:sz w:val="24"/>
          <w:szCs w:val="24"/>
        </w:rPr>
        <w:t>– Co</w:t>
      </w:r>
      <w:r w:rsidR="00CF64FB" w:rsidRPr="00AD452F">
        <w:rPr>
          <w:rFonts w:ascii="Arial" w:hAnsi="Arial" w:cs="Arial"/>
          <w:sz w:val="24"/>
          <w:szCs w:val="24"/>
        </w:rPr>
        <w:t>n</w:t>
      </w:r>
      <w:r w:rsidRPr="00AD452F">
        <w:rPr>
          <w:rFonts w:ascii="Arial" w:hAnsi="Arial" w:cs="Arial"/>
          <w:sz w:val="24"/>
          <w:szCs w:val="24"/>
        </w:rPr>
        <w:t xml:space="preserve">duct </w:t>
      </w:r>
      <w:r w:rsidR="00CF64FB" w:rsidRPr="00AD452F">
        <w:rPr>
          <w:rFonts w:ascii="Arial" w:hAnsi="Arial" w:cs="Arial"/>
          <w:sz w:val="24"/>
          <w:szCs w:val="24"/>
        </w:rPr>
        <w:t>of MN assay</w:t>
      </w:r>
      <w:r w:rsidR="00AD452F" w:rsidRPr="00AD452F">
        <w:rPr>
          <w:rFonts w:ascii="Arial" w:hAnsi="Arial" w:cs="Arial"/>
          <w:sz w:val="24"/>
          <w:szCs w:val="24"/>
        </w:rPr>
        <w:t>.</w:t>
      </w:r>
    </w:p>
    <w:p w14:paraId="16C658A5" w14:textId="11B98B6B" w:rsidR="00CF64FB" w:rsidRPr="00AD452F" w:rsidRDefault="00CF64FB" w:rsidP="004D6061">
      <w:pPr>
        <w:spacing w:after="0" w:line="480" w:lineRule="auto"/>
        <w:jc w:val="both"/>
        <w:rPr>
          <w:rFonts w:ascii="Arial" w:hAnsi="Arial" w:cs="Arial"/>
          <w:sz w:val="24"/>
          <w:szCs w:val="24"/>
        </w:rPr>
      </w:pPr>
      <w:r>
        <w:rPr>
          <w:rFonts w:ascii="Arial" w:hAnsi="Arial" w:cs="Arial"/>
          <w:b/>
          <w:bCs/>
          <w:sz w:val="24"/>
          <w:szCs w:val="24"/>
        </w:rPr>
        <w:t xml:space="preserve">LM </w:t>
      </w:r>
      <w:r w:rsidRPr="00AD452F">
        <w:rPr>
          <w:rFonts w:ascii="Arial" w:hAnsi="Arial" w:cs="Arial"/>
          <w:sz w:val="24"/>
          <w:szCs w:val="24"/>
        </w:rPr>
        <w:t>– Conduct of CometChip</w:t>
      </w:r>
      <w:r w:rsidR="00AD452F" w:rsidRPr="00AD452F">
        <w:rPr>
          <w:rFonts w:ascii="Arial" w:hAnsi="Arial" w:cs="Arial"/>
          <w:sz w:val="24"/>
          <w:szCs w:val="24"/>
        </w:rPr>
        <w:t>®.</w:t>
      </w:r>
    </w:p>
    <w:p w14:paraId="52C06631" w14:textId="617A7753" w:rsidR="00AD452F" w:rsidRPr="00AD452F" w:rsidRDefault="00AD452F" w:rsidP="004D6061">
      <w:pPr>
        <w:spacing w:after="0" w:line="480" w:lineRule="auto"/>
        <w:jc w:val="both"/>
        <w:rPr>
          <w:rFonts w:ascii="Arial" w:hAnsi="Arial" w:cs="Arial"/>
          <w:sz w:val="24"/>
          <w:szCs w:val="24"/>
        </w:rPr>
      </w:pPr>
      <w:r>
        <w:rPr>
          <w:rFonts w:ascii="Arial" w:hAnsi="Arial" w:cs="Arial"/>
          <w:b/>
          <w:bCs/>
          <w:sz w:val="24"/>
          <w:szCs w:val="24"/>
        </w:rPr>
        <w:t xml:space="preserve">CS </w:t>
      </w:r>
      <w:r>
        <w:rPr>
          <w:rFonts w:ascii="Arial" w:hAnsi="Arial" w:cs="Arial"/>
          <w:sz w:val="24"/>
          <w:szCs w:val="24"/>
        </w:rPr>
        <w:t>–</w:t>
      </w:r>
      <w:r w:rsidRPr="00AD452F">
        <w:rPr>
          <w:rFonts w:ascii="Arial" w:hAnsi="Arial" w:cs="Arial"/>
          <w:sz w:val="24"/>
          <w:szCs w:val="24"/>
        </w:rPr>
        <w:t xml:space="preserve"> </w:t>
      </w:r>
      <w:r>
        <w:rPr>
          <w:rFonts w:ascii="Arial" w:hAnsi="Arial" w:cs="Arial"/>
          <w:sz w:val="24"/>
          <w:szCs w:val="24"/>
        </w:rPr>
        <w:t xml:space="preserve">Laboratory Manager, review data </w:t>
      </w:r>
    </w:p>
    <w:p w14:paraId="32B49B97" w14:textId="77777777" w:rsidR="00AD452F" w:rsidRDefault="00AD452F" w:rsidP="004D6061">
      <w:pPr>
        <w:spacing w:after="0" w:line="480" w:lineRule="auto"/>
        <w:jc w:val="both"/>
        <w:rPr>
          <w:rFonts w:ascii="Arial" w:hAnsi="Arial" w:cs="Arial"/>
          <w:b/>
          <w:bCs/>
          <w:sz w:val="24"/>
          <w:szCs w:val="24"/>
        </w:rPr>
      </w:pPr>
    </w:p>
    <w:p w14:paraId="587E8CB9" w14:textId="77777777" w:rsidR="00CF64FB" w:rsidRPr="000C5FAC" w:rsidRDefault="00CF64FB" w:rsidP="004D6061">
      <w:pPr>
        <w:spacing w:after="0" w:line="480" w:lineRule="auto"/>
        <w:jc w:val="both"/>
        <w:rPr>
          <w:rFonts w:ascii="Arial" w:hAnsi="Arial" w:cs="Arial"/>
          <w:b/>
          <w:bCs/>
          <w:sz w:val="24"/>
          <w:szCs w:val="24"/>
        </w:rPr>
      </w:pPr>
    </w:p>
    <w:p w14:paraId="56AA171E" w14:textId="1A1C8F34" w:rsidR="00B4620F" w:rsidRPr="00ED6A53" w:rsidRDefault="00B4620F" w:rsidP="003C4E50">
      <w:pPr>
        <w:tabs>
          <w:tab w:val="left" w:pos="360"/>
        </w:tabs>
        <w:spacing w:after="0" w:line="480" w:lineRule="auto"/>
        <w:jc w:val="both"/>
        <w:rPr>
          <w:rFonts w:ascii="Arial" w:eastAsia="Calibri" w:hAnsi="Arial" w:cs="Arial"/>
          <w:b/>
          <w:sz w:val="24"/>
          <w:szCs w:val="24"/>
        </w:rPr>
      </w:pPr>
      <w:r w:rsidRPr="00ED6A53">
        <w:rPr>
          <w:rFonts w:ascii="Arial" w:eastAsia="Calibri" w:hAnsi="Arial" w:cs="Arial"/>
          <w:i/>
          <w:sz w:val="24"/>
          <w:szCs w:val="24"/>
        </w:rPr>
        <w:br w:type="page"/>
      </w:r>
      <w:r w:rsidRPr="00ED6A53">
        <w:rPr>
          <w:rFonts w:ascii="Arial" w:eastAsia="Calibri" w:hAnsi="Arial" w:cs="Arial"/>
          <w:b/>
          <w:sz w:val="24"/>
          <w:szCs w:val="24"/>
        </w:rPr>
        <w:t>REFERENCES</w:t>
      </w:r>
    </w:p>
    <w:p w14:paraId="5645C199" w14:textId="6883BEEF" w:rsidR="00B4620F" w:rsidRPr="00ED6A53" w:rsidRDefault="00B4620F" w:rsidP="003C4E50">
      <w:pPr>
        <w:autoSpaceDE w:val="0"/>
        <w:autoSpaceDN w:val="0"/>
        <w:adjustRightInd w:val="0"/>
        <w:spacing w:after="0" w:line="240" w:lineRule="auto"/>
        <w:jc w:val="both"/>
        <w:rPr>
          <w:rFonts w:ascii="Arial" w:eastAsia="Calibri" w:hAnsi="Arial" w:cs="Arial"/>
          <w:color w:val="000000"/>
          <w:sz w:val="24"/>
          <w:szCs w:val="24"/>
        </w:rPr>
      </w:pPr>
      <w:r w:rsidRPr="00ED6A53">
        <w:rPr>
          <w:rFonts w:ascii="Arial" w:eastAsia="Calibri" w:hAnsi="Arial" w:cs="Arial"/>
          <w:color w:val="000000"/>
          <w:sz w:val="24"/>
          <w:szCs w:val="24"/>
        </w:rPr>
        <w:t>Abdo, KM, Eustis, SL, McDonald, M, Jokinen, MP, Adkins Jr, B, Haseman,</w:t>
      </w:r>
    </w:p>
    <w:p w14:paraId="4D20F368" w14:textId="3F3AC2FC" w:rsidR="00B4620F" w:rsidRPr="00ED6A53" w:rsidRDefault="00C14BFD" w:rsidP="003C4E50">
      <w:pPr>
        <w:autoSpaceDE w:val="0"/>
        <w:autoSpaceDN w:val="0"/>
        <w:adjustRightInd w:val="0"/>
        <w:spacing w:after="0" w:line="240" w:lineRule="auto"/>
        <w:ind w:left="540"/>
        <w:jc w:val="both"/>
        <w:rPr>
          <w:rFonts w:ascii="Arial" w:eastAsia="Calibri" w:hAnsi="Arial" w:cs="Arial"/>
          <w:i/>
          <w:color w:val="000000"/>
          <w:sz w:val="24"/>
          <w:szCs w:val="24"/>
        </w:rPr>
      </w:pPr>
      <w:r w:rsidRPr="00ED6A53">
        <w:rPr>
          <w:rFonts w:ascii="Arial" w:eastAsia="Calibri" w:hAnsi="Arial" w:cs="Arial"/>
          <w:color w:val="000000"/>
          <w:sz w:val="24"/>
          <w:szCs w:val="24"/>
        </w:rPr>
        <w:t xml:space="preserve">JK </w:t>
      </w:r>
      <w:r w:rsidR="00B4620F" w:rsidRPr="00ED6A53">
        <w:rPr>
          <w:rFonts w:ascii="Arial" w:eastAsia="Calibri" w:hAnsi="Arial" w:cs="Arial"/>
          <w:color w:val="000000"/>
          <w:sz w:val="24"/>
          <w:szCs w:val="24"/>
        </w:rPr>
        <w:t>(1992).</w:t>
      </w:r>
      <w:r w:rsidR="004326A4">
        <w:rPr>
          <w:rFonts w:ascii="Arial" w:eastAsia="Calibri" w:hAnsi="Arial" w:cs="Arial"/>
          <w:color w:val="000000"/>
          <w:sz w:val="24"/>
          <w:szCs w:val="24"/>
        </w:rPr>
        <w:t xml:space="preserve"> </w:t>
      </w:r>
      <w:r w:rsidR="00B4620F" w:rsidRPr="00ED6A53">
        <w:rPr>
          <w:rFonts w:ascii="Arial" w:eastAsia="Calibri" w:hAnsi="Arial" w:cs="Arial"/>
          <w:color w:val="000000"/>
          <w:sz w:val="24"/>
          <w:szCs w:val="24"/>
        </w:rPr>
        <w:t xml:space="preserve">Naphthalene: a respiratory tract toxicant and carcinogen for mice.  </w:t>
      </w:r>
      <w:proofErr w:type="spellStart"/>
      <w:r w:rsidR="00B4620F" w:rsidRPr="00ED6A53">
        <w:rPr>
          <w:rFonts w:ascii="Arial" w:eastAsia="Calibri" w:hAnsi="Arial" w:cs="Arial"/>
          <w:i/>
          <w:color w:val="000000"/>
          <w:sz w:val="24"/>
          <w:szCs w:val="24"/>
        </w:rPr>
        <w:t>Inhal.Toxicol</w:t>
      </w:r>
      <w:proofErr w:type="spellEnd"/>
      <w:r w:rsidR="00B4620F" w:rsidRPr="00ED6A53">
        <w:rPr>
          <w:rFonts w:ascii="Arial" w:eastAsia="Calibri" w:hAnsi="Arial" w:cs="Arial"/>
          <w:i/>
          <w:color w:val="000000"/>
          <w:sz w:val="24"/>
          <w:szCs w:val="24"/>
        </w:rPr>
        <w:t>.</w:t>
      </w:r>
      <w:r w:rsidR="00B4620F" w:rsidRPr="00ED6A53">
        <w:rPr>
          <w:rFonts w:ascii="Arial" w:eastAsia="Calibri" w:hAnsi="Arial" w:cs="Arial"/>
          <w:color w:val="000000"/>
          <w:sz w:val="24"/>
          <w:szCs w:val="24"/>
        </w:rPr>
        <w:t xml:space="preserve"> </w:t>
      </w:r>
      <w:r w:rsidR="00B4620F" w:rsidRPr="00ED6A53">
        <w:rPr>
          <w:rFonts w:ascii="Arial" w:eastAsia="Calibri" w:hAnsi="Arial" w:cs="Arial"/>
          <w:b/>
          <w:color w:val="000000"/>
          <w:sz w:val="24"/>
          <w:szCs w:val="24"/>
        </w:rPr>
        <w:t>4</w:t>
      </w:r>
      <w:r w:rsidR="00B4620F" w:rsidRPr="00ED6A53">
        <w:rPr>
          <w:rFonts w:ascii="Arial" w:eastAsia="Calibri" w:hAnsi="Arial" w:cs="Arial"/>
          <w:color w:val="000000"/>
          <w:sz w:val="24"/>
          <w:szCs w:val="24"/>
        </w:rPr>
        <w:t>, 393-409.</w:t>
      </w:r>
    </w:p>
    <w:p w14:paraId="0426BB0C" w14:textId="77777777" w:rsidR="00B4620F" w:rsidRPr="00ED6A53" w:rsidRDefault="00B4620F" w:rsidP="003C4E50">
      <w:pPr>
        <w:autoSpaceDE w:val="0"/>
        <w:autoSpaceDN w:val="0"/>
        <w:adjustRightInd w:val="0"/>
        <w:spacing w:after="0" w:line="240" w:lineRule="auto"/>
        <w:jc w:val="both"/>
        <w:rPr>
          <w:rFonts w:ascii="Arial" w:eastAsia="Calibri" w:hAnsi="Arial" w:cs="Arial"/>
          <w:color w:val="000000"/>
          <w:sz w:val="24"/>
          <w:szCs w:val="24"/>
        </w:rPr>
      </w:pPr>
    </w:p>
    <w:p w14:paraId="5CE25BCD" w14:textId="6F0E8AEC" w:rsidR="00B4620F" w:rsidRDefault="00B4620F" w:rsidP="003C4E50">
      <w:pPr>
        <w:autoSpaceDE w:val="0"/>
        <w:autoSpaceDN w:val="0"/>
        <w:adjustRightInd w:val="0"/>
        <w:spacing w:after="0" w:line="240" w:lineRule="auto"/>
        <w:ind w:left="540" w:hanging="540"/>
        <w:jc w:val="both"/>
        <w:rPr>
          <w:rFonts w:ascii="Arial" w:eastAsia="Calibri" w:hAnsi="Arial" w:cs="Arial"/>
          <w:color w:val="000000"/>
          <w:sz w:val="24"/>
          <w:szCs w:val="24"/>
        </w:rPr>
      </w:pPr>
      <w:r w:rsidRPr="00ED6A53">
        <w:rPr>
          <w:rFonts w:ascii="Arial" w:eastAsia="Calibri" w:hAnsi="Arial" w:cs="Arial"/>
          <w:color w:val="000000"/>
          <w:sz w:val="24"/>
          <w:szCs w:val="24"/>
        </w:rPr>
        <w:t>Abdo, KM, Grumbein, S, Chou, BJ</w:t>
      </w:r>
      <w:r w:rsidR="004326A4">
        <w:rPr>
          <w:rFonts w:ascii="Arial" w:eastAsia="Calibri" w:hAnsi="Arial" w:cs="Arial"/>
          <w:color w:val="000000"/>
          <w:sz w:val="24"/>
          <w:szCs w:val="24"/>
        </w:rPr>
        <w:t xml:space="preserve"> </w:t>
      </w:r>
      <w:r w:rsidRPr="00ED6A53">
        <w:rPr>
          <w:rFonts w:ascii="Arial" w:eastAsia="Calibri" w:hAnsi="Arial" w:cs="Arial"/>
          <w:color w:val="000000"/>
          <w:sz w:val="24"/>
          <w:szCs w:val="24"/>
        </w:rPr>
        <w:t xml:space="preserve">and Herbert, R. (2001). Toxicity and carcinogenicity study in F344 rats following 2 years of whole-body exposure to naphthalene vapors.  </w:t>
      </w:r>
      <w:proofErr w:type="spellStart"/>
      <w:r w:rsidRPr="00ED6A53">
        <w:rPr>
          <w:rFonts w:ascii="Arial" w:eastAsia="Calibri" w:hAnsi="Arial" w:cs="Arial"/>
          <w:i/>
          <w:color w:val="000000"/>
          <w:sz w:val="24"/>
          <w:szCs w:val="24"/>
        </w:rPr>
        <w:t>Inhal</w:t>
      </w:r>
      <w:proofErr w:type="spellEnd"/>
      <w:r w:rsidRPr="00ED6A53">
        <w:rPr>
          <w:rFonts w:ascii="Arial" w:eastAsia="Calibri" w:hAnsi="Arial" w:cs="Arial"/>
          <w:i/>
          <w:color w:val="000000"/>
          <w:sz w:val="24"/>
          <w:szCs w:val="24"/>
        </w:rPr>
        <w:t xml:space="preserve"> Toxicol.</w:t>
      </w:r>
      <w:r w:rsidRPr="00ED6A53">
        <w:rPr>
          <w:rFonts w:ascii="Arial" w:eastAsia="Calibri" w:hAnsi="Arial" w:cs="Arial"/>
          <w:color w:val="000000"/>
          <w:sz w:val="24"/>
          <w:szCs w:val="24"/>
        </w:rPr>
        <w:t xml:space="preserve"> </w:t>
      </w:r>
      <w:r w:rsidRPr="00ED6A53">
        <w:rPr>
          <w:rFonts w:ascii="Arial" w:eastAsia="Calibri" w:hAnsi="Arial" w:cs="Arial"/>
          <w:b/>
          <w:color w:val="000000"/>
          <w:sz w:val="24"/>
          <w:szCs w:val="24"/>
        </w:rPr>
        <w:t>13</w:t>
      </w:r>
      <w:r w:rsidRPr="00ED6A53">
        <w:rPr>
          <w:rFonts w:ascii="Arial" w:eastAsia="Calibri" w:hAnsi="Arial" w:cs="Arial"/>
          <w:color w:val="000000"/>
          <w:sz w:val="24"/>
          <w:szCs w:val="24"/>
        </w:rPr>
        <w:t>, 931-950.</w:t>
      </w:r>
    </w:p>
    <w:p w14:paraId="3941D886" w14:textId="490BB8B3" w:rsidR="00867B36" w:rsidRPr="00867B36" w:rsidRDefault="00867B36" w:rsidP="00867B36">
      <w:pPr>
        <w:autoSpaceDE w:val="0"/>
        <w:autoSpaceDN w:val="0"/>
        <w:adjustRightInd w:val="0"/>
        <w:spacing w:after="0" w:line="240" w:lineRule="auto"/>
        <w:ind w:left="540" w:hanging="540"/>
        <w:jc w:val="both"/>
        <w:rPr>
          <w:rFonts w:ascii="Arial" w:eastAsia="Calibri" w:hAnsi="Arial" w:cs="Arial"/>
          <w:color w:val="000000"/>
          <w:sz w:val="24"/>
          <w:szCs w:val="24"/>
        </w:rPr>
      </w:pPr>
    </w:p>
    <w:p w14:paraId="7611870D" w14:textId="04D19946" w:rsidR="00867B36" w:rsidRDefault="00867B36" w:rsidP="00867B36">
      <w:pPr>
        <w:autoSpaceDE w:val="0"/>
        <w:autoSpaceDN w:val="0"/>
        <w:adjustRightInd w:val="0"/>
        <w:spacing w:after="0" w:line="240" w:lineRule="auto"/>
        <w:ind w:left="540" w:hanging="540"/>
        <w:jc w:val="both"/>
        <w:rPr>
          <w:rFonts w:ascii="Arial" w:eastAsia="Calibri" w:hAnsi="Arial" w:cs="Arial"/>
          <w:color w:val="000000"/>
          <w:sz w:val="24"/>
          <w:szCs w:val="24"/>
        </w:rPr>
      </w:pPr>
      <w:r w:rsidRPr="00867B36">
        <w:rPr>
          <w:rFonts w:ascii="Arial" w:eastAsia="Calibri" w:hAnsi="Arial" w:cs="Arial"/>
          <w:color w:val="000000"/>
          <w:sz w:val="24"/>
          <w:szCs w:val="24"/>
        </w:rPr>
        <w:t xml:space="preserve">Avila AM, </w:t>
      </w:r>
      <w:proofErr w:type="spellStart"/>
      <w:r w:rsidRPr="00867B36">
        <w:rPr>
          <w:rFonts w:ascii="Arial" w:eastAsia="Calibri" w:hAnsi="Arial" w:cs="Arial"/>
          <w:color w:val="000000"/>
          <w:sz w:val="24"/>
          <w:szCs w:val="24"/>
        </w:rPr>
        <w:t>Bebenek</w:t>
      </w:r>
      <w:proofErr w:type="spellEnd"/>
      <w:r w:rsidRPr="00867B36">
        <w:rPr>
          <w:rFonts w:ascii="Arial" w:eastAsia="Calibri" w:hAnsi="Arial" w:cs="Arial"/>
          <w:color w:val="000000"/>
          <w:sz w:val="24"/>
          <w:szCs w:val="24"/>
        </w:rPr>
        <w:t xml:space="preserve"> I, Bonzo JA, Bourcier T, Davis Bruno KL, Carlson DB, </w:t>
      </w:r>
      <w:proofErr w:type="spellStart"/>
      <w:r w:rsidRPr="00867B36">
        <w:rPr>
          <w:rFonts w:ascii="Arial" w:eastAsia="Calibri" w:hAnsi="Arial" w:cs="Arial"/>
          <w:color w:val="000000"/>
          <w:sz w:val="24"/>
          <w:szCs w:val="24"/>
        </w:rPr>
        <w:t>Dubinion</w:t>
      </w:r>
      <w:proofErr w:type="spellEnd"/>
      <w:r w:rsidRPr="00867B36">
        <w:rPr>
          <w:rFonts w:ascii="Arial" w:eastAsia="Calibri" w:hAnsi="Arial" w:cs="Arial"/>
          <w:color w:val="000000"/>
          <w:sz w:val="24"/>
          <w:szCs w:val="24"/>
        </w:rPr>
        <w:t xml:space="preserve"> J, Elayan I, </w:t>
      </w:r>
      <w:proofErr w:type="spellStart"/>
      <w:r w:rsidRPr="00867B36">
        <w:rPr>
          <w:rFonts w:ascii="Arial" w:eastAsia="Calibri" w:hAnsi="Arial" w:cs="Arial"/>
          <w:color w:val="000000"/>
          <w:sz w:val="24"/>
          <w:szCs w:val="24"/>
        </w:rPr>
        <w:t>Harrouk</w:t>
      </w:r>
      <w:proofErr w:type="spellEnd"/>
      <w:r w:rsidRPr="00867B36">
        <w:rPr>
          <w:rFonts w:ascii="Arial" w:eastAsia="Calibri" w:hAnsi="Arial" w:cs="Arial"/>
          <w:color w:val="000000"/>
          <w:sz w:val="24"/>
          <w:szCs w:val="24"/>
        </w:rPr>
        <w:t xml:space="preserve"> W, Lee SL, Mendrick DL, Merrill JC, Peretz J, Place E, Saulnier M, Wange RL, Yao J, Zhao D, Brown PC.</w:t>
      </w:r>
      <w:r>
        <w:rPr>
          <w:rFonts w:ascii="Arial" w:eastAsia="Calibri" w:hAnsi="Arial" w:cs="Arial"/>
          <w:color w:val="000000"/>
          <w:sz w:val="24"/>
          <w:szCs w:val="24"/>
        </w:rPr>
        <w:t xml:space="preserve"> (2020). A</w:t>
      </w:r>
      <w:r w:rsidRPr="00867B36">
        <w:rPr>
          <w:rFonts w:ascii="Arial" w:eastAsia="Calibri" w:hAnsi="Arial" w:cs="Arial"/>
          <w:color w:val="000000"/>
          <w:sz w:val="24"/>
          <w:szCs w:val="24"/>
        </w:rPr>
        <w:t>n FDA/CDER perspective on nonclinical testing strategies: Classical toxicology approaches and new approach methodologies (NAMs).</w:t>
      </w:r>
      <w:r>
        <w:rPr>
          <w:rFonts w:ascii="Arial" w:eastAsia="Calibri" w:hAnsi="Arial" w:cs="Arial"/>
          <w:color w:val="000000"/>
          <w:sz w:val="24"/>
          <w:szCs w:val="24"/>
        </w:rPr>
        <w:t xml:space="preserve"> </w:t>
      </w:r>
      <w:r w:rsidRPr="00867B36">
        <w:rPr>
          <w:rFonts w:ascii="Arial" w:eastAsia="Calibri" w:hAnsi="Arial" w:cs="Arial"/>
          <w:i/>
          <w:iCs/>
          <w:color w:val="000000"/>
          <w:sz w:val="24"/>
          <w:szCs w:val="24"/>
        </w:rPr>
        <w:t xml:space="preserve">Regul Toxicol Pharmacol. </w:t>
      </w:r>
      <w:r w:rsidRPr="00867B36">
        <w:rPr>
          <w:rFonts w:ascii="Arial" w:eastAsia="Calibri" w:hAnsi="Arial" w:cs="Arial"/>
          <w:color w:val="000000"/>
          <w:sz w:val="24"/>
          <w:szCs w:val="24"/>
        </w:rPr>
        <w:t>2020 Jul;114:</w:t>
      </w:r>
    </w:p>
    <w:p w14:paraId="6CFA577C" w14:textId="77777777" w:rsidR="006B4CEB" w:rsidRDefault="006B4CEB" w:rsidP="003C4E50">
      <w:pPr>
        <w:autoSpaceDE w:val="0"/>
        <w:autoSpaceDN w:val="0"/>
        <w:adjustRightInd w:val="0"/>
        <w:spacing w:after="0" w:line="240" w:lineRule="auto"/>
        <w:ind w:left="540" w:hanging="540"/>
        <w:jc w:val="both"/>
        <w:rPr>
          <w:rFonts w:ascii="Arial" w:eastAsia="Calibri" w:hAnsi="Arial" w:cs="Arial"/>
          <w:color w:val="000000"/>
          <w:sz w:val="24"/>
          <w:szCs w:val="24"/>
        </w:rPr>
      </w:pPr>
    </w:p>
    <w:p w14:paraId="437E0FD2" w14:textId="0C79ACA8" w:rsidR="006B4CEB" w:rsidRPr="00ED6A53" w:rsidRDefault="006B4CEB" w:rsidP="006B4CEB">
      <w:pPr>
        <w:autoSpaceDE w:val="0"/>
        <w:autoSpaceDN w:val="0"/>
        <w:adjustRightInd w:val="0"/>
        <w:spacing w:after="0" w:line="240" w:lineRule="auto"/>
        <w:ind w:left="540" w:hanging="540"/>
        <w:jc w:val="both"/>
        <w:rPr>
          <w:rFonts w:ascii="Arial" w:eastAsia="Calibri" w:hAnsi="Arial" w:cs="Arial"/>
          <w:color w:val="000000"/>
          <w:sz w:val="24"/>
          <w:szCs w:val="24"/>
        </w:rPr>
      </w:pPr>
      <w:r w:rsidRPr="006B4CEB">
        <w:rPr>
          <w:rFonts w:ascii="Arial" w:eastAsia="Calibri" w:hAnsi="Arial" w:cs="Arial"/>
          <w:color w:val="000000"/>
          <w:sz w:val="24"/>
          <w:szCs w:val="24"/>
        </w:rPr>
        <w:t xml:space="preserve">Bailey LA, </w:t>
      </w:r>
      <w:proofErr w:type="spellStart"/>
      <w:r w:rsidRPr="006B4CEB">
        <w:rPr>
          <w:rFonts w:ascii="Arial" w:eastAsia="Calibri" w:hAnsi="Arial" w:cs="Arial"/>
          <w:color w:val="000000"/>
          <w:sz w:val="24"/>
          <w:szCs w:val="24"/>
        </w:rPr>
        <w:t>Nascarella</w:t>
      </w:r>
      <w:proofErr w:type="spellEnd"/>
      <w:r w:rsidRPr="006B4CEB">
        <w:rPr>
          <w:rFonts w:ascii="Arial" w:eastAsia="Calibri" w:hAnsi="Arial" w:cs="Arial"/>
          <w:color w:val="000000"/>
          <w:sz w:val="24"/>
          <w:szCs w:val="24"/>
        </w:rPr>
        <w:t xml:space="preserve"> MA, Kerper LE, Rhomberg LR.</w:t>
      </w:r>
      <w:r>
        <w:rPr>
          <w:rFonts w:ascii="Arial" w:eastAsia="Calibri" w:hAnsi="Arial" w:cs="Arial"/>
          <w:color w:val="000000"/>
          <w:sz w:val="24"/>
          <w:szCs w:val="24"/>
        </w:rPr>
        <w:t xml:space="preserve"> (2016) </w:t>
      </w:r>
      <w:r w:rsidRPr="006B4CEB">
        <w:rPr>
          <w:rFonts w:ascii="Arial" w:eastAsia="Calibri" w:hAnsi="Arial" w:cs="Arial"/>
          <w:color w:val="000000"/>
          <w:sz w:val="24"/>
          <w:szCs w:val="24"/>
        </w:rPr>
        <w:t>Hypothesis-based weight-of-evidence evaluation and risk assessment for naphthalene carcinogenesis</w:t>
      </w:r>
      <w:r>
        <w:rPr>
          <w:rFonts w:ascii="Arial" w:eastAsia="Calibri" w:hAnsi="Arial" w:cs="Arial"/>
          <w:color w:val="000000"/>
          <w:sz w:val="24"/>
          <w:szCs w:val="24"/>
        </w:rPr>
        <w:t xml:space="preserve">. </w:t>
      </w:r>
      <w:r w:rsidRPr="006B4CEB">
        <w:rPr>
          <w:rFonts w:ascii="Arial" w:eastAsia="Calibri" w:hAnsi="Arial" w:cs="Arial"/>
          <w:i/>
          <w:iCs/>
          <w:color w:val="000000"/>
          <w:sz w:val="24"/>
          <w:szCs w:val="24"/>
        </w:rPr>
        <w:t>Crit Rev Toxicol</w:t>
      </w:r>
      <w:r w:rsidRPr="006B4CEB">
        <w:rPr>
          <w:rFonts w:ascii="Arial" w:eastAsia="Calibri" w:hAnsi="Arial" w:cs="Arial"/>
          <w:color w:val="000000"/>
          <w:sz w:val="24"/>
          <w:szCs w:val="24"/>
        </w:rPr>
        <w:t xml:space="preserve">. </w:t>
      </w:r>
      <w:r>
        <w:rPr>
          <w:rFonts w:ascii="Arial" w:eastAsia="Calibri" w:hAnsi="Arial" w:cs="Arial"/>
          <w:color w:val="000000"/>
          <w:sz w:val="24"/>
          <w:szCs w:val="24"/>
        </w:rPr>
        <w:t>4</w:t>
      </w:r>
      <w:r w:rsidRPr="006B4CEB">
        <w:rPr>
          <w:rFonts w:ascii="Arial" w:eastAsia="Calibri" w:hAnsi="Arial" w:cs="Arial"/>
          <w:color w:val="000000"/>
          <w:sz w:val="24"/>
          <w:szCs w:val="24"/>
        </w:rPr>
        <w:t>6(1):1-42.</w:t>
      </w:r>
    </w:p>
    <w:p w14:paraId="68A5C0C6" w14:textId="77777777" w:rsidR="00B4620F" w:rsidRPr="00ED6A53" w:rsidRDefault="00B4620F" w:rsidP="003C4E50">
      <w:pPr>
        <w:shd w:val="clear" w:color="auto" w:fill="FFFFFF"/>
        <w:spacing w:after="0" w:line="240" w:lineRule="auto"/>
        <w:ind w:left="540" w:hanging="540"/>
        <w:jc w:val="both"/>
        <w:rPr>
          <w:rFonts w:ascii="Arial" w:eastAsia="Times New Roman" w:hAnsi="Arial" w:cs="Arial"/>
          <w:sz w:val="24"/>
          <w:szCs w:val="24"/>
        </w:rPr>
      </w:pPr>
    </w:p>
    <w:p w14:paraId="39E1641E" w14:textId="4BD3806A" w:rsidR="00B4620F" w:rsidRPr="00ED6A53" w:rsidRDefault="00B4620F" w:rsidP="003C4E50">
      <w:pPr>
        <w:autoSpaceDE w:val="0"/>
        <w:autoSpaceDN w:val="0"/>
        <w:adjustRightInd w:val="0"/>
        <w:spacing w:after="0" w:line="240" w:lineRule="auto"/>
        <w:ind w:left="540" w:hanging="540"/>
        <w:jc w:val="both"/>
        <w:rPr>
          <w:rFonts w:ascii="Arial" w:eastAsia="Calibri" w:hAnsi="Arial" w:cs="Arial"/>
          <w:color w:val="000000"/>
          <w:sz w:val="24"/>
          <w:szCs w:val="24"/>
        </w:rPr>
      </w:pPr>
      <w:r w:rsidRPr="00ED6A53">
        <w:rPr>
          <w:rFonts w:ascii="Arial" w:eastAsia="Calibri" w:hAnsi="Arial" w:cs="Arial"/>
          <w:sz w:val="24"/>
          <w:szCs w:val="24"/>
        </w:rPr>
        <w:t xml:space="preserve">Bryce SM, </w:t>
      </w:r>
      <w:proofErr w:type="spellStart"/>
      <w:r w:rsidRPr="00ED6A53">
        <w:rPr>
          <w:rFonts w:ascii="Arial" w:eastAsia="Calibri" w:hAnsi="Arial" w:cs="Arial"/>
          <w:sz w:val="24"/>
          <w:szCs w:val="24"/>
        </w:rPr>
        <w:t>Avlasevich</w:t>
      </w:r>
      <w:proofErr w:type="spellEnd"/>
      <w:r w:rsidRPr="00ED6A53">
        <w:rPr>
          <w:rFonts w:ascii="Arial" w:eastAsia="Calibri" w:hAnsi="Arial" w:cs="Arial"/>
          <w:sz w:val="24"/>
          <w:szCs w:val="24"/>
        </w:rPr>
        <w:t xml:space="preserve"> SL, Bemis JC, </w:t>
      </w:r>
      <w:proofErr w:type="spellStart"/>
      <w:r w:rsidRPr="00ED6A53">
        <w:rPr>
          <w:rFonts w:ascii="Arial" w:eastAsia="Calibri" w:hAnsi="Arial" w:cs="Arial"/>
          <w:sz w:val="24"/>
          <w:szCs w:val="24"/>
        </w:rPr>
        <w:t>Lukamowicz</w:t>
      </w:r>
      <w:proofErr w:type="spellEnd"/>
      <w:r w:rsidRPr="00ED6A53">
        <w:rPr>
          <w:rFonts w:ascii="Arial" w:eastAsia="Calibri" w:hAnsi="Arial" w:cs="Arial"/>
          <w:sz w:val="24"/>
          <w:szCs w:val="24"/>
        </w:rPr>
        <w:t xml:space="preserve"> M, Elhajouji A, Van Goethem F, De Boeck M, Beerens D, Aerts H, Van </w:t>
      </w:r>
      <w:proofErr w:type="spellStart"/>
      <w:r w:rsidRPr="00ED6A53">
        <w:rPr>
          <w:rFonts w:ascii="Arial" w:eastAsia="Calibri" w:hAnsi="Arial" w:cs="Arial"/>
          <w:sz w:val="24"/>
          <w:szCs w:val="24"/>
        </w:rPr>
        <w:t>Gompel</w:t>
      </w:r>
      <w:proofErr w:type="spellEnd"/>
      <w:r w:rsidRPr="00ED6A53">
        <w:rPr>
          <w:rFonts w:ascii="Arial" w:eastAsia="Calibri" w:hAnsi="Arial" w:cs="Arial"/>
          <w:sz w:val="24"/>
          <w:szCs w:val="24"/>
        </w:rPr>
        <w:t xml:space="preserve"> J, Collins JE, Ellis PC, White AT, Lynch AM, Dertinger SD.</w:t>
      </w:r>
      <w:r w:rsidR="004326A4">
        <w:rPr>
          <w:rFonts w:ascii="Arial" w:eastAsia="Calibri" w:hAnsi="Arial" w:cs="Arial"/>
          <w:sz w:val="24"/>
          <w:szCs w:val="24"/>
        </w:rPr>
        <w:t xml:space="preserve"> </w:t>
      </w:r>
      <w:r w:rsidRPr="00ED6A53">
        <w:rPr>
          <w:rFonts w:ascii="Arial" w:eastAsia="Calibri" w:hAnsi="Arial" w:cs="Arial"/>
          <w:sz w:val="24"/>
          <w:szCs w:val="24"/>
        </w:rPr>
        <w:t xml:space="preserve">(2008). Interlaboratory evaluation of a flow cytometric high content </w:t>
      </w:r>
      <w:r w:rsidRPr="00ED6A53">
        <w:rPr>
          <w:rFonts w:ascii="Arial" w:eastAsia="Calibri" w:hAnsi="Arial" w:cs="Arial"/>
          <w:i/>
          <w:sz w:val="24"/>
          <w:szCs w:val="24"/>
        </w:rPr>
        <w:t>in vitro</w:t>
      </w:r>
      <w:r w:rsidRPr="00ED6A53">
        <w:rPr>
          <w:rFonts w:ascii="Arial" w:eastAsia="Calibri" w:hAnsi="Arial" w:cs="Arial"/>
          <w:sz w:val="24"/>
          <w:szCs w:val="24"/>
        </w:rPr>
        <w:t xml:space="preserve"> micronucleus assay. </w:t>
      </w:r>
      <w:r w:rsidRPr="00ED6A53">
        <w:rPr>
          <w:rFonts w:ascii="Arial" w:eastAsia="Calibri" w:hAnsi="Arial" w:cs="Arial"/>
          <w:i/>
          <w:sz w:val="24"/>
          <w:szCs w:val="24"/>
        </w:rPr>
        <w:t>Mutat Res</w:t>
      </w:r>
      <w:r w:rsidRPr="00ED6A53">
        <w:rPr>
          <w:rFonts w:ascii="Arial" w:eastAsia="Calibri" w:hAnsi="Arial" w:cs="Arial"/>
          <w:sz w:val="24"/>
          <w:szCs w:val="24"/>
        </w:rPr>
        <w:t>. 650, 181-195.</w:t>
      </w:r>
    </w:p>
    <w:p w14:paraId="16CA93DD" w14:textId="77777777" w:rsidR="00B4620F" w:rsidRPr="00ED6A53" w:rsidRDefault="00B4620F" w:rsidP="003C4E50">
      <w:pPr>
        <w:spacing w:after="0" w:line="240" w:lineRule="auto"/>
        <w:jc w:val="both"/>
        <w:rPr>
          <w:rFonts w:ascii="Arial" w:eastAsia="Calibri" w:hAnsi="Arial" w:cs="Arial"/>
          <w:sz w:val="24"/>
          <w:szCs w:val="24"/>
        </w:rPr>
      </w:pPr>
    </w:p>
    <w:p w14:paraId="74974B44" w14:textId="32886A28" w:rsidR="00B4620F" w:rsidRPr="00ED6A53" w:rsidRDefault="00B4620F" w:rsidP="003C4E50">
      <w:pPr>
        <w:spacing w:after="0" w:line="240" w:lineRule="auto"/>
        <w:jc w:val="both"/>
        <w:rPr>
          <w:rFonts w:ascii="Arial" w:eastAsia="Calibri" w:hAnsi="Arial" w:cs="Arial"/>
          <w:sz w:val="24"/>
          <w:szCs w:val="24"/>
        </w:rPr>
      </w:pPr>
      <w:r w:rsidRPr="00ED6A53">
        <w:rPr>
          <w:rFonts w:ascii="Arial" w:eastAsia="Calibri" w:hAnsi="Arial" w:cs="Arial"/>
          <w:sz w:val="24"/>
          <w:szCs w:val="24"/>
        </w:rPr>
        <w:t>Brusick, D (2008). Critical assessment of the genetic toxicity of naphthalene.</w:t>
      </w:r>
    </w:p>
    <w:p w14:paraId="6B2F6291" w14:textId="2120F4CC" w:rsidR="00B4620F" w:rsidRPr="00ED6A53" w:rsidRDefault="00B4620F" w:rsidP="003C4E50">
      <w:pPr>
        <w:spacing w:after="0" w:line="240" w:lineRule="auto"/>
        <w:ind w:left="540"/>
        <w:jc w:val="both"/>
        <w:rPr>
          <w:rFonts w:ascii="Arial" w:eastAsia="Calibri" w:hAnsi="Arial" w:cs="Arial"/>
          <w:sz w:val="24"/>
          <w:szCs w:val="24"/>
        </w:rPr>
      </w:pPr>
      <w:r w:rsidRPr="00ED6A53">
        <w:rPr>
          <w:rFonts w:ascii="Arial" w:eastAsia="Calibri" w:hAnsi="Arial" w:cs="Arial"/>
          <w:i/>
          <w:sz w:val="24"/>
          <w:szCs w:val="24"/>
        </w:rPr>
        <w:t>Regul Toxicol Pharmacol</w:t>
      </w:r>
      <w:r w:rsidRPr="00ED6A53">
        <w:rPr>
          <w:rFonts w:ascii="Arial" w:eastAsia="Calibri" w:hAnsi="Arial" w:cs="Arial"/>
          <w:sz w:val="24"/>
          <w:szCs w:val="24"/>
        </w:rPr>
        <w:t xml:space="preserve">. </w:t>
      </w:r>
      <w:r w:rsidRPr="00ED6A53">
        <w:rPr>
          <w:rFonts w:ascii="Arial" w:eastAsia="Calibri" w:hAnsi="Arial" w:cs="Arial"/>
          <w:b/>
          <w:sz w:val="24"/>
          <w:szCs w:val="24"/>
        </w:rPr>
        <w:t>51(2 Suppl)</w:t>
      </w:r>
      <w:r w:rsidRPr="00ED6A53">
        <w:rPr>
          <w:rFonts w:ascii="Arial" w:eastAsia="Calibri" w:hAnsi="Arial" w:cs="Arial"/>
          <w:sz w:val="24"/>
          <w:szCs w:val="24"/>
        </w:rPr>
        <w:t>, S37-42.</w:t>
      </w:r>
    </w:p>
    <w:p w14:paraId="13E5400D" w14:textId="77777777" w:rsidR="00B4620F" w:rsidRPr="00ED6A53" w:rsidRDefault="00B4620F" w:rsidP="003C4E50">
      <w:pPr>
        <w:spacing w:after="0" w:line="240" w:lineRule="auto"/>
        <w:jc w:val="both"/>
        <w:rPr>
          <w:rFonts w:ascii="Arial" w:eastAsia="Calibri" w:hAnsi="Arial" w:cs="Arial"/>
          <w:sz w:val="24"/>
          <w:szCs w:val="24"/>
        </w:rPr>
      </w:pPr>
    </w:p>
    <w:p w14:paraId="5CD6F170" w14:textId="77E36D88" w:rsidR="00B4620F" w:rsidRPr="00ED6A53" w:rsidRDefault="00B4620F" w:rsidP="003C4E50">
      <w:pPr>
        <w:spacing w:after="0" w:line="240" w:lineRule="auto"/>
        <w:ind w:left="540" w:hanging="540"/>
        <w:jc w:val="both"/>
        <w:rPr>
          <w:rFonts w:ascii="Arial" w:eastAsia="Calibri" w:hAnsi="Arial" w:cs="Arial"/>
          <w:sz w:val="24"/>
          <w:szCs w:val="24"/>
        </w:rPr>
      </w:pPr>
      <w:r w:rsidRPr="00ED6A53">
        <w:rPr>
          <w:rFonts w:ascii="Arial" w:eastAsia="Calibri" w:hAnsi="Arial" w:cs="Arial"/>
          <w:sz w:val="24"/>
          <w:szCs w:val="24"/>
        </w:rPr>
        <w:t xml:space="preserve">Brusick, D, Small, MS, Cavalieri, EL, Chakravarti, D, Ding, X, Longfellow, DG, Nakamura, J, Rogan, EC, </w:t>
      </w:r>
      <w:proofErr w:type="spellStart"/>
      <w:r w:rsidRPr="00ED6A53">
        <w:rPr>
          <w:rFonts w:ascii="Arial" w:eastAsia="Calibri" w:hAnsi="Arial" w:cs="Arial"/>
          <w:sz w:val="24"/>
          <w:szCs w:val="24"/>
        </w:rPr>
        <w:t>Swenberg</w:t>
      </w:r>
      <w:proofErr w:type="spellEnd"/>
      <w:r w:rsidRPr="00ED6A53">
        <w:rPr>
          <w:rFonts w:ascii="Arial" w:eastAsia="Calibri" w:hAnsi="Arial" w:cs="Arial"/>
          <w:sz w:val="24"/>
          <w:szCs w:val="24"/>
        </w:rPr>
        <w:t>, JA  (2008).</w:t>
      </w:r>
      <w:r w:rsidR="004326A4">
        <w:rPr>
          <w:rFonts w:ascii="Arial" w:eastAsia="Calibri" w:hAnsi="Arial" w:cs="Arial"/>
          <w:sz w:val="24"/>
          <w:szCs w:val="24"/>
        </w:rPr>
        <w:t xml:space="preserve"> </w:t>
      </w:r>
      <w:r w:rsidRPr="00ED6A53">
        <w:rPr>
          <w:rFonts w:ascii="Arial" w:eastAsia="Calibri" w:hAnsi="Arial" w:cs="Arial"/>
          <w:sz w:val="24"/>
          <w:szCs w:val="24"/>
        </w:rPr>
        <w:t xml:space="preserve">Possible genotoxic modes of action for naphthalene. </w:t>
      </w:r>
      <w:r w:rsidRPr="00ED6A53">
        <w:rPr>
          <w:rFonts w:ascii="Arial" w:eastAsia="Calibri" w:hAnsi="Arial" w:cs="Arial"/>
          <w:i/>
          <w:sz w:val="24"/>
          <w:szCs w:val="24"/>
        </w:rPr>
        <w:t>Regul Toxicol Pharmacol</w:t>
      </w:r>
      <w:r w:rsidRPr="00ED6A53">
        <w:rPr>
          <w:rFonts w:ascii="Arial" w:eastAsia="Calibri" w:hAnsi="Arial" w:cs="Arial"/>
          <w:sz w:val="24"/>
          <w:szCs w:val="24"/>
        </w:rPr>
        <w:t xml:space="preserve">. </w:t>
      </w:r>
      <w:r w:rsidRPr="00ED6A53">
        <w:rPr>
          <w:rFonts w:ascii="Arial" w:eastAsia="Calibri" w:hAnsi="Arial" w:cs="Arial"/>
          <w:b/>
          <w:sz w:val="24"/>
          <w:szCs w:val="24"/>
        </w:rPr>
        <w:t>51(2 Suppl)</w:t>
      </w:r>
      <w:r w:rsidRPr="00ED6A53">
        <w:rPr>
          <w:rFonts w:ascii="Arial" w:eastAsia="Calibri" w:hAnsi="Arial" w:cs="Arial"/>
          <w:sz w:val="24"/>
          <w:szCs w:val="24"/>
        </w:rPr>
        <w:t xml:space="preserve">, S43-50. </w:t>
      </w:r>
    </w:p>
    <w:p w14:paraId="3CF930CD" w14:textId="77777777" w:rsidR="00B4620F" w:rsidRPr="00ED6A53" w:rsidRDefault="00B4620F" w:rsidP="003C4E50">
      <w:pPr>
        <w:shd w:val="clear" w:color="auto" w:fill="FFFFFF"/>
        <w:spacing w:after="0" w:line="240" w:lineRule="auto"/>
        <w:ind w:left="540" w:hanging="540"/>
        <w:jc w:val="both"/>
        <w:rPr>
          <w:rFonts w:ascii="Arial" w:eastAsia="Times New Roman" w:hAnsi="Arial" w:cs="Arial"/>
          <w:sz w:val="24"/>
          <w:szCs w:val="24"/>
        </w:rPr>
      </w:pPr>
    </w:p>
    <w:p w14:paraId="3ED1FD84" w14:textId="34D510B4" w:rsidR="00B4620F" w:rsidRPr="00ED6A53" w:rsidRDefault="00B4620F" w:rsidP="003C4E50">
      <w:pPr>
        <w:shd w:val="clear" w:color="auto" w:fill="FFFFFF"/>
        <w:spacing w:after="0" w:line="240" w:lineRule="auto"/>
        <w:ind w:left="540" w:hanging="540"/>
        <w:jc w:val="both"/>
        <w:rPr>
          <w:rFonts w:ascii="Arial" w:eastAsia="Times New Roman" w:hAnsi="Arial" w:cs="Arial"/>
          <w:sz w:val="24"/>
          <w:szCs w:val="24"/>
        </w:rPr>
      </w:pPr>
      <w:r w:rsidRPr="00ED6A53">
        <w:rPr>
          <w:rFonts w:ascii="Arial" w:eastAsia="Times New Roman" w:hAnsi="Arial" w:cs="Arial"/>
          <w:sz w:val="24"/>
          <w:szCs w:val="24"/>
        </w:rPr>
        <w:t xml:space="preserve">Buckpitt, A, Boland, B, Isbell, M, Morin, D, Shultz, M, Baldwin, R, Chan, K, Karlsson,  A, Lin, C, </w:t>
      </w:r>
      <w:proofErr w:type="spellStart"/>
      <w:r w:rsidRPr="00ED6A53">
        <w:rPr>
          <w:rFonts w:ascii="Arial" w:eastAsia="Times New Roman" w:hAnsi="Arial" w:cs="Arial"/>
          <w:sz w:val="24"/>
          <w:szCs w:val="24"/>
        </w:rPr>
        <w:t>Taff</w:t>
      </w:r>
      <w:proofErr w:type="spellEnd"/>
      <w:r w:rsidRPr="00ED6A53">
        <w:rPr>
          <w:rFonts w:ascii="Arial" w:eastAsia="Times New Roman" w:hAnsi="Arial" w:cs="Arial"/>
          <w:sz w:val="24"/>
          <w:szCs w:val="24"/>
        </w:rPr>
        <w:t>,  A, West, J, Fanucchi,  M, Van Winkle, L, Plopper, C</w:t>
      </w:r>
      <w:r w:rsidR="004326A4">
        <w:rPr>
          <w:rFonts w:ascii="Arial" w:eastAsia="Times New Roman" w:hAnsi="Arial" w:cs="Arial"/>
          <w:sz w:val="24"/>
          <w:szCs w:val="24"/>
        </w:rPr>
        <w:t xml:space="preserve"> </w:t>
      </w:r>
      <w:r w:rsidRPr="00ED6A53">
        <w:rPr>
          <w:rFonts w:ascii="Arial" w:eastAsia="Times New Roman" w:hAnsi="Arial" w:cs="Arial"/>
          <w:sz w:val="24"/>
          <w:szCs w:val="24"/>
        </w:rPr>
        <w:t xml:space="preserve">(2002). Naphthalene-induced respiratory tract toxicity: metabolic mechanisms of toxicity.  </w:t>
      </w:r>
      <w:r w:rsidRPr="00ED6A53">
        <w:rPr>
          <w:rFonts w:ascii="Arial" w:eastAsia="Times New Roman" w:hAnsi="Arial" w:cs="Arial"/>
          <w:i/>
          <w:sz w:val="24"/>
          <w:szCs w:val="24"/>
        </w:rPr>
        <w:t>Drug Metab Rev</w:t>
      </w:r>
      <w:r w:rsidRPr="00ED6A53">
        <w:rPr>
          <w:rFonts w:ascii="Arial" w:eastAsia="Times New Roman" w:hAnsi="Arial" w:cs="Arial"/>
          <w:sz w:val="24"/>
          <w:szCs w:val="24"/>
        </w:rPr>
        <w:t xml:space="preserve">. </w:t>
      </w:r>
      <w:r w:rsidRPr="00ED6A53">
        <w:rPr>
          <w:rFonts w:ascii="Arial" w:eastAsia="Times New Roman" w:hAnsi="Arial" w:cs="Arial"/>
          <w:b/>
          <w:sz w:val="24"/>
          <w:szCs w:val="24"/>
        </w:rPr>
        <w:t>34</w:t>
      </w:r>
      <w:r w:rsidRPr="00ED6A53">
        <w:rPr>
          <w:rFonts w:ascii="Arial" w:eastAsia="Times New Roman" w:hAnsi="Arial" w:cs="Arial"/>
          <w:sz w:val="24"/>
          <w:szCs w:val="24"/>
        </w:rPr>
        <w:t>, 791-820</w:t>
      </w:r>
    </w:p>
    <w:p w14:paraId="18F79104" w14:textId="77777777" w:rsidR="00B4620F" w:rsidRPr="00ED6A53" w:rsidRDefault="00B4620F" w:rsidP="003C4E50">
      <w:pPr>
        <w:spacing w:after="0" w:line="240" w:lineRule="auto"/>
        <w:ind w:left="540" w:hanging="540"/>
        <w:jc w:val="both"/>
        <w:rPr>
          <w:rFonts w:ascii="Arial" w:eastAsia="Calibri" w:hAnsi="Arial" w:cs="Arial"/>
          <w:sz w:val="24"/>
          <w:szCs w:val="24"/>
        </w:rPr>
      </w:pPr>
    </w:p>
    <w:p w14:paraId="6C82F4AE" w14:textId="6BC9FFBF" w:rsidR="00B4620F" w:rsidRPr="00ED6A53" w:rsidRDefault="00B4620F" w:rsidP="003C4E50">
      <w:pPr>
        <w:shd w:val="clear" w:color="auto" w:fill="FFFFFF"/>
        <w:spacing w:after="0" w:line="240" w:lineRule="auto"/>
        <w:ind w:left="540" w:hanging="540"/>
        <w:jc w:val="both"/>
        <w:rPr>
          <w:rFonts w:ascii="Arial" w:eastAsia="Times New Roman" w:hAnsi="Arial" w:cs="Arial"/>
          <w:sz w:val="24"/>
          <w:szCs w:val="24"/>
        </w:rPr>
      </w:pPr>
      <w:r w:rsidRPr="00ED6A53">
        <w:rPr>
          <w:rFonts w:ascii="Arial" w:eastAsia="Times New Roman" w:hAnsi="Arial" w:cs="Arial"/>
          <w:bCs/>
          <w:sz w:val="24"/>
          <w:szCs w:val="24"/>
        </w:rPr>
        <w:t>Buckpitt,</w:t>
      </w:r>
      <w:r w:rsidRPr="00ED6A53">
        <w:rPr>
          <w:rFonts w:ascii="Arial" w:eastAsia="Times New Roman" w:hAnsi="Arial" w:cs="Arial"/>
          <w:sz w:val="24"/>
          <w:szCs w:val="24"/>
        </w:rPr>
        <w:t xml:space="preserve"> A R, Bahnson, LS, Franklin, RB (1984)</w:t>
      </w:r>
      <w:r w:rsidR="00435CC5">
        <w:rPr>
          <w:rFonts w:ascii="Arial" w:eastAsia="Times New Roman" w:hAnsi="Arial" w:cs="Arial"/>
          <w:sz w:val="24"/>
          <w:szCs w:val="24"/>
        </w:rPr>
        <w:t xml:space="preserve"> </w:t>
      </w:r>
      <w:hyperlink r:id="rId11" w:history="1">
        <w:r w:rsidRPr="00ED6A53">
          <w:rPr>
            <w:rFonts w:ascii="Arial" w:eastAsia="Times New Roman" w:hAnsi="Arial" w:cs="Arial"/>
            <w:sz w:val="24"/>
            <w:szCs w:val="24"/>
          </w:rPr>
          <w:t xml:space="preserve">Hepatic and pulmonary microsomal metabolism of </w:t>
        </w:r>
        <w:r w:rsidRPr="00ED6A53">
          <w:rPr>
            <w:rFonts w:ascii="Arial" w:eastAsia="Times New Roman" w:hAnsi="Arial" w:cs="Arial"/>
            <w:bCs/>
            <w:sz w:val="24"/>
            <w:szCs w:val="24"/>
          </w:rPr>
          <w:t>naphthalene</w:t>
        </w:r>
        <w:r w:rsidRPr="00ED6A53">
          <w:rPr>
            <w:rFonts w:ascii="Arial" w:eastAsia="Times New Roman" w:hAnsi="Arial" w:cs="Arial"/>
            <w:sz w:val="24"/>
            <w:szCs w:val="24"/>
          </w:rPr>
          <w:t xml:space="preserve"> to glutathione adducts: factors affecting the relative rates of conjugate formation.</w:t>
        </w:r>
      </w:hyperlink>
      <w:r w:rsidRPr="00ED6A53">
        <w:rPr>
          <w:rFonts w:ascii="Arial" w:eastAsia="Times New Roman" w:hAnsi="Arial" w:cs="Arial"/>
          <w:sz w:val="24"/>
          <w:szCs w:val="24"/>
        </w:rPr>
        <w:t xml:space="preserve">  </w:t>
      </w:r>
      <w:r w:rsidRPr="00ED6A53">
        <w:rPr>
          <w:rFonts w:ascii="Arial" w:eastAsia="Times New Roman" w:hAnsi="Arial" w:cs="Arial"/>
          <w:i/>
          <w:sz w:val="24"/>
          <w:szCs w:val="24"/>
        </w:rPr>
        <w:t>J Pharmacol Exp Ther.</w:t>
      </w:r>
      <w:r w:rsidRPr="00ED6A53">
        <w:rPr>
          <w:rFonts w:ascii="Arial" w:eastAsia="Times New Roman" w:hAnsi="Arial" w:cs="Arial"/>
          <w:sz w:val="24"/>
          <w:szCs w:val="24"/>
        </w:rPr>
        <w:t xml:space="preserve"> </w:t>
      </w:r>
      <w:r w:rsidRPr="00ED6A53">
        <w:rPr>
          <w:rFonts w:ascii="Arial" w:eastAsia="Times New Roman" w:hAnsi="Arial" w:cs="Arial"/>
          <w:b/>
          <w:sz w:val="24"/>
          <w:szCs w:val="24"/>
        </w:rPr>
        <w:t>231</w:t>
      </w:r>
      <w:r w:rsidRPr="00ED6A53">
        <w:rPr>
          <w:rFonts w:ascii="Arial" w:eastAsia="Times New Roman" w:hAnsi="Arial" w:cs="Arial"/>
          <w:sz w:val="24"/>
          <w:szCs w:val="24"/>
        </w:rPr>
        <w:t>, 291-300.</w:t>
      </w:r>
    </w:p>
    <w:p w14:paraId="09EB43D0" w14:textId="77777777" w:rsidR="00BD1971" w:rsidRPr="00ED6A53" w:rsidRDefault="00BD1971" w:rsidP="003C4E50">
      <w:pPr>
        <w:shd w:val="clear" w:color="auto" w:fill="FFFFFF"/>
        <w:spacing w:after="0" w:line="240" w:lineRule="auto"/>
        <w:ind w:left="540" w:hanging="540"/>
        <w:jc w:val="both"/>
        <w:rPr>
          <w:rFonts w:ascii="Arial" w:eastAsia="Times New Roman" w:hAnsi="Arial" w:cs="Arial"/>
          <w:sz w:val="24"/>
          <w:szCs w:val="24"/>
        </w:rPr>
      </w:pPr>
    </w:p>
    <w:p w14:paraId="237EB12A" w14:textId="10E0D4AA" w:rsidR="00275244" w:rsidRPr="004326A4" w:rsidRDefault="00BD1971" w:rsidP="004326A4">
      <w:pPr>
        <w:ind w:left="720" w:hanging="720"/>
        <w:jc w:val="both"/>
        <w:rPr>
          <w:rFonts w:ascii="Arial" w:hAnsi="Arial" w:cs="Arial"/>
          <w:sz w:val="24"/>
          <w:szCs w:val="24"/>
        </w:rPr>
      </w:pPr>
      <w:r w:rsidRPr="00ED6A53">
        <w:rPr>
          <w:rFonts w:ascii="Arial" w:hAnsi="Arial" w:cs="Arial"/>
          <w:sz w:val="24"/>
          <w:szCs w:val="24"/>
        </w:rPr>
        <w:t xml:space="preserve">Buick JK, Williams A, Gagné R, Swartz CD, Recio L, Ferguson SS, Yauk CL. (2020). Flow cytometric micronucleus assay and TGx-DDI transcriptomic biomarker analysis of ten genotoxic and non-genotoxic chemicals in human HepaRG™ cells. </w:t>
      </w:r>
      <w:r w:rsidRPr="00ED6A53">
        <w:rPr>
          <w:rFonts w:ascii="Arial" w:hAnsi="Arial" w:cs="Arial"/>
          <w:i/>
          <w:iCs/>
          <w:sz w:val="24"/>
          <w:szCs w:val="24"/>
        </w:rPr>
        <w:t>Genes Environ.</w:t>
      </w:r>
      <w:r w:rsidRPr="00ED6A53">
        <w:rPr>
          <w:rFonts w:ascii="Arial" w:hAnsi="Arial" w:cs="Arial"/>
          <w:sz w:val="24"/>
          <w:szCs w:val="24"/>
        </w:rPr>
        <w:t xml:space="preserve"> 4;42:5.</w:t>
      </w:r>
    </w:p>
    <w:p w14:paraId="084A1F22" w14:textId="1843E5AF" w:rsidR="00B4620F" w:rsidRPr="00ED6A53" w:rsidRDefault="00275244" w:rsidP="003D5ADE">
      <w:pPr>
        <w:ind w:left="720" w:hanging="720"/>
        <w:jc w:val="both"/>
        <w:rPr>
          <w:rFonts w:ascii="Arial" w:hAnsi="Arial" w:cs="Arial"/>
          <w:bCs/>
          <w:sz w:val="24"/>
          <w:szCs w:val="24"/>
        </w:rPr>
      </w:pPr>
      <w:r w:rsidRPr="00ED6A53">
        <w:rPr>
          <w:rFonts w:ascii="Arial" w:hAnsi="Arial" w:cs="Arial"/>
          <w:bCs/>
          <w:sz w:val="24"/>
          <w:szCs w:val="24"/>
        </w:rPr>
        <w:t xml:space="preserve">Buick JK, Williams A, Meier MJ, Swartz CD, Recio L, Gagné R, Ferguson SS, Engelward BP, Yauk CL. (2021).  A Modern Genotoxicity Testing Paradigm: Integration of the High-Throughput CometChip® and the TGx-DDI Transcriptomic Biomarker in Human HepaRG™ Cell Cultures. </w:t>
      </w:r>
      <w:r w:rsidRPr="00ED6A53">
        <w:rPr>
          <w:rFonts w:ascii="Arial" w:hAnsi="Arial" w:cs="Arial"/>
          <w:bCs/>
          <w:i/>
          <w:iCs/>
          <w:sz w:val="24"/>
          <w:szCs w:val="24"/>
        </w:rPr>
        <w:t>Front Public Health</w:t>
      </w:r>
      <w:r w:rsidRPr="00ED6A53">
        <w:rPr>
          <w:rFonts w:ascii="Arial" w:hAnsi="Arial" w:cs="Arial"/>
          <w:bCs/>
          <w:sz w:val="24"/>
          <w:szCs w:val="24"/>
        </w:rPr>
        <w:t>. Aug 18;9:694834.</w:t>
      </w:r>
    </w:p>
    <w:p w14:paraId="1E99180C" w14:textId="36365A84" w:rsidR="00B4620F" w:rsidRPr="00ED6A53" w:rsidRDefault="00B4620F" w:rsidP="003C4E50">
      <w:pPr>
        <w:shd w:val="clear" w:color="auto" w:fill="FFFFFF"/>
        <w:spacing w:after="0" w:line="240" w:lineRule="auto"/>
        <w:ind w:left="540" w:hanging="540"/>
        <w:jc w:val="both"/>
        <w:rPr>
          <w:rFonts w:ascii="Arial" w:eastAsia="Times New Roman" w:hAnsi="Arial" w:cs="Arial"/>
          <w:sz w:val="24"/>
          <w:szCs w:val="24"/>
        </w:rPr>
      </w:pPr>
      <w:r w:rsidRPr="00ED6A53">
        <w:rPr>
          <w:rFonts w:ascii="Arial" w:eastAsia="Times New Roman" w:hAnsi="Arial" w:cs="Arial"/>
          <w:sz w:val="24"/>
          <w:szCs w:val="24"/>
        </w:rPr>
        <w:t xml:space="preserve">Callander, RD, Mackay, JM, Clay, P, </w:t>
      </w:r>
      <w:proofErr w:type="spellStart"/>
      <w:r w:rsidRPr="00ED6A53">
        <w:rPr>
          <w:rFonts w:ascii="Arial" w:eastAsia="Times New Roman" w:hAnsi="Arial" w:cs="Arial"/>
          <w:sz w:val="24"/>
          <w:szCs w:val="24"/>
        </w:rPr>
        <w:t>Elcombe</w:t>
      </w:r>
      <w:proofErr w:type="spellEnd"/>
      <w:r w:rsidRPr="00ED6A53">
        <w:rPr>
          <w:rFonts w:ascii="Arial" w:eastAsia="Times New Roman" w:hAnsi="Arial" w:cs="Arial"/>
          <w:sz w:val="24"/>
          <w:szCs w:val="24"/>
        </w:rPr>
        <w:t xml:space="preserve">, CR, Elliott, BM (1995). Evaluation of phenobarbital/beta-naphthoflavone as an alternative S9-induction regime to </w:t>
      </w:r>
      <w:proofErr w:type="spellStart"/>
      <w:r w:rsidRPr="00ED6A53">
        <w:rPr>
          <w:rFonts w:ascii="Arial" w:eastAsia="Times New Roman" w:hAnsi="Arial" w:cs="Arial"/>
          <w:sz w:val="24"/>
          <w:szCs w:val="24"/>
        </w:rPr>
        <w:t>Aroclor</w:t>
      </w:r>
      <w:proofErr w:type="spellEnd"/>
      <w:r w:rsidRPr="00ED6A53">
        <w:rPr>
          <w:rFonts w:ascii="Arial" w:eastAsia="Times New Roman" w:hAnsi="Arial" w:cs="Arial"/>
          <w:sz w:val="24"/>
          <w:szCs w:val="24"/>
        </w:rPr>
        <w:t xml:space="preserve"> 1254 in the rat for use in in vitro genotoxicity assays. </w:t>
      </w:r>
      <w:r w:rsidRPr="00ED6A53">
        <w:rPr>
          <w:rFonts w:ascii="Arial" w:eastAsia="Times New Roman" w:hAnsi="Arial" w:cs="Arial"/>
          <w:i/>
          <w:sz w:val="24"/>
          <w:szCs w:val="24"/>
        </w:rPr>
        <w:t>Mutagenesis</w:t>
      </w:r>
      <w:r w:rsidRPr="00ED6A53">
        <w:rPr>
          <w:rFonts w:ascii="Arial" w:eastAsia="Times New Roman" w:hAnsi="Arial" w:cs="Arial"/>
          <w:sz w:val="24"/>
          <w:szCs w:val="24"/>
        </w:rPr>
        <w:t xml:space="preserve"> </w:t>
      </w:r>
      <w:r w:rsidRPr="00ED6A53">
        <w:rPr>
          <w:rFonts w:ascii="Arial" w:eastAsia="Times New Roman" w:hAnsi="Arial" w:cs="Arial"/>
          <w:b/>
          <w:sz w:val="24"/>
          <w:szCs w:val="24"/>
        </w:rPr>
        <w:t>10</w:t>
      </w:r>
      <w:r w:rsidRPr="00ED6A53">
        <w:rPr>
          <w:rFonts w:ascii="Arial" w:eastAsia="Times New Roman" w:hAnsi="Arial" w:cs="Arial"/>
          <w:sz w:val="24"/>
          <w:szCs w:val="24"/>
        </w:rPr>
        <w:t>, 517-522.</w:t>
      </w:r>
    </w:p>
    <w:p w14:paraId="4126AEAE" w14:textId="77777777" w:rsidR="00B4620F" w:rsidRPr="00ED6A53" w:rsidRDefault="00B4620F" w:rsidP="003C4E50">
      <w:pPr>
        <w:spacing w:after="0" w:line="240" w:lineRule="auto"/>
        <w:ind w:left="720" w:hanging="720"/>
        <w:jc w:val="both"/>
        <w:rPr>
          <w:rFonts w:ascii="Arial" w:eastAsia="Calibri" w:hAnsi="Arial" w:cs="Arial"/>
          <w:sz w:val="24"/>
          <w:szCs w:val="24"/>
        </w:rPr>
      </w:pPr>
    </w:p>
    <w:p w14:paraId="0408302B" w14:textId="5835130F" w:rsidR="00B4620F" w:rsidRPr="00ED6A53" w:rsidRDefault="00B4620F" w:rsidP="003C4E50">
      <w:pPr>
        <w:autoSpaceDE w:val="0"/>
        <w:autoSpaceDN w:val="0"/>
        <w:adjustRightInd w:val="0"/>
        <w:spacing w:after="0" w:line="240" w:lineRule="auto"/>
        <w:ind w:left="540" w:hanging="540"/>
        <w:jc w:val="both"/>
        <w:rPr>
          <w:rFonts w:ascii="Arial" w:eastAsia="Calibri" w:hAnsi="Arial" w:cs="Arial"/>
          <w:color w:val="000000"/>
          <w:sz w:val="24"/>
          <w:szCs w:val="24"/>
        </w:rPr>
      </w:pPr>
      <w:r w:rsidRPr="00ED6A53">
        <w:rPr>
          <w:rFonts w:ascii="Arial" w:eastAsia="Times New Roman" w:hAnsi="Arial" w:cs="Arial"/>
          <w:sz w:val="24"/>
          <w:szCs w:val="24"/>
        </w:rPr>
        <w:t xml:space="preserve">Cruzan, G, Bus, J, Banton, M, Gingell, R, Carlson, G (2009). Mouse specific lung tumors from CYP2F2-mediated cytotoxic metabolism: an endpoint/toxic response where data from multiple chemicals converge to support a mode of action.  </w:t>
      </w:r>
      <w:r w:rsidRPr="00ED6A53">
        <w:rPr>
          <w:rFonts w:ascii="Arial" w:eastAsia="Times New Roman" w:hAnsi="Arial" w:cs="Arial"/>
          <w:i/>
          <w:sz w:val="24"/>
          <w:szCs w:val="24"/>
        </w:rPr>
        <w:t>Regul Toxicol Pharmacol.</w:t>
      </w:r>
      <w:r w:rsidRPr="00ED6A53">
        <w:rPr>
          <w:rFonts w:ascii="Arial" w:eastAsia="Times New Roman" w:hAnsi="Arial" w:cs="Arial"/>
          <w:sz w:val="24"/>
          <w:szCs w:val="24"/>
        </w:rPr>
        <w:t xml:space="preserve"> </w:t>
      </w:r>
      <w:r w:rsidRPr="00ED6A53">
        <w:rPr>
          <w:rFonts w:ascii="Arial" w:eastAsia="Times New Roman" w:hAnsi="Arial" w:cs="Arial"/>
          <w:b/>
          <w:sz w:val="24"/>
          <w:szCs w:val="24"/>
        </w:rPr>
        <w:t>55(2)</w:t>
      </w:r>
      <w:r w:rsidRPr="00ED6A53">
        <w:rPr>
          <w:rFonts w:ascii="Arial" w:eastAsia="Times New Roman" w:hAnsi="Arial" w:cs="Arial"/>
          <w:sz w:val="24"/>
          <w:szCs w:val="24"/>
        </w:rPr>
        <w:t>, 205-218.</w:t>
      </w:r>
    </w:p>
    <w:p w14:paraId="492C84C3" w14:textId="77777777" w:rsidR="00B4620F" w:rsidRPr="00ED6A53" w:rsidRDefault="00B4620F" w:rsidP="003C4E50">
      <w:pPr>
        <w:autoSpaceDE w:val="0"/>
        <w:autoSpaceDN w:val="0"/>
        <w:adjustRightInd w:val="0"/>
        <w:spacing w:after="0" w:line="240" w:lineRule="auto"/>
        <w:jc w:val="both"/>
        <w:rPr>
          <w:rFonts w:ascii="Arial" w:eastAsia="Calibri" w:hAnsi="Arial" w:cs="Arial"/>
          <w:color w:val="000000"/>
          <w:sz w:val="24"/>
          <w:szCs w:val="24"/>
        </w:rPr>
      </w:pPr>
    </w:p>
    <w:p w14:paraId="4BEE0DF2" w14:textId="7DC2224F" w:rsidR="00B4620F" w:rsidRPr="00ED6A53" w:rsidRDefault="00B4620F" w:rsidP="003C4E50">
      <w:pPr>
        <w:autoSpaceDE w:val="0"/>
        <w:autoSpaceDN w:val="0"/>
        <w:adjustRightInd w:val="0"/>
        <w:spacing w:after="0" w:line="240" w:lineRule="auto"/>
        <w:ind w:left="540" w:hanging="540"/>
        <w:jc w:val="both"/>
        <w:rPr>
          <w:rFonts w:ascii="Arial" w:eastAsia="Calibri" w:hAnsi="Arial" w:cs="Arial"/>
          <w:color w:val="000000"/>
          <w:sz w:val="24"/>
          <w:szCs w:val="24"/>
        </w:rPr>
      </w:pPr>
      <w:r w:rsidRPr="00ED6A53">
        <w:rPr>
          <w:rFonts w:ascii="Arial" w:eastAsia="Calibri" w:hAnsi="Arial" w:cs="Arial"/>
          <w:bCs/>
          <w:color w:val="000000"/>
          <w:sz w:val="24"/>
          <w:szCs w:val="24"/>
        </w:rPr>
        <w:t>Dodd,</w:t>
      </w:r>
      <w:r w:rsidRPr="00ED6A53">
        <w:rPr>
          <w:rFonts w:ascii="Arial" w:eastAsia="Calibri" w:hAnsi="Arial" w:cs="Arial"/>
          <w:color w:val="000000"/>
          <w:sz w:val="24"/>
          <w:szCs w:val="24"/>
        </w:rPr>
        <w:t xml:space="preserve"> DE, Gross, EA, Miller, RA, Wong, BA</w:t>
      </w:r>
      <w:r w:rsidR="00AA268E">
        <w:rPr>
          <w:rFonts w:ascii="Arial" w:eastAsia="Calibri" w:hAnsi="Arial" w:cs="Arial"/>
          <w:color w:val="000000"/>
          <w:sz w:val="24"/>
          <w:szCs w:val="24"/>
        </w:rPr>
        <w:t xml:space="preserve"> </w:t>
      </w:r>
      <w:r w:rsidRPr="00ED6A53">
        <w:rPr>
          <w:rFonts w:ascii="Arial" w:eastAsia="Calibri" w:hAnsi="Arial" w:cs="Arial"/>
          <w:color w:val="000000"/>
          <w:sz w:val="24"/>
          <w:szCs w:val="24"/>
        </w:rPr>
        <w:t xml:space="preserve">(2010)  </w:t>
      </w:r>
      <w:hyperlink r:id="rId12" w:history="1">
        <w:r w:rsidRPr="00ED6A53">
          <w:rPr>
            <w:rFonts w:ascii="Arial" w:eastAsia="Calibri" w:hAnsi="Arial" w:cs="Arial"/>
            <w:color w:val="000000"/>
            <w:sz w:val="24"/>
            <w:szCs w:val="24"/>
          </w:rPr>
          <w:t xml:space="preserve">Nasal olfactory epithelial lesions in F344 and SD rats following 1- and 5-day inhalation exposure to </w:t>
        </w:r>
        <w:r w:rsidRPr="00ED6A53">
          <w:rPr>
            <w:rFonts w:ascii="Arial" w:eastAsia="Calibri" w:hAnsi="Arial" w:cs="Arial"/>
            <w:bCs/>
            <w:color w:val="000000"/>
            <w:sz w:val="24"/>
            <w:szCs w:val="24"/>
          </w:rPr>
          <w:t>naphthalene</w:t>
        </w:r>
        <w:r w:rsidRPr="00ED6A53">
          <w:rPr>
            <w:rFonts w:ascii="Arial" w:eastAsia="Calibri" w:hAnsi="Arial" w:cs="Arial"/>
            <w:color w:val="000000"/>
            <w:sz w:val="24"/>
            <w:szCs w:val="24"/>
          </w:rPr>
          <w:t xml:space="preserve"> vapor.</w:t>
        </w:r>
      </w:hyperlink>
      <w:r w:rsidRPr="00ED6A53">
        <w:rPr>
          <w:rFonts w:ascii="Arial" w:eastAsia="Calibri" w:hAnsi="Arial" w:cs="Arial"/>
          <w:color w:val="000000"/>
          <w:sz w:val="24"/>
          <w:szCs w:val="24"/>
        </w:rPr>
        <w:t xml:space="preserve">  </w:t>
      </w:r>
      <w:r w:rsidRPr="00ED6A53">
        <w:rPr>
          <w:rFonts w:ascii="Arial" w:eastAsia="Calibri" w:hAnsi="Arial" w:cs="Arial"/>
          <w:i/>
          <w:color w:val="000000"/>
          <w:sz w:val="24"/>
          <w:szCs w:val="24"/>
        </w:rPr>
        <w:t>Int J Toxicol</w:t>
      </w:r>
      <w:r w:rsidRPr="00ED6A53">
        <w:rPr>
          <w:rFonts w:ascii="Arial" w:eastAsia="Calibri" w:hAnsi="Arial" w:cs="Arial"/>
          <w:color w:val="000000"/>
          <w:sz w:val="24"/>
          <w:szCs w:val="24"/>
        </w:rPr>
        <w:t xml:space="preserve">. 29, 175-184. </w:t>
      </w:r>
    </w:p>
    <w:p w14:paraId="0699E658" w14:textId="77777777" w:rsidR="00B4620F" w:rsidRPr="00ED6A53" w:rsidRDefault="00B4620F" w:rsidP="003C4E50">
      <w:pPr>
        <w:autoSpaceDE w:val="0"/>
        <w:autoSpaceDN w:val="0"/>
        <w:adjustRightInd w:val="0"/>
        <w:spacing w:after="0" w:line="240" w:lineRule="auto"/>
        <w:ind w:left="540" w:hanging="540"/>
        <w:jc w:val="both"/>
        <w:rPr>
          <w:rFonts w:ascii="Arial" w:eastAsia="Calibri" w:hAnsi="Arial" w:cs="Arial"/>
          <w:color w:val="000000"/>
          <w:sz w:val="24"/>
          <w:szCs w:val="24"/>
        </w:rPr>
      </w:pPr>
    </w:p>
    <w:p w14:paraId="305FB0AB" w14:textId="3F47FC47" w:rsidR="00B4620F" w:rsidRPr="00ED6A53" w:rsidRDefault="00B4620F" w:rsidP="003C4E50">
      <w:pPr>
        <w:autoSpaceDE w:val="0"/>
        <w:autoSpaceDN w:val="0"/>
        <w:adjustRightInd w:val="0"/>
        <w:spacing w:after="0" w:line="240" w:lineRule="auto"/>
        <w:ind w:left="540" w:hanging="540"/>
        <w:jc w:val="both"/>
        <w:rPr>
          <w:rFonts w:ascii="Arial" w:eastAsia="Calibri" w:hAnsi="Arial" w:cs="Arial"/>
          <w:color w:val="000000"/>
          <w:sz w:val="24"/>
          <w:szCs w:val="24"/>
        </w:rPr>
      </w:pPr>
      <w:r w:rsidRPr="00ED6A53">
        <w:rPr>
          <w:rFonts w:ascii="Arial" w:eastAsia="Calibri" w:hAnsi="Arial" w:cs="Arial"/>
          <w:color w:val="000000"/>
          <w:sz w:val="24"/>
          <w:szCs w:val="24"/>
        </w:rPr>
        <w:t xml:space="preserve">Galloway, SM, </w:t>
      </w:r>
      <w:r w:rsidRPr="00ED6A53">
        <w:rPr>
          <w:rFonts w:ascii="Arial" w:eastAsia="Calibri" w:hAnsi="Arial" w:cs="Arial"/>
          <w:i/>
          <w:color w:val="000000"/>
          <w:sz w:val="24"/>
          <w:szCs w:val="24"/>
        </w:rPr>
        <w:t>et al</w:t>
      </w:r>
      <w:r w:rsidRPr="00ED6A53">
        <w:rPr>
          <w:rFonts w:ascii="Arial" w:eastAsia="Calibri" w:hAnsi="Arial" w:cs="Arial"/>
          <w:color w:val="000000"/>
          <w:sz w:val="24"/>
          <w:szCs w:val="24"/>
        </w:rPr>
        <w:t xml:space="preserve">. </w:t>
      </w:r>
      <w:r w:rsidR="00B97AFC">
        <w:rPr>
          <w:rFonts w:ascii="Arial" w:eastAsia="Calibri" w:hAnsi="Arial" w:cs="Arial"/>
          <w:color w:val="000000"/>
          <w:sz w:val="24"/>
          <w:szCs w:val="24"/>
        </w:rPr>
        <w:t>(</w:t>
      </w:r>
      <w:r w:rsidR="0045107C">
        <w:rPr>
          <w:rFonts w:ascii="Arial" w:eastAsia="Calibri" w:hAnsi="Arial" w:cs="Arial"/>
          <w:color w:val="000000"/>
          <w:sz w:val="24"/>
          <w:szCs w:val="24"/>
        </w:rPr>
        <w:t>1987</w:t>
      </w:r>
      <w:r w:rsidR="00B97AFC">
        <w:rPr>
          <w:rFonts w:ascii="Arial" w:eastAsia="Calibri" w:hAnsi="Arial" w:cs="Arial"/>
          <w:color w:val="000000"/>
          <w:sz w:val="24"/>
          <w:szCs w:val="24"/>
        </w:rPr>
        <w:t xml:space="preserve">) </w:t>
      </w:r>
      <w:r w:rsidRPr="00ED6A53">
        <w:rPr>
          <w:rFonts w:ascii="Arial" w:eastAsia="Calibri" w:hAnsi="Arial" w:cs="Arial"/>
          <w:color w:val="000000"/>
          <w:sz w:val="24"/>
          <w:szCs w:val="24"/>
        </w:rPr>
        <w:t xml:space="preserve">Chromosome aberrations and sister chromatid exchanges in Chinese hamster ovary cells: evaluations of 108 chemicals. Environ Mol Mutagen. </w:t>
      </w:r>
      <w:r w:rsidRPr="00ED6A53">
        <w:rPr>
          <w:rFonts w:ascii="Arial" w:eastAsia="Calibri" w:hAnsi="Arial" w:cs="Arial"/>
          <w:b/>
          <w:color w:val="000000"/>
          <w:sz w:val="24"/>
          <w:szCs w:val="24"/>
        </w:rPr>
        <w:t>10</w:t>
      </w:r>
      <w:r w:rsidRPr="00ED6A53">
        <w:rPr>
          <w:rFonts w:ascii="Arial" w:eastAsia="Calibri" w:hAnsi="Arial" w:cs="Arial"/>
          <w:color w:val="000000"/>
          <w:sz w:val="24"/>
          <w:szCs w:val="24"/>
        </w:rPr>
        <w:t xml:space="preserve"> </w:t>
      </w:r>
      <w:r w:rsidRPr="00ED6A53">
        <w:rPr>
          <w:rFonts w:ascii="Arial" w:eastAsia="Calibri" w:hAnsi="Arial" w:cs="Arial"/>
          <w:b/>
          <w:color w:val="000000"/>
          <w:sz w:val="24"/>
          <w:szCs w:val="24"/>
        </w:rPr>
        <w:t>Suppl 10</w:t>
      </w:r>
      <w:r w:rsidRPr="00ED6A53">
        <w:rPr>
          <w:rFonts w:ascii="Arial" w:eastAsia="Calibri" w:hAnsi="Arial" w:cs="Arial"/>
          <w:color w:val="000000"/>
          <w:sz w:val="24"/>
          <w:szCs w:val="24"/>
        </w:rPr>
        <w:t>, 1-175.</w:t>
      </w:r>
    </w:p>
    <w:p w14:paraId="62095F8B" w14:textId="77777777" w:rsidR="00B4620F" w:rsidRPr="00ED6A53" w:rsidRDefault="00B4620F" w:rsidP="003C4E50">
      <w:pPr>
        <w:autoSpaceDE w:val="0"/>
        <w:autoSpaceDN w:val="0"/>
        <w:adjustRightInd w:val="0"/>
        <w:spacing w:after="0" w:line="240" w:lineRule="auto"/>
        <w:jc w:val="both"/>
        <w:rPr>
          <w:rFonts w:ascii="Arial" w:eastAsia="Calibri" w:hAnsi="Arial" w:cs="Arial"/>
          <w:color w:val="000000"/>
          <w:sz w:val="24"/>
          <w:szCs w:val="24"/>
        </w:rPr>
      </w:pPr>
    </w:p>
    <w:p w14:paraId="1CA34605" w14:textId="7E581037" w:rsidR="00B4620F" w:rsidRPr="00ED6A53" w:rsidRDefault="00B4620F" w:rsidP="003C4E50">
      <w:pPr>
        <w:spacing w:after="0" w:line="240" w:lineRule="auto"/>
        <w:ind w:left="540" w:hanging="540"/>
        <w:jc w:val="both"/>
        <w:rPr>
          <w:rFonts w:ascii="Arial" w:eastAsia="Calibri" w:hAnsi="Arial" w:cs="Arial"/>
          <w:sz w:val="24"/>
          <w:szCs w:val="24"/>
        </w:rPr>
      </w:pPr>
      <w:r w:rsidRPr="00ED6A53">
        <w:rPr>
          <w:rFonts w:ascii="Arial" w:eastAsia="Calibri" w:hAnsi="Arial" w:cs="Arial"/>
          <w:sz w:val="24"/>
          <w:szCs w:val="24"/>
        </w:rPr>
        <w:t xml:space="preserve">Griego, FY, Bogen, KT, Price, PS, Weed, DL  (2008). Exposure, epidemiology and human cancer incidence of naphthalene. </w:t>
      </w:r>
      <w:r w:rsidRPr="00ED6A53">
        <w:rPr>
          <w:rFonts w:ascii="Arial" w:eastAsia="Calibri" w:hAnsi="Arial" w:cs="Arial"/>
          <w:i/>
          <w:sz w:val="24"/>
          <w:szCs w:val="24"/>
        </w:rPr>
        <w:t>Regul Toxicol Pharmacol</w:t>
      </w:r>
      <w:r w:rsidRPr="00ED6A53">
        <w:rPr>
          <w:rFonts w:ascii="Arial" w:eastAsia="Calibri" w:hAnsi="Arial" w:cs="Arial"/>
          <w:sz w:val="24"/>
          <w:szCs w:val="24"/>
        </w:rPr>
        <w:t xml:space="preserve">. </w:t>
      </w:r>
      <w:r w:rsidRPr="00ED6A53">
        <w:rPr>
          <w:rFonts w:ascii="Arial" w:eastAsia="Calibri" w:hAnsi="Arial" w:cs="Arial"/>
          <w:b/>
          <w:sz w:val="24"/>
          <w:szCs w:val="24"/>
        </w:rPr>
        <w:t>51(2 Suppl)</w:t>
      </w:r>
      <w:r w:rsidRPr="00ED6A53">
        <w:rPr>
          <w:rFonts w:ascii="Arial" w:eastAsia="Calibri" w:hAnsi="Arial" w:cs="Arial"/>
          <w:sz w:val="24"/>
          <w:szCs w:val="24"/>
        </w:rPr>
        <w:t>,S22-26.</w:t>
      </w:r>
    </w:p>
    <w:p w14:paraId="3EC1DE38" w14:textId="77777777" w:rsidR="00B4620F" w:rsidRPr="00ED6A53" w:rsidRDefault="00B4620F" w:rsidP="003C4E50">
      <w:pPr>
        <w:autoSpaceDE w:val="0"/>
        <w:autoSpaceDN w:val="0"/>
        <w:adjustRightInd w:val="0"/>
        <w:spacing w:after="0" w:line="240" w:lineRule="auto"/>
        <w:jc w:val="both"/>
        <w:rPr>
          <w:rFonts w:ascii="Arial" w:eastAsia="Calibri" w:hAnsi="Arial" w:cs="Arial"/>
          <w:color w:val="000000"/>
          <w:sz w:val="24"/>
          <w:szCs w:val="24"/>
        </w:rPr>
      </w:pPr>
    </w:p>
    <w:p w14:paraId="2410DA3F" w14:textId="29428DD7" w:rsidR="00B4620F" w:rsidRDefault="00B4620F" w:rsidP="001D1A32">
      <w:pPr>
        <w:autoSpaceDE w:val="0"/>
        <w:autoSpaceDN w:val="0"/>
        <w:adjustRightInd w:val="0"/>
        <w:spacing w:after="0" w:line="240" w:lineRule="auto"/>
        <w:ind w:left="540" w:hanging="540"/>
        <w:jc w:val="both"/>
        <w:rPr>
          <w:rFonts w:ascii="Arial" w:eastAsia="Calibri" w:hAnsi="Arial" w:cs="Arial"/>
          <w:color w:val="000000"/>
          <w:sz w:val="24"/>
          <w:szCs w:val="24"/>
        </w:rPr>
      </w:pPr>
      <w:smartTag w:uri="urn:schemas-microsoft-com:office:smarttags" w:element="stockticker">
        <w:r w:rsidRPr="00ED6A53">
          <w:rPr>
            <w:rFonts w:ascii="Arial" w:eastAsia="Calibri" w:hAnsi="Arial" w:cs="Arial"/>
            <w:color w:val="000000"/>
            <w:sz w:val="24"/>
            <w:szCs w:val="24"/>
          </w:rPr>
          <w:t>IARC</w:t>
        </w:r>
      </w:smartTag>
      <w:r w:rsidRPr="00ED6A53">
        <w:rPr>
          <w:rFonts w:ascii="Arial" w:eastAsia="Calibri" w:hAnsi="Arial" w:cs="Arial"/>
          <w:color w:val="000000"/>
          <w:sz w:val="24"/>
          <w:szCs w:val="24"/>
        </w:rPr>
        <w:t xml:space="preserve"> Traditional Herbal Medicines, Some Mycotoxins, Naphthalene and</w:t>
      </w:r>
      <w:r w:rsidR="001D1A32">
        <w:rPr>
          <w:rFonts w:ascii="Arial" w:eastAsia="Calibri" w:hAnsi="Arial" w:cs="Arial"/>
          <w:color w:val="000000"/>
          <w:sz w:val="24"/>
          <w:szCs w:val="24"/>
        </w:rPr>
        <w:t xml:space="preserve"> </w:t>
      </w:r>
      <w:r w:rsidRPr="00ED6A53">
        <w:rPr>
          <w:rFonts w:ascii="Arial" w:eastAsia="Calibri" w:hAnsi="Arial" w:cs="Arial"/>
          <w:color w:val="000000"/>
          <w:sz w:val="24"/>
          <w:szCs w:val="24"/>
        </w:rPr>
        <w:t xml:space="preserve">Styrene. (2002). </w:t>
      </w:r>
      <w:smartTag w:uri="urn:schemas-microsoft-com:office:smarttags" w:element="stockticker">
        <w:r w:rsidRPr="00ED6A53">
          <w:rPr>
            <w:rFonts w:ascii="Arial" w:eastAsia="Calibri" w:hAnsi="Arial" w:cs="Arial"/>
            <w:color w:val="000000"/>
            <w:sz w:val="24"/>
            <w:szCs w:val="24"/>
          </w:rPr>
          <w:t>IARC</w:t>
        </w:r>
      </w:smartTag>
      <w:r w:rsidRPr="00ED6A53">
        <w:rPr>
          <w:rFonts w:ascii="Arial" w:eastAsia="Calibri" w:hAnsi="Arial" w:cs="Arial"/>
          <w:color w:val="000000"/>
          <w:sz w:val="24"/>
          <w:szCs w:val="24"/>
        </w:rPr>
        <w:t xml:space="preserve"> Monographs on the Evaluation of Carcinogenic Risks to Humans. </w:t>
      </w:r>
      <w:smartTag w:uri="urn:schemas-microsoft-com:office:smarttags" w:element="stockticker">
        <w:r w:rsidRPr="00ED6A53">
          <w:rPr>
            <w:rFonts w:ascii="Arial" w:eastAsia="Calibri" w:hAnsi="Arial" w:cs="Arial"/>
            <w:color w:val="000000"/>
            <w:sz w:val="24"/>
            <w:szCs w:val="24"/>
          </w:rPr>
          <w:t>IARC</w:t>
        </w:r>
      </w:smartTag>
      <w:r w:rsidRPr="00ED6A53">
        <w:rPr>
          <w:rFonts w:ascii="Arial" w:eastAsia="Calibri" w:hAnsi="Arial" w:cs="Arial"/>
          <w:color w:val="000000"/>
          <w:sz w:val="24"/>
          <w:szCs w:val="24"/>
        </w:rPr>
        <w:t>, Lyon, France, 367-435.</w:t>
      </w:r>
    </w:p>
    <w:p w14:paraId="67DB7092" w14:textId="77777777" w:rsidR="004326A4" w:rsidRDefault="004326A4" w:rsidP="003C4E50">
      <w:pPr>
        <w:autoSpaceDE w:val="0"/>
        <w:autoSpaceDN w:val="0"/>
        <w:adjustRightInd w:val="0"/>
        <w:spacing w:after="0" w:line="240" w:lineRule="auto"/>
        <w:ind w:left="540"/>
        <w:jc w:val="both"/>
        <w:rPr>
          <w:rFonts w:ascii="Arial" w:eastAsia="Calibri" w:hAnsi="Arial" w:cs="Arial"/>
          <w:color w:val="000000"/>
          <w:sz w:val="24"/>
          <w:szCs w:val="24"/>
        </w:rPr>
      </w:pPr>
    </w:p>
    <w:p w14:paraId="236604EB" w14:textId="0D7EF8AF" w:rsidR="004326A4" w:rsidRPr="008F2A76" w:rsidRDefault="004326A4" w:rsidP="004326A4">
      <w:pPr>
        <w:autoSpaceDE w:val="0"/>
        <w:autoSpaceDN w:val="0"/>
        <w:adjustRightInd w:val="0"/>
        <w:spacing w:after="0" w:line="240" w:lineRule="auto"/>
        <w:ind w:left="540" w:hanging="540"/>
        <w:jc w:val="both"/>
        <w:rPr>
          <w:rFonts w:ascii="Arial" w:eastAsia="Calibri" w:hAnsi="Arial" w:cs="Arial"/>
          <w:color w:val="000000"/>
          <w:sz w:val="24"/>
          <w:szCs w:val="24"/>
        </w:rPr>
      </w:pPr>
      <w:r w:rsidRPr="008F2A76">
        <w:rPr>
          <w:rFonts w:ascii="Arial" w:eastAsia="Calibri" w:hAnsi="Arial" w:cs="Arial"/>
          <w:color w:val="000000"/>
          <w:sz w:val="24"/>
          <w:szCs w:val="24"/>
        </w:rPr>
        <w:t>Kelty</w:t>
      </w:r>
      <w:r>
        <w:rPr>
          <w:rFonts w:ascii="Arial" w:eastAsia="Calibri" w:hAnsi="Arial" w:cs="Arial"/>
          <w:color w:val="000000"/>
          <w:sz w:val="24"/>
          <w:szCs w:val="24"/>
        </w:rPr>
        <w:t>, J</w:t>
      </w:r>
      <w:r w:rsidRPr="008F2A76">
        <w:rPr>
          <w:rFonts w:ascii="Arial" w:eastAsia="Calibri" w:hAnsi="Arial" w:cs="Arial"/>
          <w:color w:val="000000"/>
          <w:sz w:val="24"/>
          <w:szCs w:val="24"/>
        </w:rPr>
        <w:t>,</w:t>
      </w:r>
      <w:r>
        <w:rPr>
          <w:rFonts w:ascii="Arial" w:eastAsia="Calibri" w:hAnsi="Arial" w:cs="Arial"/>
          <w:color w:val="000000"/>
          <w:sz w:val="24"/>
          <w:szCs w:val="24"/>
        </w:rPr>
        <w:t xml:space="preserve"> </w:t>
      </w:r>
      <w:r w:rsidRPr="008F2A76">
        <w:rPr>
          <w:rFonts w:ascii="Arial" w:eastAsia="Calibri" w:hAnsi="Arial" w:cs="Arial"/>
          <w:color w:val="000000"/>
          <w:sz w:val="24"/>
          <w:szCs w:val="24"/>
        </w:rPr>
        <w:t>Kovalchuk</w:t>
      </w:r>
      <w:r>
        <w:rPr>
          <w:rFonts w:ascii="Arial" w:eastAsia="Calibri" w:hAnsi="Arial" w:cs="Arial"/>
          <w:color w:val="000000"/>
          <w:sz w:val="24"/>
          <w:szCs w:val="24"/>
        </w:rPr>
        <w:t xml:space="preserve">, N, </w:t>
      </w:r>
      <w:r w:rsidRPr="008F2A76">
        <w:rPr>
          <w:rFonts w:ascii="Arial" w:eastAsia="Calibri" w:hAnsi="Arial" w:cs="Arial"/>
          <w:color w:val="000000"/>
          <w:sz w:val="24"/>
          <w:szCs w:val="24"/>
        </w:rPr>
        <w:t>Uwimana</w:t>
      </w:r>
      <w:r>
        <w:rPr>
          <w:rFonts w:ascii="Arial" w:eastAsia="Calibri" w:hAnsi="Arial" w:cs="Arial"/>
          <w:color w:val="000000"/>
          <w:sz w:val="24"/>
          <w:szCs w:val="24"/>
        </w:rPr>
        <w:t>,</w:t>
      </w:r>
      <w:r w:rsidRPr="008F2A76">
        <w:rPr>
          <w:rFonts w:ascii="Arial" w:eastAsia="Calibri" w:hAnsi="Arial" w:cs="Arial"/>
          <w:color w:val="000000"/>
          <w:sz w:val="24"/>
          <w:szCs w:val="24"/>
        </w:rPr>
        <w:t xml:space="preserve"> </w:t>
      </w:r>
      <w:r>
        <w:rPr>
          <w:rFonts w:ascii="Arial" w:eastAsia="Calibri" w:hAnsi="Arial" w:cs="Arial"/>
          <w:color w:val="000000"/>
          <w:sz w:val="24"/>
          <w:szCs w:val="24"/>
        </w:rPr>
        <w:t>E,</w:t>
      </w:r>
      <w:r w:rsidR="00B97AFC">
        <w:rPr>
          <w:rFonts w:ascii="Arial" w:eastAsia="Calibri" w:hAnsi="Arial" w:cs="Arial"/>
          <w:color w:val="000000"/>
          <w:sz w:val="24"/>
          <w:szCs w:val="24"/>
        </w:rPr>
        <w:t xml:space="preserve"> </w:t>
      </w:r>
      <w:r w:rsidRPr="008F2A76">
        <w:rPr>
          <w:rFonts w:ascii="Arial" w:eastAsia="Calibri" w:hAnsi="Arial" w:cs="Arial"/>
          <w:color w:val="000000"/>
          <w:sz w:val="24"/>
          <w:szCs w:val="24"/>
        </w:rPr>
        <w:t>Yin</w:t>
      </w:r>
      <w:r>
        <w:rPr>
          <w:rFonts w:ascii="Arial" w:eastAsia="Calibri" w:hAnsi="Arial" w:cs="Arial"/>
          <w:color w:val="000000"/>
          <w:sz w:val="24"/>
          <w:szCs w:val="24"/>
        </w:rPr>
        <w:t>,</w:t>
      </w:r>
      <w:r w:rsidRPr="008F2A76">
        <w:rPr>
          <w:rFonts w:ascii="Arial" w:eastAsia="Calibri" w:hAnsi="Arial" w:cs="Arial"/>
          <w:color w:val="000000"/>
          <w:sz w:val="24"/>
          <w:szCs w:val="24"/>
        </w:rPr>
        <w:t xml:space="preserve"> </w:t>
      </w:r>
      <w:r>
        <w:rPr>
          <w:rFonts w:ascii="Arial" w:eastAsia="Calibri" w:hAnsi="Arial" w:cs="Arial"/>
          <w:color w:val="000000"/>
          <w:sz w:val="24"/>
          <w:szCs w:val="24"/>
        </w:rPr>
        <w:t>L</w:t>
      </w:r>
      <w:r w:rsidRPr="008F2A76">
        <w:rPr>
          <w:rFonts w:ascii="Arial" w:eastAsia="Calibri" w:hAnsi="Arial" w:cs="Arial"/>
          <w:color w:val="000000"/>
          <w:sz w:val="24"/>
          <w:szCs w:val="24"/>
        </w:rPr>
        <w:t>, Ding</w:t>
      </w:r>
      <w:r>
        <w:rPr>
          <w:rFonts w:ascii="Arial" w:eastAsia="Calibri" w:hAnsi="Arial" w:cs="Arial"/>
          <w:color w:val="000000"/>
          <w:sz w:val="24"/>
          <w:szCs w:val="24"/>
        </w:rPr>
        <w:t>, X,</w:t>
      </w:r>
      <w:r w:rsidRPr="008F2A76">
        <w:rPr>
          <w:rFonts w:ascii="Arial" w:eastAsia="Calibri" w:hAnsi="Arial" w:cs="Arial"/>
          <w:color w:val="000000"/>
          <w:sz w:val="24"/>
          <w:szCs w:val="24"/>
        </w:rPr>
        <w:t xml:space="preserve"> Van Winkle</w:t>
      </w:r>
      <w:r>
        <w:rPr>
          <w:rFonts w:ascii="Arial" w:eastAsia="Calibri" w:hAnsi="Arial" w:cs="Arial"/>
          <w:color w:val="000000"/>
          <w:sz w:val="24"/>
          <w:szCs w:val="24"/>
        </w:rPr>
        <w:t xml:space="preserve"> L (2022)  </w:t>
      </w:r>
      <w:r w:rsidRPr="008F2A76">
        <w:rPr>
          <w:rFonts w:ascii="Arial" w:eastAsia="Calibri" w:hAnsi="Arial" w:cs="Arial"/>
          <w:color w:val="000000"/>
          <w:sz w:val="24"/>
          <w:szCs w:val="24"/>
        </w:rPr>
        <w:t>In vitro airway models from mice, rhesus macaques, and humans maintain species differences in xenobiotic metabolism and cellular responses to naphthalene</w:t>
      </w:r>
      <w:r>
        <w:rPr>
          <w:rFonts w:ascii="Arial" w:eastAsia="Calibri" w:hAnsi="Arial" w:cs="Arial"/>
          <w:color w:val="000000"/>
          <w:sz w:val="24"/>
          <w:szCs w:val="24"/>
        </w:rPr>
        <w:t xml:space="preserve">. </w:t>
      </w:r>
      <w:r w:rsidRPr="005B6DDD">
        <w:rPr>
          <w:rFonts w:ascii="Arial" w:eastAsia="Calibri" w:hAnsi="Arial" w:cs="Arial"/>
          <w:i/>
          <w:iCs/>
          <w:color w:val="000000"/>
          <w:sz w:val="24"/>
          <w:szCs w:val="24"/>
        </w:rPr>
        <w:t xml:space="preserve">Am J </w:t>
      </w:r>
      <w:proofErr w:type="spellStart"/>
      <w:r w:rsidRPr="005B6DDD">
        <w:rPr>
          <w:rFonts w:ascii="Arial" w:eastAsia="Calibri" w:hAnsi="Arial" w:cs="Arial"/>
          <w:i/>
          <w:iCs/>
          <w:color w:val="000000"/>
          <w:sz w:val="24"/>
          <w:szCs w:val="24"/>
        </w:rPr>
        <w:t>Physiol</w:t>
      </w:r>
      <w:proofErr w:type="spellEnd"/>
      <w:r w:rsidRPr="005B6DDD">
        <w:rPr>
          <w:rFonts w:ascii="Arial" w:eastAsia="Calibri" w:hAnsi="Arial" w:cs="Arial"/>
          <w:i/>
          <w:iCs/>
          <w:color w:val="000000"/>
          <w:sz w:val="24"/>
          <w:szCs w:val="24"/>
        </w:rPr>
        <w:t xml:space="preserve"> Lung Cell Mol </w:t>
      </w:r>
      <w:proofErr w:type="spellStart"/>
      <w:r w:rsidRPr="005B6DDD">
        <w:rPr>
          <w:rFonts w:ascii="Arial" w:eastAsia="Calibri" w:hAnsi="Arial" w:cs="Arial"/>
          <w:i/>
          <w:iCs/>
          <w:color w:val="000000"/>
          <w:sz w:val="24"/>
          <w:szCs w:val="24"/>
        </w:rPr>
        <w:t>Physiol</w:t>
      </w:r>
      <w:proofErr w:type="spellEnd"/>
      <w:r w:rsidRPr="005B6DDD">
        <w:rPr>
          <w:rFonts w:ascii="Arial" w:eastAsia="Calibri" w:hAnsi="Arial" w:cs="Arial"/>
          <w:i/>
          <w:iCs/>
          <w:color w:val="000000"/>
          <w:sz w:val="24"/>
          <w:szCs w:val="24"/>
        </w:rPr>
        <w:t xml:space="preserve"> </w:t>
      </w:r>
      <w:r w:rsidRPr="008F2A76">
        <w:rPr>
          <w:rFonts w:ascii="Arial" w:eastAsia="Calibri" w:hAnsi="Arial" w:cs="Arial"/>
          <w:color w:val="000000"/>
          <w:sz w:val="24"/>
          <w:szCs w:val="24"/>
        </w:rPr>
        <w:t>323(3):L308-L328.</w:t>
      </w:r>
    </w:p>
    <w:p w14:paraId="0BD5FEC1" w14:textId="77777777" w:rsidR="00B4620F" w:rsidRPr="00ED6A53" w:rsidRDefault="00B4620F" w:rsidP="003C4E50">
      <w:pPr>
        <w:spacing w:after="0" w:line="240" w:lineRule="auto"/>
        <w:ind w:left="540" w:hanging="540"/>
        <w:jc w:val="both"/>
        <w:rPr>
          <w:rFonts w:ascii="Arial" w:eastAsia="Calibri" w:hAnsi="Arial" w:cs="Arial"/>
          <w:color w:val="000000"/>
          <w:sz w:val="24"/>
          <w:szCs w:val="24"/>
        </w:rPr>
      </w:pPr>
    </w:p>
    <w:p w14:paraId="2B9AEC2F" w14:textId="07665291" w:rsidR="00B4620F" w:rsidRPr="00ED6A53" w:rsidRDefault="00B4620F" w:rsidP="003C4E50">
      <w:pPr>
        <w:autoSpaceDE w:val="0"/>
        <w:autoSpaceDN w:val="0"/>
        <w:adjustRightInd w:val="0"/>
        <w:spacing w:after="0" w:line="240" w:lineRule="auto"/>
        <w:ind w:left="540" w:hanging="540"/>
        <w:jc w:val="both"/>
        <w:rPr>
          <w:rFonts w:ascii="Arial" w:eastAsia="Calibri" w:hAnsi="Arial" w:cs="Arial"/>
          <w:color w:val="000000"/>
          <w:sz w:val="24"/>
          <w:szCs w:val="24"/>
        </w:rPr>
      </w:pPr>
      <w:r w:rsidRPr="00ED6A53">
        <w:rPr>
          <w:rFonts w:ascii="Arial" w:eastAsia="Calibri" w:hAnsi="Arial" w:cs="Arial"/>
          <w:color w:val="000000"/>
          <w:sz w:val="24"/>
          <w:szCs w:val="24"/>
        </w:rPr>
        <w:t xml:space="preserve">Long,  P H, Herbert, RA, Peckham, JC, Grumbein, SL, Shackelford, CC, Abdo,  K (2003).  Morphology of nasal lesions in F344/N </w:t>
      </w:r>
      <w:proofErr w:type="spellStart"/>
      <w:r w:rsidRPr="00ED6A53">
        <w:rPr>
          <w:rFonts w:ascii="Arial" w:eastAsia="Calibri" w:hAnsi="Arial" w:cs="Arial"/>
          <w:color w:val="000000"/>
          <w:sz w:val="24"/>
          <w:szCs w:val="24"/>
        </w:rPr>
        <w:t>rats</w:t>
      </w:r>
      <w:proofErr w:type="spellEnd"/>
      <w:r w:rsidRPr="00ED6A53">
        <w:rPr>
          <w:rFonts w:ascii="Arial" w:eastAsia="Calibri" w:hAnsi="Arial" w:cs="Arial"/>
          <w:color w:val="000000"/>
          <w:sz w:val="24"/>
          <w:szCs w:val="24"/>
        </w:rPr>
        <w:t xml:space="preserve"> following chronic inhalation exposure to naphthalene vapors. </w:t>
      </w:r>
      <w:r w:rsidRPr="00ED6A53">
        <w:rPr>
          <w:rFonts w:ascii="Arial" w:eastAsia="Calibri" w:hAnsi="Arial" w:cs="Arial"/>
          <w:i/>
          <w:color w:val="000000"/>
          <w:sz w:val="24"/>
          <w:szCs w:val="24"/>
        </w:rPr>
        <w:t xml:space="preserve">Toxicol </w:t>
      </w:r>
      <w:proofErr w:type="spellStart"/>
      <w:r w:rsidRPr="00ED6A53">
        <w:rPr>
          <w:rFonts w:ascii="Arial" w:eastAsia="Calibri" w:hAnsi="Arial" w:cs="Arial"/>
          <w:i/>
          <w:color w:val="000000"/>
          <w:sz w:val="24"/>
          <w:szCs w:val="24"/>
        </w:rPr>
        <w:t>Pathol</w:t>
      </w:r>
      <w:proofErr w:type="spellEnd"/>
      <w:r w:rsidRPr="00ED6A53">
        <w:rPr>
          <w:rFonts w:ascii="Arial" w:eastAsia="Calibri" w:hAnsi="Arial" w:cs="Arial"/>
          <w:color w:val="000000"/>
          <w:sz w:val="24"/>
          <w:szCs w:val="24"/>
        </w:rPr>
        <w:t xml:space="preserve">. </w:t>
      </w:r>
      <w:r w:rsidRPr="00ED6A53">
        <w:rPr>
          <w:rFonts w:ascii="Arial" w:eastAsia="Calibri" w:hAnsi="Arial" w:cs="Arial"/>
          <w:b/>
          <w:color w:val="000000"/>
          <w:sz w:val="24"/>
          <w:szCs w:val="24"/>
        </w:rPr>
        <w:t>31</w:t>
      </w:r>
      <w:r w:rsidRPr="00ED6A53">
        <w:rPr>
          <w:rFonts w:ascii="Arial" w:eastAsia="Calibri" w:hAnsi="Arial" w:cs="Arial"/>
          <w:color w:val="000000"/>
          <w:sz w:val="24"/>
          <w:szCs w:val="24"/>
        </w:rPr>
        <w:t>, 655-664.</w:t>
      </w:r>
    </w:p>
    <w:p w14:paraId="25424178" w14:textId="77777777" w:rsidR="00B4620F" w:rsidRPr="00ED6A53" w:rsidRDefault="00B4620F" w:rsidP="003C4E50">
      <w:pPr>
        <w:autoSpaceDE w:val="0"/>
        <w:autoSpaceDN w:val="0"/>
        <w:adjustRightInd w:val="0"/>
        <w:spacing w:after="0" w:line="240" w:lineRule="auto"/>
        <w:ind w:left="540"/>
        <w:jc w:val="both"/>
        <w:rPr>
          <w:rFonts w:ascii="Arial" w:eastAsia="Calibri" w:hAnsi="Arial" w:cs="Arial"/>
          <w:color w:val="000000"/>
          <w:sz w:val="24"/>
          <w:szCs w:val="24"/>
        </w:rPr>
      </w:pPr>
    </w:p>
    <w:p w14:paraId="79D66850" w14:textId="7E44EA4B" w:rsidR="00B4620F" w:rsidRDefault="00B4620F" w:rsidP="003C4E50">
      <w:pPr>
        <w:shd w:val="clear" w:color="auto" w:fill="FFFFFF"/>
        <w:spacing w:after="0" w:line="240" w:lineRule="auto"/>
        <w:ind w:left="540" w:hanging="540"/>
        <w:jc w:val="both"/>
        <w:rPr>
          <w:rFonts w:ascii="Arial" w:eastAsia="Times New Roman" w:hAnsi="Arial" w:cs="Arial"/>
          <w:sz w:val="24"/>
          <w:szCs w:val="24"/>
        </w:rPr>
      </w:pPr>
      <w:r w:rsidRPr="00ED6A53">
        <w:rPr>
          <w:rFonts w:ascii="Arial" w:eastAsia="Times New Roman" w:hAnsi="Arial" w:cs="Arial"/>
          <w:bCs/>
          <w:sz w:val="24"/>
          <w:szCs w:val="24"/>
        </w:rPr>
        <w:t>McGregor,</w:t>
      </w:r>
      <w:r w:rsidRPr="00ED6A53">
        <w:rPr>
          <w:rFonts w:ascii="Arial" w:eastAsia="Times New Roman" w:hAnsi="Arial" w:cs="Arial"/>
          <w:sz w:val="24"/>
          <w:szCs w:val="24"/>
        </w:rPr>
        <w:t xml:space="preserve"> DB, Edwards, I, Wolf CR,</w:t>
      </w:r>
      <w:r w:rsidR="00B97AFC">
        <w:rPr>
          <w:rFonts w:ascii="Arial" w:eastAsia="Times New Roman" w:hAnsi="Arial" w:cs="Arial"/>
          <w:sz w:val="24"/>
          <w:szCs w:val="24"/>
        </w:rPr>
        <w:t xml:space="preserve"> </w:t>
      </w:r>
      <w:r w:rsidRPr="00ED6A53">
        <w:rPr>
          <w:rFonts w:ascii="Arial" w:eastAsia="Times New Roman" w:hAnsi="Arial" w:cs="Arial"/>
          <w:sz w:val="24"/>
          <w:szCs w:val="24"/>
        </w:rPr>
        <w:t xml:space="preserve">Forrester, LM, </w:t>
      </w:r>
      <w:r w:rsidRPr="00ED6A53">
        <w:rPr>
          <w:rFonts w:ascii="Arial" w:eastAsia="Times New Roman" w:hAnsi="Arial" w:cs="Arial"/>
          <w:bCs/>
          <w:sz w:val="24"/>
          <w:szCs w:val="24"/>
        </w:rPr>
        <w:t>Caspary,</w:t>
      </w:r>
      <w:r w:rsidRPr="00ED6A53">
        <w:rPr>
          <w:rFonts w:ascii="Arial" w:eastAsia="Times New Roman" w:hAnsi="Arial" w:cs="Arial"/>
          <w:sz w:val="24"/>
          <w:szCs w:val="24"/>
        </w:rPr>
        <w:t xml:space="preserve"> WJ (1991). </w:t>
      </w:r>
      <w:hyperlink r:id="rId13" w:history="1">
        <w:r w:rsidRPr="00ED6A53">
          <w:rPr>
            <w:rFonts w:ascii="Arial" w:eastAsia="Times New Roman" w:hAnsi="Arial" w:cs="Arial"/>
            <w:sz w:val="24"/>
            <w:szCs w:val="24"/>
          </w:rPr>
          <w:t>Endogenous xenobiotic enzyme levels in mammalian cells.</w:t>
        </w:r>
      </w:hyperlink>
      <w:r w:rsidRPr="00ED6A53">
        <w:rPr>
          <w:rFonts w:ascii="Arial" w:eastAsia="Times New Roman" w:hAnsi="Arial" w:cs="Arial"/>
          <w:sz w:val="24"/>
          <w:szCs w:val="24"/>
        </w:rPr>
        <w:t xml:space="preserve">  </w:t>
      </w:r>
      <w:r w:rsidRPr="00ED6A53">
        <w:rPr>
          <w:rFonts w:ascii="Arial" w:eastAsia="Times New Roman" w:hAnsi="Arial" w:cs="Arial"/>
          <w:i/>
          <w:sz w:val="24"/>
          <w:szCs w:val="24"/>
        </w:rPr>
        <w:t>Mutat. Res</w:t>
      </w:r>
      <w:r w:rsidRPr="00ED6A53">
        <w:rPr>
          <w:rFonts w:ascii="Arial" w:eastAsia="Times New Roman" w:hAnsi="Arial" w:cs="Arial"/>
          <w:sz w:val="24"/>
          <w:szCs w:val="24"/>
        </w:rPr>
        <w:t xml:space="preserve">. </w:t>
      </w:r>
      <w:r w:rsidRPr="00ED6A53">
        <w:rPr>
          <w:rFonts w:ascii="Arial" w:eastAsia="Times New Roman" w:hAnsi="Arial" w:cs="Arial"/>
          <w:b/>
          <w:sz w:val="24"/>
          <w:szCs w:val="24"/>
        </w:rPr>
        <w:t>261</w:t>
      </w:r>
      <w:r w:rsidRPr="00ED6A53">
        <w:rPr>
          <w:rFonts w:ascii="Arial" w:eastAsia="Times New Roman" w:hAnsi="Arial" w:cs="Arial"/>
          <w:sz w:val="24"/>
          <w:szCs w:val="24"/>
        </w:rPr>
        <w:t>, 29-39.</w:t>
      </w:r>
    </w:p>
    <w:p w14:paraId="1878C0C4" w14:textId="77777777" w:rsidR="00E1279B" w:rsidRDefault="00E1279B" w:rsidP="00E1279B">
      <w:pPr>
        <w:shd w:val="clear" w:color="auto" w:fill="FFFFFF"/>
        <w:spacing w:after="0" w:line="240" w:lineRule="auto"/>
        <w:ind w:left="540" w:hanging="540"/>
        <w:jc w:val="both"/>
        <w:rPr>
          <w:rFonts w:ascii="Arial" w:eastAsia="Times New Roman" w:hAnsi="Arial" w:cs="Arial"/>
          <w:sz w:val="24"/>
          <w:szCs w:val="24"/>
        </w:rPr>
      </w:pPr>
    </w:p>
    <w:p w14:paraId="31C08D67" w14:textId="5384608C" w:rsidR="00E1279B" w:rsidRPr="00E1279B" w:rsidRDefault="00E1279B" w:rsidP="00E1279B">
      <w:pPr>
        <w:shd w:val="clear" w:color="auto" w:fill="FFFFFF"/>
        <w:spacing w:after="0" w:line="240" w:lineRule="auto"/>
        <w:ind w:left="540" w:hanging="540"/>
        <w:jc w:val="both"/>
        <w:rPr>
          <w:rFonts w:ascii="Arial" w:eastAsia="Times New Roman" w:hAnsi="Arial" w:cs="Arial"/>
          <w:sz w:val="24"/>
          <w:szCs w:val="24"/>
        </w:rPr>
      </w:pPr>
      <w:r w:rsidRPr="00E1279B">
        <w:rPr>
          <w:rFonts w:ascii="Arial" w:eastAsia="Times New Roman" w:hAnsi="Arial" w:cs="Arial"/>
          <w:sz w:val="24"/>
          <w:szCs w:val="24"/>
        </w:rPr>
        <w:t>Moreau</w:t>
      </w:r>
      <w:r>
        <w:rPr>
          <w:rFonts w:ascii="Arial" w:eastAsia="Times New Roman" w:hAnsi="Arial" w:cs="Arial"/>
          <w:sz w:val="24"/>
          <w:szCs w:val="24"/>
        </w:rPr>
        <w:t xml:space="preserve"> M</w:t>
      </w:r>
      <w:r w:rsidRPr="00E1279B">
        <w:rPr>
          <w:rFonts w:ascii="Arial" w:eastAsia="Times New Roman" w:hAnsi="Arial" w:cs="Arial"/>
          <w:sz w:val="24"/>
          <w:szCs w:val="24"/>
        </w:rPr>
        <w:t>,</w:t>
      </w:r>
      <w:r>
        <w:rPr>
          <w:rFonts w:ascii="Arial" w:eastAsia="Times New Roman" w:hAnsi="Arial" w:cs="Arial"/>
          <w:sz w:val="24"/>
          <w:szCs w:val="24"/>
        </w:rPr>
        <w:t xml:space="preserve"> </w:t>
      </w:r>
      <w:r w:rsidRPr="00E1279B">
        <w:rPr>
          <w:rFonts w:ascii="Arial" w:eastAsia="Times New Roman" w:hAnsi="Arial" w:cs="Arial"/>
          <w:sz w:val="24"/>
          <w:szCs w:val="24"/>
        </w:rPr>
        <w:t>Fisher</w:t>
      </w:r>
      <w:r>
        <w:rPr>
          <w:rFonts w:ascii="Arial" w:eastAsia="Times New Roman" w:hAnsi="Arial" w:cs="Arial"/>
          <w:sz w:val="24"/>
          <w:szCs w:val="24"/>
        </w:rPr>
        <w:t xml:space="preserve"> J</w:t>
      </w:r>
      <w:r w:rsidRPr="00E1279B">
        <w:rPr>
          <w:rFonts w:ascii="Arial" w:eastAsia="Times New Roman" w:hAnsi="Arial" w:cs="Arial"/>
          <w:sz w:val="24"/>
          <w:szCs w:val="24"/>
        </w:rPr>
        <w:t>, Andersen</w:t>
      </w:r>
      <w:r>
        <w:rPr>
          <w:rFonts w:ascii="Arial" w:eastAsia="Times New Roman" w:hAnsi="Arial" w:cs="Arial"/>
          <w:sz w:val="24"/>
          <w:szCs w:val="24"/>
        </w:rPr>
        <w:t xml:space="preserve"> ME</w:t>
      </w:r>
      <w:r w:rsidRPr="00E1279B">
        <w:rPr>
          <w:rFonts w:ascii="Arial" w:eastAsia="Times New Roman" w:hAnsi="Arial" w:cs="Arial"/>
          <w:sz w:val="24"/>
          <w:szCs w:val="24"/>
        </w:rPr>
        <w:t>,</w:t>
      </w:r>
      <w:r>
        <w:rPr>
          <w:rFonts w:ascii="Arial" w:eastAsia="Times New Roman" w:hAnsi="Arial" w:cs="Arial"/>
          <w:sz w:val="24"/>
          <w:szCs w:val="24"/>
        </w:rPr>
        <w:t xml:space="preserve"> </w:t>
      </w:r>
      <w:r w:rsidRPr="00E1279B">
        <w:rPr>
          <w:rFonts w:ascii="Arial" w:eastAsia="Times New Roman" w:hAnsi="Arial" w:cs="Arial"/>
          <w:sz w:val="24"/>
          <w:szCs w:val="24"/>
        </w:rPr>
        <w:t xml:space="preserve">Barnwell </w:t>
      </w:r>
      <w:r>
        <w:rPr>
          <w:rFonts w:ascii="Arial" w:eastAsia="Times New Roman" w:hAnsi="Arial" w:cs="Arial"/>
          <w:sz w:val="24"/>
          <w:szCs w:val="24"/>
        </w:rPr>
        <w:t>A</w:t>
      </w:r>
      <w:r w:rsidRPr="00E1279B">
        <w:rPr>
          <w:rFonts w:ascii="Arial" w:eastAsia="Times New Roman" w:hAnsi="Arial" w:cs="Arial"/>
          <w:sz w:val="24"/>
          <w:szCs w:val="24"/>
        </w:rPr>
        <w:t xml:space="preserve">, Corzine </w:t>
      </w:r>
      <w:r>
        <w:rPr>
          <w:rFonts w:ascii="Arial" w:eastAsia="Times New Roman" w:hAnsi="Arial" w:cs="Arial"/>
          <w:sz w:val="24"/>
          <w:szCs w:val="24"/>
        </w:rPr>
        <w:t>S</w:t>
      </w:r>
      <w:r w:rsidRPr="00E1279B">
        <w:rPr>
          <w:rFonts w:ascii="Arial" w:eastAsia="Times New Roman" w:hAnsi="Arial" w:cs="Arial"/>
          <w:sz w:val="24"/>
          <w:szCs w:val="24"/>
        </w:rPr>
        <w:t xml:space="preserve">, Ranade </w:t>
      </w:r>
      <w:r>
        <w:rPr>
          <w:rFonts w:ascii="Arial" w:eastAsia="Times New Roman" w:hAnsi="Arial" w:cs="Arial"/>
          <w:sz w:val="24"/>
          <w:szCs w:val="24"/>
        </w:rPr>
        <w:t>A</w:t>
      </w:r>
      <w:r w:rsidRPr="00E1279B">
        <w:rPr>
          <w:rFonts w:ascii="Arial" w:eastAsia="Times New Roman" w:hAnsi="Arial" w:cs="Arial"/>
          <w:sz w:val="24"/>
          <w:szCs w:val="24"/>
        </w:rPr>
        <w:t xml:space="preserve">, McMullen </w:t>
      </w:r>
      <w:r>
        <w:rPr>
          <w:rFonts w:ascii="Arial" w:eastAsia="Times New Roman" w:hAnsi="Arial" w:cs="Arial"/>
          <w:sz w:val="24"/>
          <w:szCs w:val="24"/>
        </w:rPr>
        <w:t>PD</w:t>
      </w:r>
      <w:r w:rsidRPr="00E1279B">
        <w:rPr>
          <w:rFonts w:ascii="Arial" w:eastAsia="Times New Roman" w:hAnsi="Arial" w:cs="Arial"/>
          <w:sz w:val="24"/>
          <w:szCs w:val="24"/>
        </w:rPr>
        <w:t xml:space="preserve">, Slattery </w:t>
      </w:r>
      <w:r>
        <w:rPr>
          <w:rFonts w:ascii="Arial" w:eastAsia="Times New Roman" w:hAnsi="Arial" w:cs="Arial"/>
          <w:sz w:val="24"/>
          <w:szCs w:val="24"/>
        </w:rPr>
        <w:t xml:space="preserve">SD (2022) </w:t>
      </w:r>
      <w:r w:rsidRPr="00E1279B">
        <w:rPr>
          <w:rFonts w:ascii="Arial" w:eastAsia="Times New Roman" w:hAnsi="Arial" w:cs="Arial"/>
          <w:sz w:val="24"/>
          <w:szCs w:val="24"/>
        </w:rPr>
        <w:t>NAM-based prediction of point-of-contact toxicity in the lung: A case example with 1,3-dichloropropene</w:t>
      </w:r>
      <w:r>
        <w:rPr>
          <w:rFonts w:ascii="Arial" w:eastAsia="Times New Roman" w:hAnsi="Arial" w:cs="Arial"/>
          <w:sz w:val="24"/>
          <w:szCs w:val="24"/>
        </w:rPr>
        <w:t xml:space="preserve">. </w:t>
      </w:r>
      <w:r w:rsidRPr="00E1279B">
        <w:rPr>
          <w:rFonts w:ascii="Arial" w:eastAsia="Times New Roman" w:hAnsi="Arial" w:cs="Arial"/>
          <w:i/>
          <w:iCs/>
          <w:sz w:val="24"/>
          <w:szCs w:val="24"/>
        </w:rPr>
        <w:t>Toxicology</w:t>
      </w:r>
      <w:r>
        <w:rPr>
          <w:rFonts w:ascii="Arial" w:eastAsia="Times New Roman" w:hAnsi="Arial" w:cs="Arial"/>
          <w:sz w:val="24"/>
          <w:szCs w:val="24"/>
        </w:rPr>
        <w:t xml:space="preserve"> </w:t>
      </w:r>
      <w:r w:rsidRPr="00E1279B">
        <w:rPr>
          <w:rFonts w:ascii="Arial" w:eastAsia="Times New Roman" w:hAnsi="Arial" w:cs="Arial"/>
          <w:sz w:val="24"/>
          <w:szCs w:val="24"/>
        </w:rPr>
        <w:t>481:153340.</w:t>
      </w:r>
    </w:p>
    <w:p w14:paraId="67253313" w14:textId="34B22333" w:rsidR="001D1A32" w:rsidRDefault="001D1A32" w:rsidP="003C4E50">
      <w:pPr>
        <w:shd w:val="clear" w:color="auto" w:fill="FFFFFF"/>
        <w:spacing w:after="0" w:line="240" w:lineRule="auto"/>
        <w:ind w:left="540" w:hanging="540"/>
        <w:jc w:val="both"/>
        <w:rPr>
          <w:rFonts w:ascii="Arial" w:eastAsia="Times New Roman" w:hAnsi="Arial" w:cs="Arial"/>
          <w:sz w:val="24"/>
          <w:szCs w:val="24"/>
        </w:rPr>
      </w:pPr>
    </w:p>
    <w:p w14:paraId="4F82DFD7" w14:textId="2532DD86" w:rsidR="00CD0BC1" w:rsidRDefault="004447EF" w:rsidP="00E12915">
      <w:pPr>
        <w:shd w:val="clear" w:color="auto" w:fill="FFFFFF"/>
        <w:spacing w:after="0" w:line="240" w:lineRule="auto"/>
        <w:ind w:left="540" w:hanging="540"/>
        <w:jc w:val="both"/>
        <w:rPr>
          <w:rFonts w:ascii="Arial" w:eastAsia="Times New Roman" w:hAnsi="Arial" w:cs="Arial"/>
          <w:sz w:val="24"/>
          <w:szCs w:val="24"/>
        </w:rPr>
      </w:pPr>
      <w:r w:rsidRPr="004447EF">
        <w:rPr>
          <w:rFonts w:ascii="Arial" w:eastAsia="Times New Roman" w:hAnsi="Arial" w:cs="Arial"/>
          <w:sz w:val="24"/>
          <w:szCs w:val="24"/>
        </w:rPr>
        <w:t>National Academies of Sciences, Engineering, and Medicine. 2023.</w:t>
      </w:r>
      <w:r w:rsidRPr="00560668">
        <w:rPr>
          <w:rFonts w:ascii="Arial" w:eastAsia="Times New Roman" w:hAnsi="Arial" w:cs="Arial"/>
          <w:i/>
          <w:iCs/>
          <w:sz w:val="24"/>
          <w:szCs w:val="24"/>
        </w:rPr>
        <w:t xml:space="preserve"> Building Confidence in New Evidence Streams for Human Health Risk Assessment: Lessons Learned from Laboratory Mammalian Toxicity Tests</w:t>
      </w:r>
      <w:r w:rsidRPr="004447EF">
        <w:rPr>
          <w:rFonts w:ascii="Arial" w:eastAsia="Times New Roman" w:hAnsi="Arial" w:cs="Arial"/>
          <w:sz w:val="24"/>
          <w:szCs w:val="24"/>
        </w:rPr>
        <w:t>. Washington, DC: The National Academies Press. https://doi.org/10.17226/26906</w:t>
      </w:r>
    </w:p>
    <w:p w14:paraId="3224BDE8" w14:textId="77777777" w:rsidR="00CD0BC1" w:rsidRPr="00E12915" w:rsidRDefault="00CD0BC1" w:rsidP="00E12915">
      <w:pPr>
        <w:shd w:val="clear" w:color="auto" w:fill="FFFFFF"/>
        <w:spacing w:after="0" w:line="240" w:lineRule="auto"/>
        <w:ind w:left="540" w:hanging="540"/>
        <w:jc w:val="both"/>
        <w:rPr>
          <w:rFonts w:ascii="Arial" w:eastAsia="Times New Roman" w:hAnsi="Arial" w:cs="Arial"/>
          <w:sz w:val="24"/>
          <w:szCs w:val="24"/>
        </w:rPr>
      </w:pPr>
    </w:p>
    <w:p w14:paraId="5E5D1E38" w14:textId="3F6D3058" w:rsidR="00111B78" w:rsidRPr="00ED6A53" w:rsidRDefault="00B4620F" w:rsidP="00BC6342">
      <w:pPr>
        <w:shd w:val="clear" w:color="auto" w:fill="FFFFFF"/>
        <w:spacing w:after="0" w:line="240" w:lineRule="auto"/>
        <w:ind w:left="540" w:hanging="540"/>
        <w:jc w:val="both"/>
        <w:rPr>
          <w:rFonts w:ascii="Arial" w:eastAsia="Calibri" w:hAnsi="Arial" w:cs="Arial"/>
          <w:sz w:val="24"/>
          <w:szCs w:val="24"/>
        </w:rPr>
      </w:pPr>
      <w:r w:rsidRPr="00ED6A53">
        <w:rPr>
          <w:rFonts w:ascii="Arial" w:eastAsia="Calibri" w:hAnsi="Arial" w:cs="Arial"/>
          <w:sz w:val="24"/>
          <w:szCs w:val="24"/>
        </w:rPr>
        <w:t xml:space="preserve">Organisation for Economic Co-operation and Development (OECD) 487 (2010). OECD Guideline for the Testing of Chemicals, </w:t>
      </w:r>
      <w:r w:rsidRPr="00ED6A53">
        <w:rPr>
          <w:rFonts w:ascii="Arial" w:eastAsia="Calibri" w:hAnsi="Arial" w:cs="Arial"/>
          <w:i/>
          <w:sz w:val="24"/>
          <w:szCs w:val="24"/>
        </w:rPr>
        <w:t>In Vitro</w:t>
      </w:r>
      <w:r w:rsidRPr="00ED6A53">
        <w:rPr>
          <w:rFonts w:ascii="Arial" w:eastAsia="Calibri" w:hAnsi="Arial" w:cs="Arial"/>
          <w:sz w:val="24"/>
          <w:szCs w:val="24"/>
        </w:rPr>
        <w:t xml:space="preserve"> mammalian cell micronucleus test.</w:t>
      </w:r>
    </w:p>
    <w:p w14:paraId="3CF21DF7" w14:textId="77777777" w:rsidR="00D77F73" w:rsidRPr="00ED6A53" w:rsidRDefault="00D77F73" w:rsidP="00BC6342">
      <w:pPr>
        <w:shd w:val="clear" w:color="auto" w:fill="FFFFFF"/>
        <w:spacing w:after="0" w:line="240" w:lineRule="auto"/>
        <w:ind w:left="540" w:hanging="540"/>
        <w:jc w:val="both"/>
        <w:rPr>
          <w:rFonts w:ascii="Arial" w:eastAsia="Calibri" w:hAnsi="Arial" w:cs="Arial"/>
          <w:sz w:val="24"/>
          <w:szCs w:val="24"/>
        </w:rPr>
      </w:pPr>
    </w:p>
    <w:p w14:paraId="22B9B85D" w14:textId="6DFF5AE2" w:rsidR="00A2148B" w:rsidRPr="00ED6A53" w:rsidRDefault="00A2148B" w:rsidP="003C4E50">
      <w:pPr>
        <w:ind w:left="720" w:hanging="720"/>
        <w:jc w:val="both"/>
        <w:rPr>
          <w:rFonts w:ascii="Arial" w:hAnsi="Arial" w:cs="Arial"/>
          <w:bCs/>
          <w:sz w:val="24"/>
          <w:szCs w:val="24"/>
        </w:rPr>
      </w:pPr>
      <w:r w:rsidRPr="00ED6A53">
        <w:rPr>
          <w:rFonts w:ascii="Arial" w:hAnsi="Arial" w:cs="Arial"/>
          <w:bCs/>
          <w:sz w:val="24"/>
          <w:szCs w:val="24"/>
        </w:rPr>
        <w:t>Owiti NA, Kaushal S, Martin L, Sly J, Swartz CD, Fowler J, Corrigan JJ, Recio L, Engelward BP (2022).</w:t>
      </w:r>
      <w:r w:rsidR="008E555F">
        <w:rPr>
          <w:rFonts w:ascii="Arial" w:hAnsi="Arial" w:cs="Arial"/>
          <w:bCs/>
          <w:sz w:val="24"/>
          <w:szCs w:val="24"/>
        </w:rPr>
        <w:t xml:space="preserve"> </w:t>
      </w:r>
      <w:r w:rsidRPr="00ED6A53">
        <w:rPr>
          <w:rFonts w:ascii="Arial" w:hAnsi="Arial" w:cs="Arial"/>
          <w:bCs/>
          <w:sz w:val="24"/>
          <w:szCs w:val="24"/>
        </w:rPr>
        <w:t xml:space="preserve">Using the </w:t>
      </w:r>
      <w:proofErr w:type="spellStart"/>
      <w:r w:rsidRPr="00ED6A53">
        <w:rPr>
          <w:rFonts w:ascii="Arial" w:hAnsi="Arial" w:cs="Arial"/>
          <w:bCs/>
          <w:sz w:val="24"/>
          <w:szCs w:val="24"/>
        </w:rPr>
        <w:t>HepaCometChip</w:t>
      </w:r>
      <w:proofErr w:type="spellEnd"/>
      <w:r w:rsidR="008E555F">
        <w:rPr>
          <w:rFonts w:ascii="Arial" w:hAnsi="Arial" w:cs="Arial"/>
          <w:bCs/>
          <w:sz w:val="24"/>
          <w:szCs w:val="24"/>
        </w:rPr>
        <w:t>®</w:t>
      </w:r>
      <w:r w:rsidRPr="00ED6A53">
        <w:rPr>
          <w:rFonts w:ascii="Arial" w:hAnsi="Arial" w:cs="Arial"/>
          <w:bCs/>
          <w:sz w:val="24"/>
          <w:szCs w:val="24"/>
        </w:rPr>
        <w:t xml:space="preserve"> Assay for Broad-Spectrum DNA Damage Analysis. </w:t>
      </w:r>
      <w:proofErr w:type="spellStart"/>
      <w:r w:rsidRPr="00ED6A53">
        <w:rPr>
          <w:rFonts w:ascii="Arial" w:hAnsi="Arial" w:cs="Arial"/>
          <w:bCs/>
          <w:i/>
          <w:iCs/>
          <w:sz w:val="24"/>
          <w:szCs w:val="24"/>
        </w:rPr>
        <w:t>Curr</w:t>
      </w:r>
      <w:proofErr w:type="spellEnd"/>
      <w:r w:rsidRPr="00ED6A53">
        <w:rPr>
          <w:rFonts w:ascii="Arial" w:hAnsi="Arial" w:cs="Arial"/>
          <w:bCs/>
          <w:i/>
          <w:iCs/>
          <w:sz w:val="24"/>
          <w:szCs w:val="24"/>
        </w:rPr>
        <w:t xml:space="preserve"> </w:t>
      </w:r>
      <w:proofErr w:type="spellStart"/>
      <w:r w:rsidRPr="00ED6A53">
        <w:rPr>
          <w:rFonts w:ascii="Arial" w:hAnsi="Arial" w:cs="Arial"/>
          <w:bCs/>
          <w:i/>
          <w:iCs/>
          <w:sz w:val="24"/>
          <w:szCs w:val="24"/>
        </w:rPr>
        <w:t>Protoc</w:t>
      </w:r>
      <w:proofErr w:type="spellEnd"/>
      <w:r w:rsidRPr="00ED6A53">
        <w:rPr>
          <w:rFonts w:ascii="Arial" w:hAnsi="Arial" w:cs="Arial"/>
          <w:bCs/>
          <w:sz w:val="24"/>
          <w:szCs w:val="24"/>
        </w:rPr>
        <w:t>. Sep;2(9):e563</w:t>
      </w:r>
    </w:p>
    <w:p w14:paraId="0B489ABD" w14:textId="07651728" w:rsidR="00B4620F" w:rsidRDefault="00B4620F" w:rsidP="003C4E50">
      <w:pPr>
        <w:autoSpaceDE w:val="0"/>
        <w:autoSpaceDN w:val="0"/>
        <w:adjustRightInd w:val="0"/>
        <w:spacing w:after="0" w:line="240" w:lineRule="auto"/>
        <w:ind w:left="540" w:hanging="540"/>
        <w:jc w:val="both"/>
        <w:rPr>
          <w:rFonts w:ascii="Arial" w:eastAsia="Calibri" w:hAnsi="Arial" w:cs="Arial"/>
          <w:color w:val="000000"/>
          <w:sz w:val="24"/>
          <w:szCs w:val="24"/>
        </w:rPr>
      </w:pPr>
      <w:r w:rsidRPr="00ED6A53">
        <w:rPr>
          <w:rFonts w:ascii="Arial" w:eastAsia="Calibri" w:hAnsi="Arial" w:cs="Arial"/>
          <w:color w:val="000000"/>
          <w:sz w:val="24"/>
          <w:szCs w:val="24"/>
        </w:rPr>
        <w:t xml:space="preserve">Phimister, AJ, Lee, MG, Morin, D, Buckpitt, AR and Plopper, </w:t>
      </w:r>
      <w:r w:rsidR="008E555F" w:rsidRPr="00ED6A53">
        <w:rPr>
          <w:rFonts w:ascii="Arial" w:eastAsia="Calibri" w:hAnsi="Arial" w:cs="Arial"/>
          <w:color w:val="000000"/>
          <w:sz w:val="24"/>
          <w:szCs w:val="24"/>
        </w:rPr>
        <w:t xml:space="preserve">CG </w:t>
      </w:r>
      <w:r w:rsidRPr="00ED6A53">
        <w:rPr>
          <w:rFonts w:ascii="Arial" w:eastAsia="Calibri" w:hAnsi="Arial" w:cs="Arial"/>
          <w:color w:val="000000"/>
          <w:sz w:val="24"/>
          <w:szCs w:val="24"/>
        </w:rPr>
        <w:t>(2004).</w:t>
      </w:r>
      <w:r w:rsidR="00B97AFC">
        <w:rPr>
          <w:rFonts w:ascii="Arial" w:eastAsia="Calibri" w:hAnsi="Arial" w:cs="Arial"/>
          <w:color w:val="000000"/>
          <w:sz w:val="24"/>
          <w:szCs w:val="24"/>
        </w:rPr>
        <w:t xml:space="preserve"> </w:t>
      </w:r>
      <w:r w:rsidRPr="00ED6A53">
        <w:rPr>
          <w:rFonts w:ascii="Arial" w:eastAsia="Calibri" w:hAnsi="Arial" w:cs="Arial"/>
          <w:color w:val="000000"/>
          <w:sz w:val="24"/>
          <w:szCs w:val="24"/>
        </w:rPr>
        <w:t xml:space="preserve">Glutathione depletion is a major determinant of inhaled naphthalene respiratory toxicity and naphthalene metabolism in mice, </w:t>
      </w:r>
      <w:r w:rsidRPr="00ED6A53">
        <w:rPr>
          <w:rFonts w:ascii="Arial" w:eastAsia="Calibri" w:hAnsi="Arial" w:cs="Arial"/>
          <w:i/>
          <w:color w:val="000000"/>
          <w:sz w:val="24"/>
          <w:szCs w:val="24"/>
        </w:rPr>
        <w:t>Toxicological Sciences</w:t>
      </w:r>
      <w:r w:rsidRPr="00ED6A53">
        <w:rPr>
          <w:rFonts w:ascii="Arial" w:eastAsia="Calibri" w:hAnsi="Arial" w:cs="Arial"/>
          <w:color w:val="000000"/>
          <w:sz w:val="24"/>
          <w:szCs w:val="24"/>
        </w:rPr>
        <w:t xml:space="preserve"> </w:t>
      </w:r>
      <w:r w:rsidRPr="00ED6A53">
        <w:rPr>
          <w:rFonts w:ascii="Arial" w:eastAsia="Calibri" w:hAnsi="Arial" w:cs="Arial"/>
          <w:b/>
          <w:color w:val="000000"/>
          <w:sz w:val="24"/>
          <w:szCs w:val="24"/>
        </w:rPr>
        <w:t>82</w:t>
      </w:r>
      <w:r w:rsidRPr="00ED6A53">
        <w:rPr>
          <w:rFonts w:ascii="Arial" w:eastAsia="Calibri" w:hAnsi="Arial" w:cs="Arial"/>
          <w:color w:val="000000"/>
          <w:sz w:val="24"/>
          <w:szCs w:val="24"/>
        </w:rPr>
        <w:t>, 268-278.</w:t>
      </w:r>
    </w:p>
    <w:p w14:paraId="3030AF9B" w14:textId="77777777" w:rsidR="000D1655" w:rsidRDefault="000D1655" w:rsidP="000D1655">
      <w:pPr>
        <w:autoSpaceDE w:val="0"/>
        <w:autoSpaceDN w:val="0"/>
        <w:adjustRightInd w:val="0"/>
        <w:spacing w:after="0" w:line="240" w:lineRule="auto"/>
        <w:ind w:left="540"/>
        <w:jc w:val="both"/>
        <w:rPr>
          <w:rFonts w:ascii="Arial" w:eastAsia="Calibri" w:hAnsi="Arial" w:cs="Arial"/>
          <w:color w:val="000000"/>
          <w:sz w:val="24"/>
          <w:szCs w:val="24"/>
        </w:rPr>
      </w:pPr>
    </w:p>
    <w:p w14:paraId="2664DDA9" w14:textId="7CE17061" w:rsidR="000D1655" w:rsidRDefault="000D1655" w:rsidP="003C4E50">
      <w:pPr>
        <w:autoSpaceDE w:val="0"/>
        <w:autoSpaceDN w:val="0"/>
        <w:adjustRightInd w:val="0"/>
        <w:spacing w:after="0" w:line="240" w:lineRule="auto"/>
        <w:ind w:left="540" w:hanging="540"/>
        <w:jc w:val="both"/>
        <w:rPr>
          <w:rFonts w:ascii="Arial" w:eastAsia="Calibri" w:hAnsi="Arial" w:cs="Arial"/>
          <w:color w:val="000000"/>
          <w:sz w:val="24"/>
          <w:szCs w:val="24"/>
        </w:rPr>
      </w:pPr>
      <w:proofErr w:type="spellStart"/>
      <w:r w:rsidRPr="000D1655">
        <w:rPr>
          <w:rFonts w:ascii="Arial" w:eastAsia="Calibri" w:hAnsi="Arial" w:cs="Arial"/>
          <w:color w:val="000000"/>
          <w:sz w:val="24"/>
          <w:szCs w:val="24"/>
        </w:rPr>
        <w:t>Ramanarayanan</w:t>
      </w:r>
      <w:proofErr w:type="spellEnd"/>
      <w:r w:rsidRPr="000D1655">
        <w:rPr>
          <w:rFonts w:ascii="Arial" w:eastAsia="Calibri" w:hAnsi="Arial" w:cs="Arial"/>
          <w:color w:val="000000"/>
          <w:sz w:val="24"/>
          <w:szCs w:val="24"/>
        </w:rPr>
        <w:t xml:space="preserve"> T, Szarka A, Flack S, Hinderliter P, Corley R, Charlton A, Pyles S, Wolf D.</w:t>
      </w:r>
      <w:r>
        <w:rPr>
          <w:rFonts w:ascii="Arial" w:eastAsia="Calibri" w:hAnsi="Arial" w:cs="Arial"/>
          <w:color w:val="000000"/>
          <w:sz w:val="24"/>
          <w:szCs w:val="24"/>
        </w:rPr>
        <w:t xml:space="preserve"> (2022) </w:t>
      </w:r>
      <w:r w:rsidRPr="000D1655">
        <w:rPr>
          <w:rFonts w:ascii="Arial" w:eastAsia="Calibri" w:hAnsi="Arial" w:cs="Arial"/>
          <w:color w:val="000000"/>
          <w:sz w:val="24"/>
          <w:szCs w:val="24"/>
        </w:rPr>
        <w:t>Application of a new approach method (NAM) for inhalation risk assessment.</w:t>
      </w:r>
      <w:r>
        <w:rPr>
          <w:rFonts w:ascii="Arial" w:eastAsia="Calibri" w:hAnsi="Arial" w:cs="Arial"/>
          <w:color w:val="000000"/>
          <w:sz w:val="24"/>
          <w:szCs w:val="24"/>
        </w:rPr>
        <w:t xml:space="preserve"> </w:t>
      </w:r>
      <w:r w:rsidRPr="000D1655">
        <w:rPr>
          <w:rFonts w:ascii="Arial" w:eastAsia="Calibri" w:hAnsi="Arial" w:cs="Arial"/>
          <w:i/>
          <w:iCs/>
          <w:color w:val="000000"/>
          <w:sz w:val="24"/>
          <w:szCs w:val="24"/>
        </w:rPr>
        <w:t>Regul Toxicol Pharmacol.</w:t>
      </w:r>
      <w:r>
        <w:rPr>
          <w:rFonts w:ascii="Arial" w:eastAsia="Calibri" w:hAnsi="Arial" w:cs="Arial"/>
          <w:color w:val="000000"/>
          <w:sz w:val="24"/>
          <w:szCs w:val="24"/>
        </w:rPr>
        <w:t xml:space="preserve"> </w:t>
      </w:r>
      <w:r w:rsidRPr="000D1655">
        <w:rPr>
          <w:rFonts w:ascii="Arial" w:eastAsia="Calibri" w:hAnsi="Arial" w:cs="Arial"/>
          <w:color w:val="000000"/>
          <w:sz w:val="24"/>
          <w:szCs w:val="24"/>
        </w:rPr>
        <w:t>133:105216.</w:t>
      </w:r>
    </w:p>
    <w:p w14:paraId="27AA3AAB" w14:textId="77777777" w:rsidR="001F58EA" w:rsidRDefault="001F58EA" w:rsidP="003C4E50">
      <w:pPr>
        <w:autoSpaceDE w:val="0"/>
        <w:autoSpaceDN w:val="0"/>
        <w:adjustRightInd w:val="0"/>
        <w:spacing w:after="0" w:line="240" w:lineRule="auto"/>
        <w:ind w:left="540" w:hanging="540"/>
        <w:jc w:val="both"/>
        <w:rPr>
          <w:rFonts w:ascii="Arial" w:eastAsia="Calibri" w:hAnsi="Arial" w:cs="Arial"/>
          <w:color w:val="000000"/>
          <w:sz w:val="24"/>
          <w:szCs w:val="24"/>
        </w:rPr>
      </w:pPr>
    </w:p>
    <w:p w14:paraId="189926D5" w14:textId="28988ECE" w:rsidR="001F58EA" w:rsidRPr="00ED6A53" w:rsidRDefault="001F58EA" w:rsidP="001F58EA">
      <w:pPr>
        <w:autoSpaceDE w:val="0"/>
        <w:autoSpaceDN w:val="0"/>
        <w:adjustRightInd w:val="0"/>
        <w:spacing w:after="0" w:line="240" w:lineRule="auto"/>
        <w:ind w:left="540" w:hanging="540"/>
        <w:jc w:val="both"/>
        <w:rPr>
          <w:rFonts w:ascii="Arial" w:eastAsia="Calibri" w:hAnsi="Arial" w:cs="Arial"/>
          <w:color w:val="000000"/>
          <w:sz w:val="24"/>
          <w:szCs w:val="24"/>
        </w:rPr>
      </w:pPr>
      <w:r w:rsidRPr="001F58EA">
        <w:rPr>
          <w:rFonts w:ascii="Arial" w:eastAsia="Calibri" w:hAnsi="Arial" w:cs="Arial"/>
          <w:color w:val="000000"/>
          <w:sz w:val="24"/>
          <w:szCs w:val="24"/>
        </w:rPr>
        <w:t xml:space="preserve">Robison TW, Heflich RH, Manjanatha MG, Elespuru R, </w:t>
      </w:r>
      <w:proofErr w:type="spellStart"/>
      <w:r w:rsidRPr="001F58EA">
        <w:rPr>
          <w:rFonts w:ascii="Arial" w:eastAsia="Calibri" w:hAnsi="Arial" w:cs="Arial"/>
          <w:color w:val="000000"/>
          <w:sz w:val="24"/>
          <w:szCs w:val="24"/>
        </w:rPr>
        <w:t>Atrakchi</w:t>
      </w:r>
      <w:proofErr w:type="spellEnd"/>
      <w:r w:rsidRPr="001F58EA">
        <w:rPr>
          <w:rFonts w:ascii="Arial" w:eastAsia="Calibri" w:hAnsi="Arial" w:cs="Arial"/>
          <w:color w:val="000000"/>
          <w:sz w:val="24"/>
          <w:szCs w:val="24"/>
        </w:rPr>
        <w:t xml:space="preserve"> A, Mei N, Ding W.</w:t>
      </w:r>
      <w:r w:rsidR="006353DB">
        <w:rPr>
          <w:rFonts w:ascii="Arial" w:eastAsia="Calibri" w:hAnsi="Arial" w:cs="Arial"/>
          <w:color w:val="000000"/>
          <w:sz w:val="24"/>
          <w:szCs w:val="24"/>
        </w:rPr>
        <w:t xml:space="preserve"> (</w:t>
      </w:r>
      <w:r w:rsidRPr="001F58EA">
        <w:rPr>
          <w:rFonts w:ascii="Arial" w:eastAsia="Calibri" w:hAnsi="Arial" w:cs="Arial"/>
          <w:color w:val="000000"/>
          <w:sz w:val="24"/>
          <w:szCs w:val="24"/>
        </w:rPr>
        <w:t>2021</w:t>
      </w:r>
      <w:r w:rsidR="006353DB">
        <w:rPr>
          <w:rFonts w:ascii="Arial" w:eastAsia="Calibri" w:hAnsi="Arial" w:cs="Arial"/>
          <w:color w:val="000000"/>
          <w:sz w:val="24"/>
          <w:szCs w:val="24"/>
        </w:rPr>
        <w:t>)</w:t>
      </w:r>
      <w:r w:rsidRPr="001F58EA">
        <w:rPr>
          <w:rFonts w:ascii="Arial" w:eastAsia="Calibri" w:hAnsi="Arial" w:cs="Arial"/>
          <w:color w:val="000000"/>
          <w:sz w:val="24"/>
          <w:szCs w:val="24"/>
        </w:rPr>
        <w:t xml:space="preserve"> Appropriate in vivo follow-up assays to an in vitro bacterial reverse mutation (Ames) test positive investigational drug candidate (active pharmaceutical ingredient), drug-related metabolite, or drug-related impurity.</w:t>
      </w:r>
      <w:r w:rsidR="00A510A1">
        <w:rPr>
          <w:rFonts w:ascii="Arial" w:eastAsia="Calibri" w:hAnsi="Arial" w:cs="Arial"/>
          <w:color w:val="000000"/>
          <w:sz w:val="24"/>
          <w:szCs w:val="24"/>
        </w:rPr>
        <w:t xml:space="preserve"> </w:t>
      </w:r>
      <w:r w:rsidR="006353DB" w:rsidRPr="00A510A1">
        <w:rPr>
          <w:rFonts w:ascii="Arial" w:eastAsia="Calibri" w:hAnsi="Arial" w:cs="Arial"/>
          <w:i/>
          <w:iCs/>
          <w:color w:val="000000"/>
          <w:sz w:val="24"/>
          <w:szCs w:val="24"/>
        </w:rPr>
        <w:t>Mutat Res Genet Toxicol Environ Mutagen.</w:t>
      </w:r>
      <w:r w:rsidR="006353DB">
        <w:rPr>
          <w:rFonts w:ascii="Arial" w:eastAsia="Calibri" w:hAnsi="Arial" w:cs="Arial"/>
          <w:color w:val="000000"/>
          <w:sz w:val="24"/>
          <w:szCs w:val="24"/>
        </w:rPr>
        <w:t xml:space="preserve"> </w:t>
      </w:r>
      <w:r w:rsidRPr="001F58EA">
        <w:rPr>
          <w:rFonts w:ascii="Arial" w:eastAsia="Calibri" w:hAnsi="Arial" w:cs="Arial"/>
          <w:color w:val="000000"/>
          <w:sz w:val="24"/>
          <w:szCs w:val="24"/>
        </w:rPr>
        <w:t>Aug-Sep;868-869</w:t>
      </w:r>
    </w:p>
    <w:p w14:paraId="7A1F3DAB" w14:textId="77777777" w:rsidR="00B4620F" w:rsidRPr="00ED6A53" w:rsidRDefault="00B4620F" w:rsidP="003C4E50">
      <w:pPr>
        <w:autoSpaceDE w:val="0"/>
        <w:autoSpaceDN w:val="0"/>
        <w:adjustRightInd w:val="0"/>
        <w:spacing w:after="0" w:line="240" w:lineRule="auto"/>
        <w:jc w:val="both"/>
        <w:rPr>
          <w:rFonts w:ascii="Arial" w:eastAsia="Calibri" w:hAnsi="Arial" w:cs="Arial"/>
          <w:color w:val="000000"/>
          <w:sz w:val="24"/>
          <w:szCs w:val="24"/>
        </w:rPr>
      </w:pPr>
    </w:p>
    <w:p w14:paraId="1B8DC85A" w14:textId="744D2465" w:rsidR="00B4620F" w:rsidRPr="00ED6A53" w:rsidRDefault="00B4620F" w:rsidP="003C4E50">
      <w:pPr>
        <w:autoSpaceDE w:val="0"/>
        <w:autoSpaceDN w:val="0"/>
        <w:adjustRightInd w:val="0"/>
        <w:spacing w:after="0" w:line="240" w:lineRule="auto"/>
        <w:ind w:left="540" w:hanging="540"/>
        <w:jc w:val="both"/>
        <w:rPr>
          <w:rFonts w:ascii="Arial" w:eastAsia="Calibri" w:hAnsi="Arial" w:cs="Arial"/>
          <w:color w:val="000000"/>
          <w:sz w:val="24"/>
          <w:szCs w:val="24"/>
        </w:rPr>
      </w:pPr>
      <w:r w:rsidRPr="00ED6A53">
        <w:rPr>
          <w:rFonts w:ascii="Arial" w:eastAsia="Calibri" w:hAnsi="Arial" w:cs="Arial"/>
          <w:color w:val="000000"/>
          <w:sz w:val="24"/>
          <w:szCs w:val="24"/>
        </w:rPr>
        <w:t>Saeed, M, Higginbotham, S, Rogan, E</w:t>
      </w:r>
      <w:r w:rsidR="00B97AFC">
        <w:rPr>
          <w:rFonts w:ascii="Arial" w:eastAsia="Calibri" w:hAnsi="Arial" w:cs="Arial"/>
          <w:color w:val="000000"/>
          <w:sz w:val="24"/>
          <w:szCs w:val="24"/>
        </w:rPr>
        <w:t xml:space="preserve"> </w:t>
      </w:r>
      <w:r w:rsidRPr="00ED6A53">
        <w:rPr>
          <w:rFonts w:ascii="Arial" w:eastAsia="Calibri" w:hAnsi="Arial" w:cs="Arial"/>
          <w:color w:val="000000"/>
          <w:sz w:val="24"/>
          <w:szCs w:val="24"/>
        </w:rPr>
        <w:t>and Cavalieri,</w:t>
      </w:r>
      <w:r w:rsidR="00B97AFC">
        <w:rPr>
          <w:rFonts w:ascii="Arial" w:eastAsia="Calibri" w:hAnsi="Arial" w:cs="Arial"/>
          <w:color w:val="000000"/>
          <w:sz w:val="24"/>
          <w:szCs w:val="24"/>
        </w:rPr>
        <w:t xml:space="preserve"> </w:t>
      </w:r>
      <w:r w:rsidRPr="00ED6A53">
        <w:rPr>
          <w:rFonts w:ascii="Arial" w:eastAsia="Calibri" w:hAnsi="Arial" w:cs="Arial"/>
          <w:color w:val="000000"/>
          <w:sz w:val="24"/>
          <w:szCs w:val="24"/>
        </w:rPr>
        <w:t>E</w:t>
      </w:r>
      <w:r w:rsidR="00B97AFC">
        <w:rPr>
          <w:rFonts w:ascii="Arial" w:eastAsia="Calibri" w:hAnsi="Arial" w:cs="Arial"/>
          <w:color w:val="000000"/>
          <w:sz w:val="24"/>
          <w:szCs w:val="24"/>
        </w:rPr>
        <w:t xml:space="preserve"> </w:t>
      </w:r>
      <w:r w:rsidRPr="00ED6A53">
        <w:rPr>
          <w:rFonts w:ascii="Arial" w:eastAsia="Calibri" w:hAnsi="Arial" w:cs="Arial"/>
          <w:color w:val="000000"/>
          <w:sz w:val="24"/>
          <w:szCs w:val="24"/>
        </w:rPr>
        <w:t>(2007).</w:t>
      </w:r>
      <w:r w:rsidR="00B97AFC">
        <w:rPr>
          <w:rFonts w:ascii="Arial" w:eastAsia="Calibri" w:hAnsi="Arial" w:cs="Arial"/>
          <w:color w:val="000000"/>
          <w:sz w:val="24"/>
          <w:szCs w:val="24"/>
        </w:rPr>
        <w:t xml:space="preserve"> </w:t>
      </w:r>
      <w:r w:rsidRPr="00ED6A53">
        <w:rPr>
          <w:rFonts w:ascii="Arial" w:eastAsia="Calibri" w:hAnsi="Arial" w:cs="Arial"/>
          <w:color w:val="000000"/>
          <w:sz w:val="24"/>
          <w:szCs w:val="24"/>
        </w:rPr>
        <w:t>Formation of depurinating N</w:t>
      </w:r>
      <w:r w:rsidRPr="00ED6A53">
        <w:rPr>
          <w:rFonts w:ascii="Arial" w:eastAsia="Calibri" w:hAnsi="Arial" w:cs="Arial"/>
          <w:color w:val="000000"/>
          <w:sz w:val="24"/>
          <w:szCs w:val="24"/>
          <w:vertAlign w:val="superscript"/>
        </w:rPr>
        <w:t>3</w:t>
      </w:r>
      <w:r w:rsidRPr="00ED6A53">
        <w:rPr>
          <w:rFonts w:ascii="Arial" w:eastAsia="Calibri" w:hAnsi="Arial" w:cs="Arial"/>
          <w:color w:val="000000"/>
          <w:sz w:val="24"/>
          <w:szCs w:val="24"/>
        </w:rPr>
        <w:t>adenine and N</w:t>
      </w:r>
      <w:r w:rsidRPr="00ED6A53">
        <w:rPr>
          <w:rFonts w:ascii="Arial" w:eastAsia="Calibri" w:hAnsi="Arial" w:cs="Arial"/>
          <w:color w:val="000000"/>
          <w:sz w:val="24"/>
          <w:szCs w:val="24"/>
          <w:vertAlign w:val="superscript"/>
        </w:rPr>
        <w:t>7</w:t>
      </w:r>
      <w:r w:rsidRPr="00ED6A53">
        <w:rPr>
          <w:rFonts w:ascii="Arial" w:eastAsia="Calibri" w:hAnsi="Arial" w:cs="Arial"/>
          <w:color w:val="000000"/>
          <w:sz w:val="24"/>
          <w:szCs w:val="24"/>
        </w:rPr>
        <w:t xml:space="preserve">guanine adducts after reaction of 1,2-naphthoquinone or enzyme-activated 1,2-dihydroxynaphthalene with </w:t>
      </w:r>
      <w:smartTag w:uri="urn:schemas-microsoft-com:office:smarttags" w:element="stockticker">
        <w:r w:rsidRPr="00ED6A53">
          <w:rPr>
            <w:rFonts w:ascii="Arial" w:eastAsia="Calibri" w:hAnsi="Arial" w:cs="Arial"/>
            <w:color w:val="000000"/>
            <w:sz w:val="24"/>
            <w:szCs w:val="24"/>
          </w:rPr>
          <w:t>DNA</w:t>
        </w:r>
      </w:smartTag>
      <w:r w:rsidRPr="00ED6A53">
        <w:rPr>
          <w:rFonts w:ascii="Arial" w:eastAsia="Calibri" w:hAnsi="Arial" w:cs="Arial"/>
          <w:color w:val="000000"/>
          <w:sz w:val="24"/>
          <w:szCs w:val="24"/>
        </w:rPr>
        <w:t xml:space="preserve">. Implications for </w:t>
      </w:r>
      <w:r w:rsidR="0086048C" w:rsidRPr="00ED6A53">
        <w:rPr>
          <w:rFonts w:ascii="Arial" w:eastAsia="Calibri" w:hAnsi="Arial" w:cs="Arial"/>
          <w:color w:val="000000"/>
          <w:sz w:val="24"/>
          <w:szCs w:val="24"/>
        </w:rPr>
        <w:t>the mechanism</w:t>
      </w:r>
      <w:r w:rsidRPr="00ED6A53">
        <w:rPr>
          <w:rFonts w:ascii="Arial" w:eastAsia="Calibri" w:hAnsi="Arial" w:cs="Arial"/>
          <w:color w:val="000000"/>
          <w:sz w:val="24"/>
          <w:szCs w:val="24"/>
        </w:rPr>
        <w:t xml:space="preserve"> of tumor initiation by naphthalene</w:t>
      </w:r>
      <w:r w:rsidRPr="00ED6A53">
        <w:rPr>
          <w:rFonts w:ascii="Arial" w:eastAsia="Calibri" w:hAnsi="Arial" w:cs="Arial"/>
          <w:i/>
          <w:color w:val="000000"/>
          <w:sz w:val="24"/>
          <w:szCs w:val="24"/>
        </w:rPr>
        <w:t xml:space="preserve">, Chem Biol Interact </w:t>
      </w:r>
      <w:r w:rsidRPr="00ED6A53">
        <w:rPr>
          <w:rFonts w:ascii="Arial" w:eastAsia="Calibri" w:hAnsi="Arial" w:cs="Arial"/>
          <w:b/>
          <w:color w:val="000000"/>
          <w:sz w:val="24"/>
          <w:szCs w:val="24"/>
        </w:rPr>
        <w:t>165</w:t>
      </w:r>
      <w:r w:rsidRPr="00ED6A53">
        <w:rPr>
          <w:rFonts w:ascii="Arial" w:eastAsia="Calibri" w:hAnsi="Arial" w:cs="Arial"/>
          <w:color w:val="000000"/>
          <w:sz w:val="24"/>
          <w:szCs w:val="24"/>
        </w:rPr>
        <w:t>, 175-188.</w:t>
      </w:r>
    </w:p>
    <w:p w14:paraId="294BE8A8" w14:textId="77777777" w:rsidR="00B4620F" w:rsidRPr="00ED6A53" w:rsidRDefault="00B4620F" w:rsidP="003C4E50">
      <w:pPr>
        <w:autoSpaceDE w:val="0"/>
        <w:autoSpaceDN w:val="0"/>
        <w:adjustRightInd w:val="0"/>
        <w:spacing w:after="0" w:line="240" w:lineRule="auto"/>
        <w:jc w:val="both"/>
        <w:rPr>
          <w:rFonts w:ascii="Arial" w:eastAsia="Calibri" w:hAnsi="Arial" w:cs="Arial"/>
          <w:color w:val="000000"/>
          <w:sz w:val="24"/>
          <w:szCs w:val="24"/>
        </w:rPr>
      </w:pPr>
    </w:p>
    <w:p w14:paraId="60294534" w14:textId="6E9F62ED" w:rsidR="00B4620F" w:rsidRDefault="00B4620F" w:rsidP="003C4E50">
      <w:pPr>
        <w:spacing w:after="0" w:line="240" w:lineRule="auto"/>
        <w:ind w:left="540" w:hanging="540"/>
        <w:jc w:val="both"/>
        <w:rPr>
          <w:rFonts w:ascii="Arial" w:eastAsia="Calibri" w:hAnsi="Arial" w:cs="Arial"/>
          <w:sz w:val="24"/>
          <w:szCs w:val="24"/>
        </w:rPr>
      </w:pPr>
      <w:r w:rsidRPr="00ED6A53">
        <w:rPr>
          <w:rFonts w:ascii="Arial" w:eastAsia="Calibri" w:hAnsi="Arial" w:cs="Arial"/>
          <w:sz w:val="24"/>
          <w:szCs w:val="24"/>
        </w:rPr>
        <w:t>Schreiner, CA</w:t>
      </w:r>
      <w:r w:rsidR="00B97AFC">
        <w:rPr>
          <w:rFonts w:ascii="Arial" w:eastAsia="Calibri" w:hAnsi="Arial" w:cs="Arial"/>
          <w:sz w:val="24"/>
          <w:szCs w:val="24"/>
        </w:rPr>
        <w:t xml:space="preserve"> </w:t>
      </w:r>
      <w:r w:rsidRPr="00ED6A53">
        <w:rPr>
          <w:rFonts w:ascii="Arial" w:eastAsia="Calibri" w:hAnsi="Arial" w:cs="Arial"/>
          <w:sz w:val="24"/>
          <w:szCs w:val="24"/>
        </w:rPr>
        <w:t>(2003).  Genetic toxicity of naphthalene: a review</w:t>
      </w:r>
      <w:r w:rsidR="00704BF7" w:rsidRPr="00ED6A53">
        <w:rPr>
          <w:rFonts w:ascii="Arial" w:eastAsia="Calibri" w:hAnsi="Arial" w:cs="Arial"/>
          <w:sz w:val="24"/>
          <w:szCs w:val="24"/>
        </w:rPr>
        <w:t xml:space="preserve">. </w:t>
      </w:r>
      <w:r w:rsidRPr="00ED6A53">
        <w:rPr>
          <w:rFonts w:ascii="Arial" w:eastAsia="Calibri" w:hAnsi="Arial" w:cs="Arial"/>
          <w:i/>
          <w:sz w:val="24"/>
          <w:szCs w:val="24"/>
        </w:rPr>
        <w:t>J Toxicol Environ Health B Crit Rev.</w:t>
      </w:r>
      <w:r w:rsidRPr="00ED6A53">
        <w:rPr>
          <w:rFonts w:ascii="Arial" w:eastAsia="Calibri" w:hAnsi="Arial" w:cs="Arial"/>
          <w:sz w:val="24"/>
          <w:szCs w:val="24"/>
        </w:rPr>
        <w:t xml:space="preserve"> </w:t>
      </w:r>
      <w:r w:rsidRPr="00ED6A53">
        <w:rPr>
          <w:rFonts w:ascii="Arial" w:eastAsia="Calibri" w:hAnsi="Arial" w:cs="Arial"/>
          <w:b/>
          <w:sz w:val="24"/>
          <w:szCs w:val="24"/>
        </w:rPr>
        <w:t>6</w:t>
      </w:r>
      <w:r w:rsidRPr="00ED6A53">
        <w:rPr>
          <w:rFonts w:ascii="Arial" w:eastAsia="Calibri" w:hAnsi="Arial" w:cs="Arial"/>
          <w:sz w:val="24"/>
          <w:szCs w:val="24"/>
        </w:rPr>
        <w:t xml:space="preserve">,161-83. </w:t>
      </w:r>
    </w:p>
    <w:p w14:paraId="4ACBC2A0" w14:textId="77777777" w:rsidR="00183CDC" w:rsidRDefault="00183CDC" w:rsidP="003C4E50">
      <w:pPr>
        <w:spacing w:after="0" w:line="240" w:lineRule="auto"/>
        <w:ind w:left="540" w:hanging="540"/>
        <w:jc w:val="both"/>
        <w:rPr>
          <w:rFonts w:ascii="Arial" w:eastAsia="Calibri" w:hAnsi="Arial" w:cs="Arial"/>
          <w:sz w:val="24"/>
          <w:szCs w:val="24"/>
        </w:rPr>
      </w:pPr>
    </w:p>
    <w:p w14:paraId="0185A9A0" w14:textId="77777777" w:rsidR="00183CDC" w:rsidRDefault="00183CDC" w:rsidP="00183CDC">
      <w:pPr>
        <w:autoSpaceDE w:val="0"/>
        <w:autoSpaceDN w:val="0"/>
        <w:adjustRightInd w:val="0"/>
        <w:spacing w:after="0" w:line="240" w:lineRule="auto"/>
        <w:ind w:left="720" w:hanging="720"/>
        <w:jc w:val="both"/>
        <w:rPr>
          <w:rFonts w:ascii="Arial" w:eastAsia="Calibri" w:hAnsi="Arial" w:cs="Arial"/>
          <w:color w:val="000000"/>
          <w:sz w:val="24"/>
          <w:szCs w:val="24"/>
        </w:rPr>
      </w:pPr>
      <w:r w:rsidRPr="00F528DC">
        <w:rPr>
          <w:rFonts w:ascii="Arial" w:eastAsia="Calibri" w:hAnsi="Arial" w:cs="Arial"/>
          <w:color w:val="000000"/>
          <w:sz w:val="24"/>
          <w:szCs w:val="24"/>
        </w:rPr>
        <w:t>Schwarz</w:t>
      </w:r>
      <w:r>
        <w:rPr>
          <w:rFonts w:ascii="Arial" w:eastAsia="Calibri" w:hAnsi="Arial" w:cs="Arial"/>
          <w:color w:val="000000"/>
          <w:sz w:val="24"/>
          <w:szCs w:val="24"/>
        </w:rPr>
        <w:t xml:space="preserve"> LR, </w:t>
      </w:r>
      <w:r w:rsidRPr="00F528DC">
        <w:rPr>
          <w:rFonts w:ascii="Arial" w:eastAsia="Calibri" w:hAnsi="Arial" w:cs="Arial"/>
          <w:color w:val="000000"/>
          <w:sz w:val="24"/>
          <w:szCs w:val="24"/>
        </w:rPr>
        <w:t>Mezger</w:t>
      </w:r>
      <w:r>
        <w:rPr>
          <w:rFonts w:ascii="Arial" w:eastAsia="Calibri" w:hAnsi="Arial" w:cs="Arial"/>
          <w:color w:val="000000"/>
          <w:sz w:val="24"/>
          <w:szCs w:val="24"/>
        </w:rPr>
        <w:t xml:space="preserve"> M</w:t>
      </w:r>
      <w:r w:rsidRPr="00F528DC">
        <w:rPr>
          <w:rFonts w:ascii="Arial" w:eastAsia="Calibri" w:hAnsi="Arial" w:cs="Arial"/>
          <w:color w:val="000000"/>
          <w:sz w:val="24"/>
          <w:szCs w:val="24"/>
        </w:rPr>
        <w:t>,</w:t>
      </w:r>
      <w:r>
        <w:rPr>
          <w:rFonts w:ascii="Arial" w:eastAsia="Calibri" w:hAnsi="Arial" w:cs="Arial"/>
          <w:color w:val="000000"/>
          <w:sz w:val="24"/>
          <w:szCs w:val="24"/>
        </w:rPr>
        <w:t xml:space="preserve"> </w:t>
      </w:r>
      <w:r w:rsidRPr="00F528DC">
        <w:rPr>
          <w:rFonts w:ascii="Arial" w:eastAsia="Calibri" w:hAnsi="Arial" w:cs="Arial"/>
          <w:color w:val="000000"/>
          <w:sz w:val="24"/>
          <w:szCs w:val="24"/>
        </w:rPr>
        <w:t>Hesse</w:t>
      </w:r>
      <w:r>
        <w:rPr>
          <w:rFonts w:ascii="Arial" w:eastAsia="Calibri" w:hAnsi="Arial" w:cs="Arial"/>
          <w:color w:val="000000"/>
          <w:sz w:val="24"/>
          <w:szCs w:val="24"/>
        </w:rPr>
        <w:t xml:space="preserve"> S (1980) </w:t>
      </w:r>
      <w:r w:rsidRPr="00F528DC">
        <w:rPr>
          <w:rFonts w:ascii="Arial" w:eastAsia="Calibri" w:hAnsi="Arial" w:cs="Arial"/>
          <w:color w:val="000000"/>
          <w:sz w:val="24"/>
          <w:szCs w:val="24"/>
        </w:rPr>
        <w:t>Effect of decreased glucuronidation and sulfation on covalent binding of naphthalene in isolated rat hepatocytes</w:t>
      </w:r>
      <w:r>
        <w:rPr>
          <w:rFonts w:ascii="Arial" w:eastAsia="Calibri" w:hAnsi="Arial" w:cs="Arial"/>
          <w:color w:val="000000"/>
          <w:sz w:val="24"/>
          <w:szCs w:val="24"/>
        </w:rPr>
        <w:t xml:space="preserve">. </w:t>
      </w:r>
      <w:r w:rsidRPr="00183CDC">
        <w:rPr>
          <w:rFonts w:ascii="Arial" w:eastAsia="Calibri" w:hAnsi="Arial" w:cs="Arial"/>
          <w:i/>
          <w:iCs/>
          <w:color w:val="000000"/>
          <w:sz w:val="24"/>
          <w:szCs w:val="24"/>
        </w:rPr>
        <w:t>Toxicology</w:t>
      </w:r>
      <w:r>
        <w:rPr>
          <w:rFonts w:ascii="Arial" w:eastAsia="Calibri" w:hAnsi="Arial" w:cs="Arial"/>
          <w:color w:val="000000"/>
          <w:sz w:val="24"/>
          <w:szCs w:val="24"/>
        </w:rPr>
        <w:t xml:space="preserve"> </w:t>
      </w:r>
      <w:r w:rsidRPr="00F528DC">
        <w:rPr>
          <w:rFonts w:ascii="Arial" w:eastAsia="Calibri" w:hAnsi="Arial" w:cs="Arial"/>
          <w:color w:val="000000"/>
          <w:sz w:val="24"/>
          <w:szCs w:val="24"/>
        </w:rPr>
        <w:t>17(2):119-22.</w:t>
      </w:r>
    </w:p>
    <w:p w14:paraId="31A032B9" w14:textId="77777777" w:rsidR="00AB7047" w:rsidRDefault="00AB7047" w:rsidP="00AB7047">
      <w:pPr>
        <w:autoSpaceDE w:val="0"/>
        <w:autoSpaceDN w:val="0"/>
        <w:adjustRightInd w:val="0"/>
        <w:spacing w:after="0" w:line="240" w:lineRule="auto"/>
        <w:ind w:left="540"/>
        <w:jc w:val="both"/>
        <w:rPr>
          <w:rFonts w:ascii="Arial" w:eastAsia="Calibri" w:hAnsi="Arial" w:cs="Arial"/>
          <w:color w:val="000000"/>
          <w:sz w:val="24"/>
          <w:szCs w:val="24"/>
        </w:rPr>
      </w:pPr>
    </w:p>
    <w:p w14:paraId="519C32AD" w14:textId="0AE5DD15" w:rsidR="00AB7047" w:rsidRDefault="00AB7047" w:rsidP="00AB7047">
      <w:pPr>
        <w:autoSpaceDE w:val="0"/>
        <w:autoSpaceDN w:val="0"/>
        <w:adjustRightInd w:val="0"/>
        <w:spacing w:after="0" w:line="240" w:lineRule="auto"/>
        <w:ind w:left="540" w:hanging="540"/>
        <w:jc w:val="both"/>
        <w:rPr>
          <w:rFonts w:ascii="Arial" w:eastAsia="Calibri" w:hAnsi="Arial" w:cs="Arial"/>
          <w:color w:val="000000"/>
          <w:sz w:val="24"/>
          <w:szCs w:val="24"/>
        </w:rPr>
      </w:pPr>
      <w:r w:rsidRPr="007976AE">
        <w:rPr>
          <w:rFonts w:ascii="Arial" w:eastAsia="Calibri" w:hAnsi="Arial" w:cs="Arial"/>
          <w:color w:val="000000"/>
          <w:sz w:val="24"/>
          <w:szCs w:val="24"/>
        </w:rPr>
        <w:t>Sina</w:t>
      </w:r>
      <w:r>
        <w:rPr>
          <w:rFonts w:ascii="Arial" w:eastAsia="Calibri" w:hAnsi="Arial" w:cs="Arial"/>
          <w:color w:val="000000"/>
          <w:sz w:val="24"/>
          <w:szCs w:val="24"/>
        </w:rPr>
        <w:t xml:space="preserve"> JF</w:t>
      </w:r>
      <w:r w:rsidRPr="007976AE">
        <w:rPr>
          <w:rFonts w:ascii="Arial" w:eastAsia="Calibri" w:hAnsi="Arial" w:cs="Arial"/>
          <w:color w:val="000000"/>
          <w:sz w:val="24"/>
          <w:szCs w:val="24"/>
        </w:rPr>
        <w:t>, Bean</w:t>
      </w:r>
      <w:r>
        <w:rPr>
          <w:rFonts w:ascii="Arial" w:eastAsia="Calibri" w:hAnsi="Arial" w:cs="Arial"/>
          <w:color w:val="000000"/>
          <w:sz w:val="24"/>
          <w:szCs w:val="24"/>
        </w:rPr>
        <w:t xml:space="preserve"> CL</w:t>
      </w:r>
      <w:r w:rsidRPr="007976AE">
        <w:rPr>
          <w:rFonts w:ascii="Arial" w:eastAsia="Calibri" w:hAnsi="Arial" w:cs="Arial"/>
          <w:color w:val="000000"/>
          <w:sz w:val="24"/>
          <w:szCs w:val="24"/>
        </w:rPr>
        <w:t>, Dysart</w:t>
      </w:r>
      <w:r>
        <w:rPr>
          <w:rFonts w:ascii="Arial" w:eastAsia="Calibri" w:hAnsi="Arial" w:cs="Arial"/>
          <w:color w:val="000000"/>
          <w:sz w:val="24"/>
          <w:szCs w:val="24"/>
        </w:rPr>
        <w:t xml:space="preserve"> GR</w:t>
      </w:r>
      <w:r w:rsidRPr="007976AE">
        <w:rPr>
          <w:rFonts w:ascii="Arial" w:eastAsia="Calibri" w:hAnsi="Arial" w:cs="Arial"/>
          <w:color w:val="000000"/>
          <w:sz w:val="24"/>
          <w:szCs w:val="24"/>
        </w:rPr>
        <w:t xml:space="preserve">, </w:t>
      </w:r>
      <w:r>
        <w:rPr>
          <w:rFonts w:ascii="Arial" w:eastAsia="Calibri" w:hAnsi="Arial" w:cs="Arial"/>
          <w:color w:val="000000"/>
          <w:sz w:val="24"/>
          <w:szCs w:val="24"/>
        </w:rPr>
        <w:t>T</w:t>
      </w:r>
      <w:r w:rsidRPr="007976AE">
        <w:rPr>
          <w:rFonts w:ascii="Arial" w:eastAsia="Calibri" w:hAnsi="Arial" w:cs="Arial"/>
          <w:color w:val="000000"/>
          <w:sz w:val="24"/>
          <w:szCs w:val="24"/>
        </w:rPr>
        <w:t xml:space="preserve">aylor </w:t>
      </w:r>
      <w:r>
        <w:rPr>
          <w:rFonts w:ascii="Arial" w:eastAsia="Calibri" w:hAnsi="Arial" w:cs="Arial"/>
          <w:color w:val="000000"/>
          <w:sz w:val="24"/>
          <w:szCs w:val="24"/>
        </w:rPr>
        <w:t xml:space="preserve">VI, </w:t>
      </w:r>
      <w:r w:rsidRPr="007976AE">
        <w:rPr>
          <w:rFonts w:ascii="Arial" w:eastAsia="Calibri" w:hAnsi="Arial" w:cs="Arial"/>
          <w:color w:val="000000"/>
          <w:sz w:val="24"/>
          <w:szCs w:val="24"/>
        </w:rPr>
        <w:t>M.O. Bradley</w:t>
      </w:r>
      <w:r>
        <w:rPr>
          <w:rFonts w:ascii="Arial" w:eastAsia="Calibri" w:hAnsi="Arial" w:cs="Arial"/>
          <w:color w:val="000000"/>
          <w:sz w:val="24"/>
          <w:szCs w:val="24"/>
        </w:rPr>
        <w:t xml:space="preserve"> MO</w:t>
      </w:r>
      <w:r w:rsidRPr="007976AE">
        <w:rPr>
          <w:rFonts w:ascii="Arial" w:eastAsia="Calibri" w:hAnsi="Arial" w:cs="Arial"/>
          <w:color w:val="000000"/>
          <w:sz w:val="24"/>
          <w:szCs w:val="24"/>
        </w:rPr>
        <w:t xml:space="preserve"> </w:t>
      </w:r>
      <w:r>
        <w:rPr>
          <w:rFonts w:ascii="Arial" w:eastAsia="Calibri" w:hAnsi="Arial" w:cs="Arial"/>
          <w:color w:val="000000"/>
          <w:sz w:val="24"/>
          <w:szCs w:val="24"/>
        </w:rPr>
        <w:t xml:space="preserve">(1983). </w:t>
      </w:r>
      <w:r w:rsidRPr="007976AE">
        <w:rPr>
          <w:rFonts w:ascii="Arial" w:eastAsia="Calibri" w:hAnsi="Arial" w:cs="Arial"/>
          <w:color w:val="000000"/>
          <w:sz w:val="24"/>
          <w:szCs w:val="24"/>
        </w:rPr>
        <w:t>Evaluation of the alkaline elution/rat hepatocyte assay as a</w:t>
      </w:r>
      <w:r>
        <w:rPr>
          <w:rFonts w:ascii="Arial" w:eastAsia="Calibri" w:hAnsi="Arial" w:cs="Arial"/>
          <w:color w:val="000000"/>
          <w:sz w:val="24"/>
          <w:szCs w:val="24"/>
        </w:rPr>
        <w:t xml:space="preserve"> </w:t>
      </w:r>
      <w:r w:rsidRPr="007976AE">
        <w:rPr>
          <w:rFonts w:ascii="Arial" w:eastAsia="Calibri" w:hAnsi="Arial" w:cs="Arial"/>
          <w:color w:val="000000"/>
          <w:sz w:val="24"/>
          <w:szCs w:val="24"/>
        </w:rPr>
        <w:t>predictor of carcinogenic/mutagenic potential</w:t>
      </w:r>
      <w:r>
        <w:rPr>
          <w:rFonts w:ascii="Arial" w:eastAsia="Calibri" w:hAnsi="Arial" w:cs="Arial"/>
          <w:color w:val="000000"/>
          <w:sz w:val="24"/>
          <w:szCs w:val="24"/>
        </w:rPr>
        <w:t xml:space="preserve">. </w:t>
      </w:r>
      <w:r w:rsidRPr="00AB7047">
        <w:rPr>
          <w:rFonts w:ascii="Arial" w:eastAsia="Calibri" w:hAnsi="Arial" w:cs="Arial"/>
          <w:i/>
          <w:iCs/>
          <w:color w:val="000000"/>
          <w:sz w:val="24"/>
          <w:szCs w:val="24"/>
        </w:rPr>
        <w:t>Mutat. Res.</w:t>
      </w:r>
      <w:r w:rsidRPr="007976AE">
        <w:rPr>
          <w:rFonts w:ascii="Arial" w:eastAsia="Calibri" w:hAnsi="Arial" w:cs="Arial"/>
          <w:color w:val="000000"/>
          <w:sz w:val="24"/>
          <w:szCs w:val="24"/>
        </w:rPr>
        <w:t>, 113 (1983) 357-391</w:t>
      </w:r>
      <w:r w:rsidR="00784B98">
        <w:rPr>
          <w:rFonts w:ascii="Arial" w:eastAsia="Calibri" w:hAnsi="Arial" w:cs="Arial"/>
          <w:color w:val="000000"/>
          <w:sz w:val="24"/>
          <w:szCs w:val="24"/>
        </w:rPr>
        <w:t>.</w:t>
      </w:r>
    </w:p>
    <w:p w14:paraId="27CECAA9" w14:textId="77777777" w:rsidR="00784B98" w:rsidRDefault="00784B98" w:rsidP="00AB7047">
      <w:pPr>
        <w:autoSpaceDE w:val="0"/>
        <w:autoSpaceDN w:val="0"/>
        <w:adjustRightInd w:val="0"/>
        <w:spacing w:after="0" w:line="240" w:lineRule="auto"/>
        <w:ind w:left="540" w:hanging="540"/>
        <w:jc w:val="both"/>
        <w:rPr>
          <w:rFonts w:ascii="Arial" w:eastAsia="Calibri" w:hAnsi="Arial" w:cs="Arial"/>
          <w:color w:val="000000"/>
          <w:sz w:val="24"/>
          <w:szCs w:val="24"/>
        </w:rPr>
      </w:pPr>
    </w:p>
    <w:p w14:paraId="1B0816F8" w14:textId="2501B354" w:rsidR="00784B98" w:rsidRPr="007976AE" w:rsidRDefault="00784B98" w:rsidP="00784B98">
      <w:pPr>
        <w:autoSpaceDE w:val="0"/>
        <w:autoSpaceDN w:val="0"/>
        <w:adjustRightInd w:val="0"/>
        <w:spacing w:after="0" w:line="240" w:lineRule="auto"/>
        <w:ind w:left="540" w:hanging="540"/>
        <w:jc w:val="both"/>
        <w:rPr>
          <w:rFonts w:ascii="Arial" w:eastAsia="Calibri" w:hAnsi="Arial" w:cs="Arial"/>
          <w:color w:val="000000"/>
          <w:sz w:val="24"/>
          <w:szCs w:val="24"/>
        </w:rPr>
      </w:pPr>
      <w:r w:rsidRPr="00784B98">
        <w:rPr>
          <w:rFonts w:ascii="Arial" w:eastAsia="Calibri" w:hAnsi="Arial" w:cs="Arial"/>
          <w:color w:val="000000"/>
          <w:sz w:val="24"/>
          <w:szCs w:val="24"/>
        </w:rPr>
        <w:t xml:space="preserve">Stucki AO, Barton-Maclaren TS, Bhuller Y, Henriquez JE, Henry TR, Hirn C, Miller-Holt J, Nagy EG, Perron MM, Ratzlaff DE, </w:t>
      </w:r>
      <w:proofErr w:type="spellStart"/>
      <w:r w:rsidRPr="00784B98">
        <w:rPr>
          <w:rFonts w:ascii="Arial" w:eastAsia="Calibri" w:hAnsi="Arial" w:cs="Arial"/>
          <w:color w:val="000000"/>
          <w:sz w:val="24"/>
          <w:szCs w:val="24"/>
        </w:rPr>
        <w:t>Stedeford</w:t>
      </w:r>
      <w:proofErr w:type="spellEnd"/>
      <w:r w:rsidRPr="00784B98">
        <w:rPr>
          <w:rFonts w:ascii="Arial" w:eastAsia="Calibri" w:hAnsi="Arial" w:cs="Arial"/>
          <w:color w:val="000000"/>
          <w:sz w:val="24"/>
          <w:szCs w:val="24"/>
        </w:rPr>
        <w:t xml:space="preserve"> TJ, Clippinger AJ.</w:t>
      </w:r>
      <w:r>
        <w:rPr>
          <w:rFonts w:ascii="Arial" w:eastAsia="Calibri" w:hAnsi="Arial" w:cs="Arial"/>
          <w:color w:val="000000"/>
          <w:sz w:val="24"/>
          <w:szCs w:val="24"/>
        </w:rPr>
        <w:t xml:space="preserve">(2022) </w:t>
      </w:r>
      <w:r w:rsidRPr="00784B98">
        <w:rPr>
          <w:rFonts w:ascii="Arial" w:eastAsia="Calibri" w:hAnsi="Arial" w:cs="Arial"/>
          <w:color w:val="000000"/>
          <w:sz w:val="24"/>
          <w:szCs w:val="24"/>
        </w:rPr>
        <w:t>Use of new approach methodologies (NAMs) to meet regulatory requirements for the assessment of industrial chemicals and pesticides for effects on human health.</w:t>
      </w:r>
      <w:r>
        <w:rPr>
          <w:rFonts w:ascii="Arial" w:eastAsia="Calibri" w:hAnsi="Arial" w:cs="Arial"/>
          <w:color w:val="000000"/>
          <w:sz w:val="24"/>
          <w:szCs w:val="24"/>
        </w:rPr>
        <w:t xml:space="preserve"> </w:t>
      </w:r>
      <w:r w:rsidRPr="00784B98">
        <w:rPr>
          <w:rFonts w:ascii="Arial" w:eastAsia="Calibri" w:hAnsi="Arial" w:cs="Arial"/>
          <w:i/>
          <w:iCs/>
          <w:color w:val="000000"/>
          <w:sz w:val="24"/>
          <w:szCs w:val="24"/>
        </w:rPr>
        <w:t>Front Toxicol.</w:t>
      </w:r>
      <w:r w:rsidRPr="00784B98">
        <w:rPr>
          <w:rFonts w:ascii="Arial" w:eastAsia="Calibri" w:hAnsi="Arial" w:cs="Arial"/>
          <w:color w:val="000000"/>
          <w:sz w:val="24"/>
          <w:szCs w:val="24"/>
        </w:rPr>
        <w:t xml:space="preserve"> 4:964553.</w:t>
      </w:r>
    </w:p>
    <w:p w14:paraId="7892E664" w14:textId="77777777" w:rsidR="00B4620F" w:rsidRPr="00ED6A53" w:rsidRDefault="00B4620F" w:rsidP="003C4E50">
      <w:pPr>
        <w:shd w:val="clear" w:color="auto" w:fill="FFFFFF"/>
        <w:spacing w:after="0" w:line="240" w:lineRule="auto"/>
        <w:ind w:left="540" w:hanging="540"/>
        <w:jc w:val="both"/>
        <w:rPr>
          <w:rFonts w:ascii="Arial" w:eastAsia="Times New Roman" w:hAnsi="Arial" w:cs="Arial"/>
          <w:i/>
          <w:iCs/>
          <w:color w:val="222222"/>
          <w:sz w:val="24"/>
          <w:szCs w:val="24"/>
          <w:lang w:val="en"/>
        </w:rPr>
      </w:pPr>
    </w:p>
    <w:p w14:paraId="369D81FD" w14:textId="77777777" w:rsidR="00B4620F" w:rsidRPr="00ED6A53" w:rsidRDefault="00B4620F" w:rsidP="003C4E50">
      <w:pPr>
        <w:autoSpaceDE w:val="0"/>
        <w:autoSpaceDN w:val="0"/>
        <w:adjustRightInd w:val="0"/>
        <w:spacing w:after="0" w:line="240" w:lineRule="auto"/>
        <w:jc w:val="both"/>
        <w:rPr>
          <w:rFonts w:ascii="Arial" w:eastAsia="Calibri" w:hAnsi="Arial" w:cs="Arial"/>
          <w:color w:val="000000"/>
          <w:sz w:val="24"/>
          <w:szCs w:val="24"/>
        </w:rPr>
      </w:pPr>
      <w:r w:rsidRPr="00ED6A53">
        <w:rPr>
          <w:rFonts w:ascii="Arial" w:eastAsia="Calibri" w:hAnsi="Arial" w:cs="Arial"/>
          <w:color w:val="000000"/>
          <w:sz w:val="24"/>
          <w:szCs w:val="24"/>
        </w:rPr>
        <w:t>US EPA Toxicological Review of Naphthalene, in Support of Summary Information</w:t>
      </w:r>
    </w:p>
    <w:p w14:paraId="5390A3E5" w14:textId="77777777" w:rsidR="00B4620F" w:rsidRPr="00ED6A53" w:rsidRDefault="00B4620F" w:rsidP="003C4E50">
      <w:pPr>
        <w:autoSpaceDE w:val="0"/>
        <w:autoSpaceDN w:val="0"/>
        <w:adjustRightInd w:val="0"/>
        <w:spacing w:after="0" w:line="240" w:lineRule="auto"/>
        <w:ind w:left="540"/>
        <w:jc w:val="both"/>
        <w:rPr>
          <w:rFonts w:ascii="Arial" w:eastAsia="Calibri" w:hAnsi="Arial" w:cs="Arial"/>
          <w:color w:val="000000"/>
          <w:sz w:val="24"/>
          <w:szCs w:val="24"/>
        </w:rPr>
      </w:pPr>
      <w:r w:rsidRPr="00ED6A53">
        <w:rPr>
          <w:rFonts w:ascii="Arial" w:eastAsia="Calibri" w:hAnsi="Arial" w:cs="Arial"/>
          <w:color w:val="000000"/>
          <w:sz w:val="24"/>
          <w:szCs w:val="24"/>
        </w:rPr>
        <w:t>on the Integrated Risk Information System (IRIS). US Environmental Protection</w:t>
      </w:r>
    </w:p>
    <w:p w14:paraId="6EEC71FD" w14:textId="77777777" w:rsidR="00B4620F" w:rsidRPr="00ED6A53" w:rsidRDefault="00B4620F" w:rsidP="003C4E50">
      <w:pPr>
        <w:autoSpaceDE w:val="0"/>
        <w:autoSpaceDN w:val="0"/>
        <w:adjustRightInd w:val="0"/>
        <w:spacing w:after="0" w:line="240" w:lineRule="auto"/>
        <w:ind w:left="540"/>
        <w:jc w:val="both"/>
        <w:rPr>
          <w:rFonts w:ascii="Arial" w:eastAsia="Calibri" w:hAnsi="Arial" w:cs="Arial"/>
          <w:color w:val="000000"/>
          <w:sz w:val="24"/>
          <w:szCs w:val="24"/>
        </w:rPr>
      </w:pPr>
      <w:r w:rsidRPr="00ED6A53">
        <w:rPr>
          <w:rFonts w:ascii="Arial" w:eastAsia="Calibri" w:hAnsi="Arial" w:cs="Arial"/>
          <w:color w:val="000000"/>
          <w:sz w:val="24"/>
          <w:szCs w:val="24"/>
        </w:rPr>
        <w:t>Agency, Office of Research and Development, NCEA-S-1707, External Review</w:t>
      </w:r>
    </w:p>
    <w:p w14:paraId="7FDDE307" w14:textId="40112624" w:rsidR="00B4620F" w:rsidRPr="00ED6A53" w:rsidRDefault="00B4620F" w:rsidP="003C4E50">
      <w:pPr>
        <w:autoSpaceDE w:val="0"/>
        <w:autoSpaceDN w:val="0"/>
        <w:adjustRightInd w:val="0"/>
        <w:spacing w:after="0" w:line="240" w:lineRule="auto"/>
        <w:ind w:left="540"/>
        <w:jc w:val="both"/>
        <w:rPr>
          <w:rFonts w:ascii="Arial" w:eastAsia="Calibri" w:hAnsi="Arial" w:cs="Arial"/>
          <w:color w:val="000000"/>
          <w:sz w:val="24"/>
          <w:szCs w:val="24"/>
        </w:rPr>
      </w:pPr>
      <w:r w:rsidRPr="00ED6A53">
        <w:rPr>
          <w:rFonts w:ascii="Arial" w:eastAsia="Calibri" w:hAnsi="Arial" w:cs="Arial"/>
          <w:color w:val="000000"/>
          <w:sz w:val="24"/>
          <w:szCs w:val="24"/>
        </w:rPr>
        <w:t>Draft. (2004a)</w:t>
      </w:r>
      <w:r w:rsidR="00704BF7" w:rsidRPr="00ED6A53">
        <w:rPr>
          <w:rFonts w:ascii="Arial" w:eastAsia="Calibri" w:hAnsi="Arial" w:cs="Arial"/>
          <w:color w:val="000000"/>
          <w:sz w:val="24"/>
          <w:szCs w:val="24"/>
        </w:rPr>
        <w:t xml:space="preserve">. </w:t>
      </w:r>
      <w:r w:rsidRPr="00ED6A53">
        <w:rPr>
          <w:rFonts w:ascii="Arial" w:eastAsia="Calibri" w:hAnsi="Arial" w:cs="Arial"/>
          <w:color w:val="000000"/>
          <w:sz w:val="24"/>
          <w:szCs w:val="24"/>
        </w:rPr>
        <w:t>Available at:</w:t>
      </w:r>
    </w:p>
    <w:p w14:paraId="7E5B87F0" w14:textId="77777777" w:rsidR="00B4620F" w:rsidRPr="00ED6A53" w:rsidRDefault="00B4620F" w:rsidP="003C4E50">
      <w:pPr>
        <w:autoSpaceDE w:val="0"/>
        <w:autoSpaceDN w:val="0"/>
        <w:adjustRightInd w:val="0"/>
        <w:spacing w:after="0" w:line="240" w:lineRule="auto"/>
        <w:ind w:left="540"/>
        <w:jc w:val="both"/>
        <w:rPr>
          <w:rFonts w:ascii="Arial" w:eastAsia="Calibri" w:hAnsi="Arial" w:cs="Arial"/>
          <w:color w:val="000000"/>
          <w:sz w:val="24"/>
          <w:szCs w:val="24"/>
        </w:rPr>
      </w:pPr>
      <w:r w:rsidRPr="00ED6A53">
        <w:rPr>
          <w:rFonts w:ascii="Arial" w:eastAsia="Calibri" w:hAnsi="Arial" w:cs="Arial"/>
          <w:color w:val="0000FF"/>
          <w:sz w:val="24"/>
          <w:szCs w:val="24"/>
        </w:rPr>
        <w:t>http://oaspub.epa.gov/eims/eimscomm.getfile?p_download_id=434727</w:t>
      </w:r>
      <w:r w:rsidRPr="00ED6A53">
        <w:rPr>
          <w:rFonts w:ascii="Arial" w:eastAsia="Calibri" w:hAnsi="Arial" w:cs="Arial"/>
          <w:color w:val="000000"/>
          <w:sz w:val="24"/>
          <w:szCs w:val="24"/>
        </w:rPr>
        <w:t xml:space="preserve">. </w:t>
      </w:r>
    </w:p>
    <w:p w14:paraId="187B00E5" w14:textId="77777777" w:rsidR="00B4620F" w:rsidRPr="00ED6A53" w:rsidRDefault="00B4620F" w:rsidP="003C4E50">
      <w:pPr>
        <w:autoSpaceDE w:val="0"/>
        <w:autoSpaceDN w:val="0"/>
        <w:adjustRightInd w:val="0"/>
        <w:spacing w:after="0" w:line="240" w:lineRule="auto"/>
        <w:ind w:left="540"/>
        <w:jc w:val="both"/>
        <w:rPr>
          <w:rFonts w:ascii="Arial" w:eastAsia="Calibri" w:hAnsi="Arial" w:cs="Arial"/>
          <w:color w:val="000000"/>
          <w:sz w:val="24"/>
          <w:szCs w:val="24"/>
        </w:rPr>
      </w:pPr>
    </w:p>
    <w:p w14:paraId="41DE0AA9" w14:textId="77777777" w:rsidR="00B4620F" w:rsidRPr="00ED6A53" w:rsidRDefault="00B4620F" w:rsidP="003C4E50">
      <w:pPr>
        <w:autoSpaceDE w:val="0"/>
        <w:autoSpaceDN w:val="0"/>
        <w:adjustRightInd w:val="0"/>
        <w:spacing w:after="0" w:line="240" w:lineRule="auto"/>
        <w:jc w:val="both"/>
        <w:rPr>
          <w:rFonts w:ascii="Arial" w:eastAsia="Calibri" w:hAnsi="Arial" w:cs="Arial"/>
          <w:color w:val="000000"/>
          <w:sz w:val="24"/>
          <w:szCs w:val="24"/>
        </w:rPr>
      </w:pPr>
      <w:r w:rsidRPr="00ED6A53">
        <w:rPr>
          <w:rFonts w:ascii="Arial" w:eastAsia="Calibri" w:hAnsi="Arial" w:cs="Arial"/>
          <w:color w:val="000000"/>
          <w:sz w:val="24"/>
          <w:szCs w:val="24"/>
        </w:rPr>
        <w:t>US EPA Environmental Protection Agency (EPA). (2004b). Summary Review of</w:t>
      </w:r>
    </w:p>
    <w:p w14:paraId="7E4BDB72" w14:textId="77777777" w:rsidR="00B4620F" w:rsidRPr="00ED6A53" w:rsidRDefault="00B4620F" w:rsidP="003C4E50">
      <w:pPr>
        <w:autoSpaceDE w:val="0"/>
        <w:autoSpaceDN w:val="0"/>
        <w:adjustRightInd w:val="0"/>
        <w:spacing w:after="0" w:line="240" w:lineRule="auto"/>
        <w:ind w:left="540"/>
        <w:jc w:val="both"/>
        <w:rPr>
          <w:rFonts w:ascii="Arial" w:eastAsia="Calibri" w:hAnsi="Arial" w:cs="Arial"/>
          <w:color w:val="000000"/>
          <w:sz w:val="24"/>
          <w:szCs w:val="24"/>
        </w:rPr>
      </w:pPr>
      <w:r w:rsidRPr="00ED6A53">
        <w:rPr>
          <w:rFonts w:ascii="Arial" w:eastAsia="Calibri" w:hAnsi="Arial" w:cs="Arial"/>
          <w:color w:val="000000"/>
          <w:sz w:val="24"/>
          <w:szCs w:val="24"/>
        </w:rPr>
        <w:t>Health Effects Associated with Naphthalene: Health Issue Assessment.,</w:t>
      </w:r>
    </w:p>
    <w:p w14:paraId="3F2E8D64" w14:textId="77777777" w:rsidR="00B4620F" w:rsidRPr="00ED6A53" w:rsidRDefault="00B4620F" w:rsidP="003C4E50">
      <w:pPr>
        <w:autoSpaceDE w:val="0"/>
        <w:autoSpaceDN w:val="0"/>
        <w:adjustRightInd w:val="0"/>
        <w:spacing w:after="0" w:line="240" w:lineRule="auto"/>
        <w:ind w:left="540"/>
        <w:jc w:val="both"/>
        <w:rPr>
          <w:rFonts w:ascii="Arial" w:eastAsia="Calibri" w:hAnsi="Arial" w:cs="Arial"/>
          <w:color w:val="000000"/>
          <w:sz w:val="24"/>
          <w:szCs w:val="24"/>
        </w:rPr>
      </w:pPr>
      <w:r w:rsidRPr="00ED6A53">
        <w:rPr>
          <w:rFonts w:ascii="Arial" w:eastAsia="Calibri" w:hAnsi="Arial" w:cs="Arial"/>
          <w:color w:val="000000"/>
          <w:sz w:val="24"/>
          <w:szCs w:val="24"/>
        </w:rPr>
        <w:t>EPA/600/8-87/055F (NTIS PB88172374). Available at:</w:t>
      </w:r>
    </w:p>
    <w:p w14:paraId="77F2FB3C" w14:textId="77777777" w:rsidR="00B4620F" w:rsidRPr="00ED6A53" w:rsidRDefault="00B4620F" w:rsidP="003C4E50">
      <w:pPr>
        <w:autoSpaceDE w:val="0"/>
        <w:autoSpaceDN w:val="0"/>
        <w:adjustRightInd w:val="0"/>
        <w:spacing w:after="0" w:line="240" w:lineRule="auto"/>
        <w:ind w:left="540"/>
        <w:jc w:val="both"/>
        <w:rPr>
          <w:rFonts w:ascii="Arial" w:eastAsia="Calibri" w:hAnsi="Arial" w:cs="Arial"/>
          <w:color w:val="000000"/>
          <w:sz w:val="24"/>
          <w:szCs w:val="24"/>
        </w:rPr>
      </w:pPr>
      <w:r w:rsidRPr="00ED6A53">
        <w:rPr>
          <w:rFonts w:ascii="Arial" w:eastAsia="Calibri" w:hAnsi="Arial" w:cs="Arial"/>
          <w:color w:val="0000FF"/>
          <w:sz w:val="24"/>
          <w:szCs w:val="24"/>
        </w:rPr>
        <w:t>http://oaspub.epa.gov/eims/eimscomm.getfile?p_download_id=434728</w:t>
      </w:r>
      <w:r w:rsidRPr="00ED6A53">
        <w:rPr>
          <w:rFonts w:ascii="Arial" w:eastAsia="Calibri" w:hAnsi="Arial" w:cs="Arial"/>
          <w:color w:val="000000"/>
          <w:sz w:val="24"/>
          <w:szCs w:val="24"/>
        </w:rPr>
        <w:t xml:space="preserve">. </w:t>
      </w:r>
    </w:p>
    <w:p w14:paraId="687D0EB3" w14:textId="77777777" w:rsidR="00B4620F" w:rsidRPr="00ED6A53" w:rsidRDefault="00B4620F" w:rsidP="003C4E50">
      <w:pPr>
        <w:autoSpaceDE w:val="0"/>
        <w:autoSpaceDN w:val="0"/>
        <w:adjustRightInd w:val="0"/>
        <w:spacing w:after="0" w:line="240" w:lineRule="auto"/>
        <w:jc w:val="both"/>
        <w:rPr>
          <w:rFonts w:ascii="Arial" w:eastAsia="Calibri" w:hAnsi="Arial" w:cs="Arial"/>
          <w:color w:val="000000"/>
          <w:sz w:val="24"/>
          <w:szCs w:val="24"/>
        </w:rPr>
      </w:pPr>
    </w:p>
    <w:p w14:paraId="17012CFD" w14:textId="30502D2A" w:rsidR="00B4620F" w:rsidRPr="00ED6A53" w:rsidRDefault="00B4620F" w:rsidP="00F528DC">
      <w:pPr>
        <w:autoSpaceDE w:val="0"/>
        <w:autoSpaceDN w:val="0"/>
        <w:adjustRightInd w:val="0"/>
        <w:spacing w:after="0" w:line="240" w:lineRule="auto"/>
        <w:ind w:left="720" w:hanging="720"/>
        <w:jc w:val="both"/>
        <w:rPr>
          <w:rFonts w:ascii="Arial" w:eastAsia="Calibri" w:hAnsi="Arial" w:cs="Arial"/>
          <w:color w:val="000000"/>
          <w:sz w:val="24"/>
          <w:szCs w:val="24"/>
        </w:rPr>
      </w:pPr>
      <w:r w:rsidRPr="00ED6A53">
        <w:rPr>
          <w:rFonts w:ascii="Arial" w:eastAsia="Calibri" w:hAnsi="Arial" w:cs="Arial"/>
          <w:color w:val="000000"/>
          <w:sz w:val="24"/>
          <w:szCs w:val="24"/>
        </w:rPr>
        <w:t>Wilson, AS, Davis, CD, Williams, D</w:t>
      </w:r>
      <w:r w:rsidR="00B97AFC">
        <w:rPr>
          <w:rFonts w:ascii="Arial" w:eastAsia="Calibri" w:hAnsi="Arial" w:cs="Arial"/>
          <w:color w:val="000000"/>
          <w:sz w:val="24"/>
          <w:szCs w:val="24"/>
        </w:rPr>
        <w:t>P</w:t>
      </w:r>
      <w:r w:rsidRPr="00ED6A53">
        <w:rPr>
          <w:rFonts w:ascii="Arial" w:eastAsia="Calibri" w:hAnsi="Arial" w:cs="Arial"/>
          <w:color w:val="000000"/>
          <w:sz w:val="24"/>
          <w:szCs w:val="24"/>
        </w:rPr>
        <w:t xml:space="preserve">, Buckpitt, AR, </w:t>
      </w:r>
      <w:proofErr w:type="spellStart"/>
      <w:r w:rsidRPr="00ED6A53">
        <w:rPr>
          <w:rFonts w:ascii="Arial" w:eastAsia="Calibri" w:hAnsi="Arial" w:cs="Arial"/>
          <w:color w:val="000000"/>
          <w:sz w:val="24"/>
          <w:szCs w:val="24"/>
        </w:rPr>
        <w:t>Pirmohamed</w:t>
      </w:r>
      <w:proofErr w:type="spellEnd"/>
      <w:r w:rsidRPr="00ED6A53">
        <w:rPr>
          <w:rFonts w:ascii="Arial" w:eastAsia="Calibri" w:hAnsi="Arial" w:cs="Arial"/>
          <w:color w:val="000000"/>
          <w:sz w:val="24"/>
          <w:szCs w:val="24"/>
        </w:rPr>
        <w:t xml:space="preserve">, M and </w:t>
      </w:r>
      <w:r w:rsidR="00B97AFC">
        <w:rPr>
          <w:rFonts w:ascii="Arial" w:eastAsia="Calibri" w:hAnsi="Arial" w:cs="Arial"/>
          <w:color w:val="000000"/>
          <w:sz w:val="24"/>
          <w:szCs w:val="24"/>
        </w:rPr>
        <w:t xml:space="preserve"> </w:t>
      </w:r>
      <w:r w:rsidRPr="00ED6A53">
        <w:rPr>
          <w:rFonts w:ascii="Arial" w:eastAsia="Calibri" w:hAnsi="Arial" w:cs="Arial"/>
          <w:color w:val="000000"/>
          <w:sz w:val="24"/>
          <w:szCs w:val="24"/>
        </w:rPr>
        <w:t xml:space="preserve">Park, </w:t>
      </w:r>
      <w:r w:rsidR="00704BF7" w:rsidRPr="00ED6A53">
        <w:rPr>
          <w:rFonts w:ascii="Arial" w:eastAsia="Calibri" w:hAnsi="Arial" w:cs="Arial"/>
          <w:color w:val="000000"/>
          <w:sz w:val="24"/>
          <w:szCs w:val="24"/>
        </w:rPr>
        <w:t xml:space="preserve">BK </w:t>
      </w:r>
      <w:r w:rsidRPr="00ED6A53">
        <w:rPr>
          <w:rFonts w:ascii="Arial" w:eastAsia="Calibri" w:hAnsi="Arial" w:cs="Arial"/>
          <w:color w:val="000000"/>
          <w:sz w:val="24"/>
          <w:szCs w:val="24"/>
        </w:rPr>
        <w:t xml:space="preserve">(1996). Characterisation of the toxic metabolite(s) of naphthalene, </w:t>
      </w:r>
      <w:r w:rsidRPr="00ED6A53">
        <w:rPr>
          <w:rFonts w:ascii="Arial" w:eastAsia="Calibri" w:hAnsi="Arial" w:cs="Arial"/>
          <w:i/>
          <w:color w:val="000000"/>
          <w:sz w:val="24"/>
          <w:szCs w:val="24"/>
        </w:rPr>
        <w:t xml:space="preserve">Toxicology </w:t>
      </w:r>
      <w:r w:rsidRPr="00ED6A53">
        <w:rPr>
          <w:rFonts w:ascii="Arial" w:eastAsia="Calibri" w:hAnsi="Arial" w:cs="Arial"/>
          <w:b/>
          <w:color w:val="000000"/>
          <w:sz w:val="24"/>
          <w:szCs w:val="24"/>
        </w:rPr>
        <w:t>114</w:t>
      </w:r>
      <w:r w:rsidRPr="00ED6A53">
        <w:rPr>
          <w:rFonts w:ascii="Arial" w:eastAsia="Calibri" w:hAnsi="Arial" w:cs="Arial"/>
          <w:color w:val="000000"/>
          <w:sz w:val="24"/>
          <w:szCs w:val="24"/>
        </w:rPr>
        <w:t>, 233-242.</w:t>
      </w:r>
    </w:p>
    <w:p w14:paraId="38EF7CBA" w14:textId="77777777" w:rsidR="000424AE" w:rsidRPr="00ED6A53" w:rsidRDefault="000424AE" w:rsidP="000424AE">
      <w:pPr>
        <w:autoSpaceDE w:val="0"/>
        <w:autoSpaceDN w:val="0"/>
        <w:adjustRightInd w:val="0"/>
        <w:spacing w:after="0" w:line="240" w:lineRule="auto"/>
        <w:ind w:left="540"/>
        <w:jc w:val="both"/>
        <w:rPr>
          <w:rFonts w:ascii="Arial" w:eastAsia="Calibri" w:hAnsi="Arial" w:cs="Arial"/>
          <w:color w:val="000000"/>
          <w:sz w:val="24"/>
          <w:szCs w:val="24"/>
        </w:rPr>
      </w:pPr>
    </w:p>
    <w:p w14:paraId="13EE63AA" w14:textId="77777777" w:rsidR="000424AE" w:rsidRPr="00ED6A53" w:rsidRDefault="000424AE" w:rsidP="000424AE">
      <w:pPr>
        <w:autoSpaceDE w:val="0"/>
        <w:autoSpaceDN w:val="0"/>
        <w:adjustRightInd w:val="0"/>
        <w:spacing w:after="0" w:line="240" w:lineRule="auto"/>
        <w:ind w:left="540"/>
        <w:jc w:val="both"/>
        <w:rPr>
          <w:rFonts w:ascii="Arial" w:eastAsia="Calibri" w:hAnsi="Arial" w:cs="Arial"/>
          <w:color w:val="000000"/>
          <w:sz w:val="24"/>
          <w:szCs w:val="24"/>
        </w:rPr>
      </w:pPr>
    </w:p>
    <w:p w14:paraId="7E3BF65A" w14:textId="57997319" w:rsidR="007976AE" w:rsidRPr="007976AE" w:rsidRDefault="007976AE" w:rsidP="007976AE">
      <w:pPr>
        <w:autoSpaceDE w:val="0"/>
        <w:autoSpaceDN w:val="0"/>
        <w:adjustRightInd w:val="0"/>
        <w:spacing w:after="0" w:line="240" w:lineRule="auto"/>
        <w:ind w:left="540"/>
        <w:jc w:val="both"/>
        <w:rPr>
          <w:rFonts w:ascii="Arial" w:eastAsia="Calibri" w:hAnsi="Arial" w:cs="Arial"/>
          <w:color w:val="000000"/>
          <w:sz w:val="24"/>
          <w:szCs w:val="24"/>
        </w:rPr>
      </w:pPr>
    </w:p>
    <w:p w14:paraId="3075A1C8" w14:textId="3175C213" w:rsidR="000424AE" w:rsidRDefault="000424AE" w:rsidP="007976AE">
      <w:pPr>
        <w:autoSpaceDE w:val="0"/>
        <w:autoSpaceDN w:val="0"/>
        <w:adjustRightInd w:val="0"/>
        <w:spacing w:after="0" w:line="240" w:lineRule="auto"/>
        <w:ind w:left="540"/>
        <w:jc w:val="both"/>
        <w:rPr>
          <w:rFonts w:ascii="Arial" w:eastAsia="Calibri" w:hAnsi="Arial" w:cs="Arial"/>
          <w:color w:val="000000"/>
          <w:sz w:val="24"/>
          <w:szCs w:val="24"/>
        </w:rPr>
      </w:pPr>
    </w:p>
    <w:p w14:paraId="73C80747" w14:textId="77777777" w:rsidR="00331486" w:rsidRDefault="00331486" w:rsidP="008F2A76">
      <w:pPr>
        <w:autoSpaceDE w:val="0"/>
        <w:autoSpaceDN w:val="0"/>
        <w:adjustRightInd w:val="0"/>
        <w:spacing w:after="0" w:line="240" w:lineRule="auto"/>
        <w:ind w:left="540"/>
        <w:jc w:val="both"/>
        <w:rPr>
          <w:rFonts w:ascii="Arial" w:eastAsia="Calibri" w:hAnsi="Arial" w:cs="Arial"/>
          <w:color w:val="000000"/>
          <w:sz w:val="24"/>
          <w:szCs w:val="24"/>
        </w:rPr>
      </w:pPr>
    </w:p>
    <w:p w14:paraId="79F9CF3A" w14:textId="77777777" w:rsidR="00331486" w:rsidRDefault="00331486" w:rsidP="008F2A76">
      <w:pPr>
        <w:autoSpaceDE w:val="0"/>
        <w:autoSpaceDN w:val="0"/>
        <w:adjustRightInd w:val="0"/>
        <w:spacing w:after="0" w:line="240" w:lineRule="auto"/>
        <w:ind w:left="540"/>
        <w:jc w:val="both"/>
        <w:rPr>
          <w:rFonts w:ascii="Arial" w:eastAsia="Calibri" w:hAnsi="Arial" w:cs="Arial"/>
          <w:color w:val="000000"/>
          <w:sz w:val="24"/>
          <w:szCs w:val="24"/>
        </w:rPr>
      </w:pPr>
    </w:p>
    <w:p w14:paraId="78378B40" w14:textId="77777777" w:rsidR="000D1655" w:rsidRPr="000D1655" w:rsidRDefault="000D1655" w:rsidP="000D1655">
      <w:pPr>
        <w:autoSpaceDE w:val="0"/>
        <w:autoSpaceDN w:val="0"/>
        <w:adjustRightInd w:val="0"/>
        <w:spacing w:after="0" w:line="240" w:lineRule="auto"/>
        <w:ind w:left="540"/>
        <w:jc w:val="both"/>
        <w:rPr>
          <w:rFonts w:ascii="Arial" w:eastAsia="Calibri" w:hAnsi="Arial" w:cs="Arial"/>
          <w:color w:val="000000"/>
          <w:sz w:val="24"/>
          <w:szCs w:val="24"/>
        </w:rPr>
      </w:pPr>
    </w:p>
    <w:p w14:paraId="082519CC" w14:textId="77777777" w:rsidR="00A024FB" w:rsidRDefault="00A024FB" w:rsidP="000D1655">
      <w:pPr>
        <w:autoSpaceDE w:val="0"/>
        <w:autoSpaceDN w:val="0"/>
        <w:adjustRightInd w:val="0"/>
        <w:spacing w:after="0" w:line="240" w:lineRule="auto"/>
        <w:ind w:left="540"/>
        <w:jc w:val="both"/>
        <w:rPr>
          <w:rFonts w:ascii="Arial" w:eastAsia="Calibri" w:hAnsi="Arial" w:cs="Arial"/>
          <w:color w:val="000000"/>
          <w:sz w:val="24"/>
          <w:szCs w:val="24"/>
        </w:rPr>
      </w:pPr>
    </w:p>
    <w:p w14:paraId="0F084DAF" w14:textId="77777777" w:rsidR="00A024FB" w:rsidRDefault="00A024FB" w:rsidP="000D1655">
      <w:pPr>
        <w:autoSpaceDE w:val="0"/>
        <w:autoSpaceDN w:val="0"/>
        <w:adjustRightInd w:val="0"/>
        <w:spacing w:after="0" w:line="240" w:lineRule="auto"/>
        <w:ind w:left="540"/>
        <w:jc w:val="both"/>
        <w:rPr>
          <w:rFonts w:ascii="Arial" w:eastAsia="Calibri" w:hAnsi="Arial" w:cs="Arial"/>
          <w:color w:val="000000"/>
          <w:sz w:val="24"/>
          <w:szCs w:val="24"/>
        </w:rPr>
      </w:pPr>
    </w:p>
    <w:p w14:paraId="2C4FA9AD" w14:textId="58407ECE" w:rsidR="00A024FB" w:rsidRDefault="00A024FB" w:rsidP="000D1655">
      <w:pPr>
        <w:autoSpaceDE w:val="0"/>
        <w:autoSpaceDN w:val="0"/>
        <w:adjustRightInd w:val="0"/>
        <w:spacing w:after="0" w:line="240" w:lineRule="auto"/>
        <w:ind w:left="540"/>
        <w:jc w:val="both"/>
        <w:rPr>
          <w:rFonts w:ascii="Arial" w:eastAsia="Calibri" w:hAnsi="Arial" w:cs="Arial"/>
          <w:color w:val="000000"/>
          <w:sz w:val="24"/>
          <w:szCs w:val="24"/>
        </w:rPr>
        <w:sectPr w:rsidR="00A024FB" w:rsidSect="00363642">
          <w:pgSz w:w="12240" w:h="15840"/>
          <w:pgMar w:top="1440" w:right="1440" w:bottom="1440" w:left="1440" w:header="720" w:footer="720" w:gutter="0"/>
          <w:lnNumType w:countBy="1" w:restart="continuous"/>
          <w:cols w:space="720"/>
          <w:titlePg/>
          <w:docGrid w:linePitch="360"/>
        </w:sectPr>
      </w:pPr>
    </w:p>
    <w:p w14:paraId="00E7336E" w14:textId="77777777" w:rsidR="00331486" w:rsidRDefault="00331486" w:rsidP="008F2A76">
      <w:pPr>
        <w:autoSpaceDE w:val="0"/>
        <w:autoSpaceDN w:val="0"/>
        <w:adjustRightInd w:val="0"/>
        <w:spacing w:after="0" w:line="240" w:lineRule="auto"/>
        <w:ind w:left="540"/>
        <w:jc w:val="both"/>
        <w:rPr>
          <w:rFonts w:ascii="Arial" w:eastAsia="Calibri" w:hAnsi="Arial" w:cs="Arial"/>
          <w:color w:val="000000"/>
          <w:sz w:val="24"/>
          <w:szCs w:val="24"/>
        </w:rPr>
      </w:pPr>
    </w:p>
    <w:p w14:paraId="7BBEE14B" w14:textId="77777777" w:rsidR="00331486" w:rsidRDefault="00331486" w:rsidP="008F2A76">
      <w:pPr>
        <w:autoSpaceDE w:val="0"/>
        <w:autoSpaceDN w:val="0"/>
        <w:adjustRightInd w:val="0"/>
        <w:spacing w:after="0" w:line="240" w:lineRule="auto"/>
        <w:ind w:left="540"/>
        <w:jc w:val="both"/>
        <w:rPr>
          <w:rFonts w:ascii="Arial" w:eastAsia="Calibri" w:hAnsi="Arial" w:cs="Arial"/>
          <w:color w:val="000000"/>
          <w:sz w:val="24"/>
          <w:szCs w:val="24"/>
        </w:rPr>
      </w:pPr>
    </w:p>
    <w:p w14:paraId="5EB4B3A4" w14:textId="77777777" w:rsidR="00331486" w:rsidRDefault="00331486" w:rsidP="008F2A76">
      <w:pPr>
        <w:autoSpaceDE w:val="0"/>
        <w:autoSpaceDN w:val="0"/>
        <w:adjustRightInd w:val="0"/>
        <w:spacing w:after="0" w:line="240" w:lineRule="auto"/>
        <w:ind w:left="540"/>
        <w:jc w:val="both"/>
        <w:rPr>
          <w:rFonts w:ascii="Arial" w:eastAsia="Calibri" w:hAnsi="Arial" w:cs="Arial"/>
          <w:color w:val="000000"/>
          <w:sz w:val="24"/>
          <w:szCs w:val="24"/>
        </w:rPr>
      </w:pPr>
    </w:p>
    <w:p w14:paraId="02D7CCDF" w14:textId="0F09EE45" w:rsidR="009F4E40" w:rsidRPr="009F4E40" w:rsidRDefault="009F4E40" w:rsidP="009F4E40">
      <w:pPr>
        <w:spacing w:after="200" w:line="276" w:lineRule="auto"/>
        <w:rPr>
          <w:rFonts w:ascii="Arial" w:eastAsia="Calibri" w:hAnsi="Arial" w:cs="Arial"/>
          <w:b/>
          <w:sz w:val="24"/>
          <w:szCs w:val="24"/>
        </w:rPr>
      </w:pPr>
      <w:bookmarkStart w:id="0" w:name="_Hlk138233205"/>
      <w:r w:rsidRPr="009F4E40">
        <w:rPr>
          <w:rFonts w:ascii="Arial" w:eastAsia="Calibri" w:hAnsi="Arial" w:cs="Arial"/>
          <w:b/>
          <w:sz w:val="24"/>
          <w:szCs w:val="24"/>
        </w:rPr>
        <w:t>Table 1. Relative Percent Survival Based on Bead:Nuclei Ratio in Unexposed and Naphthalene-Exposed Human TK6 Cells</w:t>
      </w:r>
      <w:r w:rsidR="00363642">
        <w:rPr>
          <w:rFonts w:ascii="Arial" w:eastAsia="Calibri" w:hAnsi="Arial" w:cs="Arial"/>
          <w:b/>
          <w:sz w:val="24"/>
          <w:szCs w:val="24"/>
        </w:rPr>
        <w:t xml:space="preserve"> (From Recio et al., 2012).</w:t>
      </w:r>
    </w:p>
    <w:tbl>
      <w:tblPr>
        <w:tblW w:w="13142" w:type="dxa"/>
        <w:tblInd w:w="18" w:type="dxa"/>
        <w:tblLook w:val="04A0" w:firstRow="1" w:lastRow="0" w:firstColumn="1" w:lastColumn="0" w:noHBand="0" w:noVBand="1"/>
      </w:tblPr>
      <w:tblGrid>
        <w:gridCol w:w="2610"/>
        <w:gridCol w:w="1620"/>
        <w:gridCol w:w="1297"/>
        <w:gridCol w:w="2151"/>
        <w:gridCol w:w="1774"/>
        <w:gridCol w:w="1530"/>
        <w:gridCol w:w="2160"/>
      </w:tblGrid>
      <w:tr w:rsidR="009F4E40" w:rsidRPr="009F4E40" w14:paraId="2B54C478" w14:textId="77777777" w:rsidTr="00363642">
        <w:trPr>
          <w:trHeight w:val="645"/>
        </w:trPr>
        <w:tc>
          <w:tcPr>
            <w:tcW w:w="2610" w:type="dxa"/>
            <w:vMerge w:val="restart"/>
            <w:tcBorders>
              <w:top w:val="single" w:sz="8" w:space="0" w:color="auto"/>
              <w:left w:val="single" w:sz="8" w:space="0" w:color="auto"/>
              <w:bottom w:val="nil"/>
              <w:right w:val="single" w:sz="8" w:space="0" w:color="auto"/>
            </w:tcBorders>
            <w:shd w:val="clear" w:color="auto" w:fill="auto"/>
            <w:vAlign w:val="bottom"/>
            <w:hideMark/>
          </w:tcPr>
          <w:p w14:paraId="2BDB4414" w14:textId="77777777" w:rsidR="009F4E40" w:rsidRPr="009F4E40" w:rsidRDefault="009F4E40" w:rsidP="009F4E40">
            <w:pPr>
              <w:spacing w:after="0" w:line="240" w:lineRule="auto"/>
              <w:jc w:val="center"/>
              <w:rPr>
                <w:rFonts w:ascii="Arial" w:eastAsia="Times New Roman" w:hAnsi="Arial" w:cs="Arial"/>
                <w:b/>
                <w:bCs/>
                <w:color w:val="000000"/>
                <w:sz w:val="24"/>
                <w:szCs w:val="24"/>
              </w:rPr>
            </w:pPr>
            <w:r w:rsidRPr="009F4E40">
              <w:rPr>
                <w:rFonts w:ascii="Arial" w:eastAsia="Times New Roman" w:hAnsi="Arial" w:cs="Arial"/>
                <w:b/>
                <w:bCs/>
                <w:color w:val="000000"/>
                <w:sz w:val="24"/>
                <w:szCs w:val="24"/>
              </w:rPr>
              <w:t>Naphthalene</w:t>
            </w:r>
          </w:p>
          <w:p w14:paraId="15CF8E89" w14:textId="77777777" w:rsidR="009F4E40" w:rsidRPr="009F4E40" w:rsidRDefault="009F4E40" w:rsidP="009F4E40">
            <w:pPr>
              <w:spacing w:after="0" w:line="240" w:lineRule="auto"/>
              <w:jc w:val="center"/>
              <w:rPr>
                <w:rFonts w:ascii="Arial" w:eastAsia="Times New Roman" w:hAnsi="Arial" w:cs="Arial"/>
                <w:b/>
                <w:bCs/>
                <w:color w:val="000000"/>
                <w:sz w:val="24"/>
                <w:szCs w:val="24"/>
              </w:rPr>
            </w:pPr>
            <w:r w:rsidRPr="009F4E40">
              <w:rPr>
                <w:rFonts w:ascii="Arial" w:eastAsia="Times New Roman" w:hAnsi="Arial" w:cs="Arial"/>
                <w:b/>
                <w:bCs/>
                <w:color w:val="000000"/>
                <w:sz w:val="24"/>
                <w:szCs w:val="24"/>
              </w:rPr>
              <w:t>Concentration (</w:t>
            </w:r>
            <w:proofErr w:type="spellStart"/>
            <w:r w:rsidRPr="009F4E40">
              <w:rPr>
                <w:rFonts w:ascii="Arial" w:eastAsia="Times New Roman" w:hAnsi="Arial" w:cs="Arial"/>
                <w:b/>
                <w:bCs/>
                <w:color w:val="000000"/>
                <w:sz w:val="24"/>
                <w:szCs w:val="24"/>
              </w:rPr>
              <w:t>μM</w:t>
            </w:r>
            <w:proofErr w:type="spellEnd"/>
            <w:r w:rsidRPr="009F4E40">
              <w:rPr>
                <w:rFonts w:ascii="Arial" w:eastAsia="Times New Roman" w:hAnsi="Arial" w:cs="Arial"/>
                <w:b/>
                <w:bCs/>
                <w:color w:val="000000"/>
                <w:sz w:val="24"/>
                <w:szCs w:val="24"/>
              </w:rPr>
              <w:t>)</w:t>
            </w:r>
          </w:p>
        </w:tc>
        <w:tc>
          <w:tcPr>
            <w:tcW w:w="5068"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77D40569" w14:textId="23F60930" w:rsidR="009F4E40" w:rsidRPr="009F4E40" w:rsidRDefault="009F4E40" w:rsidP="00363642">
            <w:pPr>
              <w:spacing w:after="0" w:line="240" w:lineRule="auto"/>
              <w:ind w:left="720"/>
              <w:jc w:val="center"/>
              <w:rPr>
                <w:rFonts w:ascii="Arial" w:eastAsia="Times New Roman" w:hAnsi="Arial" w:cs="Arial"/>
                <w:b/>
                <w:bCs/>
                <w:color w:val="000000"/>
                <w:sz w:val="24"/>
                <w:szCs w:val="24"/>
              </w:rPr>
            </w:pPr>
            <w:r w:rsidRPr="009F4E40">
              <w:rPr>
                <w:rFonts w:ascii="Arial" w:eastAsia="Times New Roman" w:hAnsi="Arial" w:cs="Arial"/>
                <w:b/>
                <w:bCs/>
                <w:color w:val="000000"/>
                <w:sz w:val="24"/>
                <w:szCs w:val="24"/>
              </w:rPr>
              <w:t>(–) L-Glutathione</w:t>
            </w:r>
          </w:p>
        </w:tc>
        <w:tc>
          <w:tcPr>
            <w:tcW w:w="5464"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37F41EF7" w14:textId="75D688DD" w:rsidR="009F4E40" w:rsidRPr="009F4E40" w:rsidRDefault="009F4E40" w:rsidP="00363642">
            <w:pPr>
              <w:spacing w:after="0" w:line="240" w:lineRule="auto"/>
              <w:jc w:val="center"/>
              <w:rPr>
                <w:rFonts w:ascii="Arial" w:eastAsia="Times New Roman" w:hAnsi="Arial" w:cs="Arial"/>
                <w:b/>
                <w:bCs/>
                <w:color w:val="000000"/>
                <w:sz w:val="24"/>
                <w:szCs w:val="24"/>
              </w:rPr>
            </w:pPr>
            <w:r w:rsidRPr="009F4E40">
              <w:rPr>
                <w:rFonts w:ascii="Arial" w:eastAsia="Times New Roman" w:hAnsi="Arial" w:cs="Arial"/>
                <w:b/>
                <w:bCs/>
                <w:color w:val="000000"/>
                <w:sz w:val="24"/>
                <w:szCs w:val="24"/>
              </w:rPr>
              <w:t>(+) L-Glutathione (5.0 mM)</w:t>
            </w:r>
          </w:p>
        </w:tc>
      </w:tr>
      <w:tr w:rsidR="009F4E40" w:rsidRPr="009F4E40" w14:paraId="4BDFFBBA" w14:textId="77777777" w:rsidTr="00544E83">
        <w:trPr>
          <w:trHeight w:val="930"/>
        </w:trPr>
        <w:tc>
          <w:tcPr>
            <w:tcW w:w="2610" w:type="dxa"/>
            <w:vMerge/>
            <w:tcBorders>
              <w:top w:val="single" w:sz="8" w:space="0" w:color="auto"/>
              <w:left w:val="single" w:sz="8" w:space="0" w:color="auto"/>
              <w:bottom w:val="nil"/>
              <w:right w:val="single" w:sz="8" w:space="0" w:color="auto"/>
            </w:tcBorders>
            <w:vAlign w:val="center"/>
            <w:hideMark/>
          </w:tcPr>
          <w:p w14:paraId="6E020828" w14:textId="77777777" w:rsidR="009F4E40" w:rsidRPr="009F4E40" w:rsidRDefault="009F4E40" w:rsidP="009F4E40">
            <w:pPr>
              <w:spacing w:after="0" w:line="240" w:lineRule="auto"/>
              <w:rPr>
                <w:rFonts w:ascii="Arial" w:eastAsia="Times New Roman" w:hAnsi="Arial" w:cs="Arial"/>
                <w:b/>
                <w:bCs/>
                <w:color w:val="000000"/>
                <w:sz w:val="24"/>
                <w:szCs w:val="24"/>
              </w:rPr>
            </w:pPr>
          </w:p>
        </w:tc>
        <w:tc>
          <w:tcPr>
            <w:tcW w:w="1620" w:type="dxa"/>
            <w:tcBorders>
              <w:top w:val="nil"/>
              <w:left w:val="nil"/>
              <w:bottom w:val="nil"/>
              <w:right w:val="single" w:sz="8" w:space="0" w:color="auto"/>
            </w:tcBorders>
            <w:shd w:val="clear" w:color="auto" w:fill="auto"/>
            <w:vAlign w:val="bottom"/>
            <w:hideMark/>
          </w:tcPr>
          <w:p w14:paraId="5EFFDB31" w14:textId="77777777" w:rsidR="009F4E40" w:rsidRPr="009F4E40" w:rsidRDefault="009F4E40" w:rsidP="009F4E40">
            <w:pPr>
              <w:spacing w:after="0" w:line="240" w:lineRule="auto"/>
              <w:jc w:val="center"/>
              <w:rPr>
                <w:rFonts w:ascii="Arial" w:eastAsia="Times New Roman" w:hAnsi="Arial" w:cs="Arial"/>
                <w:b/>
                <w:bCs/>
                <w:color w:val="000000"/>
                <w:sz w:val="24"/>
                <w:szCs w:val="24"/>
              </w:rPr>
            </w:pPr>
            <w:r w:rsidRPr="009F4E40">
              <w:rPr>
                <w:rFonts w:ascii="Arial" w:eastAsia="Times New Roman" w:hAnsi="Arial" w:cs="Arial"/>
                <w:b/>
                <w:bCs/>
                <w:color w:val="000000"/>
                <w:sz w:val="24"/>
                <w:szCs w:val="24"/>
              </w:rPr>
              <w:t>Mean Bead:Nuclei</w:t>
            </w:r>
          </w:p>
        </w:tc>
        <w:tc>
          <w:tcPr>
            <w:tcW w:w="1297" w:type="dxa"/>
            <w:tcBorders>
              <w:top w:val="nil"/>
              <w:left w:val="nil"/>
              <w:bottom w:val="nil"/>
              <w:right w:val="single" w:sz="8" w:space="0" w:color="auto"/>
            </w:tcBorders>
            <w:shd w:val="clear" w:color="auto" w:fill="auto"/>
            <w:vAlign w:val="bottom"/>
            <w:hideMark/>
          </w:tcPr>
          <w:p w14:paraId="1888DFF6" w14:textId="77777777" w:rsidR="009F4E40" w:rsidRPr="009F4E40" w:rsidRDefault="009F4E40" w:rsidP="009F4E40">
            <w:pPr>
              <w:spacing w:after="0" w:line="240" w:lineRule="auto"/>
              <w:jc w:val="center"/>
              <w:rPr>
                <w:rFonts w:ascii="Arial" w:eastAsia="Times New Roman" w:hAnsi="Arial" w:cs="Arial"/>
                <w:b/>
                <w:bCs/>
                <w:color w:val="000000"/>
                <w:sz w:val="24"/>
                <w:szCs w:val="24"/>
              </w:rPr>
            </w:pPr>
            <w:r w:rsidRPr="009F4E40">
              <w:rPr>
                <w:rFonts w:ascii="Arial" w:eastAsia="Times New Roman" w:hAnsi="Arial" w:cs="Arial"/>
                <w:b/>
                <w:bCs/>
                <w:color w:val="000000"/>
                <w:sz w:val="24"/>
                <w:szCs w:val="24"/>
              </w:rPr>
              <w:t>Standard Deviation</w:t>
            </w:r>
          </w:p>
        </w:tc>
        <w:tc>
          <w:tcPr>
            <w:tcW w:w="2151" w:type="dxa"/>
            <w:tcBorders>
              <w:top w:val="nil"/>
              <w:left w:val="nil"/>
              <w:bottom w:val="nil"/>
              <w:right w:val="single" w:sz="8" w:space="0" w:color="auto"/>
            </w:tcBorders>
            <w:shd w:val="clear" w:color="auto" w:fill="auto"/>
            <w:vAlign w:val="bottom"/>
            <w:hideMark/>
          </w:tcPr>
          <w:p w14:paraId="5604AF31" w14:textId="77777777" w:rsidR="009F4E40" w:rsidRPr="009F4E40" w:rsidRDefault="009F4E40" w:rsidP="009F4E40">
            <w:pPr>
              <w:spacing w:after="0" w:line="240" w:lineRule="auto"/>
              <w:jc w:val="center"/>
              <w:rPr>
                <w:rFonts w:ascii="Arial" w:eastAsia="Times New Roman" w:hAnsi="Arial" w:cs="Arial"/>
                <w:b/>
                <w:bCs/>
                <w:color w:val="000000"/>
                <w:sz w:val="24"/>
                <w:szCs w:val="24"/>
              </w:rPr>
            </w:pPr>
            <w:r w:rsidRPr="009F4E40">
              <w:rPr>
                <w:rFonts w:ascii="Arial" w:eastAsia="Times New Roman" w:hAnsi="Arial" w:cs="Arial"/>
                <w:b/>
                <w:bCs/>
                <w:color w:val="000000"/>
                <w:sz w:val="24"/>
                <w:szCs w:val="24"/>
              </w:rPr>
              <w:t>Relative Percent Survival</w:t>
            </w:r>
            <w:r w:rsidRPr="009F4E40">
              <w:rPr>
                <w:rFonts w:ascii="Arial" w:eastAsia="Times New Roman" w:hAnsi="Arial" w:cs="Arial"/>
                <w:b/>
                <w:bCs/>
                <w:i/>
                <w:color w:val="000000"/>
                <w:sz w:val="24"/>
                <w:szCs w:val="24"/>
                <w:vertAlign w:val="superscript"/>
              </w:rPr>
              <w:t>a</w:t>
            </w:r>
          </w:p>
        </w:tc>
        <w:tc>
          <w:tcPr>
            <w:tcW w:w="1774" w:type="dxa"/>
            <w:tcBorders>
              <w:top w:val="nil"/>
              <w:left w:val="nil"/>
              <w:bottom w:val="nil"/>
              <w:right w:val="single" w:sz="8" w:space="0" w:color="auto"/>
            </w:tcBorders>
            <w:shd w:val="clear" w:color="auto" w:fill="auto"/>
            <w:vAlign w:val="bottom"/>
            <w:hideMark/>
          </w:tcPr>
          <w:p w14:paraId="0CC1C7F1" w14:textId="77777777" w:rsidR="009F4E40" w:rsidRPr="009F4E40" w:rsidRDefault="009F4E40" w:rsidP="009F4E40">
            <w:pPr>
              <w:spacing w:after="0" w:line="240" w:lineRule="auto"/>
              <w:jc w:val="center"/>
              <w:rPr>
                <w:rFonts w:ascii="Arial" w:eastAsia="Times New Roman" w:hAnsi="Arial" w:cs="Arial"/>
                <w:b/>
                <w:bCs/>
                <w:color w:val="000000"/>
                <w:sz w:val="24"/>
                <w:szCs w:val="24"/>
              </w:rPr>
            </w:pPr>
            <w:r w:rsidRPr="009F4E40">
              <w:rPr>
                <w:rFonts w:ascii="Arial" w:eastAsia="Times New Roman" w:hAnsi="Arial" w:cs="Arial"/>
                <w:b/>
                <w:bCs/>
                <w:color w:val="000000"/>
                <w:sz w:val="24"/>
                <w:szCs w:val="24"/>
              </w:rPr>
              <w:t>Mean Bead:Nuclei</w:t>
            </w:r>
          </w:p>
        </w:tc>
        <w:tc>
          <w:tcPr>
            <w:tcW w:w="1530" w:type="dxa"/>
            <w:tcBorders>
              <w:top w:val="nil"/>
              <w:left w:val="nil"/>
              <w:bottom w:val="nil"/>
              <w:right w:val="single" w:sz="8" w:space="0" w:color="auto"/>
            </w:tcBorders>
            <w:shd w:val="clear" w:color="auto" w:fill="auto"/>
            <w:vAlign w:val="bottom"/>
            <w:hideMark/>
          </w:tcPr>
          <w:p w14:paraId="01201390" w14:textId="77777777" w:rsidR="009F4E40" w:rsidRPr="009F4E40" w:rsidRDefault="009F4E40" w:rsidP="009F4E40">
            <w:pPr>
              <w:spacing w:after="0" w:line="240" w:lineRule="auto"/>
              <w:jc w:val="center"/>
              <w:rPr>
                <w:rFonts w:ascii="Arial" w:eastAsia="Times New Roman" w:hAnsi="Arial" w:cs="Arial"/>
                <w:b/>
                <w:bCs/>
                <w:color w:val="000000"/>
                <w:sz w:val="24"/>
                <w:szCs w:val="24"/>
              </w:rPr>
            </w:pPr>
            <w:r w:rsidRPr="009F4E40">
              <w:rPr>
                <w:rFonts w:ascii="Arial" w:eastAsia="Times New Roman" w:hAnsi="Arial" w:cs="Arial"/>
                <w:b/>
                <w:bCs/>
                <w:color w:val="000000"/>
                <w:sz w:val="24"/>
                <w:szCs w:val="24"/>
              </w:rPr>
              <w:t>Standard Deviation</w:t>
            </w:r>
          </w:p>
        </w:tc>
        <w:tc>
          <w:tcPr>
            <w:tcW w:w="2160" w:type="dxa"/>
            <w:tcBorders>
              <w:top w:val="nil"/>
              <w:left w:val="nil"/>
              <w:bottom w:val="nil"/>
              <w:right w:val="single" w:sz="8" w:space="0" w:color="auto"/>
            </w:tcBorders>
            <w:shd w:val="clear" w:color="auto" w:fill="auto"/>
            <w:vAlign w:val="bottom"/>
            <w:hideMark/>
          </w:tcPr>
          <w:p w14:paraId="469B38D4" w14:textId="77777777" w:rsidR="009F4E40" w:rsidRPr="009F4E40" w:rsidRDefault="009F4E40" w:rsidP="009F4E40">
            <w:pPr>
              <w:spacing w:after="0" w:line="240" w:lineRule="auto"/>
              <w:jc w:val="center"/>
              <w:rPr>
                <w:rFonts w:ascii="Arial" w:eastAsia="Times New Roman" w:hAnsi="Arial" w:cs="Arial"/>
                <w:b/>
                <w:bCs/>
                <w:color w:val="000000"/>
                <w:sz w:val="24"/>
                <w:szCs w:val="24"/>
              </w:rPr>
            </w:pPr>
            <w:r w:rsidRPr="009F4E40">
              <w:rPr>
                <w:rFonts w:ascii="Arial" w:eastAsia="Times New Roman" w:hAnsi="Arial" w:cs="Arial"/>
                <w:b/>
                <w:bCs/>
                <w:color w:val="000000"/>
                <w:sz w:val="24"/>
                <w:szCs w:val="24"/>
              </w:rPr>
              <w:t>Relative Percent Survival</w:t>
            </w:r>
            <w:r w:rsidRPr="009F4E40">
              <w:rPr>
                <w:rFonts w:ascii="Arial" w:eastAsia="Times New Roman" w:hAnsi="Arial" w:cs="Arial"/>
                <w:b/>
                <w:bCs/>
                <w:i/>
                <w:color w:val="000000"/>
                <w:sz w:val="24"/>
                <w:szCs w:val="24"/>
                <w:vertAlign w:val="superscript"/>
              </w:rPr>
              <w:t>a</w:t>
            </w:r>
          </w:p>
        </w:tc>
      </w:tr>
      <w:tr w:rsidR="009F4E40" w:rsidRPr="009F4E40" w14:paraId="49ABC128" w14:textId="77777777" w:rsidTr="00544E83">
        <w:trPr>
          <w:trHeight w:val="510"/>
        </w:trPr>
        <w:tc>
          <w:tcPr>
            <w:tcW w:w="2610" w:type="dxa"/>
            <w:tcBorders>
              <w:top w:val="single" w:sz="8" w:space="0" w:color="auto"/>
              <w:left w:val="single" w:sz="8" w:space="0" w:color="auto"/>
              <w:bottom w:val="nil"/>
              <w:right w:val="nil"/>
            </w:tcBorders>
            <w:shd w:val="clear" w:color="auto" w:fill="auto"/>
            <w:noWrap/>
            <w:vAlign w:val="bottom"/>
            <w:hideMark/>
          </w:tcPr>
          <w:p w14:paraId="6AC8E449" w14:textId="77777777" w:rsidR="009F4E40" w:rsidRPr="009F4E40" w:rsidRDefault="009F4E40" w:rsidP="009F4E40">
            <w:pPr>
              <w:spacing w:after="0" w:line="240" w:lineRule="auto"/>
              <w:jc w:val="center"/>
              <w:rPr>
                <w:rFonts w:ascii="Arial" w:eastAsia="Times New Roman" w:hAnsi="Arial" w:cs="Arial"/>
                <w:b/>
                <w:bCs/>
                <w:color w:val="000000"/>
                <w:sz w:val="24"/>
                <w:szCs w:val="24"/>
              </w:rPr>
            </w:pPr>
            <w:r w:rsidRPr="009F4E40">
              <w:rPr>
                <w:rFonts w:ascii="Arial" w:eastAsia="Times New Roman" w:hAnsi="Arial" w:cs="Arial"/>
                <w:b/>
                <w:bCs/>
                <w:color w:val="000000"/>
                <w:sz w:val="24"/>
                <w:szCs w:val="24"/>
              </w:rPr>
              <w:t>0.0</w:t>
            </w:r>
          </w:p>
        </w:tc>
        <w:tc>
          <w:tcPr>
            <w:tcW w:w="1620" w:type="dxa"/>
            <w:tcBorders>
              <w:top w:val="single" w:sz="8" w:space="0" w:color="auto"/>
              <w:left w:val="single" w:sz="8" w:space="0" w:color="auto"/>
              <w:bottom w:val="nil"/>
              <w:right w:val="nil"/>
            </w:tcBorders>
            <w:shd w:val="clear" w:color="auto" w:fill="auto"/>
            <w:noWrap/>
            <w:vAlign w:val="bottom"/>
            <w:hideMark/>
          </w:tcPr>
          <w:p w14:paraId="37EABCEE"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3.6</w:t>
            </w:r>
          </w:p>
        </w:tc>
        <w:tc>
          <w:tcPr>
            <w:tcW w:w="1297" w:type="dxa"/>
            <w:tcBorders>
              <w:top w:val="single" w:sz="8" w:space="0" w:color="auto"/>
              <w:left w:val="nil"/>
              <w:bottom w:val="nil"/>
              <w:right w:val="nil"/>
            </w:tcBorders>
            <w:shd w:val="clear" w:color="auto" w:fill="auto"/>
            <w:noWrap/>
            <w:vAlign w:val="bottom"/>
            <w:hideMark/>
          </w:tcPr>
          <w:p w14:paraId="435ECC67"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0.19</w:t>
            </w:r>
          </w:p>
        </w:tc>
        <w:tc>
          <w:tcPr>
            <w:tcW w:w="2151" w:type="dxa"/>
            <w:tcBorders>
              <w:top w:val="single" w:sz="8" w:space="0" w:color="auto"/>
              <w:left w:val="nil"/>
              <w:bottom w:val="nil"/>
              <w:right w:val="nil"/>
            </w:tcBorders>
            <w:shd w:val="clear" w:color="auto" w:fill="auto"/>
            <w:noWrap/>
            <w:vAlign w:val="bottom"/>
            <w:hideMark/>
          </w:tcPr>
          <w:p w14:paraId="26D4725F"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100</w:t>
            </w:r>
          </w:p>
        </w:tc>
        <w:tc>
          <w:tcPr>
            <w:tcW w:w="1774" w:type="dxa"/>
            <w:tcBorders>
              <w:top w:val="single" w:sz="8" w:space="0" w:color="auto"/>
              <w:left w:val="nil"/>
              <w:bottom w:val="nil"/>
              <w:right w:val="nil"/>
            </w:tcBorders>
            <w:shd w:val="clear" w:color="auto" w:fill="auto"/>
            <w:noWrap/>
            <w:vAlign w:val="bottom"/>
            <w:hideMark/>
          </w:tcPr>
          <w:p w14:paraId="3F347004"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3.9</w:t>
            </w:r>
          </w:p>
        </w:tc>
        <w:tc>
          <w:tcPr>
            <w:tcW w:w="1530" w:type="dxa"/>
            <w:tcBorders>
              <w:top w:val="single" w:sz="8" w:space="0" w:color="auto"/>
              <w:left w:val="nil"/>
              <w:bottom w:val="nil"/>
              <w:right w:val="nil"/>
            </w:tcBorders>
            <w:shd w:val="clear" w:color="auto" w:fill="auto"/>
            <w:noWrap/>
            <w:vAlign w:val="bottom"/>
            <w:hideMark/>
          </w:tcPr>
          <w:p w14:paraId="59BA2A8F"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0.01</w:t>
            </w:r>
          </w:p>
        </w:tc>
        <w:tc>
          <w:tcPr>
            <w:tcW w:w="2160" w:type="dxa"/>
            <w:tcBorders>
              <w:top w:val="single" w:sz="8" w:space="0" w:color="auto"/>
              <w:left w:val="nil"/>
              <w:bottom w:val="nil"/>
              <w:right w:val="single" w:sz="8" w:space="0" w:color="auto"/>
            </w:tcBorders>
            <w:shd w:val="clear" w:color="auto" w:fill="auto"/>
            <w:noWrap/>
            <w:vAlign w:val="bottom"/>
            <w:hideMark/>
          </w:tcPr>
          <w:p w14:paraId="55FF995F"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100</w:t>
            </w:r>
          </w:p>
        </w:tc>
      </w:tr>
      <w:tr w:rsidR="009F4E40" w:rsidRPr="009F4E40" w14:paraId="4578AF45" w14:textId="77777777" w:rsidTr="00544E83">
        <w:trPr>
          <w:trHeight w:val="315"/>
        </w:trPr>
        <w:tc>
          <w:tcPr>
            <w:tcW w:w="2610" w:type="dxa"/>
            <w:tcBorders>
              <w:top w:val="nil"/>
              <w:left w:val="single" w:sz="8" w:space="0" w:color="auto"/>
              <w:bottom w:val="nil"/>
              <w:right w:val="nil"/>
            </w:tcBorders>
            <w:shd w:val="clear" w:color="auto" w:fill="auto"/>
            <w:noWrap/>
            <w:vAlign w:val="bottom"/>
            <w:hideMark/>
          </w:tcPr>
          <w:p w14:paraId="5D1DE7BB" w14:textId="77777777" w:rsidR="009F4E40" w:rsidRPr="009F4E40" w:rsidRDefault="009F4E40" w:rsidP="009F4E40">
            <w:pPr>
              <w:spacing w:after="0" w:line="240" w:lineRule="auto"/>
              <w:jc w:val="center"/>
              <w:rPr>
                <w:rFonts w:ascii="Arial" w:eastAsia="Times New Roman" w:hAnsi="Arial" w:cs="Arial"/>
                <w:b/>
                <w:bCs/>
                <w:color w:val="000000"/>
                <w:sz w:val="24"/>
                <w:szCs w:val="24"/>
              </w:rPr>
            </w:pPr>
            <w:r w:rsidRPr="009F4E40">
              <w:rPr>
                <w:rFonts w:ascii="Arial" w:eastAsia="Times New Roman" w:hAnsi="Arial" w:cs="Arial"/>
                <w:b/>
                <w:bCs/>
                <w:color w:val="000000"/>
                <w:sz w:val="24"/>
                <w:szCs w:val="24"/>
              </w:rPr>
              <w:t>25.0</w:t>
            </w:r>
          </w:p>
        </w:tc>
        <w:tc>
          <w:tcPr>
            <w:tcW w:w="1620" w:type="dxa"/>
            <w:tcBorders>
              <w:top w:val="nil"/>
              <w:left w:val="single" w:sz="8" w:space="0" w:color="auto"/>
              <w:bottom w:val="nil"/>
              <w:right w:val="nil"/>
            </w:tcBorders>
            <w:shd w:val="clear" w:color="auto" w:fill="auto"/>
            <w:noWrap/>
            <w:vAlign w:val="bottom"/>
            <w:hideMark/>
          </w:tcPr>
          <w:p w14:paraId="5F4FE6B8"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3.0</w:t>
            </w:r>
          </w:p>
        </w:tc>
        <w:tc>
          <w:tcPr>
            <w:tcW w:w="1297" w:type="dxa"/>
            <w:tcBorders>
              <w:top w:val="nil"/>
              <w:left w:val="nil"/>
              <w:bottom w:val="nil"/>
              <w:right w:val="nil"/>
            </w:tcBorders>
            <w:shd w:val="clear" w:color="auto" w:fill="auto"/>
            <w:noWrap/>
            <w:vAlign w:val="bottom"/>
            <w:hideMark/>
          </w:tcPr>
          <w:p w14:paraId="17530F5E"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0.18</w:t>
            </w:r>
          </w:p>
        </w:tc>
        <w:tc>
          <w:tcPr>
            <w:tcW w:w="2151" w:type="dxa"/>
            <w:tcBorders>
              <w:top w:val="nil"/>
              <w:left w:val="nil"/>
              <w:bottom w:val="nil"/>
              <w:right w:val="nil"/>
            </w:tcBorders>
            <w:shd w:val="clear" w:color="auto" w:fill="auto"/>
            <w:noWrap/>
            <w:vAlign w:val="bottom"/>
            <w:hideMark/>
          </w:tcPr>
          <w:p w14:paraId="6881398D"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83.1</w:t>
            </w:r>
          </w:p>
        </w:tc>
        <w:tc>
          <w:tcPr>
            <w:tcW w:w="1774" w:type="dxa"/>
            <w:tcBorders>
              <w:top w:val="nil"/>
              <w:left w:val="nil"/>
              <w:bottom w:val="nil"/>
              <w:right w:val="nil"/>
            </w:tcBorders>
            <w:shd w:val="clear" w:color="auto" w:fill="auto"/>
            <w:noWrap/>
            <w:vAlign w:val="bottom"/>
            <w:hideMark/>
          </w:tcPr>
          <w:p w14:paraId="4089BD19"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4.0</w:t>
            </w:r>
          </w:p>
        </w:tc>
        <w:tc>
          <w:tcPr>
            <w:tcW w:w="1530" w:type="dxa"/>
            <w:tcBorders>
              <w:top w:val="nil"/>
              <w:left w:val="nil"/>
              <w:bottom w:val="nil"/>
              <w:right w:val="nil"/>
            </w:tcBorders>
            <w:shd w:val="clear" w:color="auto" w:fill="auto"/>
            <w:noWrap/>
            <w:vAlign w:val="bottom"/>
            <w:hideMark/>
          </w:tcPr>
          <w:p w14:paraId="7F2850FA"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0.05</w:t>
            </w:r>
          </w:p>
        </w:tc>
        <w:tc>
          <w:tcPr>
            <w:tcW w:w="2160" w:type="dxa"/>
            <w:tcBorders>
              <w:top w:val="nil"/>
              <w:left w:val="nil"/>
              <w:bottom w:val="nil"/>
              <w:right w:val="single" w:sz="8" w:space="0" w:color="auto"/>
            </w:tcBorders>
            <w:shd w:val="clear" w:color="auto" w:fill="auto"/>
            <w:noWrap/>
            <w:vAlign w:val="bottom"/>
            <w:hideMark/>
          </w:tcPr>
          <w:p w14:paraId="48B79269"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103.6</w:t>
            </w:r>
          </w:p>
        </w:tc>
      </w:tr>
      <w:tr w:rsidR="009F4E40" w:rsidRPr="009F4E40" w14:paraId="728720AA" w14:textId="77777777" w:rsidTr="00544E83">
        <w:trPr>
          <w:trHeight w:val="315"/>
        </w:trPr>
        <w:tc>
          <w:tcPr>
            <w:tcW w:w="2610" w:type="dxa"/>
            <w:tcBorders>
              <w:top w:val="nil"/>
              <w:left w:val="single" w:sz="8" w:space="0" w:color="auto"/>
              <w:bottom w:val="nil"/>
              <w:right w:val="nil"/>
            </w:tcBorders>
            <w:shd w:val="clear" w:color="auto" w:fill="auto"/>
            <w:noWrap/>
            <w:vAlign w:val="bottom"/>
            <w:hideMark/>
          </w:tcPr>
          <w:p w14:paraId="41E8BDD6" w14:textId="77777777" w:rsidR="009F4E40" w:rsidRPr="009F4E40" w:rsidRDefault="009F4E40" w:rsidP="009F4E40">
            <w:pPr>
              <w:spacing w:after="0" w:line="240" w:lineRule="auto"/>
              <w:jc w:val="center"/>
              <w:rPr>
                <w:rFonts w:ascii="Arial" w:eastAsia="Times New Roman" w:hAnsi="Arial" w:cs="Arial"/>
                <w:b/>
                <w:bCs/>
                <w:color w:val="000000"/>
                <w:sz w:val="24"/>
                <w:szCs w:val="24"/>
              </w:rPr>
            </w:pPr>
            <w:r w:rsidRPr="009F4E40">
              <w:rPr>
                <w:rFonts w:ascii="Arial" w:eastAsia="Times New Roman" w:hAnsi="Arial" w:cs="Arial"/>
                <w:b/>
                <w:bCs/>
                <w:color w:val="000000"/>
                <w:sz w:val="24"/>
                <w:szCs w:val="24"/>
              </w:rPr>
              <w:t>37.5</w:t>
            </w:r>
          </w:p>
        </w:tc>
        <w:tc>
          <w:tcPr>
            <w:tcW w:w="1620" w:type="dxa"/>
            <w:tcBorders>
              <w:top w:val="nil"/>
              <w:left w:val="single" w:sz="8" w:space="0" w:color="auto"/>
              <w:bottom w:val="nil"/>
              <w:right w:val="nil"/>
            </w:tcBorders>
            <w:shd w:val="clear" w:color="auto" w:fill="auto"/>
            <w:noWrap/>
            <w:vAlign w:val="bottom"/>
            <w:hideMark/>
          </w:tcPr>
          <w:p w14:paraId="18C7976E"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2.4</w:t>
            </w:r>
          </w:p>
        </w:tc>
        <w:tc>
          <w:tcPr>
            <w:tcW w:w="1297" w:type="dxa"/>
            <w:tcBorders>
              <w:top w:val="nil"/>
              <w:left w:val="nil"/>
              <w:bottom w:val="nil"/>
              <w:right w:val="nil"/>
            </w:tcBorders>
            <w:shd w:val="clear" w:color="auto" w:fill="auto"/>
            <w:noWrap/>
            <w:vAlign w:val="bottom"/>
            <w:hideMark/>
          </w:tcPr>
          <w:p w14:paraId="3C0924E3"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0.02</w:t>
            </w:r>
          </w:p>
        </w:tc>
        <w:tc>
          <w:tcPr>
            <w:tcW w:w="2151" w:type="dxa"/>
            <w:tcBorders>
              <w:top w:val="nil"/>
              <w:left w:val="nil"/>
              <w:bottom w:val="nil"/>
              <w:right w:val="nil"/>
            </w:tcBorders>
            <w:shd w:val="clear" w:color="auto" w:fill="auto"/>
            <w:noWrap/>
            <w:vAlign w:val="bottom"/>
            <w:hideMark/>
          </w:tcPr>
          <w:p w14:paraId="45D8EEB5"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66.8</w:t>
            </w:r>
          </w:p>
        </w:tc>
        <w:tc>
          <w:tcPr>
            <w:tcW w:w="1774" w:type="dxa"/>
            <w:tcBorders>
              <w:top w:val="nil"/>
              <w:left w:val="nil"/>
              <w:bottom w:val="nil"/>
              <w:right w:val="nil"/>
            </w:tcBorders>
            <w:shd w:val="clear" w:color="auto" w:fill="auto"/>
            <w:noWrap/>
            <w:vAlign w:val="bottom"/>
            <w:hideMark/>
          </w:tcPr>
          <w:p w14:paraId="2E4A7238"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3.9</w:t>
            </w:r>
          </w:p>
        </w:tc>
        <w:tc>
          <w:tcPr>
            <w:tcW w:w="1530" w:type="dxa"/>
            <w:tcBorders>
              <w:top w:val="nil"/>
              <w:left w:val="nil"/>
              <w:bottom w:val="nil"/>
              <w:right w:val="nil"/>
            </w:tcBorders>
            <w:shd w:val="clear" w:color="auto" w:fill="auto"/>
            <w:noWrap/>
            <w:vAlign w:val="bottom"/>
            <w:hideMark/>
          </w:tcPr>
          <w:p w14:paraId="790C875C"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0.01</w:t>
            </w:r>
          </w:p>
        </w:tc>
        <w:tc>
          <w:tcPr>
            <w:tcW w:w="2160" w:type="dxa"/>
            <w:tcBorders>
              <w:top w:val="nil"/>
              <w:left w:val="nil"/>
              <w:bottom w:val="nil"/>
              <w:right w:val="single" w:sz="8" w:space="0" w:color="auto"/>
            </w:tcBorders>
            <w:shd w:val="clear" w:color="auto" w:fill="auto"/>
            <w:noWrap/>
            <w:vAlign w:val="bottom"/>
            <w:hideMark/>
          </w:tcPr>
          <w:p w14:paraId="70B1DD63"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101.4</w:t>
            </w:r>
          </w:p>
        </w:tc>
      </w:tr>
      <w:tr w:rsidR="009F4E40" w:rsidRPr="009F4E40" w14:paraId="2FADE760" w14:textId="77777777" w:rsidTr="00544E83">
        <w:trPr>
          <w:trHeight w:val="315"/>
        </w:trPr>
        <w:tc>
          <w:tcPr>
            <w:tcW w:w="2610" w:type="dxa"/>
            <w:tcBorders>
              <w:top w:val="nil"/>
              <w:left w:val="single" w:sz="8" w:space="0" w:color="auto"/>
              <w:bottom w:val="nil"/>
              <w:right w:val="nil"/>
            </w:tcBorders>
            <w:shd w:val="clear" w:color="auto" w:fill="auto"/>
            <w:noWrap/>
            <w:vAlign w:val="bottom"/>
            <w:hideMark/>
          </w:tcPr>
          <w:p w14:paraId="44FD03C8" w14:textId="77777777" w:rsidR="009F4E40" w:rsidRPr="009F4E40" w:rsidRDefault="009F4E40" w:rsidP="009F4E40">
            <w:pPr>
              <w:spacing w:after="0" w:line="240" w:lineRule="auto"/>
              <w:jc w:val="center"/>
              <w:rPr>
                <w:rFonts w:ascii="Arial" w:eastAsia="Times New Roman" w:hAnsi="Arial" w:cs="Arial"/>
                <w:b/>
                <w:bCs/>
                <w:color w:val="000000"/>
                <w:sz w:val="24"/>
                <w:szCs w:val="24"/>
              </w:rPr>
            </w:pPr>
            <w:r w:rsidRPr="009F4E40">
              <w:rPr>
                <w:rFonts w:ascii="Arial" w:eastAsia="Times New Roman" w:hAnsi="Arial" w:cs="Arial"/>
                <w:b/>
                <w:bCs/>
                <w:color w:val="000000"/>
                <w:sz w:val="24"/>
                <w:szCs w:val="24"/>
              </w:rPr>
              <w:t>50.0</w:t>
            </w:r>
          </w:p>
        </w:tc>
        <w:tc>
          <w:tcPr>
            <w:tcW w:w="1620" w:type="dxa"/>
            <w:tcBorders>
              <w:top w:val="nil"/>
              <w:left w:val="single" w:sz="8" w:space="0" w:color="auto"/>
              <w:bottom w:val="nil"/>
              <w:right w:val="nil"/>
            </w:tcBorders>
            <w:shd w:val="clear" w:color="auto" w:fill="auto"/>
            <w:noWrap/>
            <w:vAlign w:val="bottom"/>
            <w:hideMark/>
          </w:tcPr>
          <w:p w14:paraId="3986EA65"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1.8</w:t>
            </w:r>
          </w:p>
        </w:tc>
        <w:tc>
          <w:tcPr>
            <w:tcW w:w="1297" w:type="dxa"/>
            <w:tcBorders>
              <w:top w:val="nil"/>
              <w:left w:val="nil"/>
              <w:bottom w:val="nil"/>
              <w:right w:val="nil"/>
            </w:tcBorders>
            <w:shd w:val="clear" w:color="auto" w:fill="auto"/>
            <w:noWrap/>
            <w:vAlign w:val="bottom"/>
            <w:hideMark/>
          </w:tcPr>
          <w:p w14:paraId="07DAFD43"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0.01</w:t>
            </w:r>
          </w:p>
        </w:tc>
        <w:tc>
          <w:tcPr>
            <w:tcW w:w="2151" w:type="dxa"/>
            <w:tcBorders>
              <w:top w:val="nil"/>
              <w:left w:val="nil"/>
              <w:bottom w:val="nil"/>
              <w:right w:val="nil"/>
            </w:tcBorders>
            <w:shd w:val="clear" w:color="auto" w:fill="auto"/>
            <w:noWrap/>
            <w:vAlign w:val="bottom"/>
            <w:hideMark/>
          </w:tcPr>
          <w:p w14:paraId="77329B46"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48.1</w:t>
            </w:r>
          </w:p>
        </w:tc>
        <w:tc>
          <w:tcPr>
            <w:tcW w:w="1774" w:type="dxa"/>
            <w:tcBorders>
              <w:top w:val="nil"/>
              <w:left w:val="nil"/>
              <w:bottom w:val="nil"/>
              <w:right w:val="nil"/>
            </w:tcBorders>
            <w:shd w:val="clear" w:color="auto" w:fill="auto"/>
            <w:noWrap/>
            <w:vAlign w:val="bottom"/>
            <w:hideMark/>
          </w:tcPr>
          <w:p w14:paraId="6B7BC583"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3.9</w:t>
            </w:r>
          </w:p>
        </w:tc>
        <w:tc>
          <w:tcPr>
            <w:tcW w:w="1530" w:type="dxa"/>
            <w:tcBorders>
              <w:top w:val="nil"/>
              <w:left w:val="nil"/>
              <w:bottom w:val="nil"/>
              <w:right w:val="nil"/>
            </w:tcBorders>
            <w:shd w:val="clear" w:color="auto" w:fill="auto"/>
            <w:noWrap/>
            <w:vAlign w:val="bottom"/>
            <w:hideMark/>
          </w:tcPr>
          <w:p w14:paraId="065520D0"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0.03</w:t>
            </w:r>
          </w:p>
        </w:tc>
        <w:tc>
          <w:tcPr>
            <w:tcW w:w="2160" w:type="dxa"/>
            <w:tcBorders>
              <w:top w:val="nil"/>
              <w:left w:val="nil"/>
              <w:bottom w:val="nil"/>
              <w:right w:val="single" w:sz="8" w:space="0" w:color="auto"/>
            </w:tcBorders>
            <w:shd w:val="clear" w:color="auto" w:fill="auto"/>
            <w:noWrap/>
            <w:vAlign w:val="bottom"/>
            <w:hideMark/>
          </w:tcPr>
          <w:p w14:paraId="0AD88689"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101.2</w:t>
            </w:r>
          </w:p>
        </w:tc>
      </w:tr>
      <w:tr w:rsidR="009F4E40" w:rsidRPr="009F4E40" w14:paraId="3C7D28AF" w14:textId="77777777" w:rsidTr="00544E83">
        <w:trPr>
          <w:trHeight w:val="315"/>
        </w:trPr>
        <w:tc>
          <w:tcPr>
            <w:tcW w:w="2610" w:type="dxa"/>
            <w:tcBorders>
              <w:top w:val="nil"/>
              <w:left w:val="single" w:sz="8" w:space="0" w:color="auto"/>
              <w:bottom w:val="nil"/>
              <w:right w:val="nil"/>
            </w:tcBorders>
            <w:shd w:val="clear" w:color="auto" w:fill="auto"/>
            <w:noWrap/>
            <w:vAlign w:val="bottom"/>
            <w:hideMark/>
          </w:tcPr>
          <w:p w14:paraId="3D920ACB" w14:textId="77777777" w:rsidR="009F4E40" w:rsidRPr="009F4E40" w:rsidRDefault="009F4E40" w:rsidP="009F4E40">
            <w:pPr>
              <w:spacing w:after="0" w:line="240" w:lineRule="auto"/>
              <w:jc w:val="center"/>
              <w:rPr>
                <w:rFonts w:ascii="Arial" w:eastAsia="Times New Roman" w:hAnsi="Arial" w:cs="Arial"/>
                <w:b/>
                <w:bCs/>
                <w:color w:val="000000"/>
                <w:sz w:val="24"/>
                <w:szCs w:val="24"/>
              </w:rPr>
            </w:pPr>
            <w:r w:rsidRPr="009F4E40">
              <w:rPr>
                <w:rFonts w:ascii="Arial" w:eastAsia="Times New Roman" w:hAnsi="Arial" w:cs="Arial"/>
                <w:b/>
                <w:bCs/>
                <w:color w:val="000000"/>
                <w:sz w:val="24"/>
                <w:szCs w:val="24"/>
              </w:rPr>
              <w:t>100.0</w:t>
            </w:r>
          </w:p>
        </w:tc>
        <w:tc>
          <w:tcPr>
            <w:tcW w:w="1620" w:type="dxa"/>
            <w:tcBorders>
              <w:top w:val="nil"/>
              <w:left w:val="single" w:sz="8" w:space="0" w:color="auto"/>
              <w:bottom w:val="nil"/>
              <w:right w:val="nil"/>
            </w:tcBorders>
            <w:shd w:val="clear" w:color="auto" w:fill="auto"/>
            <w:noWrap/>
            <w:vAlign w:val="bottom"/>
            <w:hideMark/>
          </w:tcPr>
          <w:p w14:paraId="26B4DB13"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 </w:t>
            </w:r>
          </w:p>
        </w:tc>
        <w:tc>
          <w:tcPr>
            <w:tcW w:w="1297" w:type="dxa"/>
            <w:tcBorders>
              <w:top w:val="nil"/>
              <w:left w:val="nil"/>
              <w:bottom w:val="nil"/>
              <w:right w:val="nil"/>
            </w:tcBorders>
            <w:shd w:val="clear" w:color="auto" w:fill="auto"/>
            <w:noWrap/>
            <w:vAlign w:val="bottom"/>
            <w:hideMark/>
          </w:tcPr>
          <w:p w14:paraId="03452CC4" w14:textId="77777777" w:rsidR="009F4E40" w:rsidRPr="009F4E40" w:rsidRDefault="009F4E40" w:rsidP="009F4E40">
            <w:pPr>
              <w:spacing w:after="0" w:line="240" w:lineRule="auto"/>
              <w:jc w:val="center"/>
              <w:rPr>
                <w:rFonts w:ascii="Arial" w:eastAsia="Times New Roman" w:hAnsi="Arial" w:cs="Arial"/>
                <w:color w:val="000000"/>
                <w:sz w:val="24"/>
                <w:szCs w:val="24"/>
              </w:rPr>
            </w:pPr>
          </w:p>
        </w:tc>
        <w:tc>
          <w:tcPr>
            <w:tcW w:w="2151" w:type="dxa"/>
            <w:tcBorders>
              <w:top w:val="nil"/>
              <w:left w:val="nil"/>
              <w:bottom w:val="nil"/>
              <w:right w:val="nil"/>
            </w:tcBorders>
            <w:shd w:val="clear" w:color="auto" w:fill="auto"/>
            <w:noWrap/>
            <w:vAlign w:val="bottom"/>
            <w:hideMark/>
          </w:tcPr>
          <w:p w14:paraId="0FD30BE9" w14:textId="77777777" w:rsidR="009F4E40" w:rsidRPr="009F4E40" w:rsidRDefault="009F4E40" w:rsidP="009F4E40">
            <w:pPr>
              <w:spacing w:after="0" w:line="240" w:lineRule="auto"/>
              <w:jc w:val="center"/>
              <w:rPr>
                <w:rFonts w:ascii="Arial" w:eastAsia="Times New Roman" w:hAnsi="Arial" w:cs="Arial"/>
                <w:color w:val="000000"/>
                <w:sz w:val="24"/>
                <w:szCs w:val="24"/>
              </w:rPr>
            </w:pPr>
          </w:p>
        </w:tc>
        <w:tc>
          <w:tcPr>
            <w:tcW w:w="1774" w:type="dxa"/>
            <w:tcBorders>
              <w:top w:val="nil"/>
              <w:left w:val="nil"/>
              <w:bottom w:val="nil"/>
              <w:right w:val="nil"/>
            </w:tcBorders>
            <w:shd w:val="clear" w:color="auto" w:fill="auto"/>
            <w:noWrap/>
            <w:vAlign w:val="bottom"/>
            <w:hideMark/>
          </w:tcPr>
          <w:p w14:paraId="2E7C9FAC"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3.7</w:t>
            </w:r>
          </w:p>
        </w:tc>
        <w:tc>
          <w:tcPr>
            <w:tcW w:w="1530" w:type="dxa"/>
            <w:tcBorders>
              <w:top w:val="nil"/>
              <w:left w:val="nil"/>
              <w:bottom w:val="nil"/>
              <w:right w:val="nil"/>
            </w:tcBorders>
            <w:shd w:val="clear" w:color="auto" w:fill="auto"/>
            <w:noWrap/>
            <w:vAlign w:val="bottom"/>
            <w:hideMark/>
          </w:tcPr>
          <w:p w14:paraId="7E065289"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0.12</w:t>
            </w:r>
          </w:p>
        </w:tc>
        <w:tc>
          <w:tcPr>
            <w:tcW w:w="2160" w:type="dxa"/>
            <w:tcBorders>
              <w:top w:val="nil"/>
              <w:left w:val="nil"/>
              <w:bottom w:val="nil"/>
              <w:right w:val="single" w:sz="8" w:space="0" w:color="auto"/>
            </w:tcBorders>
            <w:shd w:val="clear" w:color="auto" w:fill="auto"/>
            <w:noWrap/>
            <w:vAlign w:val="bottom"/>
            <w:hideMark/>
          </w:tcPr>
          <w:p w14:paraId="539955CB"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95.9</w:t>
            </w:r>
          </w:p>
        </w:tc>
      </w:tr>
      <w:tr w:rsidR="009F4E40" w:rsidRPr="009F4E40" w14:paraId="4ED255FE" w14:textId="77777777" w:rsidTr="00544E83">
        <w:trPr>
          <w:trHeight w:val="315"/>
        </w:trPr>
        <w:tc>
          <w:tcPr>
            <w:tcW w:w="2610" w:type="dxa"/>
            <w:tcBorders>
              <w:top w:val="nil"/>
              <w:left w:val="single" w:sz="8" w:space="0" w:color="auto"/>
              <w:bottom w:val="nil"/>
              <w:right w:val="nil"/>
            </w:tcBorders>
            <w:shd w:val="clear" w:color="auto" w:fill="auto"/>
            <w:noWrap/>
            <w:vAlign w:val="bottom"/>
            <w:hideMark/>
          </w:tcPr>
          <w:p w14:paraId="288E968B" w14:textId="77777777" w:rsidR="009F4E40" w:rsidRPr="009F4E40" w:rsidRDefault="009F4E40" w:rsidP="009F4E40">
            <w:pPr>
              <w:spacing w:after="0" w:line="240" w:lineRule="auto"/>
              <w:jc w:val="center"/>
              <w:rPr>
                <w:rFonts w:ascii="Arial" w:eastAsia="Times New Roman" w:hAnsi="Arial" w:cs="Arial"/>
                <w:b/>
                <w:bCs/>
                <w:color w:val="000000"/>
                <w:sz w:val="24"/>
                <w:szCs w:val="24"/>
              </w:rPr>
            </w:pPr>
            <w:r w:rsidRPr="009F4E40">
              <w:rPr>
                <w:rFonts w:ascii="Arial" w:eastAsia="Times New Roman" w:hAnsi="Arial" w:cs="Arial"/>
                <w:b/>
                <w:bCs/>
                <w:color w:val="000000"/>
                <w:sz w:val="24"/>
                <w:szCs w:val="24"/>
              </w:rPr>
              <w:t>250.0</w:t>
            </w:r>
          </w:p>
        </w:tc>
        <w:tc>
          <w:tcPr>
            <w:tcW w:w="1620" w:type="dxa"/>
            <w:tcBorders>
              <w:top w:val="nil"/>
              <w:left w:val="single" w:sz="8" w:space="0" w:color="auto"/>
              <w:bottom w:val="nil"/>
              <w:right w:val="nil"/>
            </w:tcBorders>
            <w:shd w:val="clear" w:color="auto" w:fill="auto"/>
            <w:noWrap/>
            <w:vAlign w:val="bottom"/>
            <w:hideMark/>
          </w:tcPr>
          <w:p w14:paraId="01322B97"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 </w:t>
            </w:r>
          </w:p>
        </w:tc>
        <w:tc>
          <w:tcPr>
            <w:tcW w:w="1297" w:type="dxa"/>
            <w:tcBorders>
              <w:top w:val="nil"/>
              <w:left w:val="nil"/>
              <w:bottom w:val="nil"/>
              <w:right w:val="nil"/>
            </w:tcBorders>
            <w:shd w:val="clear" w:color="auto" w:fill="auto"/>
            <w:noWrap/>
            <w:vAlign w:val="bottom"/>
            <w:hideMark/>
          </w:tcPr>
          <w:p w14:paraId="7CBEF234" w14:textId="77777777" w:rsidR="009F4E40" w:rsidRPr="009F4E40" w:rsidRDefault="009F4E40" w:rsidP="009F4E40">
            <w:pPr>
              <w:spacing w:after="0" w:line="240" w:lineRule="auto"/>
              <w:jc w:val="center"/>
              <w:rPr>
                <w:rFonts w:ascii="Arial" w:eastAsia="Times New Roman" w:hAnsi="Arial" w:cs="Arial"/>
                <w:color w:val="000000"/>
                <w:sz w:val="24"/>
                <w:szCs w:val="24"/>
              </w:rPr>
            </w:pPr>
          </w:p>
        </w:tc>
        <w:tc>
          <w:tcPr>
            <w:tcW w:w="2151" w:type="dxa"/>
            <w:tcBorders>
              <w:top w:val="nil"/>
              <w:left w:val="nil"/>
              <w:bottom w:val="nil"/>
              <w:right w:val="nil"/>
            </w:tcBorders>
            <w:shd w:val="clear" w:color="auto" w:fill="auto"/>
            <w:noWrap/>
            <w:vAlign w:val="bottom"/>
            <w:hideMark/>
          </w:tcPr>
          <w:p w14:paraId="445EB77E" w14:textId="77777777" w:rsidR="009F4E40" w:rsidRPr="009F4E40" w:rsidRDefault="009F4E40" w:rsidP="009F4E40">
            <w:pPr>
              <w:spacing w:after="0" w:line="240" w:lineRule="auto"/>
              <w:jc w:val="center"/>
              <w:rPr>
                <w:rFonts w:ascii="Arial" w:eastAsia="Times New Roman" w:hAnsi="Arial" w:cs="Arial"/>
                <w:color w:val="000000"/>
                <w:sz w:val="24"/>
                <w:szCs w:val="24"/>
              </w:rPr>
            </w:pPr>
          </w:p>
        </w:tc>
        <w:tc>
          <w:tcPr>
            <w:tcW w:w="1774" w:type="dxa"/>
            <w:tcBorders>
              <w:top w:val="nil"/>
              <w:left w:val="nil"/>
              <w:bottom w:val="nil"/>
              <w:right w:val="nil"/>
            </w:tcBorders>
            <w:shd w:val="clear" w:color="auto" w:fill="auto"/>
            <w:noWrap/>
            <w:vAlign w:val="bottom"/>
            <w:hideMark/>
          </w:tcPr>
          <w:p w14:paraId="00B232DF"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3.8</w:t>
            </w:r>
          </w:p>
        </w:tc>
        <w:tc>
          <w:tcPr>
            <w:tcW w:w="1530" w:type="dxa"/>
            <w:tcBorders>
              <w:top w:val="nil"/>
              <w:left w:val="nil"/>
              <w:bottom w:val="nil"/>
              <w:right w:val="nil"/>
            </w:tcBorders>
            <w:shd w:val="clear" w:color="auto" w:fill="auto"/>
            <w:noWrap/>
            <w:vAlign w:val="bottom"/>
            <w:hideMark/>
          </w:tcPr>
          <w:p w14:paraId="4F563D2C"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0.1</w:t>
            </w:r>
          </w:p>
        </w:tc>
        <w:tc>
          <w:tcPr>
            <w:tcW w:w="2160" w:type="dxa"/>
            <w:tcBorders>
              <w:top w:val="nil"/>
              <w:left w:val="nil"/>
              <w:bottom w:val="nil"/>
              <w:right w:val="single" w:sz="8" w:space="0" w:color="auto"/>
            </w:tcBorders>
            <w:shd w:val="clear" w:color="auto" w:fill="auto"/>
            <w:noWrap/>
            <w:vAlign w:val="bottom"/>
            <w:hideMark/>
          </w:tcPr>
          <w:p w14:paraId="3A75A89D"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98.9</w:t>
            </w:r>
          </w:p>
        </w:tc>
      </w:tr>
      <w:tr w:rsidR="009F4E40" w:rsidRPr="009F4E40" w14:paraId="6BAFC727" w14:textId="77777777" w:rsidTr="00544E83">
        <w:trPr>
          <w:trHeight w:val="315"/>
        </w:trPr>
        <w:tc>
          <w:tcPr>
            <w:tcW w:w="2610" w:type="dxa"/>
            <w:tcBorders>
              <w:top w:val="nil"/>
              <w:left w:val="single" w:sz="8" w:space="0" w:color="auto"/>
              <w:bottom w:val="nil"/>
              <w:right w:val="nil"/>
            </w:tcBorders>
            <w:shd w:val="clear" w:color="auto" w:fill="auto"/>
            <w:noWrap/>
            <w:vAlign w:val="bottom"/>
            <w:hideMark/>
          </w:tcPr>
          <w:p w14:paraId="7639CBA2" w14:textId="77777777" w:rsidR="009F4E40" w:rsidRPr="009F4E40" w:rsidRDefault="009F4E40" w:rsidP="009F4E40">
            <w:pPr>
              <w:spacing w:after="0" w:line="240" w:lineRule="auto"/>
              <w:jc w:val="center"/>
              <w:rPr>
                <w:rFonts w:ascii="Arial" w:eastAsia="Times New Roman" w:hAnsi="Arial" w:cs="Arial"/>
                <w:b/>
                <w:bCs/>
                <w:color w:val="000000"/>
                <w:sz w:val="24"/>
                <w:szCs w:val="24"/>
              </w:rPr>
            </w:pPr>
            <w:r w:rsidRPr="009F4E40">
              <w:rPr>
                <w:rFonts w:ascii="Arial" w:eastAsia="Times New Roman" w:hAnsi="Arial" w:cs="Arial"/>
                <w:b/>
                <w:bCs/>
                <w:color w:val="000000"/>
                <w:sz w:val="24"/>
                <w:szCs w:val="24"/>
              </w:rPr>
              <w:t>500.0</w:t>
            </w:r>
          </w:p>
        </w:tc>
        <w:tc>
          <w:tcPr>
            <w:tcW w:w="1620" w:type="dxa"/>
            <w:tcBorders>
              <w:top w:val="nil"/>
              <w:left w:val="single" w:sz="8" w:space="0" w:color="auto"/>
              <w:bottom w:val="nil"/>
              <w:right w:val="nil"/>
            </w:tcBorders>
            <w:shd w:val="clear" w:color="auto" w:fill="auto"/>
            <w:noWrap/>
            <w:vAlign w:val="bottom"/>
            <w:hideMark/>
          </w:tcPr>
          <w:p w14:paraId="2246084E"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 </w:t>
            </w:r>
          </w:p>
        </w:tc>
        <w:tc>
          <w:tcPr>
            <w:tcW w:w="1297" w:type="dxa"/>
            <w:tcBorders>
              <w:top w:val="nil"/>
              <w:left w:val="nil"/>
              <w:bottom w:val="nil"/>
              <w:right w:val="nil"/>
            </w:tcBorders>
            <w:shd w:val="clear" w:color="auto" w:fill="auto"/>
            <w:noWrap/>
            <w:vAlign w:val="bottom"/>
            <w:hideMark/>
          </w:tcPr>
          <w:p w14:paraId="73B954F3" w14:textId="77777777" w:rsidR="009F4E40" w:rsidRPr="009F4E40" w:rsidRDefault="009F4E40" w:rsidP="009F4E40">
            <w:pPr>
              <w:spacing w:after="0" w:line="240" w:lineRule="auto"/>
              <w:jc w:val="center"/>
              <w:rPr>
                <w:rFonts w:ascii="Arial" w:eastAsia="Times New Roman" w:hAnsi="Arial" w:cs="Arial"/>
                <w:color w:val="000000"/>
                <w:sz w:val="24"/>
                <w:szCs w:val="24"/>
              </w:rPr>
            </w:pPr>
          </w:p>
        </w:tc>
        <w:tc>
          <w:tcPr>
            <w:tcW w:w="2151" w:type="dxa"/>
            <w:tcBorders>
              <w:top w:val="nil"/>
              <w:left w:val="nil"/>
              <w:bottom w:val="nil"/>
              <w:right w:val="nil"/>
            </w:tcBorders>
            <w:shd w:val="clear" w:color="auto" w:fill="auto"/>
            <w:noWrap/>
            <w:vAlign w:val="bottom"/>
            <w:hideMark/>
          </w:tcPr>
          <w:p w14:paraId="27FCEC75" w14:textId="77777777" w:rsidR="009F4E40" w:rsidRPr="009F4E40" w:rsidRDefault="009F4E40" w:rsidP="009F4E40">
            <w:pPr>
              <w:spacing w:after="0" w:line="240" w:lineRule="auto"/>
              <w:jc w:val="center"/>
              <w:rPr>
                <w:rFonts w:ascii="Arial" w:eastAsia="Times New Roman" w:hAnsi="Arial" w:cs="Arial"/>
                <w:color w:val="000000"/>
                <w:sz w:val="24"/>
                <w:szCs w:val="24"/>
              </w:rPr>
            </w:pPr>
          </w:p>
        </w:tc>
        <w:tc>
          <w:tcPr>
            <w:tcW w:w="1774" w:type="dxa"/>
            <w:tcBorders>
              <w:top w:val="nil"/>
              <w:left w:val="nil"/>
              <w:bottom w:val="nil"/>
              <w:right w:val="nil"/>
            </w:tcBorders>
            <w:shd w:val="clear" w:color="auto" w:fill="auto"/>
            <w:noWrap/>
            <w:vAlign w:val="bottom"/>
            <w:hideMark/>
          </w:tcPr>
          <w:p w14:paraId="2D0819D9"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4.1</w:t>
            </w:r>
          </w:p>
        </w:tc>
        <w:tc>
          <w:tcPr>
            <w:tcW w:w="1530" w:type="dxa"/>
            <w:tcBorders>
              <w:top w:val="nil"/>
              <w:left w:val="nil"/>
              <w:bottom w:val="nil"/>
              <w:right w:val="nil"/>
            </w:tcBorders>
            <w:shd w:val="clear" w:color="auto" w:fill="auto"/>
            <w:noWrap/>
            <w:vAlign w:val="bottom"/>
            <w:hideMark/>
          </w:tcPr>
          <w:p w14:paraId="2AD46F67"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0.05</w:t>
            </w:r>
          </w:p>
        </w:tc>
        <w:tc>
          <w:tcPr>
            <w:tcW w:w="2160" w:type="dxa"/>
            <w:tcBorders>
              <w:top w:val="nil"/>
              <w:left w:val="nil"/>
              <w:bottom w:val="nil"/>
              <w:right w:val="single" w:sz="8" w:space="0" w:color="auto"/>
            </w:tcBorders>
            <w:shd w:val="clear" w:color="auto" w:fill="auto"/>
            <w:noWrap/>
            <w:vAlign w:val="bottom"/>
            <w:hideMark/>
          </w:tcPr>
          <w:p w14:paraId="32C28687"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106.2</w:t>
            </w:r>
          </w:p>
        </w:tc>
      </w:tr>
      <w:tr w:rsidR="009F4E40" w:rsidRPr="009F4E40" w14:paraId="7A58EF2F" w14:textId="77777777" w:rsidTr="00544E83">
        <w:trPr>
          <w:trHeight w:val="315"/>
        </w:trPr>
        <w:tc>
          <w:tcPr>
            <w:tcW w:w="2610" w:type="dxa"/>
            <w:tcBorders>
              <w:top w:val="nil"/>
              <w:left w:val="single" w:sz="8" w:space="0" w:color="auto"/>
              <w:bottom w:val="nil"/>
              <w:right w:val="nil"/>
            </w:tcBorders>
            <w:shd w:val="clear" w:color="auto" w:fill="auto"/>
            <w:noWrap/>
            <w:vAlign w:val="bottom"/>
            <w:hideMark/>
          </w:tcPr>
          <w:p w14:paraId="51780267" w14:textId="77777777" w:rsidR="009F4E40" w:rsidRPr="009F4E40" w:rsidRDefault="009F4E40" w:rsidP="009F4E40">
            <w:pPr>
              <w:spacing w:after="0" w:line="240" w:lineRule="auto"/>
              <w:jc w:val="center"/>
              <w:rPr>
                <w:rFonts w:ascii="Arial" w:eastAsia="Times New Roman" w:hAnsi="Arial" w:cs="Arial"/>
                <w:b/>
                <w:bCs/>
                <w:color w:val="000000"/>
                <w:sz w:val="24"/>
                <w:szCs w:val="24"/>
              </w:rPr>
            </w:pPr>
            <w:r w:rsidRPr="009F4E40">
              <w:rPr>
                <w:rFonts w:ascii="Arial" w:eastAsia="Times New Roman" w:hAnsi="Arial" w:cs="Arial"/>
                <w:b/>
                <w:bCs/>
                <w:color w:val="000000"/>
                <w:sz w:val="24"/>
                <w:szCs w:val="24"/>
              </w:rPr>
              <w:t> </w:t>
            </w:r>
          </w:p>
        </w:tc>
        <w:tc>
          <w:tcPr>
            <w:tcW w:w="1620" w:type="dxa"/>
            <w:tcBorders>
              <w:top w:val="nil"/>
              <w:left w:val="single" w:sz="8" w:space="0" w:color="auto"/>
              <w:bottom w:val="nil"/>
              <w:right w:val="nil"/>
            </w:tcBorders>
            <w:shd w:val="clear" w:color="auto" w:fill="auto"/>
            <w:noWrap/>
            <w:vAlign w:val="bottom"/>
            <w:hideMark/>
          </w:tcPr>
          <w:p w14:paraId="0400FE2A"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 </w:t>
            </w:r>
          </w:p>
        </w:tc>
        <w:tc>
          <w:tcPr>
            <w:tcW w:w="1297" w:type="dxa"/>
            <w:tcBorders>
              <w:top w:val="nil"/>
              <w:left w:val="nil"/>
              <w:bottom w:val="nil"/>
              <w:right w:val="nil"/>
            </w:tcBorders>
            <w:shd w:val="clear" w:color="auto" w:fill="auto"/>
            <w:noWrap/>
            <w:vAlign w:val="bottom"/>
            <w:hideMark/>
          </w:tcPr>
          <w:p w14:paraId="35235572" w14:textId="77777777" w:rsidR="009F4E40" w:rsidRPr="009F4E40" w:rsidRDefault="009F4E40" w:rsidP="009F4E40">
            <w:pPr>
              <w:spacing w:after="0" w:line="240" w:lineRule="auto"/>
              <w:jc w:val="center"/>
              <w:rPr>
                <w:rFonts w:ascii="Arial" w:eastAsia="Times New Roman" w:hAnsi="Arial" w:cs="Arial"/>
                <w:color w:val="000000"/>
                <w:sz w:val="24"/>
                <w:szCs w:val="24"/>
              </w:rPr>
            </w:pPr>
          </w:p>
        </w:tc>
        <w:tc>
          <w:tcPr>
            <w:tcW w:w="2151" w:type="dxa"/>
            <w:tcBorders>
              <w:top w:val="nil"/>
              <w:left w:val="nil"/>
              <w:bottom w:val="nil"/>
              <w:right w:val="nil"/>
            </w:tcBorders>
            <w:shd w:val="clear" w:color="auto" w:fill="auto"/>
            <w:noWrap/>
            <w:vAlign w:val="bottom"/>
            <w:hideMark/>
          </w:tcPr>
          <w:p w14:paraId="2791B522" w14:textId="77777777" w:rsidR="009F4E40" w:rsidRPr="009F4E40" w:rsidRDefault="009F4E40" w:rsidP="009F4E40">
            <w:pPr>
              <w:spacing w:after="0" w:line="240" w:lineRule="auto"/>
              <w:jc w:val="center"/>
              <w:rPr>
                <w:rFonts w:ascii="Arial" w:eastAsia="Times New Roman" w:hAnsi="Arial" w:cs="Arial"/>
                <w:color w:val="000000"/>
                <w:sz w:val="24"/>
                <w:szCs w:val="24"/>
              </w:rPr>
            </w:pPr>
          </w:p>
        </w:tc>
        <w:tc>
          <w:tcPr>
            <w:tcW w:w="1774" w:type="dxa"/>
            <w:tcBorders>
              <w:top w:val="nil"/>
              <w:left w:val="nil"/>
              <w:bottom w:val="nil"/>
              <w:right w:val="nil"/>
            </w:tcBorders>
            <w:shd w:val="clear" w:color="auto" w:fill="auto"/>
            <w:noWrap/>
            <w:vAlign w:val="bottom"/>
            <w:hideMark/>
          </w:tcPr>
          <w:p w14:paraId="1BDE8E1B" w14:textId="77777777" w:rsidR="009F4E40" w:rsidRPr="009F4E40" w:rsidRDefault="009F4E40" w:rsidP="009F4E40">
            <w:pPr>
              <w:spacing w:after="0" w:line="240" w:lineRule="auto"/>
              <w:jc w:val="center"/>
              <w:rPr>
                <w:rFonts w:ascii="Arial" w:eastAsia="Times New Roman" w:hAnsi="Arial" w:cs="Arial"/>
                <w:color w:val="000000"/>
                <w:sz w:val="24"/>
                <w:szCs w:val="24"/>
              </w:rPr>
            </w:pPr>
          </w:p>
        </w:tc>
        <w:tc>
          <w:tcPr>
            <w:tcW w:w="1530" w:type="dxa"/>
            <w:tcBorders>
              <w:top w:val="nil"/>
              <w:left w:val="nil"/>
              <w:bottom w:val="nil"/>
              <w:right w:val="nil"/>
            </w:tcBorders>
            <w:shd w:val="clear" w:color="auto" w:fill="auto"/>
            <w:noWrap/>
            <w:vAlign w:val="bottom"/>
            <w:hideMark/>
          </w:tcPr>
          <w:p w14:paraId="43FE507D" w14:textId="77777777" w:rsidR="009F4E40" w:rsidRPr="009F4E40" w:rsidRDefault="009F4E40" w:rsidP="009F4E40">
            <w:pPr>
              <w:spacing w:after="0" w:line="240" w:lineRule="auto"/>
              <w:jc w:val="center"/>
              <w:rPr>
                <w:rFonts w:ascii="Arial" w:eastAsia="Times New Roman" w:hAnsi="Arial" w:cs="Arial"/>
                <w:color w:val="000000"/>
                <w:sz w:val="24"/>
                <w:szCs w:val="24"/>
              </w:rPr>
            </w:pPr>
          </w:p>
        </w:tc>
        <w:tc>
          <w:tcPr>
            <w:tcW w:w="2160" w:type="dxa"/>
            <w:tcBorders>
              <w:top w:val="nil"/>
              <w:left w:val="nil"/>
              <w:bottom w:val="nil"/>
              <w:right w:val="single" w:sz="8" w:space="0" w:color="auto"/>
            </w:tcBorders>
            <w:shd w:val="clear" w:color="auto" w:fill="auto"/>
            <w:noWrap/>
            <w:vAlign w:val="bottom"/>
            <w:hideMark/>
          </w:tcPr>
          <w:p w14:paraId="0E62AB79"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 </w:t>
            </w:r>
          </w:p>
        </w:tc>
      </w:tr>
      <w:tr w:rsidR="009F4E40" w:rsidRPr="009F4E40" w14:paraId="40FE0F11" w14:textId="77777777" w:rsidTr="00544E83">
        <w:trPr>
          <w:trHeight w:val="615"/>
        </w:trPr>
        <w:tc>
          <w:tcPr>
            <w:tcW w:w="2610" w:type="dxa"/>
            <w:tcBorders>
              <w:top w:val="nil"/>
              <w:left w:val="single" w:sz="8" w:space="0" w:color="auto"/>
              <w:bottom w:val="nil"/>
              <w:right w:val="nil"/>
            </w:tcBorders>
            <w:shd w:val="clear" w:color="auto" w:fill="auto"/>
            <w:vAlign w:val="bottom"/>
            <w:hideMark/>
          </w:tcPr>
          <w:p w14:paraId="40DCE10D" w14:textId="77777777" w:rsidR="009F4E40" w:rsidRPr="009F4E40" w:rsidRDefault="009F4E40" w:rsidP="009F4E40">
            <w:pPr>
              <w:spacing w:after="0" w:line="240" w:lineRule="auto"/>
              <w:jc w:val="center"/>
              <w:rPr>
                <w:rFonts w:ascii="Arial" w:eastAsia="Times New Roman" w:hAnsi="Arial" w:cs="Arial"/>
                <w:b/>
                <w:bCs/>
                <w:color w:val="000000"/>
                <w:sz w:val="24"/>
                <w:szCs w:val="24"/>
              </w:rPr>
            </w:pPr>
            <w:r w:rsidRPr="009F4E40">
              <w:rPr>
                <w:rFonts w:ascii="Arial" w:eastAsia="Times New Roman" w:hAnsi="Arial" w:cs="Arial"/>
                <w:b/>
                <w:bCs/>
                <w:color w:val="000000"/>
                <w:sz w:val="24"/>
                <w:szCs w:val="24"/>
              </w:rPr>
              <w:t xml:space="preserve">Cyclophosphamide 12.5 </w:t>
            </w:r>
            <w:proofErr w:type="spellStart"/>
            <w:r w:rsidRPr="009F4E40">
              <w:rPr>
                <w:rFonts w:ascii="Arial" w:eastAsia="Times New Roman" w:hAnsi="Arial" w:cs="Arial"/>
                <w:b/>
                <w:bCs/>
                <w:color w:val="000000"/>
                <w:sz w:val="24"/>
                <w:szCs w:val="24"/>
              </w:rPr>
              <w:t>μg</w:t>
            </w:r>
            <w:proofErr w:type="spellEnd"/>
            <w:r w:rsidRPr="009F4E40">
              <w:rPr>
                <w:rFonts w:ascii="Arial" w:eastAsia="Times New Roman" w:hAnsi="Arial" w:cs="Arial"/>
                <w:b/>
                <w:bCs/>
                <w:color w:val="000000"/>
                <w:sz w:val="24"/>
                <w:szCs w:val="24"/>
              </w:rPr>
              <w:t>/ml</w:t>
            </w:r>
          </w:p>
        </w:tc>
        <w:tc>
          <w:tcPr>
            <w:tcW w:w="1620" w:type="dxa"/>
            <w:tcBorders>
              <w:top w:val="nil"/>
              <w:left w:val="single" w:sz="8" w:space="0" w:color="auto"/>
              <w:bottom w:val="nil"/>
              <w:right w:val="nil"/>
            </w:tcBorders>
            <w:shd w:val="clear" w:color="auto" w:fill="auto"/>
            <w:noWrap/>
            <w:vAlign w:val="bottom"/>
            <w:hideMark/>
          </w:tcPr>
          <w:p w14:paraId="74B276AD"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2.3</w:t>
            </w:r>
          </w:p>
        </w:tc>
        <w:tc>
          <w:tcPr>
            <w:tcW w:w="1297" w:type="dxa"/>
            <w:tcBorders>
              <w:top w:val="nil"/>
              <w:left w:val="nil"/>
              <w:bottom w:val="nil"/>
              <w:right w:val="nil"/>
            </w:tcBorders>
            <w:shd w:val="clear" w:color="auto" w:fill="auto"/>
            <w:noWrap/>
            <w:vAlign w:val="bottom"/>
            <w:hideMark/>
          </w:tcPr>
          <w:p w14:paraId="7D7FCB92"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0.7</w:t>
            </w:r>
          </w:p>
        </w:tc>
        <w:tc>
          <w:tcPr>
            <w:tcW w:w="2151" w:type="dxa"/>
            <w:tcBorders>
              <w:top w:val="nil"/>
              <w:left w:val="nil"/>
              <w:bottom w:val="nil"/>
              <w:right w:val="nil"/>
            </w:tcBorders>
            <w:shd w:val="clear" w:color="auto" w:fill="auto"/>
            <w:noWrap/>
            <w:vAlign w:val="bottom"/>
            <w:hideMark/>
          </w:tcPr>
          <w:p w14:paraId="2AB1A2A4"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64.1</w:t>
            </w:r>
          </w:p>
        </w:tc>
        <w:tc>
          <w:tcPr>
            <w:tcW w:w="1774" w:type="dxa"/>
            <w:tcBorders>
              <w:top w:val="nil"/>
              <w:left w:val="nil"/>
              <w:bottom w:val="nil"/>
              <w:right w:val="nil"/>
            </w:tcBorders>
            <w:shd w:val="clear" w:color="auto" w:fill="auto"/>
            <w:noWrap/>
            <w:vAlign w:val="bottom"/>
            <w:hideMark/>
          </w:tcPr>
          <w:p w14:paraId="7BB93821"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3.7</w:t>
            </w:r>
          </w:p>
        </w:tc>
        <w:tc>
          <w:tcPr>
            <w:tcW w:w="1530" w:type="dxa"/>
            <w:tcBorders>
              <w:top w:val="nil"/>
              <w:left w:val="nil"/>
              <w:bottom w:val="nil"/>
              <w:right w:val="nil"/>
            </w:tcBorders>
            <w:shd w:val="clear" w:color="auto" w:fill="auto"/>
            <w:noWrap/>
            <w:vAlign w:val="bottom"/>
            <w:hideMark/>
          </w:tcPr>
          <w:p w14:paraId="0BAB3FEE"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0.2</w:t>
            </w:r>
          </w:p>
        </w:tc>
        <w:tc>
          <w:tcPr>
            <w:tcW w:w="2160" w:type="dxa"/>
            <w:tcBorders>
              <w:top w:val="nil"/>
              <w:left w:val="nil"/>
              <w:bottom w:val="nil"/>
              <w:right w:val="single" w:sz="8" w:space="0" w:color="auto"/>
            </w:tcBorders>
            <w:shd w:val="clear" w:color="auto" w:fill="auto"/>
            <w:noWrap/>
            <w:vAlign w:val="bottom"/>
            <w:hideMark/>
          </w:tcPr>
          <w:p w14:paraId="43C03D57" w14:textId="77777777" w:rsidR="009F4E40" w:rsidRPr="009F4E40" w:rsidRDefault="009F4E40" w:rsidP="009F4E40">
            <w:pPr>
              <w:spacing w:after="0" w:line="240" w:lineRule="auto"/>
              <w:jc w:val="center"/>
              <w:rPr>
                <w:rFonts w:ascii="Arial" w:eastAsia="Times New Roman" w:hAnsi="Arial" w:cs="Arial"/>
                <w:color w:val="000000"/>
                <w:sz w:val="24"/>
                <w:szCs w:val="24"/>
              </w:rPr>
            </w:pPr>
            <w:r w:rsidRPr="009F4E40">
              <w:rPr>
                <w:rFonts w:ascii="Arial" w:eastAsia="Times New Roman" w:hAnsi="Arial" w:cs="Arial"/>
                <w:color w:val="000000"/>
                <w:sz w:val="24"/>
                <w:szCs w:val="24"/>
              </w:rPr>
              <w:t>94</w:t>
            </w:r>
          </w:p>
        </w:tc>
      </w:tr>
      <w:tr w:rsidR="009F4E40" w:rsidRPr="009F4E40" w14:paraId="132A614C" w14:textId="77777777" w:rsidTr="00544E83">
        <w:trPr>
          <w:trHeight w:val="315"/>
        </w:trPr>
        <w:tc>
          <w:tcPr>
            <w:tcW w:w="2610" w:type="dxa"/>
            <w:tcBorders>
              <w:top w:val="nil"/>
              <w:left w:val="single" w:sz="8" w:space="0" w:color="auto"/>
              <w:bottom w:val="nil"/>
              <w:right w:val="nil"/>
            </w:tcBorders>
            <w:shd w:val="clear" w:color="auto" w:fill="auto"/>
            <w:noWrap/>
            <w:vAlign w:val="bottom"/>
            <w:hideMark/>
          </w:tcPr>
          <w:p w14:paraId="6D94DE8F" w14:textId="77777777" w:rsidR="009F4E40" w:rsidRPr="009F4E40" w:rsidRDefault="009F4E40" w:rsidP="009F4E40">
            <w:pPr>
              <w:spacing w:after="0" w:line="240" w:lineRule="auto"/>
              <w:rPr>
                <w:rFonts w:ascii="Arial" w:eastAsia="Times New Roman" w:hAnsi="Arial" w:cs="Arial"/>
                <w:color w:val="000000"/>
                <w:sz w:val="24"/>
                <w:szCs w:val="24"/>
              </w:rPr>
            </w:pPr>
            <w:r w:rsidRPr="009F4E40">
              <w:rPr>
                <w:rFonts w:ascii="Arial" w:eastAsia="Times New Roman" w:hAnsi="Arial" w:cs="Arial"/>
                <w:color w:val="000000"/>
                <w:sz w:val="24"/>
                <w:szCs w:val="24"/>
              </w:rPr>
              <w:t> </w:t>
            </w:r>
          </w:p>
        </w:tc>
        <w:tc>
          <w:tcPr>
            <w:tcW w:w="1620" w:type="dxa"/>
            <w:tcBorders>
              <w:top w:val="nil"/>
              <w:left w:val="single" w:sz="8" w:space="0" w:color="auto"/>
              <w:bottom w:val="nil"/>
              <w:right w:val="nil"/>
            </w:tcBorders>
            <w:shd w:val="clear" w:color="auto" w:fill="auto"/>
            <w:noWrap/>
            <w:vAlign w:val="bottom"/>
            <w:hideMark/>
          </w:tcPr>
          <w:p w14:paraId="032AF68F" w14:textId="77777777" w:rsidR="009F4E40" w:rsidRPr="009F4E40" w:rsidRDefault="009F4E40" w:rsidP="009F4E40">
            <w:pPr>
              <w:spacing w:after="0" w:line="240" w:lineRule="auto"/>
              <w:rPr>
                <w:rFonts w:ascii="Calibri" w:eastAsia="Times New Roman" w:hAnsi="Calibri" w:cs="Times New Roman"/>
                <w:color w:val="000000"/>
              </w:rPr>
            </w:pPr>
            <w:r w:rsidRPr="009F4E40">
              <w:rPr>
                <w:rFonts w:ascii="Calibri" w:eastAsia="Times New Roman" w:hAnsi="Calibri" w:cs="Times New Roman"/>
                <w:color w:val="000000"/>
              </w:rPr>
              <w:t> </w:t>
            </w:r>
          </w:p>
        </w:tc>
        <w:tc>
          <w:tcPr>
            <w:tcW w:w="1297" w:type="dxa"/>
            <w:tcBorders>
              <w:top w:val="nil"/>
              <w:left w:val="nil"/>
              <w:bottom w:val="nil"/>
              <w:right w:val="nil"/>
            </w:tcBorders>
            <w:shd w:val="clear" w:color="auto" w:fill="auto"/>
            <w:noWrap/>
            <w:vAlign w:val="bottom"/>
            <w:hideMark/>
          </w:tcPr>
          <w:p w14:paraId="224180ED" w14:textId="77777777" w:rsidR="009F4E40" w:rsidRPr="009F4E40" w:rsidRDefault="009F4E40" w:rsidP="009F4E40">
            <w:pPr>
              <w:spacing w:after="0" w:line="240" w:lineRule="auto"/>
              <w:rPr>
                <w:rFonts w:ascii="Calibri" w:eastAsia="Times New Roman" w:hAnsi="Calibri" w:cs="Times New Roman"/>
                <w:color w:val="000000"/>
              </w:rPr>
            </w:pPr>
            <w:r w:rsidRPr="009F4E40">
              <w:rPr>
                <w:rFonts w:ascii="Calibri" w:eastAsia="Times New Roman" w:hAnsi="Calibri" w:cs="Times New Roman"/>
                <w:color w:val="000000"/>
              </w:rPr>
              <w:t> </w:t>
            </w:r>
          </w:p>
        </w:tc>
        <w:tc>
          <w:tcPr>
            <w:tcW w:w="2151" w:type="dxa"/>
            <w:tcBorders>
              <w:top w:val="nil"/>
              <w:left w:val="nil"/>
              <w:bottom w:val="nil"/>
              <w:right w:val="nil"/>
            </w:tcBorders>
            <w:shd w:val="clear" w:color="auto" w:fill="auto"/>
            <w:noWrap/>
            <w:vAlign w:val="bottom"/>
            <w:hideMark/>
          </w:tcPr>
          <w:p w14:paraId="45FBC7AF" w14:textId="77777777" w:rsidR="009F4E40" w:rsidRPr="009F4E40" w:rsidRDefault="009F4E40" w:rsidP="009F4E40">
            <w:pPr>
              <w:spacing w:after="0" w:line="240" w:lineRule="auto"/>
              <w:rPr>
                <w:rFonts w:ascii="Calibri" w:eastAsia="Times New Roman" w:hAnsi="Calibri" w:cs="Times New Roman"/>
                <w:color w:val="000000"/>
              </w:rPr>
            </w:pPr>
            <w:r w:rsidRPr="009F4E40">
              <w:rPr>
                <w:rFonts w:ascii="Calibri" w:eastAsia="Times New Roman" w:hAnsi="Calibri" w:cs="Times New Roman"/>
                <w:color w:val="000000"/>
              </w:rPr>
              <w:t> </w:t>
            </w:r>
          </w:p>
        </w:tc>
        <w:tc>
          <w:tcPr>
            <w:tcW w:w="1774" w:type="dxa"/>
            <w:tcBorders>
              <w:top w:val="nil"/>
              <w:left w:val="nil"/>
              <w:bottom w:val="nil"/>
              <w:right w:val="nil"/>
            </w:tcBorders>
            <w:shd w:val="clear" w:color="auto" w:fill="auto"/>
            <w:noWrap/>
            <w:vAlign w:val="bottom"/>
            <w:hideMark/>
          </w:tcPr>
          <w:p w14:paraId="67286F45" w14:textId="77777777" w:rsidR="009F4E40" w:rsidRPr="009F4E40" w:rsidRDefault="009F4E40" w:rsidP="009F4E40">
            <w:pPr>
              <w:spacing w:after="0" w:line="240" w:lineRule="auto"/>
              <w:rPr>
                <w:rFonts w:ascii="Calibri" w:eastAsia="Times New Roman" w:hAnsi="Calibri" w:cs="Times New Roman"/>
                <w:color w:val="000000"/>
              </w:rPr>
            </w:pPr>
            <w:r w:rsidRPr="009F4E40">
              <w:rPr>
                <w:rFonts w:ascii="Calibri" w:eastAsia="Times New Roman" w:hAnsi="Calibri" w:cs="Times New Roman"/>
                <w:color w:val="000000"/>
              </w:rPr>
              <w:t> </w:t>
            </w:r>
          </w:p>
        </w:tc>
        <w:tc>
          <w:tcPr>
            <w:tcW w:w="1530" w:type="dxa"/>
            <w:tcBorders>
              <w:top w:val="nil"/>
              <w:left w:val="nil"/>
              <w:bottom w:val="nil"/>
              <w:right w:val="nil"/>
            </w:tcBorders>
            <w:shd w:val="clear" w:color="auto" w:fill="auto"/>
            <w:noWrap/>
            <w:vAlign w:val="bottom"/>
            <w:hideMark/>
          </w:tcPr>
          <w:p w14:paraId="15419D16" w14:textId="77777777" w:rsidR="009F4E40" w:rsidRPr="009F4E40" w:rsidRDefault="009F4E40" w:rsidP="009F4E40">
            <w:pPr>
              <w:spacing w:after="0" w:line="240" w:lineRule="auto"/>
              <w:rPr>
                <w:rFonts w:ascii="Calibri" w:eastAsia="Times New Roman" w:hAnsi="Calibri" w:cs="Times New Roman"/>
                <w:color w:val="000000"/>
              </w:rPr>
            </w:pPr>
            <w:r w:rsidRPr="009F4E40">
              <w:rPr>
                <w:rFonts w:ascii="Calibri" w:eastAsia="Times New Roman" w:hAnsi="Calibri" w:cs="Times New Roman"/>
                <w:color w:val="000000"/>
              </w:rPr>
              <w:t xml:space="preserve"> </w:t>
            </w:r>
          </w:p>
        </w:tc>
        <w:tc>
          <w:tcPr>
            <w:tcW w:w="2160" w:type="dxa"/>
            <w:tcBorders>
              <w:top w:val="nil"/>
              <w:left w:val="nil"/>
              <w:bottom w:val="nil"/>
              <w:right w:val="single" w:sz="8" w:space="0" w:color="auto"/>
            </w:tcBorders>
            <w:shd w:val="clear" w:color="auto" w:fill="auto"/>
            <w:noWrap/>
            <w:vAlign w:val="bottom"/>
            <w:hideMark/>
          </w:tcPr>
          <w:p w14:paraId="11340181" w14:textId="77777777" w:rsidR="009F4E40" w:rsidRPr="009F4E40" w:rsidRDefault="009F4E40" w:rsidP="009F4E40">
            <w:pPr>
              <w:spacing w:after="0" w:line="240" w:lineRule="auto"/>
              <w:rPr>
                <w:rFonts w:ascii="Calibri" w:eastAsia="Times New Roman" w:hAnsi="Calibri" w:cs="Times New Roman"/>
                <w:color w:val="000000"/>
              </w:rPr>
            </w:pPr>
            <w:r w:rsidRPr="009F4E40">
              <w:rPr>
                <w:rFonts w:ascii="Calibri" w:eastAsia="Times New Roman" w:hAnsi="Calibri" w:cs="Times New Roman"/>
                <w:color w:val="000000"/>
              </w:rPr>
              <w:t> </w:t>
            </w:r>
          </w:p>
        </w:tc>
      </w:tr>
      <w:tr w:rsidR="009F4E40" w:rsidRPr="009F4E40" w14:paraId="61DF4EED" w14:textId="77777777" w:rsidTr="00544E83">
        <w:trPr>
          <w:trHeight w:val="315"/>
        </w:trPr>
        <w:tc>
          <w:tcPr>
            <w:tcW w:w="2610" w:type="dxa"/>
            <w:tcBorders>
              <w:top w:val="nil"/>
              <w:left w:val="single" w:sz="8" w:space="0" w:color="auto"/>
              <w:bottom w:val="single" w:sz="8" w:space="0" w:color="auto"/>
              <w:right w:val="nil"/>
            </w:tcBorders>
            <w:shd w:val="clear" w:color="auto" w:fill="auto"/>
            <w:noWrap/>
            <w:vAlign w:val="bottom"/>
            <w:hideMark/>
          </w:tcPr>
          <w:p w14:paraId="5BE35342" w14:textId="77777777" w:rsidR="009F4E40" w:rsidRPr="009F4E40" w:rsidRDefault="009F4E40" w:rsidP="009F4E40">
            <w:pPr>
              <w:spacing w:after="0" w:line="240" w:lineRule="auto"/>
              <w:rPr>
                <w:rFonts w:ascii="Arial" w:eastAsia="Times New Roman" w:hAnsi="Arial" w:cs="Arial"/>
                <w:color w:val="000000"/>
                <w:sz w:val="24"/>
                <w:szCs w:val="24"/>
              </w:rPr>
            </w:pPr>
          </w:p>
        </w:tc>
        <w:tc>
          <w:tcPr>
            <w:tcW w:w="1620" w:type="dxa"/>
            <w:tcBorders>
              <w:top w:val="nil"/>
              <w:left w:val="single" w:sz="8" w:space="0" w:color="auto"/>
              <w:bottom w:val="single" w:sz="8" w:space="0" w:color="auto"/>
              <w:right w:val="nil"/>
            </w:tcBorders>
            <w:shd w:val="clear" w:color="auto" w:fill="auto"/>
            <w:noWrap/>
            <w:vAlign w:val="bottom"/>
            <w:hideMark/>
          </w:tcPr>
          <w:p w14:paraId="3AFE0316" w14:textId="77777777" w:rsidR="009F4E40" w:rsidRPr="009F4E40" w:rsidRDefault="009F4E40" w:rsidP="009F4E40">
            <w:pPr>
              <w:spacing w:after="0" w:line="240" w:lineRule="auto"/>
              <w:rPr>
                <w:rFonts w:ascii="Calibri" w:eastAsia="Times New Roman" w:hAnsi="Calibri" w:cs="Times New Roman"/>
                <w:color w:val="000000"/>
              </w:rPr>
            </w:pPr>
          </w:p>
        </w:tc>
        <w:tc>
          <w:tcPr>
            <w:tcW w:w="1297" w:type="dxa"/>
            <w:tcBorders>
              <w:top w:val="nil"/>
              <w:left w:val="nil"/>
              <w:bottom w:val="single" w:sz="8" w:space="0" w:color="auto"/>
              <w:right w:val="nil"/>
            </w:tcBorders>
            <w:shd w:val="clear" w:color="auto" w:fill="auto"/>
            <w:noWrap/>
            <w:vAlign w:val="bottom"/>
            <w:hideMark/>
          </w:tcPr>
          <w:p w14:paraId="3DC9435A" w14:textId="77777777" w:rsidR="009F4E40" w:rsidRPr="009F4E40" w:rsidRDefault="009F4E40" w:rsidP="009F4E40">
            <w:pPr>
              <w:spacing w:after="0" w:line="240" w:lineRule="auto"/>
              <w:rPr>
                <w:rFonts w:ascii="Calibri" w:eastAsia="Times New Roman" w:hAnsi="Calibri" w:cs="Times New Roman"/>
                <w:color w:val="000000"/>
              </w:rPr>
            </w:pPr>
          </w:p>
        </w:tc>
        <w:tc>
          <w:tcPr>
            <w:tcW w:w="2151" w:type="dxa"/>
            <w:tcBorders>
              <w:top w:val="nil"/>
              <w:left w:val="nil"/>
              <w:bottom w:val="single" w:sz="8" w:space="0" w:color="auto"/>
              <w:right w:val="nil"/>
            </w:tcBorders>
            <w:shd w:val="clear" w:color="auto" w:fill="auto"/>
            <w:noWrap/>
            <w:vAlign w:val="bottom"/>
            <w:hideMark/>
          </w:tcPr>
          <w:p w14:paraId="6D299DCC" w14:textId="77777777" w:rsidR="009F4E40" w:rsidRPr="009F4E40" w:rsidRDefault="009F4E40" w:rsidP="009F4E40">
            <w:pPr>
              <w:spacing w:after="0" w:line="240" w:lineRule="auto"/>
              <w:rPr>
                <w:rFonts w:ascii="Calibri" w:eastAsia="Times New Roman" w:hAnsi="Calibri" w:cs="Times New Roman"/>
                <w:color w:val="000000"/>
              </w:rPr>
            </w:pPr>
          </w:p>
        </w:tc>
        <w:tc>
          <w:tcPr>
            <w:tcW w:w="1774" w:type="dxa"/>
            <w:tcBorders>
              <w:top w:val="nil"/>
              <w:left w:val="nil"/>
              <w:bottom w:val="single" w:sz="8" w:space="0" w:color="auto"/>
              <w:right w:val="nil"/>
            </w:tcBorders>
            <w:shd w:val="clear" w:color="auto" w:fill="auto"/>
            <w:noWrap/>
            <w:vAlign w:val="bottom"/>
            <w:hideMark/>
          </w:tcPr>
          <w:p w14:paraId="70978D99" w14:textId="77777777" w:rsidR="009F4E40" w:rsidRPr="009F4E40" w:rsidRDefault="009F4E40" w:rsidP="009F4E40">
            <w:pPr>
              <w:spacing w:after="0" w:line="240" w:lineRule="auto"/>
              <w:rPr>
                <w:rFonts w:ascii="Calibri" w:eastAsia="Times New Roman" w:hAnsi="Calibri" w:cs="Times New Roman"/>
                <w:color w:val="000000"/>
              </w:rPr>
            </w:pPr>
          </w:p>
        </w:tc>
        <w:tc>
          <w:tcPr>
            <w:tcW w:w="1530" w:type="dxa"/>
            <w:tcBorders>
              <w:top w:val="nil"/>
              <w:left w:val="nil"/>
              <w:bottom w:val="single" w:sz="8" w:space="0" w:color="auto"/>
              <w:right w:val="nil"/>
            </w:tcBorders>
            <w:shd w:val="clear" w:color="auto" w:fill="auto"/>
            <w:noWrap/>
            <w:vAlign w:val="bottom"/>
            <w:hideMark/>
          </w:tcPr>
          <w:p w14:paraId="01201568" w14:textId="77777777" w:rsidR="009F4E40" w:rsidRPr="009F4E40" w:rsidRDefault="009F4E40" w:rsidP="009F4E40">
            <w:pPr>
              <w:spacing w:after="0" w:line="240" w:lineRule="auto"/>
              <w:rPr>
                <w:rFonts w:ascii="Calibri" w:eastAsia="Times New Roman" w:hAnsi="Calibri" w:cs="Times New Roman"/>
                <w:color w:val="000000"/>
              </w:rPr>
            </w:pPr>
          </w:p>
        </w:tc>
        <w:tc>
          <w:tcPr>
            <w:tcW w:w="2160" w:type="dxa"/>
            <w:tcBorders>
              <w:top w:val="nil"/>
              <w:left w:val="nil"/>
              <w:bottom w:val="single" w:sz="8" w:space="0" w:color="auto"/>
              <w:right w:val="single" w:sz="8" w:space="0" w:color="auto"/>
            </w:tcBorders>
            <w:shd w:val="clear" w:color="auto" w:fill="auto"/>
            <w:noWrap/>
            <w:vAlign w:val="bottom"/>
            <w:hideMark/>
          </w:tcPr>
          <w:p w14:paraId="46E1DCC5" w14:textId="77777777" w:rsidR="009F4E40" w:rsidRPr="009F4E40" w:rsidRDefault="009F4E40" w:rsidP="009F4E40">
            <w:pPr>
              <w:spacing w:after="0" w:line="240" w:lineRule="auto"/>
              <w:rPr>
                <w:rFonts w:ascii="Calibri" w:eastAsia="Times New Roman" w:hAnsi="Calibri" w:cs="Times New Roman"/>
                <w:color w:val="000000"/>
              </w:rPr>
            </w:pPr>
          </w:p>
        </w:tc>
      </w:tr>
    </w:tbl>
    <w:p w14:paraId="4EE3CBD7" w14:textId="77777777" w:rsidR="009F4E40" w:rsidRPr="009F4E40" w:rsidRDefault="009F4E40" w:rsidP="009F4E40">
      <w:pPr>
        <w:spacing w:after="200" w:line="276" w:lineRule="auto"/>
        <w:jc w:val="both"/>
        <w:rPr>
          <w:rFonts w:ascii="Arial" w:eastAsia="Calibri" w:hAnsi="Arial" w:cs="Arial"/>
          <w:sz w:val="24"/>
          <w:szCs w:val="24"/>
        </w:rPr>
      </w:pPr>
    </w:p>
    <w:p w14:paraId="140FC69B" w14:textId="77777777" w:rsidR="009F4E40" w:rsidRPr="009F4E40" w:rsidRDefault="009F4E40" w:rsidP="009F4E40">
      <w:pPr>
        <w:spacing w:after="200" w:line="276" w:lineRule="auto"/>
        <w:jc w:val="both"/>
        <w:rPr>
          <w:rFonts w:ascii="Arial" w:eastAsia="Times New Roman" w:hAnsi="Arial" w:cs="Arial"/>
          <w:color w:val="000000"/>
          <w:sz w:val="24"/>
          <w:szCs w:val="24"/>
        </w:rPr>
      </w:pPr>
      <w:proofErr w:type="spellStart"/>
      <w:r w:rsidRPr="009F4E40">
        <w:rPr>
          <w:rFonts w:ascii="Arial" w:eastAsia="Times New Roman" w:hAnsi="Arial" w:cs="Arial"/>
          <w:i/>
          <w:color w:val="000000"/>
          <w:sz w:val="24"/>
          <w:szCs w:val="24"/>
          <w:vertAlign w:val="superscript"/>
        </w:rPr>
        <w:t>a</w:t>
      </w:r>
      <w:r w:rsidRPr="009F4E40">
        <w:rPr>
          <w:rFonts w:ascii="Arial" w:eastAsia="Times New Roman" w:hAnsi="Arial" w:cs="Arial"/>
          <w:color w:val="000000"/>
          <w:sz w:val="24"/>
          <w:szCs w:val="24"/>
        </w:rPr>
        <w:t>Relative</w:t>
      </w:r>
      <w:proofErr w:type="spellEnd"/>
      <w:r w:rsidRPr="009F4E40">
        <w:rPr>
          <w:rFonts w:ascii="Arial" w:eastAsia="Times New Roman" w:hAnsi="Arial" w:cs="Arial"/>
          <w:color w:val="000000"/>
          <w:sz w:val="24"/>
          <w:szCs w:val="24"/>
        </w:rPr>
        <w:t xml:space="preserve"> percent survival for naphthalene exposures – L-Glutathione and + L-Glutathione calculated independently. </w:t>
      </w:r>
    </w:p>
    <w:p w14:paraId="5E0C2458" w14:textId="3FD5C1B0" w:rsidR="009F4E40" w:rsidRPr="009F4E40" w:rsidRDefault="009F4E40" w:rsidP="009F4E40">
      <w:pPr>
        <w:spacing w:after="200" w:line="276" w:lineRule="auto"/>
        <w:jc w:val="both"/>
        <w:rPr>
          <w:rFonts w:ascii="Arial" w:eastAsia="Times New Roman" w:hAnsi="Arial" w:cs="Arial"/>
          <w:color w:val="000000"/>
          <w:sz w:val="24"/>
          <w:szCs w:val="24"/>
        </w:rPr>
        <w:sectPr w:rsidR="009F4E40" w:rsidRPr="009F4E40" w:rsidSect="006D05BF">
          <w:pgSz w:w="15840" w:h="12240" w:orient="landscape"/>
          <w:pgMar w:top="1440" w:right="1440" w:bottom="1440" w:left="1440" w:header="720" w:footer="720" w:gutter="0"/>
          <w:lnNumType w:countBy="1" w:restart="continuous"/>
          <w:cols w:space="720"/>
          <w:titlePg/>
          <w:docGrid w:linePitch="360"/>
        </w:sectPr>
      </w:pPr>
      <w:r w:rsidRPr="009F4E40">
        <w:rPr>
          <w:rFonts w:ascii="Arial" w:eastAsia="Times New Roman" w:hAnsi="Arial" w:cs="Arial"/>
          <w:color w:val="000000"/>
          <w:sz w:val="24"/>
          <w:szCs w:val="24"/>
        </w:rPr>
        <w:t>Unexposed controls used as 100</w:t>
      </w:r>
    </w:p>
    <w:bookmarkEnd w:id="0"/>
    <w:p w14:paraId="78C39536" w14:textId="13283209" w:rsidR="0083491F" w:rsidRPr="00ED6A53" w:rsidRDefault="000424AE" w:rsidP="000424AE">
      <w:pPr>
        <w:spacing w:after="0" w:line="480" w:lineRule="auto"/>
        <w:jc w:val="both"/>
        <w:rPr>
          <w:rFonts w:ascii="Arial" w:hAnsi="Arial" w:cs="Arial"/>
          <w:b/>
          <w:bCs/>
          <w:sz w:val="24"/>
          <w:szCs w:val="24"/>
        </w:rPr>
      </w:pPr>
      <w:r w:rsidRPr="00ED6A53">
        <w:rPr>
          <w:rFonts w:ascii="Arial" w:hAnsi="Arial" w:cs="Arial"/>
          <w:b/>
          <w:bCs/>
          <w:sz w:val="24"/>
          <w:szCs w:val="24"/>
        </w:rPr>
        <w:t>Figure Legends</w:t>
      </w:r>
    </w:p>
    <w:p w14:paraId="00ED1F88" w14:textId="6CA12C9C" w:rsidR="00E36827" w:rsidRDefault="000424AE" w:rsidP="00E36827">
      <w:pPr>
        <w:spacing w:after="0" w:line="480" w:lineRule="auto"/>
        <w:jc w:val="both"/>
        <w:rPr>
          <w:rFonts w:ascii="Arial" w:hAnsi="Arial" w:cs="Arial"/>
          <w:color w:val="000000"/>
          <w:sz w:val="24"/>
          <w:szCs w:val="24"/>
        </w:rPr>
      </w:pPr>
      <w:r w:rsidRPr="00ED6A53">
        <w:rPr>
          <w:rFonts w:ascii="Arial" w:hAnsi="Arial" w:cs="Arial"/>
          <w:b/>
          <w:bCs/>
          <w:sz w:val="24"/>
          <w:szCs w:val="24"/>
        </w:rPr>
        <w:t xml:space="preserve">Fig. 1. </w:t>
      </w:r>
      <w:r w:rsidR="00E36827" w:rsidRPr="00494DA9">
        <w:rPr>
          <w:rFonts w:ascii="Arial" w:hAnsi="Arial" w:cs="Arial"/>
          <w:b/>
          <w:color w:val="000000"/>
          <w:sz w:val="24"/>
          <w:szCs w:val="24"/>
        </w:rPr>
        <w:t xml:space="preserve">Figure 1. </w:t>
      </w:r>
      <w:r w:rsidR="00E36827">
        <w:rPr>
          <w:rFonts w:ascii="Arial" w:hAnsi="Arial" w:cs="Arial"/>
          <w:color w:val="000000"/>
          <w:sz w:val="24"/>
          <w:szCs w:val="24"/>
        </w:rPr>
        <w:t>Assessment of n</w:t>
      </w:r>
      <w:r w:rsidR="00E36827" w:rsidRPr="00494DA9">
        <w:rPr>
          <w:rFonts w:ascii="Arial" w:hAnsi="Arial" w:cs="Arial"/>
          <w:color w:val="000000"/>
          <w:sz w:val="24"/>
          <w:szCs w:val="24"/>
        </w:rPr>
        <w:t xml:space="preserve">aphthalene induced cytotoxicity </w:t>
      </w:r>
      <w:r w:rsidR="00FC1652">
        <w:rPr>
          <w:rFonts w:ascii="Arial" w:hAnsi="Arial" w:cs="Arial"/>
          <w:color w:val="000000"/>
          <w:sz w:val="24"/>
          <w:szCs w:val="24"/>
        </w:rPr>
        <w:t>(</w:t>
      </w:r>
      <w:proofErr w:type="spellStart"/>
      <w:r w:rsidR="00FC1652">
        <w:rPr>
          <w:rFonts w:ascii="Arial" w:hAnsi="Arial" w:cs="Arial"/>
          <w:color w:val="000000"/>
          <w:sz w:val="24"/>
          <w:szCs w:val="24"/>
        </w:rPr>
        <w:t>bead:nuclei</w:t>
      </w:r>
      <w:proofErr w:type="spellEnd"/>
      <w:r w:rsidR="00FC1652">
        <w:rPr>
          <w:rFonts w:ascii="Arial" w:hAnsi="Arial" w:cs="Arial"/>
          <w:color w:val="000000"/>
          <w:sz w:val="24"/>
          <w:szCs w:val="24"/>
        </w:rPr>
        <w:t xml:space="preserve"> ratio</w:t>
      </w:r>
      <w:r w:rsidR="00847D81">
        <w:rPr>
          <w:rFonts w:ascii="Arial" w:hAnsi="Arial" w:cs="Arial"/>
          <w:color w:val="000000"/>
          <w:sz w:val="24"/>
          <w:szCs w:val="24"/>
        </w:rPr>
        <w:t xml:space="preserve">) </w:t>
      </w:r>
      <w:r w:rsidR="00E36827" w:rsidRPr="00494DA9">
        <w:rPr>
          <w:rFonts w:ascii="Arial" w:hAnsi="Arial" w:cs="Arial"/>
          <w:color w:val="000000"/>
          <w:sz w:val="24"/>
          <w:szCs w:val="24"/>
        </w:rPr>
        <w:t>and ge</w:t>
      </w:r>
      <w:r w:rsidR="00E36827">
        <w:rPr>
          <w:rFonts w:ascii="Arial" w:hAnsi="Arial" w:cs="Arial"/>
          <w:color w:val="000000"/>
          <w:sz w:val="24"/>
          <w:szCs w:val="24"/>
        </w:rPr>
        <w:t xml:space="preserve">notoxicity in human TK6 cells with rat liver S9. </w:t>
      </w:r>
      <w:r w:rsidR="00E36827" w:rsidRPr="00494DA9">
        <w:rPr>
          <w:rFonts w:ascii="Arial" w:hAnsi="Arial" w:cs="Arial"/>
          <w:color w:val="000000"/>
          <w:sz w:val="24"/>
          <w:szCs w:val="24"/>
        </w:rPr>
        <w:t>The dashed line indicates a 2-fold increase ove</w:t>
      </w:r>
      <w:r w:rsidR="00E36827">
        <w:rPr>
          <w:rFonts w:ascii="Arial" w:hAnsi="Arial" w:cs="Arial"/>
          <w:color w:val="000000"/>
          <w:sz w:val="24"/>
          <w:szCs w:val="24"/>
        </w:rPr>
        <w:t xml:space="preserve">r the background MN frequency. </w:t>
      </w:r>
      <w:r w:rsidR="00E36827" w:rsidRPr="00494DA9">
        <w:rPr>
          <w:rFonts w:ascii="Arial" w:hAnsi="Arial" w:cs="Arial"/>
          <w:color w:val="000000"/>
          <w:sz w:val="24"/>
          <w:szCs w:val="24"/>
        </w:rPr>
        <w:t xml:space="preserve">The </w:t>
      </w:r>
      <w:r w:rsidR="00E36827" w:rsidRPr="002415BB">
        <w:rPr>
          <w:rFonts w:ascii="Arial" w:hAnsi="Arial" w:cs="Arial"/>
          <w:b/>
          <w:color w:val="000000"/>
          <w:sz w:val="24"/>
          <w:szCs w:val="24"/>
        </w:rPr>
        <w:t>*</w:t>
      </w:r>
      <w:r w:rsidR="00E36827" w:rsidRPr="00494DA9">
        <w:rPr>
          <w:rFonts w:ascii="Arial" w:hAnsi="Arial" w:cs="Arial"/>
          <w:color w:val="000000"/>
          <w:sz w:val="24"/>
          <w:szCs w:val="24"/>
        </w:rPr>
        <w:t xml:space="preserve"> indicate</w:t>
      </w:r>
      <w:r w:rsidR="00E36827">
        <w:rPr>
          <w:rFonts w:ascii="Arial" w:hAnsi="Arial" w:cs="Arial"/>
          <w:color w:val="000000"/>
          <w:sz w:val="24"/>
          <w:szCs w:val="24"/>
        </w:rPr>
        <w:t>s</w:t>
      </w:r>
      <w:r w:rsidR="00E36827" w:rsidRPr="00494DA9">
        <w:rPr>
          <w:rFonts w:ascii="Arial" w:hAnsi="Arial" w:cs="Arial"/>
          <w:color w:val="000000"/>
          <w:sz w:val="24"/>
          <w:szCs w:val="24"/>
        </w:rPr>
        <w:t xml:space="preserve"> </w:t>
      </w:r>
      <w:r w:rsidR="00E36827" w:rsidRPr="00494DA9">
        <w:rPr>
          <w:rFonts w:ascii="Arial" w:hAnsi="Arial" w:cs="Arial"/>
          <w:i/>
          <w:color w:val="000000"/>
          <w:sz w:val="24"/>
          <w:szCs w:val="24"/>
        </w:rPr>
        <w:t>P</w:t>
      </w:r>
      <w:r w:rsidR="00E36827" w:rsidRPr="00494DA9">
        <w:rPr>
          <w:rFonts w:ascii="Arial" w:hAnsi="Arial" w:cs="Arial"/>
          <w:color w:val="000000"/>
          <w:sz w:val="24"/>
          <w:szCs w:val="24"/>
        </w:rPr>
        <w:t xml:space="preserve"> &lt; 0.05 using </w:t>
      </w:r>
      <w:r w:rsidR="00E36827">
        <w:rPr>
          <w:rFonts w:ascii="Arial" w:hAnsi="Arial" w:cs="Arial"/>
          <w:color w:val="000000"/>
          <w:sz w:val="24"/>
          <w:szCs w:val="24"/>
        </w:rPr>
        <w:t>ANOVA</w:t>
      </w:r>
      <w:r w:rsidR="00E36827" w:rsidRPr="00494DA9">
        <w:rPr>
          <w:rFonts w:ascii="Arial" w:hAnsi="Arial" w:cs="Arial"/>
          <w:color w:val="000000"/>
          <w:sz w:val="24"/>
          <w:szCs w:val="24"/>
        </w:rPr>
        <w:t xml:space="preserve"> by Kruskal-Wallis </w:t>
      </w:r>
      <w:r w:rsidR="00E36827">
        <w:rPr>
          <w:rFonts w:ascii="Arial" w:hAnsi="Arial" w:cs="Arial"/>
          <w:color w:val="000000"/>
          <w:sz w:val="24"/>
          <w:szCs w:val="24"/>
        </w:rPr>
        <w:t xml:space="preserve">with Bonferroni </w:t>
      </w:r>
      <w:r w:rsidR="00E36827" w:rsidRPr="00494DA9">
        <w:rPr>
          <w:rFonts w:ascii="Arial" w:hAnsi="Arial" w:cs="Arial"/>
          <w:color w:val="000000"/>
          <w:sz w:val="24"/>
          <w:szCs w:val="24"/>
        </w:rPr>
        <w:t>correction.</w:t>
      </w:r>
      <w:r w:rsidR="00E36827">
        <w:rPr>
          <w:rFonts w:ascii="Arial" w:hAnsi="Arial" w:cs="Arial"/>
          <w:color w:val="000000"/>
          <w:sz w:val="24"/>
          <w:szCs w:val="24"/>
        </w:rPr>
        <w:t xml:space="preserve"> Error bars indicate one standard deviation.</w:t>
      </w:r>
      <w:r w:rsidR="00F33325">
        <w:rPr>
          <w:rFonts w:ascii="Arial" w:hAnsi="Arial" w:cs="Arial"/>
          <w:color w:val="000000"/>
          <w:sz w:val="24"/>
          <w:szCs w:val="24"/>
        </w:rPr>
        <w:t xml:space="preserve"> (Figure from Recio et al., 2012)</w:t>
      </w:r>
    </w:p>
    <w:p w14:paraId="03018B56" w14:textId="77777777" w:rsidR="00E36827" w:rsidRPr="00494DA9" w:rsidRDefault="00E36827" w:rsidP="00E36827">
      <w:pPr>
        <w:spacing w:after="0" w:line="480" w:lineRule="auto"/>
        <w:jc w:val="both"/>
        <w:rPr>
          <w:rFonts w:ascii="Arial" w:hAnsi="Arial" w:cs="Arial"/>
          <w:color w:val="000000"/>
          <w:sz w:val="24"/>
          <w:szCs w:val="24"/>
        </w:rPr>
      </w:pPr>
    </w:p>
    <w:p w14:paraId="33B306C9" w14:textId="377343F7" w:rsidR="00EC234F" w:rsidRDefault="00696674" w:rsidP="000424AE">
      <w:pPr>
        <w:spacing w:after="0" w:line="480" w:lineRule="auto"/>
        <w:jc w:val="both"/>
        <w:rPr>
          <w:rFonts w:ascii="Arial" w:hAnsi="Arial" w:cs="Arial"/>
          <w:sz w:val="24"/>
          <w:szCs w:val="24"/>
        </w:rPr>
      </w:pPr>
      <w:r w:rsidRPr="00ED6A53">
        <w:rPr>
          <w:rFonts w:ascii="Arial" w:hAnsi="Arial" w:cs="Arial"/>
          <w:b/>
          <w:bCs/>
          <w:sz w:val="24"/>
          <w:szCs w:val="24"/>
        </w:rPr>
        <w:t>Fig. 2</w:t>
      </w:r>
      <w:r w:rsidR="000C5D81" w:rsidRPr="00ED6A53">
        <w:rPr>
          <w:rFonts w:ascii="Arial" w:hAnsi="Arial" w:cs="Arial"/>
          <w:b/>
          <w:bCs/>
          <w:sz w:val="24"/>
          <w:szCs w:val="24"/>
        </w:rPr>
        <w:t>.</w:t>
      </w:r>
      <w:r w:rsidRPr="00ED6A53">
        <w:rPr>
          <w:rFonts w:ascii="Arial" w:hAnsi="Arial" w:cs="Arial"/>
          <w:b/>
          <w:bCs/>
          <w:sz w:val="24"/>
          <w:szCs w:val="24"/>
        </w:rPr>
        <w:t xml:space="preserve"> </w:t>
      </w:r>
      <w:r w:rsidR="000C5D81" w:rsidRPr="00ED6A53">
        <w:rPr>
          <w:rFonts w:ascii="Arial" w:hAnsi="Arial" w:cs="Arial"/>
          <w:sz w:val="24"/>
          <w:szCs w:val="24"/>
        </w:rPr>
        <w:t>Cytotoxicity and</w:t>
      </w:r>
      <w:r w:rsidR="000C5D81" w:rsidRPr="00ED6A53">
        <w:rPr>
          <w:rFonts w:ascii="Arial" w:hAnsi="Arial" w:cs="Arial"/>
          <w:b/>
          <w:bCs/>
          <w:sz w:val="24"/>
          <w:szCs w:val="24"/>
        </w:rPr>
        <w:t xml:space="preserve"> </w:t>
      </w:r>
      <w:r w:rsidR="00EC234F" w:rsidRPr="00ED6A53">
        <w:rPr>
          <w:rFonts w:ascii="Arial" w:hAnsi="Arial" w:cs="Arial"/>
          <w:sz w:val="24"/>
          <w:szCs w:val="24"/>
        </w:rPr>
        <w:t>DNA damage</w:t>
      </w:r>
      <w:r w:rsidR="000C5D81" w:rsidRPr="00ED6A53">
        <w:rPr>
          <w:rFonts w:ascii="Arial" w:hAnsi="Arial" w:cs="Arial"/>
          <w:b/>
          <w:bCs/>
          <w:sz w:val="24"/>
          <w:szCs w:val="24"/>
        </w:rPr>
        <w:t xml:space="preserve"> </w:t>
      </w:r>
      <w:r w:rsidR="00EC234F" w:rsidRPr="00ED6A53">
        <w:rPr>
          <w:rFonts w:ascii="Arial" w:hAnsi="Arial" w:cs="Arial"/>
          <w:sz w:val="24"/>
          <w:szCs w:val="24"/>
        </w:rPr>
        <w:t>assessment</w:t>
      </w:r>
      <w:r w:rsidR="00EC234F" w:rsidRPr="00ED6A53">
        <w:rPr>
          <w:rFonts w:ascii="Arial" w:hAnsi="Arial" w:cs="Arial"/>
          <w:b/>
          <w:bCs/>
          <w:sz w:val="24"/>
          <w:szCs w:val="24"/>
        </w:rPr>
        <w:t xml:space="preserve"> </w:t>
      </w:r>
      <w:r w:rsidR="000C5D81" w:rsidRPr="00ED6A53">
        <w:rPr>
          <w:rFonts w:ascii="Arial" w:hAnsi="Arial" w:cs="Arial"/>
          <w:sz w:val="24"/>
          <w:szCs w:val="24"/>
        </w:rPr>
        <w:t>of naphthalene in HepaRG</w:t>
      </w:r>
      <w:r w:rsidR="00AF2CD8" w:rsidRPr="00ED6A53">
        <w:rPr>
          <w:rFonts w:ascii="Arial" w:hAnsi="Arial" w:cs="Arial"/>
          <w:sz w:val="24"/>
          <w:szCs w:val="24"/>
        </w:rPr>
        <w:t>™</w:t>
      </w:r>
      <w:r w:rsidR="000C5D81" w:rsidRPr="00ED6A53">
        <w:rPr>
          <w:rFonts w:ascii="Arial" w:hAnsi="Arial" w:cs="Arial"/>
          <w:sz w:val="24"/>
          <w:szCs w:val="24"/>
        </w:rPr>
        <w:t xml:space="preserve"> CometChip</w:t>
      </w:r>
      <w:r w:rsidR="00AF2CD8" w:rsidRPr="00ED6A53">
        <w:rPr>
          <w:rFonts w:ascii="Arial" w:hAnsi="Arial" w:cs="Arial"/>
          <w:sz w:val="24"/>
          <w:szCs w:val="24"/>
        </w:rPr>
        <w:t>®</w:t>
      </w:r>
      <w:r w:rsidR="000C5D81" w:rsidRPr="00ED6A53">
        <w:rPr>
          <w:rFonts w:ascii="Arial" w:hAnsi="Arial" w:cs="Arial"/>
          <w:sz w:val="24"/>
          <w:szCs w:val="24"/>
        </w:rPr>
        <w:t xml:space="preserve"> assay. </w:t>
      </w:r>
      <w:r w:rsidR="00907FF4" w:rsidRPr="00ED6A53">
        <w:rPr>
          <w:rFonts w:ascii="Arial" w:hAnsi="Arial" w:cs="Arial"/>
          <w:sz w:val="24"/>
          <w:szCs w:val="24"/>
        </w:rPr>
        <w:t xml:space="preserve">The %Tail </w:t>
      </w:r>
      <w:r w:rsidR="00DF2AA1" w:rsidRPr="00ED6A53">
        <w:rPr>
          <w:rFonts w:ascii="Arial" w:hAnsi="Arial" w:cs="Arial"/>
          <w:sz w:val="24"/>
          <w:szCs w:val="24"/>
        </w:rPr>
        <w:t xml:space="preserve">methanol </w:t>
      </w:r>
      <w:r w:rsidR="00907FF4" w:rsidRPr="00ED6A53">
        <w:rPr>
          <w:rFonts w:ascii="Arial" w:hAnsi="Arial" w:cs="Arial"/>
          <w:sz w:val="24"/>
          <w:szCs w:val="24"/>
        </w:rPr>
        <w:t xml:space="preserve">vehicle control was </w:t>
      </w:r>
      <w:r w:rsidR="00FE22CD" w:rsidRPr="00ED6A53">
        <w:rPr>
          <w:rFonts w:ascii="Arial" w:hAnsi="Arial" w:cs="Arial"/>
          <w:sz w:val="24"/>
          <w:szCs w:val="24"/>
        </w:rPr>
        <w:t>4.2</w:t>
      </w:r>
      <w:r w:rsidR="005D2F45" w:rsidRPr="00ED6A53">
        <w:rPr>
          <w:rFonts w:ascii="Arial" w:hAnsi="Arial" w:cs="Arial"/>
          <w:sz w:val="24"/>
          <w:szCs w:val="24"/>
        </w:rPr>
        <w:t xml:space="preserve"> </w:t>
      </w:r>
      <w:r w:rsidR="00FE22CD" w:rsidRPr="00ED6A53">
        <w:rPr>
          <w:rFonts w:ascii="Arial" w:hAnsi="Arial" w:cs="Arial"/>
          <w:sz w:val="24"/>
          <w:szCs w:val="24"/>
        </w:rPr>
        <w:t>±</w:t>
      </w:r>
      <w:r w:rsidR="005D2F45" w:rsidRPr="00ED6A53">
        <w:rPr>
          <w:rFonts w:ascii="Arial" w:hAnsi="Arial" w:cs="Arial"/>
          <w:sz w:val="24"/>
          <w:szCs w:val="24"/>
        </w:rPr>
        <w:t xml:space="preserve"> </w:t>
      </w:r>
      <w:r w:rsidR="00FE22CD" w:rsidRPr="00ED6A53">
        <w:rPr>
          <w:rFonts w:ascii="Arial" w:hAnsi="Arial" w:cs="Arial"/>
          <w:sz w:val="24"/>
          <w:szCs w:val="24"/>
        </w:rPr>
        <w:t>0.</w:t>
      </w:r>
      <w:r w:rsidR="005D2F45" w:rsidRPr="00ED6A53">
        <w:rPr>
          <w:rFonts w:ascii="Arial" w:hAnsi="Arial" w:cs="Arial"/>
          <w:sz w:val="24"/>
          <w:szCs w:val="24"/>
        </w:rPr>
        <w:t xml:space="preserve">7, </w:t>
      </w:r>
      <w:r w:rsidR="00FE22CD" w:rsidRPr="00ED6A53">
        <w:rPr>
          <w:rFonts w:ascii="Arial" w:hAnsi="Arial" w:cs="Arial"/>
          <w:sz w:val="24"/>
          <w:szCs w:val="24"/>
        </w:rPr>
        <w:t xml:space="preserve">the positive control Ethyl Methane Sulfonate </w:t>
      </w:r>
      <w:r w:rsidR="005D22C4" w:rsidRPr="00ED6A53">
        <w:rPr>
          <w:rFonts w:ascii="Arial" w:hAnsi="Arial" w:cs="Arial"/>
          <w:sz w:val="24"/>
          <w:szCs w:val="24"/>
        </w:rPr>
        <w:t xml:space="preserve">6 mM </w:t>
      </w:r>
      <w:r w:rsidR="001C151F" w:rsidRPr="00ED6A53">
        <w:rPr>
          <w:rFonts w:ascii="Arial" w:hAnsi="Arial" w:cs="Arial"/>
          <w:sz w:val="24"/>
          <w:szCs w:val="24"/>
        </w:rPr>
        <w:t xml:space="preserve">was </w:t>
      </w:r>
      <w:r w:rsidR="005D2F45" w:rsidRPr="00ED6A53">
        <w:rPr>
          <w:rFonts w:ascii="Arial" w:hAnsi="Arial" w:cs="Arial"/>
          <w:sz w:val="24"/>
          <w:szCs w:val="24"/>
        </w:rPr>
        <w:t xml:space="preserve">57.1 ± 9.1 and the positive control </w:t>
      </w:r>
      <w:r w:rsidR="00EC234F" w:rsidRPr="00ED6A53">
        <w:rPr>
          <w:rFonts w:ascii="Arial" w:hAnsi="Arial" w:cs="Arial"/>
          <w:sz w:val="24"/>
          <w:szCs w:val="24"/>
        </w:rPr>
        <w:t>cyclophosphamide 10</w:t>
      </w:r>
      <w:r w:rsidR="004E088C" w:rsidRPr="00ED6A53">
        <w:rPr>
          <w:rFonts w:ascii="Arial" w:hAnsi="Arial" w:cs="Arial"/>
          <w:sz w:val="24"/>
          <w:szCs w:val="24"/>
        </w:rPr>
        <w:t xml:space="preserve"> mM was</w:t>
      </w:r>
      <w:r w:rsidR="00886B72" w:rsidRPr="00ED6A53">
        <w:rPr>
          <w:rFonts w:ascii="Arial" w:hAnsi="Arial" w:cs="Arial"/>
          <w:sz w:val="24"/>
          <w:szCs w:val="24"/>
        </w:rPr>
        <w:t xml:space="preserve"> 12.4 ± </w:t>
      </w:r>
      <w:r w:rsidR="00EC234F" w:rsidRPr="00ED6A53">
        <w:rPr>
          <w:rFonts w:ascii="Arial" w:hAnsi="Arial" w:cs="Arial"/>
          <w:sz w:val="24"/>
          <w:szCs w:val="24"/>
        </w:rPr>
        <w:t xml:space="preserve">3.6. </w:t>
      </w:r>
    </w:p>
    <w:p w14:paraId="71E0E44B" w14:textId="77777777" w:rsidR="00E36827" w:rsidRPr="00ED6A53" w:rsidRDefault="00E36827" w:rsidP="000424AE">
      <w:pPr>
        <w:spacing w:after="0" w:line="480" w:lineRule="auto"/>
        <w:jc w:val="both"/>
        <w:rPr>
          <w:rFonts w:ascii="Arial" w:hAnsi="Arial" w:cs="Arial"/>
          <w:sz w:val="24"/>
          <w:szCs w:val="24"/>
        </w:rPr>
      </w:pPr>
    </w:p>
    <w:p w14:paraId="646FBFC1" w14:textId="65277E5C" w:rsidR="00EA2C90" w:rsidRPr="00ED6A53" w:rsidRDefault="00EC234F" w:rsidP="00EA2C90">
      <w:pPr>
        <w:spacing w:after="0" w:line="480" w:lineRule="auto"/>
        <w:jc w:val="both"/>
        <w:rPr>
          <w:rFonts w:ascii="Arial" w:hAnsi="Arial" w:cs="Arial"/>
          <w:sz w:val="24"/>
          <w:szCs w:val="24"/>
        </w:rPr>
      </w:pPr>
      <w:r w:rsidRPr="00ED6A53">
        <w:rPr>
          <w:rFonts w:ascii="Arial" w:hAnsi="Arial" w:cs="Arial"/>
          <w:b/>
          <w:bCs/>
          <w:sz w:val="24"/>
          <w:szCs w:val="24"/>
        </w:rPr>
        <w:t xml:space="preserve">Fig. 3. </w:t>
      </w:r>
      <w:r w:rsidRPr="00ED6A53">
        <w:rPr>
          <w:rFonts w:ascii="Arial" w:hAnsi="Arial" w:cs="Arial"/>
          <w:sz w:val="24"/>
          <w:szCs w:val="24"/>
        </w:rPr>
        <w:t>Cytotoxicity and</w:t>
      </w:r>
      <w:r w:rsidRPr="00ED6A53">
        <w:rPr>
          <w:rFonts w:ascii="Arial" w:hAnsi="Arial" w:cs="Arial"/>
          <w:b/>
          <w:bCs/>
          <w:sz w:val="24"/>
          <w:szCs w:val="24"/>
        </w:rPr>
        <w:t xml:space="preserve"> </w:t>
      </w:r>
      <w:r w:rsidRPr="00ED6A53">
        <w:rPr>
          <w:rFonts w:ascii="Arial" w:hAnsi="Arial" w:cs="Arial"/>
          <w:sz w:val="24"/>
          <w:szCs w:val="24"/>
        </w:rPr>
        <w:t>MN assessment</w:t>
      </w:r>
      <w:r w:rsidRPr="00ED6A53">
        <w:rPr>
          <w:rFonts w:ascii="Arial" w:hAnsi="Arial" w:cs="Arial"/>
          <w:b/>
          <w:bCs/>
          <w:sz w:val="24"/>
          <w:szCs w:val="24"/>
        </w:rPr>
        <w:t xml:space="preserve"> </w:t>
      </w:r>
      <w:r w:rsidRPr="00ED6A53">
        <w:rPr>
          <w:rFonts w:ascii="Arial" w:hAnsi="Arial" w:cs="Arial"/>
          <w:sz w:val="24"/>
          <w:szCs w:val="24"/>
        </w:rPr>
        <w:t xml:space="preserve">of naphthalene in HepaRG™ using the </w:t>
      </w:r>
      <w:r w:rsidR="003F1448" w:rsidRPr="00ED6A53">
        <w:rPr>
          <w:rFonts w:ascii="Arial" w:hAnsi="Arial" w:cs="Arial"/>
          <w:sz w:val="24"/>
          <w:szCs w:val="24"/>
        </w:rPr>
        <w:t>MN assay</w:t>
      </w:r>
      <w:r w:rsidRPr="00ED6A53">
        <w:rPr>
          <w:rFonts w:ascii="Arial" w:hAnsi="Arial" w:cs="Arial"/>
          <w:sz w:val="24"/>
          <w:szCs w:val="24"/>
        </w:rPr>
        <w:t xml:space="preserve">. The </w:t>
      </w:r>
      <w:r w:rsidR="00DF2AA1" w:rsidRPr="00ED6A53">
        <w:rPr>
          <w:rFonts w:ascii="Arial" w:hAnsi="Arial" w:cs="Arial"/>
          <w:sz w:val="24"/>
          <w:szCs w:val="24"/>
        </w:rPr>
        <w:t>MN frequency in methanol</w:t>
      </w:r>
      <w:r w:rsidRPr="00ED6A53">
        <w:rPr>
          <w:rFonts w:ascii="Arial" w:hAnsi="Arial" w:cs="Arial"/>
          <w:sz w:val="24"/>
          <w:szCs w:val="24"/>
        </w:rPr>
        <w:t xml:space="preserve"> vehicle control was </w:t>
      </w:r>
      <w:r w:rsidR="00C13246" w:rsidRPr="00ED6A53">
        <w:rPr>
          <w:rFonts w:ascii="Arial" w:hAnsi="Arial" w:cs="Arial"/>
          <w:sz w:val="24"/>
          <w:szCs w:val="24"/>
        </w:rPr>
        <w:t>1.</w:t>
      </w:r>
      <w:r w:rsidR="000914C8" w:rsidRPr="00ED6A53">
        <w:rPr>
          <w:rFonts w:ascii="Arial" w:hAnsi="Arial" w:cs="Arial"/>
          <w:sz w:val="24"/>
          <w:szCs w:val="24"/>
        </w:rPr>
        <w:t>9</w:t>
      </w:r>
      <w:r w:rsidR="001E03D7" w:rsidRPr="00ED6A53">
        <w:rPr>
          <w:rFonts w:ascii="Arial" w:hAnsi="Arial" w:cs="Arial"/>
          <w:sz w:val="24"/>
          <w:szCs w:val="24"/>
        </w:rPr>
        <w:t xml:space="preserve"> ± 0.2</w:t>
      </w:r>
      <w:r w:rsidR="000914C8" w:rsidRPr="00ED6A53">
        <w:rPr>
          <w:rFonts w:ascii="Arial" w:hAnsi="Arial" w:cs="Arial"/>
          <w:sz w:val="24"/>
          <w:szCs w:val="24"/>
        </w:rPr>
        <w:t xml:space="preserve"> </w:t>
      </w:r>
      <w:r w:rsidRPr="00ED6A53">
        <w:rPr>
          <w:rFonts w:ascii="Arial" w:hAnsi="Arial" w:cs="Arial"/>
          <w:sz w:val="24"/>
          <w:szCs w:val="24"/>
        </w:rPr>
        <w:t xml:space="preserve">, the </w:t>
      </w:r>
      <w:r w:rsidR="00EA2C90" w:rsidRPr="00ED6A53">
        <w:rPr>
          <w:rFonts w:ascii="Arial" w:hAnsi="Arial" w:cs="Arial"/>
          <w:sz w:val="24"/>
          <w:szCs w:val="24"/>
        </w:rPr>
        <w:t xml:space="preserve">MN frequency </w:t>
      </w:r>
      <w:r w:rsidRPr="00ED6A53">
        <w:rPr>
          <w:rFonts w:ascii="Arial" w:hAnsi="Arial" w:cs="Arial"/>
          <w:sz w:val="24"/>
          <w:szCs w:val="24"/>
        </w:rPr>
        <w:t xml:space="preserve">positive control </w:t>
      </w:r>
      <w:r w:rsidR="000914C8" w:rsidRPr="00ED6A53">
        <w:rPr>
          <w:rFonts w:ascii="Arial" w:hAnsi="Arial" w:cs="Arial"/>
          <w:sz w:val="24"/>
          <w:szCs w:val="24"/>
        </w:rPr>
        <w:t xml:space="preserve">vinblastine (6.2 nM) </w:t>
      </w:r>
      <w:r w:rsidR="00EA2C90" w:rsidRPr="00ED6A53">
        <w:rPr>
          <w:rFonts w:ascii="Arial" w:hAnsi="Arial" w:cs="Arial"/>
          <w:sz w:val="24"/>
          <w:szCs w:val="24"/>
        </w:rPr>
        <w:t>was 38.1</w:t>
      </w:r>
      <w:r w:rsidR="008737E5" w:rsidRPr="00ED6A53">
        <w:rPr>
          <w:rFonts w:ascii="Arial" w:hAnsi="Arial" w:cs="Arial"/>
          <w:sz w:val="24"/>
          <w:szCs w:val="24"/>
        </w:rPr>
        <w:t xml:space="preserve"> ± 2.7</w:t>
      </w:r>
      <w:r w:rsidR="00EA2C90" w:rsidRPr="00ED6A53">
        <w:rPr>
          <w:rFonts w:ascii="Arial" w:hAnsi="Arial" w:cs="Arial"/>
          <w:sz w:val="24"/>
          <w:szCs w:val="24"/>
        </w:rPr>
        <w:t xml:space="preserve"> and for the positive control</w:t>
      </w:r>
      <w:r w:rsidR="000914C8" w:rsidRPr="00ED6A53">
        <w:rPr>
          <w:rFonts w:ascii="Arial" w:hAnsi="Arial" w:cs="Arial"/>
          <w:sz w:val="24"/>
          <w:szCs w:val="24"/>
        </w:rPr>
        <w:t xml:space="preserve"> </w:t>
      </w:r>
      <w:r w:rsidR="003E05C8" w:rsidRPr="00ED6A53">
        <w:rPr>
          <w:rFonts w:ascii="Arial" w:hAnsi="Arial" w:cs="Arial"/>
          <w:sz w:val="24"/>
          <w:szCs w:val="24"/>
        </w:rPr>
        <w:t>Benzo(a)pyrene (</w:t>
      </w:r>
      <w:r w:rsidR="00801BCD" w:rsidRPr="00ED6A53">
        <w:rPr>
          <w:rFonts w:ascii="Arial" w:hAnsi="Arial" w:cs="Arial"/>
          <w:sz w:val="24"/>
          <w:szCs w:val="24"/>
        </w:rPr>
        <w:t>50.0</w:t>
      </w:r>
      <w:r w:rsidR="003E05C8" w:rsidRPr="00ED6A53">
        <w:rPr>
          <w:rFonts w:ascii="Arial" w:hAnsi="Arial" w:cs="Arial"/>
          <w:sz w:val="24"/>
          <w:szCs w:val="24"/>
        </w:rPr>
        <w:t xml:space="preserve"> </w:t>
      </w:r>
      <w:r w:rsidR="00A429D4" w:rsidRPr="00ED6A53">
        <w:rPr>
          <w:rFonts w:ascii="Arial" w:hAnsi="Arial" w:cs="Arial"/>
          <w:sz w:val="24"/>
          <w:szCs w:val="24"/>
        </w:rPr>
        <w:t>µ</w:t>
      </w:r>
      <w:r w:rsidR="003E05C8" w:rsidRPr="00ED6A53">
        <w:rPr>
          <w:rFonts w:ascii="Arial" w:hAnsi="Arial" w:cs="Arial"/>
          <w:sz w:val="24"/>
          <w:szCs w:val="24"/>
        </w:rPr>
        <w:t xml:space="preserve">M) </w:t>
      </w:r>
      <w:r w:rsidRPr="00ED6A53">
        <w:rPr>
          <w:rFonts w:ascii="Arial" w:hAnsi="Arial" w:cs="Arial"/>
          <w:sz w:val="24"/>
          <w:szCs w:val="24"/>
        </w:rPr>
        <w:t xml:space="preserve"> </w:t>
      </w:r>
      <w:r w:rsidR="00225DEB" w:rsidRPr="00ED6A53">
        <w:rPr>
          <w:rFonts w:ascii="Arial" w:hAnsi="Arial" w:cs="Arial"/>
          <w:sz w:val="24"/>
          <w:szCs w:val="24"/>
        </w:rPr>
        <w:t xml:space="preserve">was </w:t>
      </w:r>
      <w:r w:rsidR="00A429D4" w:rsidRPr="00ED6A53">
        <w:rPr>
          <w:rFonts w:ascii="Arial" w:hAnsi="Arial" w:cs="Arial"/>
          <w:sz w:val="24"/>
          <w:szCs w:val="24"/>
        </w:rPr>
        <w:t>10.6 ± 1.3.</w:t>
      </w:r>
      <w:r w:rsidR="00681848" w:rsidRPr="00ED6A53">
        <w:rPr>
          <w:rFonts w:ascii="Arial" w:hAnsi="Arial" w:cs="Arial"/>
          <w:sz w:val="24"/>
          <w:szCs w:val="24"/>
        </w:rPr>
        <w:t xml:space="preserve"> </w:t>
      </w:r>
    </w:p>
    <w:p w14:paraId="1558C877" w14:textId="63058B4A" w:rsidR="00EC234F" w:rsidRPr="00ED6A53" w:rsidRDefault="00EC234F" w:rsidP="00225DEB">
      <w:pPr>
        <w:spacing w:after="0" w:line="480" w:lineRule="auto"/>
        <w:jc w:val="both"/>
        <w:rPr>
          <w:rFonts w:ascii="Arial" w:hAnsi="Arial" w:cs="Arial"/>
          <w:sz w:val="24"/>
          <w:szCs w:val="24"/>
        </w:rPr>
      </w:pPr>
    </w:p>
    <w:p w14:paraId="66BD9482" w14:textId="30696667" w:rsidR="00225DEB" w:rsidRPr="00ED6A53" w:rsidRDefault="00225DEB" w:rsidP="00225DEB">
      <w:pPr>
        <w:spacing w:after="0" w:line="480" w:lineRule="auto"/>
        <w:jc w:val="both"/>
        <w:rPr>
          <w:rFonts w:ascii="Arial" w:hAnsi="Arial" w:cs="Arial"/>
          <w:sz w:val="24"/>
          <w:szCs w:val="24"/>
        </w:rPr>
      </w:pPr>
      <w:r w:rsidRPr="00ED6A53">
        <w:rPr>
          <w:rFonts w:ascii="Arial" w:hAnsi="Arial" w:cs="Arial"/>
          <w:b/>
          <w:bCs/>
          <w:sz w:val="24"/>
          <w:szCs w:val="24"/>
        </w:rPr>
        <w:t>Fig. 4</w:t>
      </w:r>
      <w:r w:rsidR="00F368B1" w:rsidRPr="00ED6A53">
        <w:rPr>
          <w:rFonts w:ascii="Arial" w:hAnsi="Arial" w:cs="Arial"/>
          <w:b/>
          <w:bCs/>
          <w:sz w:val="24"/>
          <w:szCs w:val="24"/>
        </w:rPr>
        <w:t>.</w:t>
      </w:r>
      <w:r w:rsidRPr="00ED6A53">
        <w:rPr>
          <w:rFonts w:ascii="Arial" w:hAnsi="Arial" w:cs="Arial"/>
          <w:b/>
          <w:bCs/>
          <w:sz w:val="24"/>
          <w:szCs w:val="24"/>
        </w:rPr>
        <w:t xml:space="preserve"> </w:t>
      </w:r>
      <w:r w:rsidR="00B81F0A" w:rsidRPr="00B81F0A">
        <w:rPr>
          <w:rFonts w:ascii="Arial" w:hAnsi="Arial" w:cs="Arial"/>
          <w:sz w:val="24"/>
          <w:szCs w:val="24"/>
        </w:rPr>
        <w:t>The difference between rat liver S9</w:t>
      </w:r>
      <w:r w:rsidR="00B81F0A">
        <w:rPr>
          <w:rFonts w:ascii="Arial" w:hAnsi="Arial" w:cs="Arial"/>
          <w:b/>
          <w:bCs/>
          <w:sz w:val="24"/>
          <w:szCs w:val="24"/>
        </w:rPr>
        <w:t xml:space="preserve"> </w:t>
      </w:r>
      <w:r w:rsidR="00753676" w:rsidRPr="00ED6A53">
        <w:rPr>
          <w:rFonts w:ascii="Arial" w:hAnsi="Arial" w:cs="Arial"/>
          <w:sz w:val="24"/>
          <w:szCs w:val="24"/>
        </w:rPr>
        <w:t>CYP450</w:t>
      </w:r>
      <w:r w:rsidR="00B81F0A">
        <w:rPr>
          <w:rFonts w:ascii="Arial" w:hAnsi="Arial" w:cs="Arial"/>
          <w:sz w:val="24"/>
          <w:szCs w:val="24"/>
        </w:rPr>
        <w:t xml:space="preserve"> bioactivation to produce epoxide and quinone reactive metabolites</w:t>
      </w:r>
      <w:r w:rsidR="00621368">
        <w:rPr>
          <w:rFonts w:ascii="Arial" w:hAnsi="Arial" w:cs="Arial"/>
          <w:sz w:val="24"/>
          <w:szCs w:val="24"/>
        </w:rPr>
        <w:t xml:space="preserve"> </w:t>
      </w:r>
      <w:r w:rsidR="00603781">
        <w:rPr>
          <w:rFonts w:ascii="Arial" w:hAnsi="Arial" w:cs="Arial"/>
          <w:sz w:val="24"/>
          <w:szCs w:val="24"/>
        </w:rPr>
        <w:t xml:space="preserve">of naphthalene that induce cytotoxicity and MN response in TK6 cells </w:t>
      </w:r>
      <w:r w:rsidR="00621368">
        <w:rPr>
          <w:rFonts w:ascii="Arial" w:hAnsi="Arial" w:cs="Arial"/>
          <w:sz w:val="24"/>
          <w:szCs w:val="24"/>
        </w:rPr>
        <w:t>contrasted to the</w:t>
      </w:r>
      <w:r w:rsidR="00603781">
        <w:rPr>
          <w:rFonts w:ascii="Arial" w:hAnsi="Arial" w:cs="Arial"/>
          <w:sz w:val="24"/>
          <w:szCs w:val="24"/>
        </w:rPr>
        <w:t xml:space="preserve"> </w:t>
      </w:r>
      <w:r w:rsidR="009420A0">
        <w:rPr>
          <w:rFonts w:ascii="Arial" w:hAnsi="Arial" w:cs="Arial"/>
          <w:sz w:val="24"/>
          <w:szCs w:val="24"/>
        </w:rPr>
        <w:t xml:space="preserve">limited cytotoxicity and no genotoxicity </w:t>
      </w:r>
      <w:r w:rsidR="00621368">
        <w:rPr>
          <w:rFonts w:ascii="Arial" w:hAnsi="Arial" w:cs="Arial"/>
          <w:sz w:val="24"/>
          <w:szCs w:val="24"/>
        </w:rPr>
        <w:t xml:space="preserve">observed </w:t>
      </w:r>
      <w:r w:rsidR="009420A0">
        <w:rPr>
          <w:rFonts w:ascii="Arial" w:hAnsi="Arial" w:cs="Arial"/>
          <w:sz w:val="24"/>
          <w:szCs w:val="24"/>
        </w:rPr>
        <w:t xml:space="preserve">in </w:t>
      </w:r>
      <w:r w:rsidR="00EB2CDC">
        <w:rPr>
          <w:rFonts w:ascii="Arial" w:hAnsi="Arial" w:cs="Arial"/>
          <w:sz w:val="24"/>
          <w:szCs w:val="24"/>
        </w:rPr>
        <w:t xml:space="preserve">Phase I and </w:t>
      </w:r>
      <w:r w:rsidR="00753676" w:rsidRPr="00ED6A53">
        <w:rPr>
          <w:rFonts w:ascii="Arial" w:hAnsi="Arial" w:cs="Arial"/>
          <w:sz w:val="24"/>
          <w:szCs w:val="24"/>
        </w:rPr>
        <w:t>Phase II</w:t>
      </w:r>
      <w:r w:rsidR="00753676" w:rsidRPr="00ED6A53">
        <w:rPr>
          <w:rFonts w:ascii="Arial" w:hAnsi="Arial" w:cs="Arial"/>
          <w:b/>
          <w:bCs/>
          <w:sz w:val="24"/>
          <w:szCs w:val="24"/>
        </w:rPr>
        <w:t xml:space="preserve"> </w:t>
      </w:r>
      <w:r w:rsidR="009420A0">
        <w:rPr>
          <w:rFonts w:ascii="Arial" w:hAnsi="Arial" w:cs="Arial"/>
          <w:sz w:val="24"/>
          <w:szCs w:val="24"/>
        </w:rPr>
        <w:t xml:space="preserve">metabolically competent </w:t>
      </w:r>
      <w:r w:rsidR="00753676" w:rsidRPr="00ED6A53">
        <w:rPr>
          <w:rFonts w:ascii="Arial" w:hAnsi="Arial" w:cs="Arial"/>
          <w:sz w:val="24"/>
          <w:szCs w:val="24"/>
        </w:rPr>
        <w:t xml:space="preserve">HepaRG™ </w:t>
      </w:r>
      <w:r w:rsidR="00621368">
        <w:rPr>
          <w:rFonts w:ascii="Arial" w:hAnsi="Arial" w:cs="Arial"/>
          <w:sz w:val="24"/>
          <w:szCs w:val="24"/>
        </w:rPr>
        <w:t>cells exposed to naphthalene.</w:t>
      </w:r>
    </w:p>
    <w:p w14:paraId="6366A26B" w14:textId="06ECA4E1" w:rsidR="00EC234F" w:rsidRPr="00ED6A53" w:rsidRDefault="00EC234F" w:rsidP="000424AE">
      <w:pPr>
        <w:spacing w:after="0" w:line="480" w:lineRule="auto"/>
        <w:jc w:val="both"/>
        <w:rPr>
          <w:rFonts w:ascii="Arial" w:hAnsi="Arial" w:cs="Arial"/>
          <w:sz w:val="24"/>
          <w:szCs w:val="24"/>
        </w:rPr>
      </w:pPr>
    </w:p>
    <w:p w14:paraId="3F7E0DD3" w14:textId="58C7187C" w:rsidR="009E0F2B" w:rsidRPr="00ED6A53" w:rsidRDefault="009E0F2B" w:rsidP="000424AE">
      <w:pPr>
        <w:spacing w:after="0" w:line="480" w:lineRule="auto"/>
        <w:jc w:val="both"/>
        <w:rPr>
          <w:rFonts w:ascii="Arial" w:hAnsi="Arial" w:cs="Arial"/>
          <w:sz w:val="24"/>
          <w:szCs w:val="24"/>
        </w:rPr>
      </w:pPr>
    </w:p>
    <w:p w14:paraId="485E60C1" w14:textId="058B1A88" w:rsidR="008C68BA" w:rsidRDefault="008C68BA" w:rsidP="005704D8">
      <w:pPr>
        <w:rPr>
          <w:rFonts w:ascii="Arial" w:hAnsi="Arial" w:cs="Arial"/>
          <w:sz w:val="24"/>
          <w:szCs w:val="24"/>
        </w:rPr>
      </w:pPr>
    </w:p>
    <w:p w14:paraId="59104D47" w14:textId="77777777" w:rsidR="00F56C03" w:rsidRDefault="00F56C03" w:rsidP="005704D8">
      <w:pPr>
        <w:rPr>
          <w:rFonts w:ascii="Arial" w:hAnsi="Arial" w:cs="Arial"/>
          <w:sz w:val="24"/>
          <w:szCs w:val="24"/>
        </w:rPr>
      </w:pPr>
    </w:p>
    <w:p w14:paraId="59A74D99" w14:textId="77777777" w:rsidR="00F56C03" w:rsidRDefault="00F56C03" w:rsidP="005704D8">
      <w:pPr>
        <w:rPr>
          <w:rFonts w:ascii="Arial" w:hAnsi="Arial" w:cs="Arial"/>
          <w:sz w:val="24"/>
          <w:szCs w:val="24"/>
        </w:rPr>
      </w:pPr>
    </w:p>
    <w:p w14:paraId="252ABAC2" w14:textId="77777777" w:rsidR="00F56C03" w:rsidRDefault="00F56C03" w:rsidP="005704D8">
      <w:pPr>
        <w:rPr>
          <w:rFonts w:ascii="Arial" w:hAnsi="Arial" w:cs="Arial"/>
          <w:sz w:val="24"/>
          <w:szCs w:val="24"/>
        </w:rPr>
      </w:pPr>
    </w:p>
    <w:p w14:paraId="2E31E088" w14:textId="77777777" w:rsidR="00F56C03" w:rsidRDefault="00F56C03" w:rsidP="005704D8">
      <w:pPr>
        <w:rPr>
          <w:rFonts w:ascii="Arial" w:hAnsi="Arial" w:cs="Arial"/>
          <w:sz w:val="24"/>
          <w:szCs w:val="24"/>
        </w:rPr>
      </w:pPr>
    </w:p>
    <w:p w14:paraId="188B3E91" w14:textId="77777777" w:rsidR="00F56C03" w:rsidRDefault="00F56C03" w:rsidP="005704D8">
      <w:pPr>
        <w:rPr>
          <w:rFonts w:ascii="Arial" w:hAnsi="Arial" w:cs="Arial"/>
          <w:sz w:val="24"/>
          <w:szCs w:val="24"/>
        </w:rPr>
      </w:pPr>
    </w:p>
    <w:p w14:paraId="69247544" w14:textId="05D809E5" w:rsidR="00F56C03" w:rsidRDefault="00F56C03" w:rsidP="005704D8">
      <w:pPr>
        <w:rPr>
          <w:rFonts w:ascii="Arial" w:hAnsi="Arial" w:cs="Arial"/>
          <w:sz w:val="24"/>
          <w:szCs w:val="24"/>
        </w:rPr>
      </w:pPr>
      <w:r>
        <w:rPr>
          <w:rFonts w:ascii="Arial" w:hAnsi="Arial" w:cs="Arial"/>
          <w:sz w:val="24"/>
          <w:szCs w:val="24"/>
        </w:rPr>
        <w:t>Fig</w:t>
      </w:r>
      <w:r w:rsidR="00F33325">
        <w:rPr>
          <w:rFonts w:ascii="Arial" w:hAnsi="Arial" w:cs="Arial"/>
          <w:sz w:val="24"/>
          <w:szCs w:val="24"/>
        </w:rPr>
        <w:t>. 1.</w:t>
      </w:r>
    </w:p>
    <w:p w14:paraId="244FFEE4" w14:textId="77777777" w:rsidR="00F56C03" w:rsidRDefault="00F56C03" w:rsidP="005704D8">
      <w:pPr>
        <w:rPr>
          <w:rFonts w:ascii="Arial" w:hAnsi="Arial" w:cs="Arial"/>
          <w:sz w:val="24"/>
          <w:szCs w:val="24"/>
        </w:rPr>
      </w:pPr>
    </w:p>
    <w:p w14:paraId="04814956" w14:textId="77777777" w:rsidR="00F56C03" w:rsidRPr="005704D8" w:rsidRDefault="00F56C03" w:rsidP="005704D8">
      <w:pPr>
        <w:rPr>
          <w:rFonts w:ascii="Arial" w:hAnsi="Arial" w:cs="Arial"/>
          <w:sz w:val="24"/>
          <w:szCs w:val="24"/>
        </w:rPr>
      </w:pPr>
    </w:p>
    <w:p w14:paraId="4AE5FB33" w14:textId="439DE534" w:rsidR="008C68BA" w:rsidRPr="00ED6A53" w:rsidRDefault="00F33325" w:rsidP="000424AE">
      <w:pPr>
        <w:spacing w:after="0" w:line="480" w:lineRule="auto"/>
        <w:jc w:val="both"/>
        <w:rPr>
          <w:rFonts w:ascii="Arial" w:hAnsi="Arial" w:cs="Arial"/>
          <w:b/>
          <w:bCs/>
          <w:sz w:val="24"/>
          <w:szCs w:val="24"/>
        </w:rPr>
      </w:pPr>
      <w:r w:rsidRPr="00F56C03">
        <w:rPr>
          <w:rFonts w:ascii="Arial" w:hAnsi="Arial" w:cs="Arial"/>
          <w:b/>
          <w:bCs/>
          <w:sz w:val="24"/>
          <w:szCs w:val="24"/>
        </w:rPr>
        <w:object w:dxaOrig="4717" w:dyaOrig="3529" w14:anchorId="25FFDF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8pt;height:408.85pt" o:ole="">
            <v:imagedata r:id="rId14" o:title=""/>
          </v:shape>
          <o:OLEObject Type="Embed" ProgID="PowerPoint.Slide.12" ShapeID="_x0000_i1025" DrawAspect="Content" ObjectID="_1748934641" r:id="rId15"/>
        </w:object>
      </w:r>
    </w:p>
    <w:p w14:paraId="3F3EEB29" w14:textId="0E7B29D1" w:rsidR="00035954" w:rsidRPr="00ED6A53" w:rsidRDefault="00035954">
      <w:pPr>
        <w:rPr>
          <w:rFonts w:ascii="Arial" w:hAnsi="Arial" w:cs="Arial"/>
          <w:b/>
          <w:bCs/>
          <w:sz w:val="24"/>
          <w:szCs w:val="24"/>
        </w:rPr>
      </w:pPr>
      <w:r w:rsidRPr="00ED6A53">
        <w:rPr>
          <w:rFonts w:ascii="Arial" w:hAnsi="Arial" w:cs="Arial"/>
          <w:b/>
          <w:bCs/>
          <w:sz w:val="24"/>
          <w:szCs w:val="24"/>
        </w:rPr>
        <w:br w:type="page"/>
      </w:r>
    </w:p>
    <w:p w14:paraId="0336A7C6" w14:textId="1C04D88D" w:rsidR="00B86DA3" w:rsidRDefault="00B86DA3">
      <w:pPr>
        <w:rPr>
          <w:rFonts w:ascii="Arial" w:hAnsi="Arial" w:cs="Arial"/>
          <w:b/>
          <w:bCs/>
          <w:sz w:val="24"/>
          <w:szCs w:val="24"/>
        </w:rPr>
      </w:pPr>
    </w:p>
    <w:p w14:paraId="3A5C3A24" w14:textId="77777777" w:rsidR="00B86DA3" w:rsidRDefault="00B86DA3">
      <w:pPr>
        <w:rPr>
          <w:rFonts w:ascii="Arial" w:hAnsi="Arial" w:cs="Arial"/>
          <w:b/>
          <w:bCs/>
          <w:sz w:val="24"/>
          <w:szCs w:val="24"/>
        </w:rPr>
      </w:pPr>
    </w:p>
    <w:p w14:paraId="520FBDC5" w14:textId="77777777" w:rsidR="00B86DA3" w:rsidRDefault="00B86DA3">
      <w:pPr>
        <w:rPr>
          <w:rFonts w:ascii="Arial" w:hAnsi="Arial" w:cs="Arial"/>
          <w:b/>
          <w:bCs/>
          <w:sz w:val="24"/>
          <w:szCs w:val="24"/>
        </w:rPr>
      </w:pPr>
    </w:p>
    <w:p w14:paraId="123B464E" w14:textId="5781E572" w:rsidR="009931C3" w:rsidRPr="00ED6A53" w:rsidRDefault="009931C3" w:rsidP="000424AE">
      <w:pPr>
        <w:spacing w:after="0" w:line="480" w:lineRule="auto"/>
        <w:jc w:val="both"/>
        <w:rPr>
          <w:rFonts w:ascii="Arial" w:hAnsi="Arial" w:cs="Arial"/>
          <w:b/>
          <w:bCs/>
          <w:sz w:val="24"/>
          <w:szCs w:val="24"/>
        </w:rPr>
      </w:pPr>
      <w:r w:rsidRPr="00ED6A53">
        <w:rPr>
          <w:rFonts w:ascii="Arial" w:hAnsi="Arial" w:cs="Arial"/>
          <w:b/>
          <w:bCs/>
          <w:sz w:val="24"/>
          <w:szCs w:val="24"/>
        </w:rPr>
        <w:t xml:space="preserve">Fig. </w:t>
      </w:r>
      <w:r w:rsidR="00D41328" w:rsidRPr="00ED6A53">
        <w:rPr>
          <w:rFonts w:ascii="Arial" w:hAnsi="Arial" w:cs="Arial"/>
          <w:b/>
          <w:bCs/>
          <w:sz w:val="24"/>
          <w:szCs w:val="24"/>
        </w:rPr>
        <w:t>2</w:t>
      </w:r>
    </w:p>
    <w:p w14:paraId="5F2E4784" w14:textId="4F8E17E8" w:rsidR="009931C3" w:rsidRPr="00ED6A53" w:rsidRDefault="009931C3" w:rsidP="000424AE">
      <w:pPr>
        <w:spacing w:after="0" w:line="480" w:lineRule="auto"/>
        <w:jc w:val="both"/>
        <w:rPr>
          <w:rFonts w:ascii="Arial" w:hAnsi="Arial" w:cs="Arial"/>
          <w:sz w:val="24"/>
          <w:szCs w:val="24"/>
        </w:rPr>
      </w:pPr>
      <w:r w:rsidRPr="00ED6A53">
        <w:rPr>
          <w:rFonts w:ascii="Arial" w:hAnsi="Arial" w:cs="Arial"/>
          <w:noProof/>
          <w:sz w:val="24"/>
          <w:szCs w:val="24"/>
        </w:rPr>
        <w:drawing>
          <wp:inline distT="0" distB="0" distL="0" distR="0" wp14:anchorId="1A1ACAE6" wp14:editId="392B5CA6">
            <wp:extent cx="5968365" cy="41154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68365" cy="4115435"/>
                    </a:xfrm>
                    <a:prstGeom prst="rect">
                      <a:avLst/>
                    </a:prstGeom>
                    <a:noFill/>
                  </pic:spPr>
                </pic:pic>
              </a:graphicData>
            </a:graphic>
          </wp:inline>
        </w:drawing>
      </w:r>
    </w:p>
    <w:p w14:paraId="5E316F3C" w14:textId="29853A99" w:rsidR="009E0F2B" w:rsidRPr="00ED6A53" w:rsidRDefault="009E0F2B" w:rsidP="000424AE">
      <w:pPr>
        <w:spacing w:after="0" w:line="480" w:lineRule="auto"/>
        <w:jc w:val="both"/>
        <w:rPr>
          <w:rFonts w:ascii="Arial" w:hAnsi="Arial" w:cs="Arial"/>
          <w:sz w:val="24"/>
          <w:szCs w:val="24"/>
        </w:rPr>
      </w:pPr>
    </w:p>
    <w:p w14:paraId="7725C556" w14:textId="7F107890" w:rsidR="009E0F2B" w:rsidRPr="00ED6A53" w:rsidRDefault="009E0F2B" w:rsidP="000424AE">
      <w:pPr>
        <w:spacing w:after="0" w:line="480" w:lineRule="auto"/>
        <w:jc w:val="both"/>
        <w:rPr>
          <w:rFonts w:ascii="Arial" w:hAnsi="Arial" w:cs="Arial"/>
          <w:sz w:val="24"/>
          <w:szCs w:val="24"/>
        </w:rPr>
      </w:pPr>
    </w:p>
    <w:p w14:paraId="35EE2420" w14:textId="0BECA430" w:rsidR="009E0F2B" w:rsidRPr="00ED6A53" w:rsidRDefault="009E0F2B" w:rsidP="000424AE">
      <w:pPr>
        <w:spacing w:after="0" w:line="480" w:lineRule="auto"/>
        <w:jc w:val="both"/>
        <w:rPr>
          <w:rFonts w:ascii="Arial" w:hAnsi="Arial" w:cs="Arial"/>
          <w:sz w:val="24"/>
          <w:szCs w:val="24"/>
        </w:rPr>
      </w:pPr>
    </w:p>
    <w:p w14:paraId="106380A2" w14:textId="544A8D5C" w:rsidR="009E0F2B" w:rsidRPr="00ED6A53" w:rsidRDefault="009E0F2B" w:rsidP="000424AE">
      <w:pPr>
        <w:spacing w:after="0" w:line="480" w:lineRule="auto"/>
        <w:jc w:val="both"/>
        <w:rPr>
          <w:rFonts w:ascii="Arial" w:hAnsi="Arial" w:cs="Arial"/>
          <w:sz w:val="24"/>
          <w:szCs w:val="24"/>
        </w:rPr>
      </w:pPr>
    </w:p>
    <w:p w14:paraId="6596AD60" w14:textId="77777777" w:rsidR="00035954" w:rsidRPr="00ED6A53" w:rsidRDefault="00035954" w:rsidP="000424AE">
      <w:pPr>
        <w:spacing w:after="0" w:line="480" w:lineRule="auto"/>
        <w:jc w:val="both"/>
        <w:rPr>
          <w:rFonts w:ascii="Arial" w:hAnsi="Arial" w:cs="Arial"/>
          <w:b/>
          <w:bCs/>
          <w:sz w:val="24"/>
          <w:szCs w:val="24"/>
        </w:rPr>
      </w:pPr>
    </w:p>
    <w:p w14:paraId="14045342" w14:textId="77777777" w:rsidR="00035954" w:rsidRPr="00ED6A53" w:rsidRDefault="00035954" w:rsidP="000424AE">
      <w:pPr>
        <w:spacing w:after="0" w:line="480" w:lineRule="auto"/>
        <w:jc w:val="both"/>
        <w:rPr>
          <w:rFonts w:ascii="Arial" w:hAnsi="Arial" w:cs="Arial"/>
          <w:b/>
          <w:bCs/>
          <w:sz w:val="24"/>
          <w:szCs w:val="24"/>
        </w:rPr>
      </w:pPr>
    </w:p>
    <w:p w14:paraId="230472D5" w14:textId="77777777" w:rsidR="00035954" w:rsidRPr="00ED6A53" w:rsidRDefault="00035954" w:rsidP="000424AE">
      <w:pPr>
        <w:spacing w:after="0" w:line="480" w:lineRule="auto"/>
        <w:jc w:val="both"/>
        <w:rPr>
          <w:rFonts w:ascii="Arial" w:hAnsi="Arial" w:cs="Arial"/>
          <w:b/>
          <w:bCs/>
          <w:sz w:val="24"/>
          <w:szCs w:val="24"/>
        </w:rPr>
      </w:pPr>
    </w:p>
    <w:p w14:paraId="6F927ED0" w14:textId="77777777" w:rsidR="00035954" w:rsidRPr="00ED6A53" w:rsidRDefault="00035954" w:rsidP="000424AE">
      <w:pPr>
        <w:spacing w:after="0" w:line="480" w:lineRule="auto"/>
        <w:jc w:val="both"/>
        <w:rPr>
          <w:rFonts w:ascii="Arial" w:hAnsi="Arial" w:cs="Arial"/>
          <w:b/>
          <w:bCs/>
          <w:sz w:val="24"/>
          <w:szCs w:val="24"/>
        </w:rPr>
      </w:pPr>
    </w:p>
    <w:p w14:paraId="49CB5329" w14:textId="77777777" w:rsidR="00035954" w:rsidRPr="00ED6A53" w:rsidRDefault="00035954" w:rsidP="000424AE">
      <w:pPr>
        <w:spacing w:after="0" w:line="480" w:lineRule="auto"/>
        <w:jc w:val="both"/>
        <w:rPr>
          <w:rFonts w:ascii="Arial" w:hAnsi="Arial" w:cs="Arial"/>
          <w:b/>
          <w:bCs/>
          <w:sz w:val="24"/>
          <w:szCs w:val="24"/>
        </w:rPr>
      </w:pPr>
    </w:p>
    <w:p w14:paraId="3B751D11" w14:textId="77777777" w:rsidR="00035954" w:rsidRPr="00ED6A53" w:rsidRDefault="00035954" w:rsidP="000424AE">
      <w:pPr>
        <w:spacing w:after="0" w:line="480" w:lineRule="auto"/>
        <w:jc w:val="both"/>
        <w:rPr>
          <w:rFonts w:ascii="Arial" w:hAnsi="Arial" w:cs="Arial"/>
          <w:b/>
          <w:bCs/>
          <w:sz w:val="24"/>
          <w:szCs w:val="24"/>
        </w:rPr>
      </w:pPr>
    </w:p>
    <w:p w14:paraId="7F68B22B" w14:textId="77777777" w:rsidR="00035954" w:rsidRPr="00ED6A53" w:rsidRDefault="00035954" w:rsidP="000424AE">
      <w:pPr>
        <w:spacing w:after="0" w:line="480" w:lineRule="auto"/>
        <w:jc w:val="both"/>
        <w:rPr>
          <w:rFonts w:ascii="Arial" w:hAnsi="Arial" w:cs="Arial"/>
          <w:b/>
          <w:bCs/>
          <w:sz w:val="24"/>
          <w:szCs w:val="24"/>
        </w:rPr>
      </w:pPr>
    </w:p>
    <w:p w14:paraId="4B1DD957" w14:textId="16E8E367" w:rsidR="009E0F2B" w:rsidRPr="00ED6A53" w:rsidRDefault="009E0F2B" w:rsidP="000424AE">
      <w:pPr>
        <w:spacing w:after="0" w:line="480" w:lineRule="auto"/>
        <w:jc w:val="both"/>
        <w:rPr>
          <w:rFonts w:ascii="Arial" w:hAnsi="Arial" w:cs="Arial"/>
          <w:b/>
          <w:bCs/>
          <w:sz w:val="24"/>
          <w:szCs w:val="24"/>
        </w:rPr>
      </w:pPr>
      <w:r w:rsidRPr="00ED6A53">
        <w:rPr>
          <w:rFonts w:ascii="Arial" w:hAnsi="Arial" w:cs="Arial"/>
          <w:b/>
          <w:bCs/>
          <w:sz w:val="24"/>
          <w:szCs w:val="24"/>
        </w:rPr>
        <w:t>Fig. 3</w:t>
      </w:r>
    </w:p>
    <w:p w14:paraId="31D932BD" w14:textId="5BDAFCFC" w:rsidR="009E0F2B" w:rsidRPr="00ED6A53" w:rsidRDefault="009E0F2B" w:rsidP="000424AE">
      <w:pPr>
        <w:spacing w:after="0" w:line="480" w:lineRule="auto"/>
        <w:jc w:val="both"/>
        <w:rPr>
          <w:rFonts w:ascii="Arial" w:hAnsi="Arial" w:cs="Arial"/>
          <w:sz w:val="24"/>
          <w:szCs w:val="24"/>
        </w:rPr>
      </w:pPr>
      <w:r w:rsidRPr="00ED6A53">
        <w:rPr>
          <w:rFonts w:ascii="Arial" w:hAnsi="Arial" w:cs="Arial"/>
          <w:noProof/>
          <w:sz w:val="24"/>
          <w:szCs w:val="24"/>
        </w:rPr>
        <w:drawing>
          <wp:inline distT="0" distB="0" distL="0" distR="0" wp14:anchorId="50209A8B" wp14:editId="0DD5A8E1">
            <wp:extent cx="5490409" cy="3858550"/>
            <wp:effectExtent l="0" t="0" r="15240" b="8890"/>
            <wp:docPr id="1" name="Chart 1">
              <a:extLst xmlns:a="http://schemas.openxmlformats.org/drawingml/2006/main">
                <a:ext uri="{FF2B5EF4-FFF2-40B4-BE49-F238E27FC236}">
                  <a16:creationId xmlns:a16="http://schemas.microsoft.com/office/drawing/2014/main" id="{7708D8F5-1063-4C28-9348-A21339C92A8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B2842A2" w14:textId="22A6DAC4" w:rsidR="008C68BA" w:rsidRPr="00ED6A53" w:rsidRDefault="008C68BA" w:rsidP="000424AE">
      <w:pPr>
        <w:spacing w:after="0" w:line="480" w:lineRule="auto"/>
        <w:jc w:val="both"/>
        <w:rPr>
          <w:rFonts w:ascii="Arial" w:hAnsi="Arial" w:cs="Arial"/>
          <w:sz w:val="24"/>
          <w:szCs w:val="24"/>
        </w:rPr>
      </w:pPr>
    </w:p>
    <w:p w14:paraId="76235D54" w14:textId="33057595" w:rsidR="008C68BA" w:rsidRPr="00ED6A53" w:rsidRDefault="008C68BA" w:rsidP="000424AE">
      <w:pPr>
        <w:spacing w:after="0" w:line="480" w:lineRule="auto"/>
        <w:jc w:val="both"/>
        <w:rPr>
          <w:rFonts w:ascii="Arial" w:hAnsi="Arial" w:cs="Arial"/>
          <w:sz w:val="24"/>
          <w:szCs w:val="24"/>
        </w:rPr>
      </w:pPr>
    </w:p>
    <w:p w14:paraId="737C9531" w14:textId="0D745E42" w:rsidR="008C68BA" w:rsidRPr="00ED6A53" w:rsidRDefault="008C68BA" w:rsidP="000424AE">
      <w:pPr>
        <w:spacing w:after="0" w:line="480" w:lineRule="auto"/>
        <w:jc w:val="both"/>
        <w:rPr>
          <w:rFonts w:ascii="Arial" w:hAnsi="Arial" w:cs="Arial"/>
          <w:sz w:val="24"/>
          <w:szCs w:val="24"/>
        </w:rPr>
      </w:pPr>
    </w:p>
    <w:p w14:paraId="4450BB5B" w14:textId="6830606E" w:rsidR="008C68BA" w:rsidRPr="00ED6A53" w:rsidRDefault="008C68BA">
      <w:pPr>
        <w:rPr>
          <w:rFonts w:ascii="Arial" w:hAnsi="Arial" w:cs="Arial"/>
          <w:sz w:val="24"/>
          <w:szCs w:val="24"/>
        </w:rPr>
      </w:pPr>
      <w:r w:rsidRPr="00ED6A53">
        <w:rPr>
          <w:rFonts w:ascii="Arial" w:hAnsi="Arial" w:cs="Arial"/>
          <w:sz w:val="24"/>
          <w:szCs w:val="24"/>
        </w:rPr>
        <w:br w:type="page"/>
      </w:r>
    </w:p>
    <w:p w14:paraId="22F05C04" w14:textId="7D941836" w:rsidR="008C68BA" w:rsidRPr="00ED6A53" w:rsidRDefault="008C68BA" w:rsidP="000424AE">
      <w:pPr>
        <w:spacing w:after="0" w:line="480" w:lineRule="auto"/>
        <w:jc w:val="both"/>
        <w:rPr>
          <w:rFonts w:ascii="Arial" w:hAnsi="Arial" w:cs="Arial"/>
          <w:sz w:val="24"/>
          <w:szCs w:val="24"/>
        </w:rPr>
      </w:pPr>
    </w:p>
    <w:p w14:paraId="3571CF25" w14:textId="6A249E46" w:rsidR="008C68BA" w:rsidRPr="00ED6A53" w:rsidRDefault="008C68BA" w:rsidP="000424AE">
      <w:pPr>
        <w:spacing w:after="0" w:line="480" w:lineRule="auto"/>
        <w:jc w:val="both"/>
        <w:rPr>
          <w:rFonts w:ascii="Arial" w:hAnsi="Arial" w:cs="Arial"/>
          <w:b/>
          <w:bCs/>
          <w:i/>
          <w:iCs/>
          <w:sz w:val="24"/>
          <w:szCs w:val="24"/>
        </w:rPr>
      </w:pPr>
    </w:p>
    <w:p w14:paraId="25BA6A2B" w14:textId="19A58A63" w:rsidR="0022540B" w:rsidRDefault="0022540B" w:rsidP="000424AE">
      <w:pPr>
        <w:spacing w:after="0" w:line="480" w:lineRule="auto"/>
        <w:jc w:val="both"/>
        <w:rPr>
          <w:rFonts w:ascii="Arial" w:hAnsi="Arial" w:cs="Arial"/>
          <w:b/>
          <w:bCs/>
          <w:i/>
          <w:iCs/>
          <w:sz w:val="24"/>
          <w:szCs w:val="24"/>
        </w:rPr>
      </w:pPr>
      <w:r w:rsidRPr="00ED6A53">
        <w:rPr>
          <w:rFonts w:ascii="Arial" w:hAnsi="Arial" w:cs="Arial"/>
          <w:b/>
          <w:bCs/>
          <w:i/>
          <w:iCs/>
          <w:sz w:val="24"/>
          <w:szCs w:val="24"/>
        </w:rPr>
        <w:t>Fig. 4</w:t>
      </w:r>
    </w:p>
    <w:p w14:paraId="5DC25805" w14:textId="77777777" w:rsidR="00407A0A" w:rsidRDefault="00407A0A" w:rsidP="000424AE">
      <w:pPr>
        <w:spacing w:after="0" w:line="480" w:lineRule="auto"/>
        <w:jc w:val="both"/>
        <w:rPr>
          <w:rFonts w:ascii="Arial" w:hAnsi="Arial" w:cs="Arial"/>
          <w:b/>
          <w:bCs/>
          <w:i/>
          <w:iCs/>
          <w:sz w:val="24"/>
          <w:szCs w:val="24"/>
        </w:rPr>
      </w:pPr>
    </w:p>
    <w:p w14:paraId="346CEAEE" w14:textId="5E9A753C" w:rsidR="00407A0A" w:rsidRPr="00ED6A53" w:rsidRDefault="005F18AA" w:rsidP="000424AE">
      <w:pPr>
        <w:spacing w:after="0" w:line="480" w:lineRule="auto"/>
        <w:jc w:val="both"/>
        <w:rPr>
          <w:rFonts w:ascii="Arial" w:hAnsi="Arial" w:cs="Arial"/>
          <w:b/>
          <w:bCs/>
          <w:i/>
          <w:iCs/>
          <w:sz w:val="24"/>
          <w:szCs w:val="24"/>
        </w:rPr>
      </w:pPr>
      <w:r>
        <w:rPr>
          <w:rFonts w:ascii="Arial" w:hAnsi="Arial" w:cs="Arial"/>
          <w:b/>
          <w:bCs/>
          <w:i/>
          <w:iCs/>
          <w:noProof/>
          <w:sz w:val="24"/>
          <w:szCs w:val="24"/>
        </w:rPr>
        <w:drawing>
          <wp:inline distT="0" distB="0" distL="0" distR="0" wp14:anchorId="0E3B18B2" wp14:editId="550B9370">
            <wp:extent cx="5903378" cy="2130354"/>
            <wp:effectExtent l="0" t="0" r="2540" b="3810"/>
            <wp:docPr id="6985173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9279" cy="2146918"/>
                    </a:xfrm>
                    <a:prstGeom prst="rect">
                      <a:avLst/>
                    </a:prstGeom>
                    <a:noFill/>
                  </pic:spPr>
                </pic:pic>
              </a:graphicData>
            </a:graphic>
          </wp:inline>
        </w:drawing>
      </w:r>
    </w:p>
    <w:p w14:paraId="2289090F" w14:textId="607C925C" w:rsidR="0022540B" w:rsidRPr="00ED6A53" w:rsidRDefault="0022540B" w:rsidP="000424AE">
      <w:pPr>
        <w:spacing w:after="0" w:line="480" w:lineRule="auto"/>
        <w:jc w:val="both"/>
        <w:rPr>
          <w:rFonts w:ascii="Arial" w:hAnsi="Arial" w:cs="Arial"/>
          <w:b/>
          <w:bCs/>
          <w:i/>
          <w:iCs/>
          <w:sz w:val="24"/>
          <w:szCs w:val="24"/>
        </w:rPr>
      </w:pPr>
    </w:p>
    <w:sectPr w:rsidR="0022540B" w:rsidRPr="00ED6A53">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5D7D1" w14:textId="77777777" w:rsidR="00917E23" w:rsidRDefault="00917E23" w:rsidP="001A5EFE">
      <w:pPr>
        <w:spacing w:after="0" w:line="240" w:lineRule="auto"/>
      </w:pPr>
      <w:r>
        <w:separator/>
      </w:r>
    </w:p>
  </w:endnote>
  <w:endnote w:type="continuationSeparator" w:id="0">
    <w:p w14:paraId="24F9D9D9" w14:textId="77777777" w:rsidR="00917E23" w:rsidRDefault="00917E23" w:rsidP="001A5E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434204"/>
      <w:docPartObj>
        <w:docPartGallery w:val="Page Numbers (Bottom of Page)"/>
        <w:docPartUnique/>
      </w:docPartObj>
    </w:sdtPr>
    <w:sdtEndPr>
      <w:rPr>
        <w:noProof/>
      </w:rPr>
    </w:sdtEndPr>
    <w:sdtContent>
      <w:p w14:paraId="538EE956" w14:textId="3C2FB497" w:rsidR="00BB22F0" w:rsidRDefault="00BB22F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677C1BD" w14:textId="77777777" w:rsidR="0004094E" w:rsidRDefault="000409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0FCDF" w14:textId="77777777" w:rsidR="00917E23" w:rsidRDefault="00917E23" w:rsidP="001A5EFE">
      <w:pPr>
        <w:spacing w:after="0" w:line="240" w:lineRule="auto"/>
      </w:pPr>
      <w:r>
        <w:separator/>
      </w:r>
    </w:p>
  </w:footnote>
  <w:footnote w:type="continuationSeparator" w:id="0">
    <w:p w14:paraId="05FF43E5" w14:textId="77777777" w:rsidR="00917E23" w:rsidRDefault="00917E23" w:rsidP="001A5E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20"/>
  <w:characterSpacingControl w:val="doNotCompress"/>
  <w:savePreviewPicture/>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496"/>
    <w:rsid w:val="00000D87"/>
    <w:rsid w:val="00002784"/>
    <w:rsid w:val="00006758"/>
    <w:rsid w:val="00006ED7"/>
    <w:rsid w:val="00010408"/>
    <w:rsid w:val="00011ED9"/>
    <w:rsid w:val="0001330C"/>
    <w:rsid w:val="00017FEE"/>
    <w:rsid w:val="0003180D"/>
    <w:rsid w:val="00031F40"/>
    <w:rsid w:val="00035954"/>
    <w:rsid w:val="00036061"/>
    <w:rsid w:val="000370E0"/>
    <w:rsid w:val="0004094E"/>
    <w:rsid w:val="000424AE"/>
    <w:rsid w:val="000434C8"/>
    <w:rsid w:val="0004362A"/>
    <w:rsid w:val="00043F93"/>
    <w:rsid w:val="00046A99"/>
    <w:rsid w:val="00047A39"/>
    <w:rsid w:val="00050391"/>
    <w:rsid w:val="00051E71"/>
    <w:rsid w:val="00051FFE"/>
    <w:rsid w:val="0005208C"/>
    <w:rsid w:val="00052F1C"/>
    <w:rsid w:val="00064628"/>
    <w:rsid w:val="00065948"/>
    <w:rsid w:val="00067E64"/>
    <w:rsid w:val="00070F2B"/>
    <w:rsid w:val="00072D39"/>
    <w:rsid w:val="000811B4"/>
    <w:rsid w:val="000857F9"/>
    <w:rsid w:val="00086F78"/>
    <w:rsid w:val="000904EE"/>
    <w:rsid w:val="000914C8"/>
    <w:rsid w:val="000920F3"/>
    <w:rsid w:val="00093EAD"/>
    <w:rsid w:val="00097AA1"/>
    <w:rsid w:val="000A040E"/>
    <w:rsid w:val="000A24AF"/>
    <w:rsid w:val="000A28CC"/>
    <w:rsid w:val="000A3696"/>
    <w:rsid w:val="000A3DF7"/>
    <w:rsid w:val="000A59D8"/>
    <w:rsid w:val="000B00FA"/>
    <w:rsid w:val="000B2A3F"/>
    <w:rsid w:val="000B2ECF"/>
    <w:rsid w:val="000B48B7"/>
    <w:rsid w:val="000C5D81"/>
    <w:rsid w:val="000C5FAC"/>
    <w:rsid w:val="000C6792"/>
    <w:rsid w:val="000C7572"/>
    <w:rsid w:val="000D0D8F"/>
    <w:rsid w:val="000D1655"/>
    <w:rsid w:val="000D1C79"/>
    <w:rsid w:val="000D3017"/>
    <w:rsid w:val="000D5C18"/>
    <w:rsid w:val="000E5B4B"/>
    <w:rsid w:val="000F2380"/>
    <w:rsid w:val="0010264D"/>
    <w:rsid w:val="0010366F"/>
    <w:rsid w:val="001037F8"/>
    <w:rsid w:val="00104E6B"/>
    <w:rsid w:val="00111B78"/>
    <w:rsid w:val="00111FAE"/>
    <w:rsid w:val="00113921"/>
    <w:rsid w:val="00117730"/>
    <w:rsid w:val="001269E4"/>
    <w:rsid w:val="001315A4"/>
    <w:rsid w:val="00132AD5"/>
    <w:rsid w:val="00132DFA"/>
    <w:rsid w:val="00133A74"/>
    <w:rsid w:val="00134723"/>
    <w:rsid w:val="0014224E"/>
    <w:rsid w:val="001427D0"/>
    <w:rsid w:val="001431E7"/>
    <w:rsid w:val="0014686D"/>
    <w:rsid w:val="001517AE"/>
    <w:rsid w:val="0015470D"/>
    <w:rsid w:val="00155DEF"/>
    <w:rsid w:val="001574A5"/>
    <w:rsid w:val="00161B0D"/>
    <w:rsid w:val="001645F5"/>
    <w:rsid w:val="00164D76"/>
    <w:rsid w:val="001667E7"/>
    <w:rsid w:val="00170A7B"/>
    <w:rsid w:val="00172134"/>
    <w:rsid w:val="00172EA6"/>
    <w:rsid w:val="001730FE"/>
    <w:rsid w:val="00183CDC"/>
    <w:rsid w:val="00190BE8"/>
    <w:rsid w:val="001910CD"/>
    <w:rsid w:val="001926F1"/>
    <w:rsid w:val="0019519E"/>
    <w:rsid w:val="0019717E"/>
    <w:rsid w:val="00197423"/>
    <w:rsid w:val="001A1B42"/>
    <w:rsid w:val="001A5EFE"/>
    <w:rsid w:val="001A6F0A"/>
    <w:rsid w:val="001B20F5"/>
    <w:rsid w:val="001B5A75"/>
    <w:rsid w:val="001B69F9"/>
    <w:rsid w:val="001B7AAC"/>
    <w:rsid w:val="001C151F"/>
    <w:rsid w:val="001C53A0"/>
    <w:rsid w:val="001C7636"/>
    <w:rsid w:val="001D1A32"/>
    <w:rsid w:val="001D7EFF"/>
    <w:rsid w:val="001E03D7"/>
    <w:rsid w:val="001E0597"/>
    <w:rsid w:val="001E3276"/>
    <w:rsid w:val="001E4608"/>
    <w:rsid w:val="001E4820"/>
    <w:rsid w:val="001F15FE"/>
    <w:rsid w:val="001F25CA"/>
    <w:rsid w:val="001F2B2D"/>
    <w:rsid w:val="001F58EA"/>
    <w:rsid w:val="001F5D91"/>
    <w:rsid w:val="002071CD"/>
    <w:rsid w:val="00210F66"/>
    <w:rsid w:val="0021414A"/>
    <w:rsid w:val="00214653"/>
    <w:rsid w:val="00214C84"/>
    <w:rsid w:val="00224252"/>
    <w:rsid w:val="00224442"/>
    <w:rsid w:val="0022540B"/>
    <w:rsid w:val="00225DEB"/>
    <w:rsid w:val="0023513E"/>
    <w:rsid w:val="00237A13"/>
    <w:rsid w:val="00240A75"/>
    <w:rsid w:val="00242058"/>
    <w:rsid w:val="00243B2D"/>
    <w:rsid w:val="00244C11"/>
    <w:rsid w:val="0024692F"/>
    <w:rsid w:val="002478E1"/>
    <w:rsid w:val="00247F3B"/>
    <w:rsid w:val="002532FF"/>
    <w:rsid w:val="0025441B"/>
    <w:rsid w:val="00254A6F"/>
    <w:rsid w:val="00254D41"/>
    <w:rsid w:val="00257645"/>
    <w:rsid w:val="00260240"/>
    <w:rsid w:val="00260BC0"/>
    <w:rsid w:val="00260F5E"/>
    <w:rsid w:val="002613B2"/>
    <w:rsid w:val="00262E95"/>
    <w:rsid w:val="00264B77"/>
    <w:rsid w:val="00265D09"/>
    <w:rsid w:val="00267652"/>
    <w:rsid w:val="002709C6"/>
    <w:rsid w:val="002723D2"/>
    <w:rsid w:val="002730DF"/>
    <w:rsid w:val="00274D8B"/>
    <w:rsid w:val="00275244"/>
    <w:rsid w:val="00276FA7"/>
    <w:rsid w:val="002841E9"/>
    <w:rsid w:val="0028459F"/>
    <w:rsid w:val="00284927"/>
    <w:rsid w:val="00287807"/>
    <w:rsid w:val="00291D82"/>
    <w:rsid w:val="002944BD"/>
    <w:rsid w:val="002953F1"/>
    <w:rsid w:val="00296834"/>
    <w:rsid w:val="002A23BE"/>
    <w:rsid w:val="002A33FB"/>
    <w:rsid w:val="002A3783"/>
    <w:rsid w:val="002A6AEE"/>
    <w:rsid w:val="002B3827"/>
    <w:rsid w:val="002B565B"/>
    <w:rsid w:val="002B6E5B"/>
    <w:rsid w:val="002B71A9"/>
    <w:rsid w:val="002C4AAB"/>
    <w:rsid w:val="002C4EB5"/>
    <w:rsid w:val="002C60D3"/>
    <w:rsid w:val="002D5165"/>
    <w:rsid w:val="002D720A"/>
    <w:rsid w:val="002E0185"/>
    <w:rsid w:val="002E0901"/>
    <w:rsid w:val="002E1BC2"/>
    <w:rsid w:val="002E2389"/>
    <w:rsid w:val="002E2BE2"/>
    <w:rsid w:val="002E2D40"/>
    <w:rsid w:val="002E4CBB"/>
    <w:rsid w:val="002E524A"/>
    <w:rsid w:val="002E744E"/>
    <w:rsid w:val="002F17F5"/>
    <w:rsid w:val="002F3169"/>
    <w:rsid w:val="002F5863"/>
    <w:rsid w:val="00300952"/>
    <w:rsid w:val="003030D8"/>
    <w:rsid w:val="00303A8E"/>
    <w:rsid w:val="0030761A"/>
    <w:rsid w:val="00311817"/>
    <w:rsid w:val="00312C5E"/>
    <w:rsid w:val="00313333"/>
    <w:rsid w:val="003142FE"/>
    <w:rsid w:val="00315041"/>
    <w:rsid w:val="003155A7"/>
    <w:rsid w:val="003155AF"/>
    <w:rsid w:val="00321DAC"/>
    <w:rsid w:val="003269F2"/>
    <w:rsid w:val="003310EA"/>
    <w:rsid w:val="00331486"/>
    <w:rsid w:val="00332864"/>
    <w:rsid w:val="00332E9F"/>
    <w:rsid w:val="00337012"/>
    <w:rsid w:val="00345A46"/>
    <w:rsid w:val="0034711C"/>
    <w:rsid w:val="00350455"/>
    <w:rsid w:val="00350CEE"/>
    <w:rsid w:val="00353998"/>
    <w:rsid w:val="00353FF7"/>
    <w:rsid w:val="00354B75"/>
    <w:rsid w:val="00363642"/>
    <w:rsid w:val="003667B2"/>
    <w:rsid w:val="00370437"/>
    <w:rsid w:val="00372546"/>
    <w:rsid w:val="00372783"/>
    <w:rsid w:val="00374826"/>
    <w:rsid w:val="003772C0"/>
    <w:rsid w:val="00377851"/>
    <w:rsid w:val="00380432"/>
    <w:rsid w:val="00381A7C"/>
    <w:rsid w:val="00387A50"/>
    <w:rsid w:val="003931D4"/>
    <w:rsid w:val="00393E37"/>
    <w:rsid w:val="00393FC8"/>
    <w:rsid w:val="00397B90"/>
    <w:rsid w:val="003A0449"/>
    <w:rsid w:val="003A18E0"/>
    <w:rsid w:val="003A20B4"/>
    <w:rsid w:val="003A631A"/>
    <w:rsid w:val="003B1F43"/>
    <w:rsid w:val="003B2B43"/>
    <w:rsid w:val="003B5359"/>
    <w:rsid w:val="003B735A"/>
    <w:rsid w:val="003C0ACC"/>
    <w:rsid w:val="003C2A63"/>
    <w:rsid w:val="003C386B"/>
    <w:rsid w:val="003C4D7E"/>
    <w:rsid w:val="003C4E50"/>
    <w:rsid w:val="003D1904"/>
    <w:rsid w:val="003D56D0"/>
    <w:rsid w:val="003D5ADE"/>
    <w:rsid w:val="003D6746"/>
    <w:rsid w:val="003E05C8"/>
    <w:rsid w:val="003E29BE"/>
    <w:rsid w:val="003E5114"/>
    <w:rsid w:val="003E5A93"/>
    <w:rsid w:val="003E5F90"/>
    <w:rsid w:val="003E710C"/>
    <w:rsid w:val="003E72F9"/>
    <w:rsid w:val="003F08CE"/>
    <w:rsid w:val="003F1448"/>
    <w:rsid w:val="003F1FE9"/>
    <w:rsid w:val="003F7C0E"/>
    <w:rsid w:val="00400D07"/>
    <w:rsid w:val="00401CD1"/>
    <w:rsid w:val="00401DC7"/>
    <w:rsid w:val="004043C8"/>
    <w:rsid w:val="00405188"/>
    <w:rsid w:val="0040564C"/>
    <w:rsid w:val="004061C5"/>
    <w:rsid w:val="0040791D"/>
    <w:rsid w:val="00407A0A"/>
    <w:rsid w:val="00411628"/>
    <w:rsid w:val="00415CA9"/>
    <w:rsid w:val="004216BA"/>
    <w:rsid w:val="00421F54"/>
    <w:rsid w:val="00427E60"/>
    <w:rsid w:val="0043063C"/>
    <w:rsid w:val="00431CD0"/>
    <w:rsid w:val="004326A4"/>
    <w:rsid w:val="004327A7"/>
    <w:rsid w:val="00434C14"/>
    <w:rsid w:val="004353C7"/>
    <w:rsid w:val="00435CC5"/>
    <w:rsid w:val="004447EF"/>
    <w:rsid w:val="0044727C"/>
    <w:rsid w:val="0045107C"/>
    <w:rsid w:val="004537EC"/>
    <w:rsid w:val="00454017"/>
    <w:rsid w:val="00454927"/>
    <w:rsid w:val="0045621C"/>
    <w:rsid w:val="00457C16"/>
    <w:rsid w:val="00464AE3"/>
    <w:rsid w:val="00465B7A"/>
    <w:rsid w:val="004710DB"/>
    <w:rsid w:val="00471C09"/>
    <w:rsid w:val="00473738"/>
    <w:rsid w:val="004803CA"/>
    <w:rsid w:val="004830A1"/>
    <w:rsid w:val="0048501B"/>
    <w:rsid w:val="00485915"/>
    <w:rsid w:val="00486271"/>
    <w:rsid w:val="00487575"/>
    <w:rsid w:val="004907E3"/>
    <w:rsid w:val="0049116B"/>
    <w:rsid w:val="004A656C"/>
    <w:rsid w:val="004A738A"/>
    <w:rsid w:val="004B0DAD"/>
    <w:rsid w:val="004B0FC9"/>
    <w:rsid w:val="004B307E"/>
    <w:rsid w:val="004B41EA"/>
    <w:rsid w:val="004B5235"/>
    <w:rsid w:val="004B5710"/>
    <w:rsid w:val="004B668B"/>
    <w:rsid w:val="004B7591"/>
    <w:rsid w:val="004C0605"/>
    <w:rsid w:val="004C15DA"/>
    <w:rsid w:val="004D6061"/>
    <w:rsid w:val="004E088C"/>
    <w:rsid w:val="004E20BF"/>
    <w:rsid w:val="004E62E4"/>
    <w:rsid w:val="004E63C1"/>
    <w:rsid w:val="004E662C"/>
    <w:rsid w:val="004E6C01"/>
    <w:rsid w:val="004F09D1"/>
    <w:rsid w:val="004F09E0"/>
    <w:rsid w:val="004F0E43"/>
    <w:rsid w:val="004F198D"/>
    <w:rsid w:val="004F2C31"/>
    <w:rsid w:val="004F586D"/>
    <w:rsid w:val="004F7126"/>
    <w:rsid w:val="005029F1"/>
    <w:rsid w:val="005051D9"/>
    <w:rsid w:val="005068AA"/>
    <w:rsid w:val="005111DE"/>
    <w:rsid w:val="0051157A"/>
    <w:rsid w:val="00511A8F"/>
    <w:rsid w:val="0051204F"/>
    <w:rsid w:val="005152B1"/>
    <w:rsid w:val="00522BBE"/>
    <w:rsid w:val="00523BD4"/>
    <w:rsid w:val="00524A0C"/>
    <w:rsid w:val="005369C7"/>
    <w:rsid w:val="00537F1D"/>
    <w:rsid w:val="00542DE9"/>
    <w:rsid w:val="00546D73"/>
    <w:rsid w:val="00550AB8"/>
    <w:rsid w:val="00552645"/>
    <w:rsid w:val="00552CEB"/>
    <w:rsid w:val="00553945"/>
    <w:rsid w:val="00557429"/>
    <w:rsid w:val="00560668"/>
    <w:rsid w:val="0056078C"/>
    <w:rsid w:val="00563BBB"/>
    <w:rsid w:val="00563D35"/>
    <w:rsid w:val="005704D8"/>
    <w:rsid w:val="005715E6"/>
    <w:rsid w:val="00571F95"/>
    <w:rsid w:val="00574198"/>
    <w:rsid w:val="005825EF"/>
    <w:rsid w:val="00584DE4"/>
    <w:rsid w:val="00585AB2"/>
    <w:rsid w:val="00585E54"/>
    <w:rsid w:val="00590744"/>
    <w:rsid w:val="00590904"/>
    <w:rsid w:val="0059344B"/>
    <w:rsid w:val="005A09A3"/>
    <w:rsid w:val="005A6E76"/>
    <w:rsid w:val="005B28EF"/>
    <w:rsid w:val="005B4B2C"/>
    <w:rsid w:val="005B5F66"/>
    <w:rsid w:val="005B6DDD"/>
    <w:rsid w:val="005C5BAD"/>
    <w:rsid w:val="005C735B"/>
    <w:rsid w:val="005D22C4"/>
    <w:rsid w:val="005D2F45"/>
    <w:rsid w:val="005D4DFC"/>
    <w:rsid w:val="005D5B0C"/>
    <w:rsid w:val="005D6437"/>
    <w:rsid w:val="005D6B8D"/>
    <w:rsid w:val="005D7E57"/>
    <w:rsid w:val="005E03D3"/>
    <w:rsid w:val="005E1939"/>
    <w:rsid w:val="005E25B3"/>
    <w:rsid w:val="005F18AA"/>
    <w:rsid w:val="005F255A"/>
    <w:rsid w:val="005F69A4"/>
    <w:rsid w:val="005F7A5F"/>
    <w:rsid w:val="00603781"/>
    <w:rsid w:val="00606C4C"/>
    <w:rsid w:val="006151A2"/>
    <w:rsid w:val="00617924"/>
    <w:rsid w:val="00621368"/>
    <w:rsid w:val="00621952"/>
    <w:rsid w:val="00622BBB"/>
    <w:rsid w:val="00624769"/>
    <w:rsid w:val="00633844"/>
    <w:rsid w:val="006353DB"/>
    <w:rsid w:val="00640FB9"/>
    <w:rsid w:val="00641EBE"/>
    <w:rsid w:val="00643FE7"/>
    <w:rsid w:val="0064569E"/>
    <w:rsid w:val="0064647B"/>
    <w:rsid w:val="00646CC3"/>
    <w:rsid w:val="00646D3B"/>
    <w:rsid w:val="006500D6"/>
    <w:rsid w:val="006518C2"/>
    <w:rsid w:val="00653CA9"/>
    <w:rsid w:val="00654717"/>
    <w:rsid w:val="00655413"/>
    <w:rsid w:val="00655BB4"/>
    <w:rsid w:val="00661534"/>
    <w:rsid w:val="00662670"/>
    <w:rsid w:val="00664934"/>
    <w:rsid w:val="0066702F"/>
    <w:rsid w:val="00670FBA"/>
    <w:rsid w:val="006769A2"/>
    <w:rsid w:val="006776BB"/>
    <w:rsid w:val="00677B24"/>
    <w:rsid w:val="00680510"/>
    <w:rsid w:val="00681848"/>
    <w:rsid w:val="00684B38"/>
    <w:rsid w:val="00685DC6"/>
    <w:rsid w:val="006871F3"/>
    <w:rsid w:val="00690B6C"/>
    <w:rsid w:val="00692EB8"/>
    <w:rsid w:val="00695CF5"/>
    <w:rsid w:val="00696674"/>
    <w:rsid w:val="00696EF4"/>
    <w:rsid w:val="006A30DB"/>
    <w:rsid w:val="006A7C01"/>
    <w:rsid w:val="006B4CEB"/>
    <w:rsid w:val="006B4DAB"/>
    <w:rsid w:val="006B5094"/>
    <w:rsid w:val="006C4F9F"/>
    <w:rsid w:val="006D30B4"/>
    <w:rsid w:val="006D7EFA"/>
    <w:rsid w:val="006E7C54"/>
    <w:rsid w:val="006F5D63"/>
    <w:rsid w:val="007007E4"/>
    <w:rsid w:val="00704BF7"/>
    <w:rsid w:val="00705AEF"/>
    <w:rsid w:val="007103C4"/>
    <w:rsid w:val="00713C24"/>
    <w:rsid w:val="007152DF"/>
    <w:rsid w:val="007159DF"/>
    <w:rsid w:val="00716FB1"/>
    <w:rsid w:val="00720B17"/>
    <w:rsid w:val="007223A6"/>
    <w:rsid w:val="00726855"/>
    <w:rsid w:val="00726F47"/>
    <w:rsid w:val="00727E3F"/>
    <w:rsid w:val="0073401C"/>
    <w:rsid w:val="00742496"/>
    <w:rsid w:val="00742B7F"/>
    <w:rsid w:val="00747DD8"/>
    <w:rsid w:val="007512E9"/>
    <w:rsid w:val="007518A5"/>
    <w:rsid w:val="00753676"/>
    <w:rsid w:val="007565DA"/>
    <w:rsid w:val="00760A52"/>
    <w:rsid w:val="00767C7E"/>
    <w:rsid w:val="00771DE9"/>
    <w:rsid w:val="00772D05"/>
    <w:rsid w:val="007740B8"/>
    <w:rsid w:val="00776DF7"/>
    <w:rsid w:val="00782AAA"/>
    <w:rsid w:val="0078364C"/>
    <w:rsid w:val="00784B98"/>
    <w:rsid w:val="0078597D"/>
    <w:rsid w:val="007871FF"/>
    <w:rsid w:val="00787831"/>
    <w:rsid w:val="00787C74"/>
    <w:rsid w:val="0079345C"/>
    <w:rsid w:val="00795CB1"/>
    <w:rsid w:val="007976AE"/>
    <w:rsid w:val="007A0CB4"/>
    <w:rsid w:val="007A61BD"/>
    <w:rsid w:val="007B0FE7"/>
    <w:rsid w:val="007B522A"/>
    <w:rsid w:val="007B57AB"/>
    <w:rsid w:val="007B62A4"/>
    <w:rsid w:val="007C1535"/>
    <w:rsid w:val="007C294C"/>
    <w:rsid w:val="007C5C0B"/>
    <w:rsid w:val="007D0DD9"/>
    <w:rsid w:val="007D72C1"/>
    <w:rsid w:val="007E1B33"/>
    <w:rsid w:val="007E60A4"/>
    <w:rsid w:val="007E6DAB"/>
    <w:rsid w:val="007F0EA8"/>
    <w:rsid w:val="007F2F57"/>
    <w:rsid w:val="007F2FDD"/>
    <w:rsid w:val="007F4010"/>
    <w:rsid w:val="007F4634"/>
    <w:rsid w:val="007F4A5F"/>
    <w:rsid w:val="007F5499"/>
    <w:rsid w:val="007F59FF"/>
    <w:rsid w:val="007F7ADB"/>
    <w:rsid w:val="00801BCD"/>
    <w:rsid w:val="00806C29"/>
    <w:rsid w:val="008102C5"/>
    <w:rsid w:val="00810333"/>
    <w:rsid w:val="00812D81"/>
    <w:rsid w:val="00812F52"/>
    <w:rsid w:val="0081345A"/>
    <w:rsid w:val="0081463A"/>
    <w:rsid w:val="00814DD8"/>
    <w:rsid w:val="00814E81"/>
    <w:rsid w:val="008155B3"/>
    <w:rsid w:val="00817641"/>
    <w:rsid w:val="008253BD"/>
    <w:rsid w:val="0082621D"/>
    <w:rsid w:val="00826D3F"/>
    <w:rsid w:val="00831013"/>
    <w:rsid w:val="008319BF"/>
    <w:rsid w:val="00831A1D"/>
    <w:rsid w:val="0083491F"/>
    <w:rsid w:val="0083602E"/>
    <w:rsid w:val="0084021D"/>
    <w:rsid w:val="00840B52"/>
    <w:rsid w:val="008414B4"/>
    <w:rsid w:val="00843C40"/>
    <w:rsid w:val="008456C5"/>
    <w:rsid w:val="00845C20"/>
    <w:rsid w:val="00847D81"/>
    <w:rsid w:val="00850F03"/>
    <w:rsid w:val="008547B6"/>
    <w:rsid w:val="00855004"/>
    <w:rsid w:val="00855327"/>
    <w:rsid w:val="0086004B"/>
    <w:rsid w:val="0086048C"/>
    <w:rsid w:val="00860969"/>
    <w:rsid w:val="0086223A"/>
    <w:rsid w:val="00862A2B"/>
    <w:rsid w:val="00864812"/>
    <w:rsid w:val="00867B36"/>
    <w:rsid w:val="00867BDA"/>
    <w:rsid w:val="0087071F"/>
    <w:rsid w:val="00870CA1"/>
    <w:rsid w:val="008737E5"/>
    <w:rsid w:val="00876591"/>
    <w:rsid w:val="00877735"/>
    <w:rsid w:val="00881A9C"/>
    <w:rsid w:val="00882125"/>
    <w:rsid w:val="00882414"/>
    <w:rsid w:val="008827D7"/>
    <w:rsid w:val="00882C3F"/>
    <w:rsid w:val="008844D6"/>
    <w:rsid w:val="00886555"/>
    <w:rsid w:val="00886B72"/>
    <w:rsid w:val="00890380"/>
    <w:rsid w:val="00892EE2"/>
    <w:rsid w:val="0089302F"/>
    <w:rsid w:val="0089354E"/>
    <w:rsid w:val="00897F12"/>
    <w:rsid w:val="008A10D8"/>
    <w:rsid w:val="008A13D2"/>
    <w:rsid w:val="008A3F38"/>
    <w:rsid w:val="008A5F74"/>
    <w:rsid w:val="008A6BF6"/>
    <w:rsid w:val="008B1983"/>
    <w:rsid w:val="008B3212"/>
    <w:rsid w:val="008B6032"/>
    <w:rsid w:val="008B771E"/>
    <w:rsid w:val="008B7DEA"/>
    <w:rsid w:val="008C022F"/>
    <w:rsid w:val="008C56C9"/>
    <w:rsid w:val="008C57BA"/>
    <w:rsid w:val="008C58C4"/>
    <w:rsid w:val="008C6057"/>
    <w:rsid w:val="008C68BA"/>
    <w:rsid w:val="008D3941"/>
    <w:rsid w:val="008D72DA"/>
    <w:rsid w:val="008E00DB"/>
    <w:rsid w:val="008E056F"/>
    <w:rsid w:val="008E19CA"/>
    <w:rsid w:val="008E394E"/>
    <w:rsid w:val="008E555F"/>
    <w:rsid w:val="008E568F"/>
    <w:rsid w:val="008E5ED0"/>
    <w:rsid w:val="008F0E09"/>
    <w:rsid w:val="008F2A76"/>
    <w:rsid w:val="008F2F6B"/>
    <w:rsid w:val="008F3E0D"/>
    <w:rsid w:val="008F58FF"/>
    <w:rsid w:val="008F6A34"/>
    <w:rsid w:val="009003F7"/>
    <w:rsid w:val="00900C04"/>
    <w:rsid w:val="0090129A"/>
    <w:rsid w:val="009035D2"/>
    <w:rsid w:val="00905BE9"/>
    <w:rsid w:val="00907FF4"/>
    <w:rsid w:val="00910AA0"/>
    <w:rsid w:val="00914557"/>
    <w:rsid w:val="00914896"/>
    <w:rsid w:val="009169EF"/>
    <w:rsid w:val="00917E23"/>
    <w:rsid w:val="00920C55"/>
    <w:rsid w:val="00924653"/>
    <w:rsid w:val="00930283"/>
    <w:rsid w:val="009319F7"/>
    <w:rsid w:val="0093327C"/>
    <w:rsid w:val="00933962"/>
    <w:rsid w:val="00934B98"/>
    <w:rsid w:val="009354F8"/>
    <w:rsid w:val="00935BD4"/>
    <w:rsid w:val="009420A0"/>
    <w:rsid w:val="009426E8"/>
    <w:rsid w:val="00943CDF"/>
    <w:rsid w:val="00945D7B"/>
    <w:rsid w:val="00950D69"/>
    <w:rsid w:val="0095131A"/>
    <w:rsid w:val="0095186E"/>
    <w:rsid w:val="0095339A"/>
    <w:rsid w:val="00953A72"/>
    <w:rsid w:val="009550C7"/>
    <w:rsid w:val="009550DB"/>
    <w:rsid w:val="00962D72"/>
    <w:rsid w:val="00962F48"/>
    <w:rsid w:val="009644AE"/>
    <w:rsid w:val="0096508A"/>
    <w:rsid w:val="00967047"/>
    <w:rsid w:val="0096749D"/>
    <w:rsid w:val="009702A5"/>
    <w:rsid w:val="00971D32"/>
    <w:rsid w:val="00972425"/>
    <w:rsid w:val="009739A6"/>
    <w:rsid w:val="009859AB"/>
    <w:rsid w:val="009872F2"/>
    <w:rsid w:val="00987B8C"/>
    <w:rsid w:val="009902B1"/>
    <w:rsid w:val="0099064E"/>
    <w:rsid w:val="0099184C"/>
    <w:rsid w:val="009931C3"/>
    <w:rsid w:val="0099410C"/>
    <w:rsid w:val="00996D1F"/>
    <w:rsid w:val="009971F7"/>
    <w:rsid w:val="009A0173"/>
    <w:rsid w:val="009A5C23"/>
    <w:rsid w:val="009B06D4"/>
    <w:rsid w:val="009B1976"/>
    <w:rsid w:val="009B4139"/>
    <w:rsid w:val="009B4CC4"/>
    <w:rsid w:val="009B53A4"/>
    <w:rsid w:val="009C130D"/>
    <w:rsid w:val="009C1BE2"/>
    <w:rsid w:val="009C2264"/>
    <w:rsid w:val="009C22BB"/>
    <w:rsid w:val="009C235D"/>
    <w:rsid w:val="009C5B8C"/>
    <w:rsid w:val="009D10C5"/>
    <w:rsid w:val="009D2DDB"/>
    <w:rsid w:val="009D4C37"/>
    <w:rsid w:val="009D4D93"/>
    <w:rsid w:val="009D60CF"/>
    <w:rsid w:val="009D6190"/>
    <w:rsid w:val="009E0EE2"/>
    <w:rsid w:val="009E0F2B"/>
    <w:rsid w:val="009E2AD5"/>
    <w:rsid w:val="009E384F"/>
    <w:rsid w:val="009F027C"/>
    <w:rsid w:val="009F1156"/>
    <w:rsid w:val="009F2B5C"/>
    <w:rsid w:val="009F4E40"/>
    <w:rsid w:val="009F4E61"/>
    <w:rsid w:val="009F76BD"/>
    <w:rsid w:val="00A00EC1"/>
    <w:rsid w:val="00A024FB"/>
    <w:rsid w:val="00A03C7C"/>
    <w:rsid w:val="00A07F4B"/>
    <w:rsid w:val="00A10451"/>
    <w:rsid w:val="00A1079F"/>
    <w:rsid w:val="00A10E0B"/>
    <w:rsid w:val="00A12265"/>
    <w:rsid w:val="00A127B9"/>
    <w:rsid w:val="00A15CA0"/>
    <w:rsid w:val="00A15D02"/>
    <w:rsid w:val="00A16005"/>
    <w:rsid w:val="00A16622"/>
    <w:rsid w:val="00A20431"/>
    <w:rsid w:val="00A2110D"/>
    <w:rsid w:val="00A2148B"/>
    <w:rsid w:val="00A21E68"/>
    <w:rsid w:val="00A23214"/>
    <w:rsid w:val="00A25724"/>
    <w:rsid w:val="00A2604E"/>
    <w:rsid w:val="00A3215B"/>
    <w:rsid w:val="00A3263D"/>
    <w:rsid w:val="00A3376D"/>
    <w:rsid w:val="00A365D1"/>
    <w:rsid w:val="00A375CA"/>
    <w:rsid w:val="00A419BE"/>
    <w:rsid w:val="00A429D4"/>
    <w:rsid w:val="00A42F33"/>
    <w:rsid w:val="00A43354"/>
    <w:rsid w:val="00A44275"/>
    <w:rsid w:val="00A4482C"/>
    <w:rsid w:val="00A449C9"/>
    <w:rsid w:val="00A510A1"/>
    <w:rsid w:val="00A51949"/>
    <w:rsid w:val="00A52995"/>
    <w:rsid w:val="00A53A03"/>
    <w:rsid w:val="00A53F3C"/>
    <w:rsid w:val="00A542AF"/>
    <w:rsid w:val="00A5726C"/>
    <w:rsid w:val="00A57893"/>
    <w:rsid w:val="00A603A0"/>
    <w:rsid w:val="00A60EE8"/>
    <w:rsid w:val="00A6147A"/>
    <w:rsid w:val="00A62FBD"/>
    <w:rsid w:val="00A82B68"/>
    <w:rsid w:val="00A8315E"/>
    <w:rsid w:val="00A83431"/>
    <w:rsid w:val="00A84DDD"/>
    <w:rsid w:val="00A857E8"/>
    <w:rsid w:val="00A90800"/>
    <w:rsid w:val="00A935F3"/>
    <w:rsid w:val="00A94A8C"/>
    <w:rsid w:val="00A94F3E"/>
    <w:rsid w:val="00A95323"/>
    <w:rsid w:val="00A974E5"/>
    <w:rsid w:val="00AA0277"/>
    <w:rsid w:val="00AA268E"/>
    <w:rsid w:val="00AA46DF"/>
    <w:rsid w:val="00AB0F17"/>
    <w:rsid w:val="00AB292A"/>
    <w:rsid w:val="00AB2EB1"/>
    <w:rsid w:val="00AB2FC6"/>
    <w:rsid w:val="00AB3F78"/>
    <w:rsid w:val="00AB6748"/>
    <w:rsid w:val="00AB7047"/>
    <w:rsid w:val="00AB7C11"/>
    <w:rsid w:val="00AC30C1"/>
    <w:rsid w:val="00AD3139"/>
    <w:rsid w:val="00AD3453"/>
    <w:rsid w:val="00AD427D"/>
    <w:rsid w:val="00AD452F"/>
    <w:rsid w:val="00AD4808"/>
    <w:rsid w:val="00AE6F31"/>
    <w:rsid w:val="00AF2CD8"/>
    <w:rsid w:val="00AF5865"/>
    <w:rsid w:val="00AF5A6F"/>
    <w:rsid w:val="00AF699F"/>
    <w:rsid w:val="00AF6B53"/>
    <w:rsid w:val="00AF6BF3"/>
    <w:rsid w:val="00B034F7"/>
    <w:rsid w:val="00B05562"/>
    <w:rsid w:val="00B06105"/>
    <w:rsid w:val="00B07476"/>
    <w:rsid w:val="00B16F90"/>
    <w:rsid w:val="00B24A7F"/>
    <w:rsid w:val="00B257CC"/>
    <w:rsid w:val="00B26052"/>
    <w:rsid w:val="00B26F8B"/>
    <w:rsid w:val="00B2771D"/>
    <w:rsid w:val="00B27BD9"/>
    <w:rsid w:val="00B31EEF"/>
    <w:rsid w:val="00B3620C"/>
    <w:rsid w:val="00B378C7"/>
    <w:rsid w:val="00B41629"/>
    <w:rsid w:val="00B4620F"/>
    <w:rsid w:val="00B46ECF"/>
    <w:rsid w:val="00B47873"/>
    <w:rsid w:val="00B521BE"/>
    <w:rsid w:val="00B53757"/>
    <w:rsid w:val="00B53B27"/>
    <w:rsid w:val="00B5640E"/>
    <w:rsid w:val="00B568A3"/>
    <w:rsid w:val="00B63DE0"/>
    <w:rsid w:val="00B649B6"/>
    <w:rsid w:val="00B652BE"/>
    <w:rsid w:val="00B65B54"/>
    <w:rsid w:val="00B73D38"/>
    <w:rsid w:val="00B7483F"/>
    <w:rsid w:val="00B77313"/>
    <w:rsid w:val="00B80416"/>
    <w:rsid w:val="00B81F0A"/>
    <w:rsid w:val="00B86DA3"/>
    <w:rsid w:val="00B90E1C"/>
    <w:rsid w:val="00B91195"/>
    <w:rsid w:val="00B91215"/>
    <w:rsid w:val="00B91388"/>
    <w:rsid w:val="00B91F62"/>
    <w:rsid w:val="00B97AFC"/>
    <w:rsid w:val="00BA1D0B"/>
    <w:rsid w:val="00BA2372"/>
    <w:rsid w:val="00BA264F"/>
    <w:rsid w:val="00BA77E2"/>
    <w:rsid w:val="00BB03D5"/>
    <w:rsid w:val="00BB22F0"/>
    <w:rsid w:val="00BB282F"/>
    <w:rsid w:val="00BB7808"/>
    <w:rsid w:val="00BC0EC2"/>
    <w:rsid w:val="00BC15A3"/>
    <w:rsid w:val="00BC2B8A"/>
    <w:rsid w:val="00BC2E9F"/>
    <w:rsid w:val="00BC5707"/>
    <w:rsid w:val="00BC6342"/>
    <w:rsid w:val="00BD075B"/>
    <w:rsid w:val="00BD127B"/>
    <w:rsid w:val="00BD16A4"/>
    <w:rsid w:val="00BD1971"/>
    <w:rsid w:val="00BD1D0B"/>
    <w:rsid w:val="00BD3F29"/>
    <w:rsid w:val="00BD7183"/>
    <w:rsid w:val="00BF10D6"/>
    <w:rsid w:val="00BF3382"/>
    <w:rsid w:val="00BF3CD2"/>
    <w:rsid w:val="00BF58B2"/>
    <w:rsid w:val="00BF611E"/>
    <w:rsid w:val="00BF75D0"/>
    <w:rsid w:val="00C00045"/>
    <w:rsid w:val="00C00774"/>
    <w:rsid w:val="00C00D61"/>
    <w:rsid w:val="00C01C8B"/>
    <w:rsid w:val="00C03697"/>
    <w:rsid w:val="00C0569A"/>
    <w:rsid w:val="00C115D6"/>
    <w:rsid w:val="00C13246"/>
    <w:rsid w:val="00C13FF5"/>
    <w:rsid w:val="00C14BFD"/>
    <w:rsid w:val="00C15288"/>
    <w:rsid w:val="00C158A5"/>
    <w:rsid w:val="00C23389"/>
    <w:rsid w:val="00C23C70"/>
    <w:rsid w:val="00C272EB"/>
    <w:rsid w:val="00C303C5"/>
    <w:rsid w:val="00C31D9C"/>
    <w:rsid w:val="00C346ED"/>
    <w:rsid w:val="00C35D96"/>
    <w:rsid w:val="00C3751B"/>
    <w:rsid w:val="00C41979"/>
    <w:rsid w:val="00C5148C"/>
    <w:rsid w:val="00C55C35"/>
    <w:rsid w:val="00C56556"/>
    <w:rsid w:val="00C57C06"/>
    <w:rsid w:val="00C57F29"/>
    <w:rsid w:val="00C66BAB"/>
    <w:rsid w:val="00C71342"/>
    <w:rsid w:val="00C71AB9"/>
    <w:rsid w:val="00C71DAC"/>
    <w:rsid w:val="00C75A4A"/>
    <w:rsid w:val="00C76129"/>
    <w:rsid w:val="00C76D52"/>
    <w:rsid w:val="00C825BA"/>
    <w:rsid w:val="00C83E1C"/>
    <w:rsid w:val="00C84FEE"/>
    <w:rsid w:val="00C865B0"/>
    <w:rsid w:val="00C86BDF"/>
    <w:rsid w:val="00C91F2C"/>
    <w:rsid w:val="00C92144"/>
    <w:rsid w:val="00C92C58"/>
    <w:rsid w:val="00C9395B"/>
    <w:rsid w:val="00C94252"/>
    <w:rsid w:val="00C94C13"/>
    <w:rsid w:val="00CA159F"/>
    <w:rsid w:val="00CA312B"/>
    <w:rsid w:val="00CA3627"/>
    <w:rsid w:val="00CA4179"/>
    <w:rsid w:val="00CB0B4A"/>
    <w:rsid w:val="00CB2030"/>
    <w:rsid w:val="00CB27E1"/>
    <w:rsid w:val="00CB3788"/>
    <w:rsid w:val="00CC2B3E"/>
    <w:rsid w:val="00CC349E"/>
    <w:rsid w:val="00CC4E45"/>
    <w:rsid w:val="00CC6CA3"/>
    <w:rsid w:val="00CC72FF"/>
    <w:rsid w:val="00CC7A81"/>
    <w:rsid w:val="00CD0BC1"/>
    <w:rsid w:val="00CD2DBA"/>
    <w:rsid w:val="00CD4E06"/>
    <w:rsid w:val="00CD5BF7"/>
    <w:rsid w:val="00CD62FD"/>
    <w:rsid w:val="00CE35FE"/>
    <w:rsid w:val="00CE611D"/>
    <w:rsid w:val="00CE7F12"/>
    <w:rsid w:val="00CF64FB"/>
    <w:rsid w:val="00CF6661"/>
    <w:rsid w:val="00D03098"/>
    <w:rsid w:val="00D04CD2"/>
    <w:rsid w:val="00D05B2D"/>
    <w:rsid w:val="00D163E5"/>
    <w:rsid w:val="00D17896"/>
    <w:rsid w:val="00D252BD"/>
    <w:rsid w:val="00D26D64"/>
    <w:rsid w:val="00D327BA"/>
    <w:rsid w:val="00D36321"/>
    <w:rsid w:val="00D41328"/>
    <w:rsid w:val="00D4407C"/>
    <w:rsid w:val="00D503C2"/>
    <w:rsid w:val="00D5101F"/>
    <w:rsid w:val="00D5171B"/>
    <w:rsid w:val="00D56DD7"/>
    <w:rsid w:val="00D56E8E"/>
    <w:rsid w:val="00D60562"/>
    <w:rsid w:val="00D63611"/>
    <w:rsid w:val="00D71CDB"/>
    <w:rsid w:val="00D72B8F"/>
    <w:rsid w:val="00D73EF5"/>
    <w:rsid w:val="00D74D7A"/>
    <w:rsid w:val="00D75DB9"/>
    <w:rsid w:val="00D76C8F"/>
    <w:rsid w:val="00D76CF2"/>
    <w:rsid w:val="00D77F73"/>
    <w:rsid w:val="00D851A4"/>
    <w:rsid w:val="00D9193F"/>
    <w:rsid w:val="00D91ED4"/>
    <w:rsid w:val="00D9357D"/>
    <w:rsid w:val="00D937C1"/>
    <w:rsid w:val="00D94E06"/>
    <w:rsid w:val="00DA1AC4"/>
    <w:rsid w:val="00DA2CF7"/>
    <w:rsid w:val="00DA2ED6"/>
    <w:rsid w:val="00DA3F3C"/>
    <w:rsid w:val="00DA6746"/>
    <w:rsid w:val="00DB0AFA"/>
    <w:rsid w:val="00DB1D60"/>
    <w:rsid w:val="00DB44EF"/>
    <w:rsid w:val="00DC065D"/>
    <w:rsid w:val="00DC0BDA"/>
    <w:rsid w:val="00DC1CED"/>
    <w:rsid w:val="00DC1DBA"/>
    <w:rsid w:val="00DC1F85"/>
    <w:rsid w:val="00DD0020"/>
    <w:rsid w:val="00DD1A43"/>
    <w:rsid w:val="00DD52B7"/>
    <w:rsid w:val="00DD7F6F"/>
    <w:rsid w:val="00DE3EFD"/>
    <w:rsid w:val="00DE435C"/>
    <w:rsid w:val="00DE554D"/>
    <w:rsid w:val="00DE5F68"/>
    <w:rsid w:val="00DF23AB"/>
    <w:rsid w:val="00DF2832"/>
    <w:rsid w:val="00DF2AA1"/>
    <w:rsid w:val="00DF2DFF"/>
    <w:rsid w:val="00DF4286"/>
    <w:rsid w:val="00DF7678"/>
    <w:rsid w:val="00E00A0D"/>
    <w:rsid w:val="00E012B6"/>
    <w:rsid w:val="00E01F56"/>
    <w:rsid w:val="00E03D30"/>
    <w:rsid w:val="00E1279B"/>
    <w:rsid w:val="00E12915"/>
    <w:rsid w:val="00E136B3"/>
    <w:rsid w:val="00E150CD"/>
    <w:rsid w:val="00E15142"/>
    <w:rsid w:val="00E16AA6"/>
    <w:rsid w:val="00E203CC"/>
    <w:rsid w:val="00E219AE"/>
    <w:rsid w:val="00E26807"/>
    <w:rsid w:val="00E26FA5"/>
    <w:rsid w:val="00E30BE1"/>
    <w:rsid w:val="00E340D2"/>
    <w:rsid w:val="00E34A00"/>
    <w:rsid w:val="00E36827"/>
    <w:rsid w:val="00E36D98"/>
    <w:rsid w:val="00E40607"/>
    <w:rsid w:val="00E411AC"/>
    <w:rsid w:val="00E45DA6"/>
    <w:rsid w:val="00E52A7B"/>
    <w:rsid w:val="00E54CF7"/>
    <w:rsid w:val="00E55613"/>
    <w:rsid w:val="00E567C7"/>
    <w:rsid w:val="00E56AA4"/>
    <w:rsid w:val="00E56EB2"/>
    <w:rsid w:val="00E65022"/>
    <w:rsid w:val="00E67161"/>
    <w:rsid w:val="00E70981"/>
    <w:rsid w:val="00E70EB1"/>
    <w:rsid w:val="00E740E3"/>
    <w:rsid w:val="00E74D51"/>
    <w:rsid w:val="00E81249"/>
    <w:rsid w:val="00E815E0"/>
    <w:rsid w:val="00E828BC"/>
    <w:rsid w:val="00E833A9"/>
    <w:rsid w:val="00E91E00"/>
    <w:rsid w:val="00E96444"/>
    <w:rsid w:val="00E96448"/>
    <w:rsid w:val="00E97295"/>
    <w:rsid w:val="00EA2C90"/>
    <w:rsid w:val="00EA4CB2"/>
    <w:rsid w:val="00EA51F6"/>
    <w:rsid w:val="00EB1017"/>
    <w:rsid w:val="00EB2860"/>
    <w:rsid w:val="00EB2CDC"/>
    <w:rsid w:val="00EB45FC"/>
    <w:rsid w:val="00EB5A21"/>
    <w:rsid w:val="00EC02C6"/>
    <w:rsid w:val="00EC1FBE"/>
    <w:rsid w:val="00EC234F"/>
    <w:rsid w:val="00EC679B"/>
    <w:rsid w:val="00EC7CFC"/>
    <w:rsid w:val="00ED05E3"/>
    <w:rsid w:val="00ED1E96"/>
    <w:rsid w:val="00ED264C"/>
    <w:rsid w:val="00ED6A53"/>
    <w:rsid w:val="00EE0826"/>
    <w:rsid w:val="00EE0C5C"/>
    <w:rsid w:val="00EE784F"/>
    <w:rsid w:val="00EE7F8A"/>
    <w:rsid w:val="00EF7021"/>
    <w:rsid w:val="00F05097"/>
    <w:rsid w:val="00F07682"/>
    <w:rsid w:val="00F07E7E"/>
    <w:rsid w:val="00F11AF6"/>
    <w:rsid w:val="00F12458"/>
    <w:rsid w:val="00F127AB"/>
    <w:rsid w:val="00F12DCC"/>
    <w:rsid w:val="00F17DEA"/>
    <w:rsid w:val="00F17EA5"/>
    <w:rsid w:val="00F23982"/>
    <w:rsid w:val="00F23E6F"/>
    <w:rsid w:val="00F242C8"/>
    <w:rsid w:val="00F2705E"/>
    <w:rsid w:val="00F30972"/>
    <w:rsid w:val="00F31091"/>
    <w:rsid w:val="00F31260"/>
    <w:rsid w:val="00F31B2E"/>
    <w:rsid w:val="00F31D2B"/>
    <w:rsid w:val="00F33325"/>
    <w:rsid w:val="00F33A29"/>
    <w:rsid w:val="00F3506A"/>
    <w:rsid w:val="00F368B1"/>
    <w:rsid w:val="00F36ED9"/>
    <w:rsid w:val="00F374EA"/>
    <w:rsid w:val="00F400D7"/>
    <w:rsid w:val="00F42D1D"/>
    <w:rsid w:val="00F42F95"/>
    <w:rsid w:val="00F46480"/>
    <w:rsid w:val="00F47F54"/>
    <w:rsid w:val="00F528DC"/>
    <w:rsid w:val="00F56C03"/>
    <w:rsid w:val="00F60033"/>
    <w:rsid w:val="00F6031D"/>
    <w:rsid w:val="00F60F26"/>
    <w:rsid w:val="00F62BB4"/>
    <w:rsid w:val="00F6503B"/>
    <w:rsid w:val="00F662BA"/>
    <w:rsid w:val="00F66459"/>
    <w:rsid w:val="00F67673"/>
    <w:rsid w:val="00F8251F"/>
    <w:rsid w:val="00F84B9C"/>
    <w:rsid w:val="00F85258"/>
    <w:rsid w:val="00F868A6"/>
    <w:rsid w:val="00F87452"/>
    <w:rsid w:val="00F92049"/>
    <w:rsid w:val="00F9302A"/>
    <w:rsid w:val="00F95632"/>
    <w:rsid w:val="00F962C3"/>
    <w:rsid w:val="00F97234"/>
    <w:rsid w:val="00FA06D3"/>
    <w:rsid w:val="00FA09B5"/>
    <w:rsid w:val="00FA0BF1"/>
    <w:rsid w:val="00FA4323"/>
    <w:rsid w:val="00FA4853"/>
    <w:rsid w:val="00FA49EA"/>
    <w:rsid w:val="00FA54C3"/>
    <w:rsid w:val="00FB13A2"/>
    <w:rsid w:val="00FB2076"/>
    <w:rsid w:val="00FB298E"/>
    <w:rsid w:val="00FB5918"/>
    <w:rsid w:val="00FB7B1C"/>
    <w:rsid w:val="00FC1652"/>
    <w:rsid w:val="00FC3166"/>
    <w:rsid w:val="00FC4A9B"/>
    <w:rsid w:val="00FD1641"/>
    <w:rsid w:val="00FD2C1F"/>
    <w:rsid w:val="00FD455E"/>
    <w:rsid w:val="00FE22CD"/>
    <w:rsid w:val="00FF57DB"/>
    <w:rsid w:val="00FF6F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1"/>
    <o:shapelayout v:ext="edit">
      <o:idmap v:ext="edit" data="2"/>
    </o:shapelayout>
  </w:shapeDefaults>
  <w:decimalSymbol w:val="."/>
  <w:listSeparator w:val=","/>
  <w14:docId w14:val="248D140B"/>
  <w15:chartTrackingRefBased/>
  <w15:docId w15:val="{4AAA0FAA-DF89-42F1-99AE-57C0D30AE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75CA"/>
    <w:rPr>
      <w:color w:val="0563C1" w:themeColor="hyperlink"/>
      <w:u w:val="single"/>
    </w:rPr>
  </w:style>
  <w:style w:type="character" w:styleId="UnresolvedMention">
    <w:name w:val="Unresolved Mention"/>
    <w:basedOn w:val="DefaultParagraphFont"/>
    <w:uiPriority w:val="99"/>
    <w:semiHidden/>
    <w:unhideWhenUsed/>
    <w:rsid w:val="00A375CA"/>
    <w:rPr>
      <w:color w:val="605E5C"/>
      <w:shd w:val="clear" w:color="auto" w:fill="E1DFDD"/>
    </w:rPr>
  </w:style>
  <w:style w:type="character" w:customStyle="1" w:styleId="docsum-authors">
    <w:name w:val="docsum-authors"/>
    <w:basedOn w:val="DefaultParagraphFont"/>
    <w:rsid w:val="004710DB"/>
  </w:style>
  <w:style w:type="character" w:customStyle="1" w:styleId="docsum-journal-citation">
    <w:name w:val="docsum-journal-citation"/>
    <w:basedOn w:val="DefaultParagraphFont"/>
    <w:rsid w:val="004710DB"/>
  </w:style>
  <w:style w:type="paragraph" w:styleId="Header">
    <w:name w:val="header"/>
    <w:basedOn w:val="Normal"/>
    <w:link w:val="HeaderChar"/>
    <w:uiPriority w:val="99"/>
    <w:unhideWhenUsed/>
    <w:rsid w:val="001A5E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EFE"/>
  </w:style>
  <w:style w:type="paragraph" w:styleId="Footer">
    <w:name w:val="footer"/>
    <w:basedOn w:val="Normal"/>
    <w:link w:val="FooterChar"/>
    <w:uiPriority w:val="99"/>
    <w:unhideWhenUsed/>
    <w:rsid w:val="001A5E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5EFE"/>
  </w:style>
  <w:style w:type="paragraph" w:styleId="BalloonText">
    <w:name w:val="Balloon Text"/>
    <w:basedOn w:val="Normal"/>
    <w:link w:val="BalloonTextChar"/>
    <w:uiPriority w:val="99"/>
    <w:semiHidden/>
    <w:unhideWhenUsed/>
    <w:rsid w:val="000A36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3696"/>
    <w:rPr>
      <w:rFonts w:ascii="Segoe UI" w:hAnsi="Segoe UI" w:cs="Segoe UI"/>
      <w:sz w:val="18"/>
      <w:szCs w:val="18"/>
    </w:rPr>
  </w:style>
  <w:style w:type="character" w:styleId="PlaceholderText">
    <w:name w:val="Placeholder Text"/>
    <w:basedOn w:val="DefaultParagraphFont"/>
    <w:uiPriority w:val="99"/>
    <w:semiHidden/>
    <w:rsid w:val="00742B7F"/>
    <w:rPr>
      <w:color w:val="808080"/>
    </w:rPr>
  </w:style>
  <w:style w:type="character" w:styleId="Emphasis">
    <w:name w:val="Emphasis"/>
    <w:basedOn w:val="DefaultParagraphFont"/>
    <w:uiPriority w:val="20"/>
    <w:qFormat/>
    <w:rsid w:val="00546D73"/>
    <w:rPr>
      <w:i/>
      <w:iCs/>
    </w:rPr>
  </w:style>
  <w:style w:type="character" w:styleId="Strong">
    <w:name w:val="Strong"/>
    <w:basedOn w:val="DefaultParagraphFont"/>
    <w:uiPriority w:val="22"/>
    <w:qFormat/>
    <w:rsid w:val="004E6C01"/>
    <w:rPr>
      <w:b/>
      <w:bCs/>
    </w:rPr>
  </w:style>
  <w:style w:type="character" w:styleId="LineNumber">
    <w:name w:val="line number"/>
    <w:basedOn w:val="DefaultParagraphFont"/>
    <w:uiPriority w:val="99"/>
    <w:semiHidden/>
    <w:unhideWhenUsed/>
    <w:rsid w:val="00B462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51324">
      <w:bodyDiv w:val="1"/>
      <w:marLeft w:val="0"/>
      <w:marRight w:val="0"/>
      <w:marTop w:val="0"/>
      <w:marBottom w:val="0"/>
      <w:divBdr>
        <w:top w:val="none" w:sz="0" w:space="0" w:color="auto"/>
        <w:left w:val="none" w:sz="0" w:space="0" w:color="auto"/>
        <w:bottom w:val="none" w:sz="0" w:space="0" w:color="auto"/>
        <w:right w:val="none" w:sz="0" w:space="0" w:color="auto"/>
      </w:divBdr>
      <w:divsChild>
        <w:div w:id="679115081">
          <w:marLeft w:val="0"/>
          <w:marRight w:val="0"/>
          <w:marTop w:val="0"/>
          <w:marBottom w:val="0"/>
          <w:divBdr>
            <w:top w:val="none" w:sz="0" w:space="0" w:color="auto"/>
            <w:left w:val="none" w:sz="0" w:space="0" w:color="auto"/>
            <w:bottom w:val="none" w:sz="0" w:space="0" w:color="auto"/>
            <w:right w:val="none" w:sz="0" w:space="0" w:color="auto"/>
          </w:divBdr>
        </w:div>
      </w:divsChild>
    </w:div>
    <w:div w:id="257102769">
      <w:bodyDiv w:val="1"/>
      <w:marLeft w:val="0"/>
      <w:marRight w:val="0"/>
      <w:marTop w:val="0"/>
      <w:marBottom w:val="0"/>
      <w:divBdr>
        <w:top w:val="none" w:sz="0" w:space="0" w:color="auto"/>
        <w:left w:val="none" w:sz="0" w:space="0" w:color="auto"/>
        <w:bottom w:val="none" w:sz="0" w:space="0" w:color="auto"/>
        <w:right w:val="none" w:sz="0" w:space="0" w:color="auto"/>
      </w:divBdr>
      <w:divsChild>
        <w:div w:id="535972759">
          <w:marLeft w:val="0"/>
          <w:marRight w:val="0"/>
          <w:marTop w:val="0"/>
          <w:marBottom w:val="0"/>
          <w:divBdr>
            <w:top w:val="none" w:sz="0" w:space="0" w:color="auto"/>
            <w:left w:val="none" w:sz="0" w:space="0" w:color="auto"/>
            <w:bottom w:val="none" w:sz="0" w:space="0" w:color="auto"/>
            <w:right w:val="none" w:sz="0" w:space="0" w:color="auto"/>
          </w:divBdr>
          <w:divsChild>
            <w:div w:id="458036891">
              <w:marLeft w:val="0"/>
              <w:marRight w:val="0"/>
              <w:marTop w:val="0"/>
              <w:marBottom w:val="0"/>
              <w:divBdr>
                <w:top w:val="none" w:sz="0" w:space="0" w:color="auto"/>
                <w:left w:val="none" w:sz="0" w:space="0" w:color="auto"/>
                <w:bottom w:val="none" w:sz="0" w:space="0" w:color="auto"/>
                <w:right w:val="none" w:sz="0" w:space="0" w:color="auto"/>
              </w:divBdr>
              <w:divsChild>
                <w:div w:id="1927613479">
                  <w:marLeft w:val="0"/>
                  <w:marRight w:val="0"/>
                  <w:marTop w:val="0"/>
                  <w:marBottom w:val="0"/>
                  <w:divBdr>
                    <w:top w:val="none" w:sz="0" w:space="0" w:color="auto"/>
                    <w:left w:val="none" w:sz="0" w:space="0" w:color="auto"/>
                    <w:bottom w:val="none" w:sz="0" w:space="0" w:color="auto"/>
                    <w:right w:val="none" w:sz="0" w:space="0" w:color="auto"/>
                  </w:divBdr>
                </w:div>
                <w:div w:id="756051831">
                  <w:marLeft w:val="0"/>
                  <w:marRight w:val="0"/>
                  <w:marTop w:val="0"/>
                  <w:marBottom w:val="0"/>
                  <w:divBdr>
                    <w:top w:val="none" w:sz="0" w:space="0" w:color="auto"/>
                    <w:left w:val="none" w:sz="0" w:space="0" w:color="auto"/>
                    <w:bottom w:val="none" w:sz="0" w:space="0" w:color="auto"/>
                    <w:right w:val="none" w:sz="0" w:space="0" w:color="auto"/>
                  </w:divBdr>
                </w:div>
                <w:div w:id="594706421">
                  <w:marLeft w:val="240"/>
                  <w:marRight w:val="0"/>
                  <w:marTop w:val="0"/>
                  <w:marBottom w:val="0"/>
                  <w:divBdr>
                    <w:top w:val="none" w:sz="0" w:space="0" w:color="auto"/>
                    <w:left w:val="none" w:sz="0" w:space="0" w:color="auto"/>
                    <w:bottom w:val="none" w:sz="0" w:space="0" w:color="auto"/>
                    <w:right w:val="none" w:sz="0" w:space="0" w:color="auto"/>
                  </w:divBdr>
                  <w:divsChild>
                    <w:div w:id="160754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434387">
              <w:marLeft w:val="0"/>
              <w:marRight w:val="0"/>
              <w:marTop w:val="0"/>
              <w:marBottom w:val="0"/>
              <w:divBdr>
                <w:top w:val="none" w:sz="0" w:space="0" w:color="auto"/>
                <w:left w:val="none" w:sz="0" w:space="0" w:color="auto"/>
                <w:bottom w:val="none" w:sz="0" w:space="0" w:color="auto"/>
                <w:right w:val="none" w:sz="0" w:space="0" w:color="auto"/>
              </w:divBdr>
              <w:divsChild>
                <w:div w:id="1118911293">
                  <w:marLeft w:val="0"/>
                  <w:marRight w:val="0"/>
                  <w:marTop w:val="0"/>
                  <w:marBottom w:val="0"/>
                  <w:divBdr>
                    <w:top w:val="none" w:sz="0" w:space="0" w:color="auto"/>
                    <w:left w:val="none" w:sz="0" w:space="0" w:color="auto"/>
                    <w:bottom w:val="none" w:sz="0" w:space="0" w:color="auto"/>
                    <w:right w:val="none" w:sz="0" w:space="0" w:color="auto"/>
                  </w:divBdr>
                  <w:divsChild>
                    <w:div w:id="1052578446">
                      <w:marLeft w:val="0"/>
                      <w:marRight w:val="0"/>
                      <w:marTop w:val="0"/>
                      <w:marBottom w:val="0"/>
                      <w:divBdr>
                        <w:top w:val="none" w:sz="0" w:space="0" w:color="auto"/>
                        <w:left w:val="none" w:sz="0" w:space="0" w:color="auto"/>
                        <w:bottom w:val="none" w:sz="0" w:space="0" w:color="auto"/>
                        <w:right w:val="none" w:sz="0" w:space="0" w:color="auto"/>
                      </w:divBdr>
                    </w:div>
                    <w:div w:id="1744989597">
                      <w:marLeft w:val="0"/>
                      <w:marRight w:val="0"/>
                      <w:marTop w:val="0"/>
                      <w:marBottom w:val="0"/>
                      <w:divBdr>
                        <w:top w:val="none" w:sz="0" w:space="0" w:color="auto"/>
                        <w:left w:val="none" w:sz="0" w:space="0" w:color="auto"/>
                        <w:bottom w:val="none" w:sz="0" w:space="0" w:color="auto"/>
                        <w:right w:val="none" w:sz="0" w:space="0" w:color="auto"/>
                      </w:divBdr>
                    </w:div>
                    <w:div w:id="99788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951806">
          <w:marLeft w:val="0"/>
          <w:marRight w:val="0"/>
          <w:marTop w:val="0"/>
          <w:marBottom w:val="0"/>
          <w:divBdr>
            <w:top w:val="none" w:sz="0" w:space="0" w:color="auto"/>
            <w:left w:val="none" w:sz="0" w:space="0" w:color="auto"/>
            <w:bottom w:val="none" w:sz="0" w:space="0" w:color="auto"/>
            <w:right w:val="none" w:sz="0" w:space="0" w:color="auto"/>
          </w:divBdr>
          <w:divsChild>
            <w:div w:id="12878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77554">
      <w:bodyDiv w:val="1"/>
      <w:marLeft w:val="0"/>
      <w:marRight w:val="0"/>
      <w:marTop w:val="0"/>
      <w:marBottom w:val="0"/>
      <w:divBdr>
        <w:top w:val="none" w:sz="0" w:space="0" w:color="auto"/>
        <w:left w:val="none" w:sz="0" w:space="0" w:color="auto"/>
        <w:bottom w:val="none" w:sz="0" w:space="0" w:color="auto"/>
        <w:right w:val="none" w:sz="0" w:space="0" w:color="auto"/>
      </w:divBdr>
      <w:divsChild>
        <w:div w:id="622270425">
          <w:marLeft w:val="0"/>
          <w:marRight w:val="0"/>
          <w:marTop w:val="0"/>
          <w:marBottom w:val="0"/>
          <w:divBdr>
            <w:top w:val="none" w:sz="0" w:space="0" w:color="auto"/>
            <w:left w:val="none" w:sz="0" w:space="0" w:color="auto"/>
            <w:bottom w:val="none" w:sz="0" w:space="0" w:color="auto"/>
            <w:right w:val="none" w:sz="0" w:space="0" w:color="auto"/>
          </w:divBdr>
          <w:divsChild>
            <w:div w:id="371997287">
              <w:marLeft w:val="0"/>
              <w:marRight w:val="0"/>
              <w:marTop w:val="0"/>
              <w:marBottom w:val="0"/>
              <w:divBdr>
                <w:top w:val="none" w:sz="0" w:space="0" w:color="auto"/>
                <w:left w:val="none" w:sz="0" w:space="0" w:color="auto"/>
                <w:bottom w:val="none" w:sz="0" w:space="0" w:color="auto"/>
                <w:right w:val="none" w:sz="0" w:space="0" w:color="auto"/>
              </w:divBdr>
              <w:divsChild>
                <w:div w:id="2099447986">
                  <w:marLeft w:val="0"/>
                  <w:marRight w:val="0"/>
                  <w:marTop w:val="0"/>
                  <w:marBottom w:val="0"/>
                  <w:divBdr>
                    <w:top w:val="none" w:sz="0" w:space="0" w:color="auto"/>
                    <w:left w:val="none" w:sz="0" w:space="0" w:color="auto"/>
                    <w:bottom w:val="none" w:sz="0" w:space="0" w:color="auto"/>
                    <w:right w:val="none" w:sz="0" w:space="0" w:color="auto"/>
                  </w:divBdr>
                  <w:divsChild>
                    <w:div w:id="1603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697256">
          <w:marLeft w:val="0"/>
          <w:marRight w:val="0"/>
          <w:marTop w:val="0"/>
          <w:marBottom w:val="0"/>
          <w:divBdr>
            <w:top w:val="none" w:sz="0" w:space="0" w:color="auto"/>
            <w:left w:val="none" w:sz="0" w:space="0" w:color="auto"/>
            <w:bottom w:val="none" w:sz="0" w:space="0" w:color="auto"/>
            <w:right w:val="none" w:sz="0" w:space="0" w:color="auto"/>
          </w:divBdr>
          <w:divsChild>
            <w:div w:id="740324707">
              <w:marLeft w:val="0"/>
              <w:marRight w:val="0"/>
              <w:marTop w:val="0"/>
              <w:marBottom w:val="0"/>
              <w:divBdr>
                <w:top w:val="none" w:sz="0" w:space="0" w:color="auto"/>
                <w:left w:val="none" w:sz="0" w:space="0" w:color="auto"/>
                <w:bottom w:val="none" w:sz="0" w:space="0" w:color="auto"/>
                <w:right w:val="none" w:sz="0" w:space="0" w:color="auto"/>
              </w:divBdr>
              <w:divsChild>
                <w:div w:id="1605380882">
                  <w:marLeft w:val="0"/>
                  <w:marRight w:val="0"/>
                  <w:marTop w:val="0"/>
                  <w:marBottom w:val="0"/>
                  <w:divBdr>
                    <w:top w:val="none" w:sz="0" w:space="0" w:color="auto"/>
                    <w:left w:val="none" w:sz="0" w:space="0" w:color="auto"/>
                    <w:bottom w:val="none" w:sz="0" w:space="0" w:color="auto"/>
                    <w:right w:val="none" w:sz="0" w:space="0" w:color="auto"/>
                  </w:divBdr>
                  <w:divsChild>
                    <w:div w:id="1304040168">
                      <w:marLeft w:val="0"/>
                      <w:marRight w:val="0"/>
                      <w:marTop w:val="0"/>
                      <w:marBottom w:val="0"/>
                      <w:divBdr>
                        <w:top w:val="none" w:sz="0" w:space="0" w:color="auto"/>
                        <w:left w:val="none" w:sz="0" w:space="0" w:color="auto"/>
                        <w:bottom w:val="none" w:sz="0" w:space="0" w:color="auto"/>
                        <w:right w:val="none" w:sz="0" w:space="0" w:color="auto"/>
                      </w:divBdr>
                      <w:divsChild>
                        <w:div w:id="186629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01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922139">
          <w:marLeft w:val="0"/>
          <w:marRight w:val="0"/>
          <w:marTop w:val="0"/>
          <w:marBottom w:val="0"/>
          <w:divBdr>
            <w:top w:val="none" w:sz="0" w:space="0" w:color="auto"/>
            <w:left w:val="none" w:sz="0" w:space="0" w:color="auto"/>
            <w:bottom w:val="none" w:sz="0" w:space="0" w:color="auto"/>
            <w:right w:val="none" w:sz="0" w:space="0" w:color="auto"/>
          </w:divBdr>
          <w:divsChild>
            <w:div w:id="1226262254">
              <w:marLeft w:val="0"/>
              <w:marRight w:val="0"/>
              <w:marTop w:val="0"/>
              <w:marBottom w:val="0"/>
              <w:divBdr>
                <w:top w:val="none" w:sz="0" w:space="0" w:color="auto"/>
                <w:left w:val="none" w:sz="0" w:space="0" w:color="auto"/>
                <w:bottom w:val="none" w:sz="0" w:space="0" w:color="auto"/>
                <w:right w:val="none" w:sz="0" w:space="0" w:color="auto"/>
              </w:divBdr>
              <w:divsChild>
                <w:div w:id="16956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13195">
          <w:marLeft w:val="0"/>
          <w:marRight w:val="0"/>
          <w:marTop w:val="0"/>
          <w:marBottom w:val="0"/>
          <w:divBdr>
            <w:top w:val="none" w:sz="0" w:space="0" w:color="auto"/>
            <w:left w:val="none" w:sz="0" w:space="0" w:color="auto"/>
            <w:bottom w:val="none" w:sz="0" w:space="0" w:color="auto"/>
            <w:right w:val="none" w:sz="0" w:space="0" w:color="auto"/>
          </w:divBdr>
        </w:div>
        <w:div w:id="1777362752">
          <w:marLeft w:val="0"/>
          <w:marRight w:val="0"/>
          <w:marTop w:val="0"/>
          <w:marBottom w:val="0"/>
          <w:divBdr>
            <w:top w:val="none" w:sz="0" w:space="0" w:color="auto"/>
            <w:left w:val="none" w:sz="0" w:space="0" w:color="auto"/>
            <w:bottom w:val="none" w:sz="0" w:space="0" w:color="auto"/>
            <w:right w:val="none" w:sz="0" w:space="0" w:color="auto"/>
          </w:divBdr>
          <w:divsChild>
            <w:div w:id="884833745">
              <w:marLeft w:val="0"/>
              <w:marRight w:val="0"/>
              <w:marTop w:val="0"/>
              <w:marBottom w:val="0"/>
              <w:divBdr>
                <w:top w:val="none" w:sz="0" w:space="0" w:color="auto"/>
                <w:left w:val="none" w:sz="0" w:space="0" w:color="auto"/>
                <w:bottom w:val="none" w:sz="0" w:space="0" w:color="auto"/>
                <w:right w:val="none" w:sz="0" w:space="0" w:color="auto"/>
              </w:divBdr>
            </w:div>
          </w:divsChild>
        </w:div>
        <w:div w:id="894393750">
          <w:marLeft w:val="0"/>
          <w:marRight w:val="0"/>
          <w:marTop w:val="0"/>
          <w:marBottom w:val="0"/>
          <w:divBdr>
            <w:top w:val="none" w:sz="0" w:space="0" w:color="auto"/>
            <w:left w:val="none" w:sz="0" w:space="0" w:color="auto"/>
            <w:bottom w:val="none" w:sz="0" w:space="0" w:color="auto"/>
            <w:right w:val="none" w:sz="0" w:space="0" w:color="auto"/>
          </w:divBdr>
          <w:divsChild>
            <w:div w:id="1589925164">
              <w:marLeft w:val="0"/>
              <w:marRight w:val="0"/>
              <w:marTop w:val="0"/>
              <w:marBottom w:val="0"/>
              <w:divBdr>
                <w:top w:val="none" w:sz="0" w:space="0" w:color="auto"/>
                <w:left w:val="none" w:sz="0" w:space="0" w:color="auto"/>
                <w:bottom w:val="none" w:sz="0" w:space="0" w:color="auto"/>
                <w:right w:val="none" w:sz="0" w:space="0" w:color="auto"/>
              </w:divBdr>
            </w:div>
            <w:div w:id="796528132">
              <w:marLeft w:val="0"/>
              <w:marRight w:val="0"/>
              <w:marTop w:val="0"/>
              <w:marBottom w:val="0"/>
              <w:divBdr>
                <w:top w:val="none" w:sz="0" w:space="0" w:color="auto"/>
                <w:left w:val="none" w:sz="0" w:space="0" w:color="auto"/>
                <w:bottom w:val="none" w:sz="0" w:space="0" w:color="auto"/>
                <w:right w:val="none" w:sz="0" w:space="0" w:color="auto"/>
              </w:divBdr>
            </w:div>
          </w:divsChild>
        </w:div>
        <w:div w:id="1941987212">
          <w:marLeft w:val="0"/>
          <w:marRight w:val="0"/>
          <w:marTop w:val="0"/>
          <w:marBottom w:val="0"/>
          <w:divBdr>
            <w:top w:val="none" w:sz="0" w:space="0" w:color="auto"/>
            <w:left w:val="none" w:sz="0" w:space="0" w:color="auto"/>
            <w:bottom w:val="none" w:sz="0" w:space="0" w:color="auto"/>
            <w:right w:val="none" w:sz="0" w:space="0" w:color="auto"/>
          </w:divBdr>
          <w:divsChild>
            <w:div w:id="1648705160">
              <w:marLeft w:val="0"/>
              <w:marRight w:val="0"/>
              <w:marTop w:val="0"/>
              <w:marBottom w:val="0"/>
              <w:divBdr>
                <w:top w:val="none" w:sz="0" w:space="0" w:color="auto"/>
                <w:left w:val="none" w:sz="0" w:space="0" w:color="auto"/>
                <w:bottom w:val="none" w:sz="0" w:space="0" w:color="auto"/>
                <w:right w:val="none" w:sz="0" w:space="0" w:color="auto"/>
              </w:divBdr>
              <w:divsChild>
                <w:div w:id="357777835">
                  <w:marLeft w:val="0"/>
                  <w:marRight w:val="0"/>
                  <w:marTop w:val="0"/>
                  <w:marBottom w:val="0"/>
                  <w:divBdr>
                    <w:top w:val="none" w:sz="0" w:space="0" w:color="auto"/>
                    <w:left w:val="none" w:sz="0" w:space="0" w:color="auto"/>
                    <w:bottom w:val="none" w:sz="0" w:space="0" w:color="auto"/>
                    <w:right w:val="none" w:sz="0" w:space="0" w:color="auto"/>
                  </w:divBdr>
                  <w:divsChild>
                    <w:div w:id="833692158">
                      <w:marLeft w:val="0"/>
                      <w:marRight w:val="0"/>
                      <w:marTop w:val="0"/>
                      <w:marBottom w:val="0"/>
                      <w:divBdr>
                        <w:top w:val="none" w:sz="0" w:space="0" w:color="auto"/>
                        <w:left w:val="none" w:sz="0" w:space="0" w:color="auto"/>
                        <w:bottom w:val="none" w:sz="0" w:space="0" w:color="auto"/>
                        <w:right w:val="none" w:sz="0" w:space="0" w:color="auto"/>
                      </w:divBdr>
                      <w:divsChild>
                        <w:div w:id="351227954">
                          <w:marLeft w:val="0"/>
                          <w:marRight w:val="0"/>
                          <w:marTop w:val="0"/>
                          <w:marBottom w:val="0"/>
                          <w:divBdr>
                            <w:top w:val="none" w:sz="0" w:space="0" w:color="auto"/>
                            <w:left w:val="none" w:sz="0" w:space="0" w:color="auto"/>
                            <w:bottom w:val="none" w:sz="0" w:space="0" w:color="auto"/>
                            <w:right w:val="none" w:sz="0" w:space="0" w:color="auto"/>
                          </w:divBdr>
                          <w:divsChild>
                            <w:div w:id="9403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687964">
              <w:marLeft w:val="0"/>
              <w:marRight w:val="0"/>
              <w:marTop w:val="0"/>
              <w:marBottom w:val="0"/>
              <w:divBdr>
                <w:top w:val="none" w:sz="0" w:space="0" w:color="auto"/>
                <w:left w:val="none" w:sz="0" w:space="0" w:color="auto"/>
                <w:bottom w:val="none" w:sz="0" w:space="0" w:color="auto"/>
                <w:right w:val="none" w:sz="0" w:space="0" w:color="auto"/>
              </w:divBdr>
              <w:divsChild>
                <w:div w:id="385878914">
                  <w:marLeft w:val="0"/>
                  <w:marRight w:val="0"/>
                  <w:marTop w:val="0"/>
                  <w:marBottom w:val="0"/>
                  <w:divBdr>
                    <w:top w:val="none" w:sz="0" w:space="0" w:color="auto"/>
                    <w:left w:val="none" w:sz="0" w:space="0" w:color="auto"/>
                    <w:bottom w:val="none" w:sz="0" w:space="0" w:color="auto"/>
                    <w:right w:val="none" w:sz="0" w:space="0" w:color="auto"/>
                  </w:divBdr>
                  <w:divsChild>
                    <w:div w:id="204178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884867">
      <w:bodyDiv w:val="1"/>
      <w:marLeft w:val="0"/>
      <w:marRight w:val="0"/>
      <w:marTop w:val="0"/>
      <w:marBottom w:val="0"/>
      <w:divBdr>
        <w:top w:val="none" w:sz="0" w:space="0" w:color="auto"/>
        <w:left w:val="none" w:sz="0" w:space="0" w:color="auto"/>
        <w:bottom w:val="none" w:sz="0" w:space="0" w:color="auto"/>
        <w:right w:val="none" w:sz="0" w:space="0" w:color="auto"/>
      </w:divBdr>
      <w:divsChild>
        <w:div w:id="165443974">
          <w:marLeft w:val="0"/>
          <w:marRight w:val="0"/>
          <w:marTop w:val="0"/>
          <w:marBottom w:val="0"/>
          <w:divBdr>
            <w:top w:val="none" w:sz="0" w:space="0" w:color="auto"/>
            <w:left w:val="none" w:sz="0" w:space="0" w:color="auto"/>
            <w:bottom w:val="none" w:sz="0" w:space="0" w:color="auto"/>
            <w:right w:val="none" w:sz="0" w:space="0" w:color="auto"/>
          </w:divBdr>
          <w:divsChild>
            <w:div w:id="352538683">
              <w:marLeft w:val="0"/>
              <w:marRight w:val="0"/>
              <w:marTop w:val="0"/>
              <w:marBottom w:val="0"/>
              <w:divBdr>
                <w:top w:val="none" w:sz="0" w:space="0" w:color="auto"/>
                <w:left w:val="none" w:sz="0" w:space="0" w:color="auto"/>
                <w:bottom w:val="none" w:sz="0" w:space="0" w:color="auto"/>
                <w:right w:val="none" w:sz="0" w:space="0" w:color="auto"/>
              </w:divBdr>
              <w:divsChild>
                <w:div w:id="419909441">
                  <w:marLeft w:val="0"/>
                  <w:marRight w:val="0"/>
                  <w:marTop w:val="0"/>
                  <w:marBottom w:val="0"/>
                  <w:divBdr>
                    <w:top w:val="none" w:sz="0" w:space="0" w:color="auto"/>
                    <w:left w:val="none" w:sz="0" w:space="0" w:color="auto"/>
                    <w:bottom w:val="none" w:sz="0" w:space="0" w:color="auto"/>
                    <w:right w:val="none" w:sz="0" w:space="0" w:color="auto"/>
                  </w:divBdr>
                  <w:divsChild>
                    <w:div w:id="2637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734740">
          <w:marLeft w:val="0"/>
          <w:marRight w:val="0"/>
          <w:marTop w:val="0"/>
          <w:marBottom w:val="0"/>
          <w:divBdr>
            <w:top w:val="none" w:sz="0" w:space="0" w:color="auto"/>
            <w:left w:val="none" w:sz="0" w:space="0" w:color="auto"/>
            <w:bottom w:val="none" w:sz="0" w:space="0" w:color="auto"/>
            <w:right w:val="none" w:sz="0" w:space="0" w:color="auto"/>
          </w:divBdr>
          <w:divsChild>
            <w:div w:id="479003979">
              <w:marLeft w:val="0"/>
              <w:marRight w:val="0"/>
              <w:marTop w:val="0"/>
              <w:marBottom w:val="0"/>
              <w:divBdr>
                <w:top w:val="none" w:sz="0" w:space="0" w:color="auto"/>
                <w:left w:val="none" w:sz="0" w:space="0" w:color="auto"/>
                <w:bottom w:val="none" w:sz="0" w:space="0" w:color="auto"/>
                <w:right w:val="none" w:sz="0" w:space="0" w:color="auto"/>
              </w:divBdr>
              <w:divsChild>
                <w:div w:id="9696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621339">
      <w:bodyDiv w:val="1"/>
      <w:marLeft w:val="0"/>
      <w:marRight w:val="0"/>
      <w:marTop w:val="0"/>
      <w:marBottom w:val="0"/>
      <w:divBdr>
        <w:top w:val="none" w:sz="0" w:space="0" w:color="auto"/>
        <w:left w:val="none" w:sz="0" w:space="0" w:color="auto"/>
        <w:bottom w:val="none" w:sz="0" w:space="0" w:color="auto"/>
        <w:right w:val="none" w:sz="0" w:space="0" w:color="auto"/>
      </w:divBdr>
      <w:divsChild>
        <w:div w:id="1130442632">
          <w:marLeft w:val="0"/>
          <w:marRight w:val="0"/>
          <w:marTop w:val="0"/>
          <w:marBottom w:val="0"/>
          <w:divBdr>
            <w:top w:val="none" w:sz="0" w:space="0" w:color="auto"/>
            <w:left w:val="none" w:sz="0" w:space="0" w:color="auto"/>
            <w:bottom w:val="none" w:sz="0" w:space="0" w:color="auto"/>
            <w:right w:val="none" w:sz="0" w:space="0" w:color="auto"/>
          </w:divBdr>
        </w:div>
      </w:divsChild>
    </w:div>
    <w:div w:id="623385016">
      <w:bodyDiv w:val="1"/>
      <w:marLeft w:val="0"/>
      <w:marRight w:val="0"/>
      <w:marTop w:val="0"/>
      <w:marBottom w:val="0"/>
      <w:divBdr>
        <w:top w:val="none" w:sz="0" w:space="0" w:color="auto"/>
        <w:left w:val="none" w:sz="0" w:space="0" w:color="auto"/>
        <w:bottom w:val="none" w:sz="0" w:space="0" w:color="auto"/>
        <w:right w:val="none" w:sz="0" w:space="0" w:color="auto"/>
      </w:divBdr>
      <w:divsChild>
        <w:div w:id="747844254">
          <w:marLeft w:val="0"/>
          <w:marRight w:val="0"/>
          <w:marTop w:val="0"/>
          <w:marBottom w:val="0"/>
          <w:divBdr>
            <w:top w:val="none" w:sz="0" w:space="0" w:color="auto"/>
            <w:left w:val="none" w:sz="0" w:space="0" w:color="auto"/>
            <w:bottom w:val="none" w:sz="0" w:space="0" w:color="auto"/>
            <w:right w:val="none" w:sz="0" w:space="0" w:color="auto"/>
          </w:divBdr>
          <w:divsChild>
            <w:div w:id="1830249643">
              <w:marLeft w:val="0"/>
              <w:marRight w:val="0"/>
              <w:marTop w:val="0"/>
              <w:marBottom w:val="0"/>
              <w:divBdr>
                <w:top w:val="none" w:sz="0" w:space="0" w:color="auto"/>
                <w:left w:val="none" w:sz="0" w:space="0" w:color="auto"/>
                <w:bottom w:val="none" w:sz="0" w:space="0" w:color="auto"/>
                <w:right w:val="none" w:sz="0" w:space="0" w:color="auto"/>
              </w:divBdr>
              <w:divsChild>
                <w:div w:id="1005330363">
                  <w:marLeft w:val="0"/>
                  <w:marRight w:val="0"/>
                  <w:marTop w:val="0"/>
                  <w:marBottom w:val="0"/>
                  <w:divBdr>
                    <w:top w:val="none" w:sz="0" w:space="0" w:color="auto"/>
                    <w:left w:val="none" w:sz="0" w:space="0" w:color="auto"/>
                    <w:bottom w:val="none" w:sz="0" w:space="0" w:color="auto"/>
                    <w:right w:val="none" w:sz="0" w:space="0" w:color="auto"/>
                  </w:divBdr>
                  <w:divsChild>
                    <w:div w:id="183529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528173">
          <w:marLeft w:val="0"/>
          <w:marRight w:val="0"/>
          <w:marTop w:val="0"/>
          <w:marBottom w:val="0"/>
          <w:divBdr>
            <w:top w:val="none" w:sz="0" w:space="0" w:color="auto"/>
            <w:left w:val="none" w:sz="0" w:space="0" w:color="auto"/>
            <w:bottom w:val="none" w:sz="0" w:space="0" w:color="auto"/>
            <w:right w:val="none" w:sz="0" w:space="0" w:color="auto"/>
          </w:divBdr>
          <w:divsChild>
            <w:div w:id="669606224">
              <w:marLeft w:val="0"/>
              <w:marRight w:val="0"/>
              <w:marTop w:val="0"/>
              <w:marBottom w:val="0"/>
              <w:divBdr>
                <w:top w:val="none" w:sz="0" w:space="0" w:color="auto"/>
                <w:left w:val="none" w:sz="0" w:space="0" w:color="auto"/>
                <w:bottom w:val="none" w:sz="0" w:space="0" w:color="auto"/>
                <w:right w:val="none" w:sz="0" w:space="0" w:color="auto"/>
              </w:divBdr>
              <w:divsChild>
                <w:div w:id="200947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470730">
      <w:bodyDiv w:val="1"/>
      <w:marLeft w:val="0"/>
      <w:marRight w:val="0"/>
      <w:marTop w:val="0"/>
      <w:marBottom w:val="0"/>
      <w:divBdr>
        <w:top w:val="none" w:sz="0" w:space="0" w:color="auto"/>
        <w:left w:val="none" w:sz="0" w:space="0" w:color="auto"/>
        <w:bottom w:val="none" w:sz="0" w:space="0" w:color="auto"/>
        <w:right w:val="none" w:sz="0" w:space="0" w:color="auto"/>
      </w:divBdr>
      <w:divsChild>
        <w:div w:id="946276724">
          <w:marLeft w:val="0"/>
          <w:marRight w:val="0"/>
          <w:marTop w:val="0"/>
          <w:marBottom w:val="0"/>
          <w:divBdr>
            <w:top w:val="none" w:sz="0" w:space="0" w:color="auto"/>
            <w:left w:val="none" w:sz="0" w:space="0" w:color="auto"/>
            <w:bottom w:val="none" w:sz="0" w:space="0" w:color="auto"/>
            <w:right w:val="none" w:sz="0" w:space="0" w:color="auto"/>
          </w:divBdr>
        </w:div>
      </w:divsChild>
    </w:div>
    <w:div w:id="1013457001">
      <w:bodyDiv w:val="1"/>
      <w:marLeft w:val="0"/>
      <w:marRight w:val="0"/>
      <w:marTop w:val="0"/>
      <w:marBottom w:val="0"/>
      <w:divBdr>
        <w:top w:val="none" w:sz="0" w:space="0" w:color="auto"/>
        <w:left w:val="none" w:sz="0" w:space="0" w:color="auto"/>
        <w:bottom w:val="none" w:sz="0" w:space="0" w:color="auto"/>
        <w:right w:val="none" w:sz="0" w:space="0" w:color="auto"/>
      </w:divBdr>
      <w:divsChild>
        <w:div w:id="300890031">
          <w:marLeft w:val="0"/>
          <w:marRight w:val="0"/>
          <w:marTop w:val="0"/>
          <w:marBottom w:val="0"/>
          <w:divBdr>
            <w:top w:val="none" w:sz="0" w:space="0" w:color="auto"/>
            <w:left w:val="none" w:sz="0" w:space="0" w:color="auto"/>
            <w:bottom w:val="none" w:sz="0" w:space="0" w:color="auto"/>
            <w:right w:val="none" w:sz="0" w:space="0" w:color="auto"/>
          </w:divBdr>
        </w:div>
      </w:divsChild>
    </w:div>
    <w:div w:id="1184320122">
      <w:bodyDiv w:val="1"/>
      <w:marLeft w:val="0"/>
      <w:marRight w:val="0"/>
      <w:marTop w:val="0"/>
      <w:marBottom w:val="0"/>
      <w:divBdr>
        <w:top w:val="none" w:sz="0" w:space="0" w:color="auto"/>
        <w:left w:val="none" w:sz="0" w:space="0" w:color="auto"/>
        <w:bottom w:val="none" w:sz="0" w:space="0" w:color="auto"/>
        <w:right w:val="none" w:sz="0" w:space="0" w:color="auto"/>
      </w:divBdr>
      <w:divsChild>
        <w:div w:id="1249849129">
          <w:marLeft w:val="0"/>
          <w:marRight w:val="0"/>
          <w:marTop w:val="0"/>
          <w:marBottom w:val="0"/>
          <w:divBdr>
            <w:top w:val="none" w:sz="0" w:space="0" w:color="auto"/>
            <w:left w:val="none" w:sz="0" w:space="0" w:color="auto"/>
            <w:bottom w:val="none" w:sz="0" w:space="0" w:color="auto"/>
            <w:right w:val="none" w:sz="0" w:space="0" w:color="auto"/>
          </w:divBdr>
        </w:div>
      </w:divsChild>
    </w:div>
    <w:div w:id="1423642655">
      <w:bodyDiv w:val="1"/>
      <w:marLeft w:val="0"/>
      <w:marRight w:val="0"/>
      <w:marTop w:val="0"/>
      <w:marBottom w:val="0"/>
      <w:divBdr>
        <w:top w:val="none" w:sz="0" w:space="0" w:color="auto"/>
        <w:left w:val="none" w:sz="0" w:space="0" w:color="auto"/>
        <w:bottom w:val="none" w:sz="0" w:space="0" w:color="auto"/>
        <w:right w:val="none" w:sz="0" w:space="0" w:color="auto"/>
      </w:divBdr>
      <w:divsChild>
        <w:div w:id="1890918411">
          <w:marLeft w:val="0"/>
          <w:marRight w:val="0"/>
          <w:marTop w:val="0"/>
          <w:marBottom w:val="0"/>
          <w:divBdr>
            <w:top w:val="none" w:sz="0" w:space="0" w:color="auto"/>
            <w:left w:val="none" w:sz="0" w:space="0" w:color="auto"/>
            <w:bottom w:val="none" w:sz="0" w:space="0" w:color="auto"/>
            <w:right w:val="none" w:sz="0" w:space="0" w:color="auto"/>
          </w:divBdr>
        </w:div>
      </w:divsChild>
    </w:div>
    <w:div w:id="1657689808">
      <w:bodyDiv w:val="1"/>
      <w:marLeft w:val="0"/>
      <w:marRight w:val="0"/>
      <w:marTop w:val="0"/>
      <w:marBottom w:val="0"/>
      <w:divBdr>
        <w:top w:val="none" w:sz="0" w:space="0" w:color="auto"/>
        <w:left w:val="none" w:sz="0" w:space="0" w:color="auto"/>
        <w:bottom w:val="none" w:sz="0" w:space="0" w:color="auto"/>
        <w:right w:val="none" w:sz="0" w:space="0" w:color="auto"/>
      </w:divBdr>
      <w:divsChild>
        <w:div w:id="154958588">
          <w:marLeft w:val="0"/>
          <w:marRight w:val="0"/>
          <w:marTop w:val="0"/>
          <w:marBottom w:val="0"/>
          <w:divBdr>
            <w:top w:val="none" w:sz="0" w:space="0" w:color="auto"/>
            <w:left w:val="none" w:sz="0" w:space="0" w:color="auto"/>
            <w:bottom w:val="none" w:sz="0" w:space="0" w:color="auto"/>
            <w:right w:val="none" w:sz="0" w:space="0" w:color="auto"/>
          </w:divBdr>
          <w:divsChild>
            <w:div w:id="2003578947">
              <w:marLeft w:val="0"/>
              <w:marRight w:val="0"/>
              <w:marTop w:val="0"/>
              <w:marBottom w:val="0"/>
              <w:divBdr>
                <w:top w:val="none" w:sz="0" w:space="0" w:color="auto"/>
                <w:left w:val="none" w:sz="0" w:space="0" w:color="auto"/>
                <w:bottom w:val="none" w:sz="0" w:space="0" w:color="auto"/>
                <w:right w:val="none" w:sz="0" w:space="0" w:color="auto"/>
              </w:divBdr>
              <w:divsChild>
                <w:div w:id="1135485530">
                  <w:marLeft w:val="0"/>
                  <w:marRight w:val="0"/>
                  <w:marTop w:val="0"/>
                  <w:marBottom w:val="0"/>
                  <w:divBdr>
                    <w:top w:val="none" w:sz="0" w:space="0" w:color="auto"/>
                    <w:left w:val="none" w:sz="0" w:space="0" w:color="auto"/>
                    <w:bottom w:val="none" w:sz="0" w:space="0" w:color="auto"/>
                    <w:right w:val="none" w:sz="0" w:space="0" w:color="auto"/>
                  </w:divBdr>
                  <w:divsChild>
                    <w:div w:id="86306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817745">
          <w:marLeft w:val="0"/>
          <w:marRight w:val="0"/>
          <w:marTop w:val="0"/>
          <w:marBottom w:val="0"/>
          <w:divBdr>
            <w:top w:val="none" w:sz="0" w:space="0" w:color="auto"/>
            <w:left w:val="none" w:sz="0" w:space="0" w:color="auto"/>
            <w:bottom w:val="none" w:sz="0" w:space="0" w:color="auto"/>
            <w:right w:val="none" w:sz="0" w:space="0" w:color="auto"/>
          </w:divBdr>
          <w:divsChild>
            <w:div w:id="57823878">
              <w:marLeft w:val="0"/>
              <w:marRight w:val="0"/>
              <w:marTop w:val="0"/>
              <w:marBottom w:val="0"/>
              <w:divBdr>
                <w:top w:val="none" w:sz="0" w:space="0" w:color="auto"/>
                <w:left w:val="none" w:sz="0" w:space="0" w:color="auto"/>
                <w:bottom w:val="none" w:sz="0" w:space="0" w:color="auto"/>
                <w:right w:val="none" w:sz="0" w:space="0" w:color="auto"/>
              </w:divBdr>
              <w:divsChild>
                <w:div w:id="87924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91418">
      <w:bodyDiv w:val="1"/>
      <w:marLeft w:val="0"/>
      <w:marRight w:val="0"/>
      <w:marTop w:val="0"/>
      <w:marBottom w:val="0"/>
      <w:divBdr>
        <w:top w:val="none" w:sz="0" w:space="0" w:color="auto"/>
        <w:left w:val="none" w:sz="0" w:space="0" w:color="auto"/>
        <w:bottom w:val="none" w:sz="0" w:space="0" w:color="auto"/>
        <w:right w:val="none" w:sz="0" w:space="0" w:color="auto"/>
      </w:divBdr>
      <w:divsChild>
        <w:div w:id="1884095243">
          <w:marLeft w:val="0"/>
          <w:marRight w:val="0"/>
          <w:marTop w:val="0"/>
          <w:marBottom w:val="0"/>
          <w:divBdr>
            <w:top w:val="none" w:sz="0" w:space="0" w:color="auto"/>
            <w:left w:val="none" w:sz="0" w:space="0" w:color="auto"/>
            <w:bottom w:val="none" w:sz="0" w:space="0" w:color="auto"/>
            <w:right w:val="none" w:sz="0" w:space="0" w:color="auto"/>
          </w:divBdr>
          <w:divsChild>
            <w:div w:id="896665927">
              <w:marLeft w:val="0"/>
              <w:marRight w:val="0"/>
              <w:marTop w:val="0"/>
              <w:marBottom w:val="0"/>
              <w:divBdr>
                <w:top w:val="none" w:sz="0" w:space="0" w:color="auto"/>
                <w:left w:val="none" w:sz="0" w:space="0" w:color="auto"/>
                <w:bottom w:val="none" w:sz="0" w:space="0" w:color="auto"/>
                <w:right w:val="none" w:sz="0" w:space="0" w:color="auto"/>
              </w:divBdr>
              <w:divsChild>
                <w:div w:id="962805566">
                  <w:marLeft w:val="0"/>
                  <w:marRight w:val="0"/>
                  <w:marTop w:val="0"/>
                  <w:marBottom w:val="0"/>
                  <w:divBdr>
                    <w:top w:val="none" w:sz="0" w:space="0" w:color="auto"/>
                    <w:left w:val="none" w:sz="0" w:space="0" w:color="auto"/>
                    <w:bottom w:val="none" w:sz="0" w:space="0" w:color="auto"/>
                    <w:right w:val="none" w:sz="0" w:space="0" w:color="auto"/>
                  </w:divBdr>
                  <w:divsChild>
                    <w:div w:id="173828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50442">
          <w:marLeft w:val="0"/>
          <w:marRight w:val="0"/>
          <w:marTop w:val="0"/>
          <w:marBottom w:val="0"/>
          <w:divBdr>
            <w:top w:val="none" w:sz="0" w:space="0" w:color="auto"/>
            <w:left w:val="none" w:sz="0" w:space="0" w:color="auto"/>
            <w:bottom w:val="none" w:sz="0" w:space="0" w:color="auto"/>
            <w:right w:val="none" w:sz="0" w:space="0" w:color="auto"/>
          </w:divBdr>
          <w:divsChild>
            <w:div w:id="2125997763">
              <w:marLeft w:val="0"/>
              <w:marRight w:val="0"/>
              <w:marTop w:val="0"/>
              <w:marBottom w:val="0"/>
              <w:divBdr>
                <w:top w:val="none" w:sz="0" w:space="0" w:color="auto"/>
                <w:left w:val="none" w:sz="0" w:space="0" w:color="auto"/>
                <w:bottom w:val="none" w:sz="0" w:space="0" w:color="auto"/>
                <w:right w:val="none" w:sz="0" w:space="0" w:color="auto"/>
              </w:divBdr>
              <w:divsChild>
                <w:div w:id="96038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691413">
      <w:bodyDiv w:val="1"/>
      <w:marLeft w:val="0"/>
      <w:marRight w:val="0"/>
      <w:marTop w:val="0"/>
      <w:marBottom w:val="0"/>
      <w:divBdr>
        <w:top w:val="none" w:sz="0" w:space="0" w:color="auto"/>
        <w:left w:val="none" w:sz="0" w:space="0" w:color="auto"/>
        <w:bottom w:val="none" w:sz="0" w:space="0" w:color="auto"/>
        <w:right w:val="none" w:sz="0" w:space="0" w:color="auto"/>
      </w:divBdr>
      <w:divsChild>
        <w:div w:id="1960448903">
          <w:marLeft w:val="0"/>
          <w:marRight w:val="0"/>
          <w:marTop w:val="0"/>
          <w:marBottom w:val="0"/>
          <w:divBdr>
            <w:top w:val="none" w:sz="0" w:space="0" w:color="auto"/>
            <w:left w:val="none" w:sz="0" w:space="0" w:color="auto"/>
            <w:bottom w:val="none" w:sz="0" w:space="0" w:color="auto"/>
            <w:right w:val="none" w:sz="0" w:space="0" w:color="auto"/>
          </w:divBdr>
          <w:divsChild>
            <w:div w:id="1374385283">
              <w:marLeft w:val="0"/>
              <w:marRight w:val="0"/>
              <w:marTop w:val="0"/>
              <w:marBottom w:val="0"/>
              <w:divBdr>
                <w:top w:val="none" w:sz="0" w:space="0" w:color="auto"/>
                <w:left w:val="none" w:sz="0" w:space="0" w:color="auto"/>
                <w:bottom w:val="none" w:sz="0" w:space="0" w:color="auto"/>
                <w:right w:val="none" w:sz="0" w:space="0" w:color="auto"/>
              </w:divBdr>
              <w:divsChild>
                <w:div w:id="456534605">
                  <w:marLeft w:val="0"/>
                  <w:marRight w:val="0"/>
                  <w:marTop w:val="0"/>
                  <w:marBottom w:val="0"/>
                  <w:divBdr>
                    <w:top w:val="none" w:sz="0" w:space="0" w:color="auto"/>
                    <w:left w:val="none" w:sz="0" w:space="0" w:color="auto"/>
                    <w:bottom w:val="none" w:sz="0" w:space="0" w:color="auto"/>
                    <w:right w:val="none" w:sz="0" w:space="0" w:color="auto"/>
                  </w:divBdr>
                  <w:divsChild>
                    <w:div w:id="192953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139035">
          <w:marLeft w:val="0"/>
          <w:marRight w:val="0"/>
          <w:marTop w:val="0"/>
          <w:marBottom w:val="0"/>
          <w:divBdr>
            <w:top w:val="none" w:sz="0" w:space="0" w:color="auto"/>
            <w:left w:val="none" w:sz="0" w:space="0" w:color="auto"/>
            <w:bottom w:val="none" w:sz="0" w:space="0" w:color="auto"/>
            <w:right w:val="none" w:sz="0" w:space="0" w:color="auto"/>
          </w:divBdr>
          <w:divsChild>
            <w:div w:id="485781577">
              <w:marLeft w:val="0"/>
              <w:marRight w:val="0"/>
              <w:marTop w:val="0"/>
              <w:marBottom w:val="0"/>
              <w:divBdr>
                <w:top w:val="none" w:sz="0" w:space="0" w:color="auto"/>
                <w:left w:val="none" w:sz="0" w:space="0" w:color="auto"/>
                <w:bottom w:val="none" w:sz="0" w:space="0" w:color="auto"/>
                <w:right w:val="none" w:sz="0" w:space="0" w:color="auto"/>
              </w:divBdr>
              <w:divsChild>
                <w:div w:id="99669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cbi.nlm.nih.gov/pubmed/1715512" TargetMode="Externa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ncbi.nlm.nih.gov/pubmed/20086191" TargetMode="External"/><Relationship Id="rId17"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cbi.nlm.nih.gov/pubmed/6491983" TargetMode="External"/><Relationship Id="rId5" Type="http://schemas.openxmlformats.org/officeDocument/2006/relationships/settings" Target="settings.xml"/><Relationship Id="rId15" Type="http://schemas.openxmlformats.org/officeDocument/2006/relationships/package" Target="embeddings/Microsoft_PowerPoint_Slide.sldx"/><Relationship Id="rId10" Type="http://schemas.openxmlformats.org/officeDocument/2006/relationships/hyperlink" Target="https://rais.ornl.gov/tox/profiles/naphthalene_f_V1.html"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lrecio@scitovation.com" TargetMode="External"/><Relationship Id="rId14" Type="http://schemas.openxmlformats.org/officeDocument/2006/relationships/image" Target="media/image1.emf"/></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156744606822552"/>
          <c:y val="0.10265047751098211"/>
          <c:w val="0.76228132265165383"/>
          <c:h val="0.61192365007580563"/>
        </c:manualLayout>
      </c:layout>
      <c:lineChart>
        <c:grouping val="stacked"/>
        <c:varyColors val="0"/>
        <c:ser>
          <c:idx val="0"/>
          <c:order val="0"/>
          <c:tx>
            <c:strRef>
              <c:f>Napthal!$V$7</c:f>
              <c:strCache>
                <c:ptCount val="1"/>
                <c:pt idx="0">
                  <c:v>%RS Nuclei:Bead</c:v>
                </c:pt>
              </c:strCache>
            </c:strRef>
          </c:tx>
          <c:spPr>
            <a:ln w="31750" cap="rnd">
              <a:solidFill>
                <a:schemeClr val="accent1"/>
              </a:solidFill>
              <a:round/>
            </a:ln>
            <a:effectLst/>
          </c:spPr>
          <c:marker>
            <c:symbol val="circle"/>
            <c:size val="6"/>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w="12700">
                <a:solidFill>
                  <a:schemeClr val="lt2"/>
                </a:solidFill>
                <a:round/>
              </a:ln>
              <a:effectLst/>
            </c:spPr>
          </c:marker>
          <c:errBars>
            <c:errDir val="y"/>
            <c:errBarType val="both"/>
            <c:errValType val="cust"/>
            <c:noEndCap val="0"/>
            <c:plus>
              <c:numRef>
                <c:f>Napthal!$U$30:$U$42</c:f>
                <c:numCache>
                  <c:formatCode>General</c:formatCode>
                  <c:ptCount val="13"/>
                  <c:pt idx="0">
                    <c:v>10.627860713119476</c:v>
                  </c:pt>
                  <c:pt idx="1">
                    <c:v>5.967064909058478</c:v>
                  </c:pt>
                  <c:pt idx="2">
                    <c:v>3.3148405405353927</c:v>
                  </c:pt>
                  <c:pt idx="3">
                    <c:v>2.7292558076020019</c:v>
                  </c:pt>
                  <c:pt idx="4">
                    <c:v>9.0796227486709231</c:v>
                  </c:pt>
                  <c:pt idx="5">
                    <c:v>7.740915821207115</c:v>
                  </c:pt>
                  <c:pt idx="6">
                    <c:v>5.4758522790079311</c:v>
                  </c:pt>
                  <c:pt idx="7">
                    <c:v>10.782737050917454</c:v>
                  </c:pt>
                  <c:pt idx="8">
                    <c:v>0.9522753445972113</c:v>
                  </c:pt>
                  <c:pt idx="9">
                    <c:v>7.4144430750041348</c:v>
                  </c:pt>
                  <c:pt idx="10">
                    <c:v>14.500522095752428</c:v>
                  </c:pt>
                  <c:pt idx="11">
                    <c:v>20.97416354585188</c:v>
                  </c:pt>
                  <c:pt idx="12">
                    <c:v>26.736423933052958</c:v>
                  </c:pt>
                </c:numCache>
              </c:numRef>
            </c:plus>
            <c:minus>
              <c:numRef>
                <c:f>Napthal!$U$30:$U$42</c:f>
                <c:numCache>
                  <c:formatCode>General</c:formatCode>
                  <c:ptCount val="13"/>
                  <c:pt idx="0">
                    <c:v>10.627860713119476</c:v>
                  </c:pt>
                  <c:pt idx="1">
                    <c:v>5.967064909058478</c:v>
                  </c:pt>
                  <c:pt idx="2">
                    <c:v>3.3148405405353927</c:v>
                  </c:pt>
                  <c:pt idx="3">
                    <c:v>2.7292558076020019</c:v>
                  </c:pt>
                  <c:pt idx="4">
                    <c:v>9.0796227486709231</c:v>
                  </c:pt>
                  <c:pt idx="5">
                    <c:v>7.740915821207115</c:v>
                  </c:pt>
                  <c:pt idx="6">
                    <c:v>5.4758522790079311</c:v>
                  </c:pt>
                  <c:pt idx="7">
                    <c:v>10.782737050917454</c:v>
                  </c:pt>
                  <c:pt idx="8">
                    <c:v>0.9522753445972113</c:v>
                  </c:pt>
                  <c:pt idx="9">
                    <c:v>7.4144430750041348</c:v>
                  </c:pt>
                  <c:pt idx="10">
                    <c:v>14.500522095752428</c:v>
                  </c:pt>
                  <c:pt idx="11">
                    <c:v>20.97416354585188</c:v>
                  </c:pt>
                  <c:pt idx="12">
                    <c:v>26.736423933052958</c:v>
                  </c:pt>
                </c:numCache>
              </c:numRef>
            </c:minus>
            <c:spPr>
              <a:noFill/>
              <a:ln w="15875">
                <a:solidFill>
                  <a:srgbClr val="0000CC"/>
                </a:solidFill>
                <a:round/>
              </a:ln>
              <a:effectLst/>
            </c:spPr>
          </c:errBars>
          <c:cat>
            <c:strRef>
              <c:f>Napthal!$O$8:$O$20</c:f>
              <c:strCache>
                <c:ptCount val="13"/>
                <c:pt idx="0">
                  <c:v>Methanol VC </c:v>
                </c:pt>
                <c:pt idx="1">
                  <c:v>Nap 0.34 mM</c:v>
                </c:pt>
                <c:pt idx="2">
                  <c:v>Nap 0.40 mM</c:v>
                </c:pt>
                <c:pt idx="3">
                  <c:v>Nap 0.48 mM</c:v>
                </c:pt>
                <c:pt idx="4">
                  <c:v>Nap .58 mM</c:v>
                </c:pt>
                <c:pt idx="5">
                  <c:v>Nap 0.70mM</c:v>
                </c:pt>
                <c:pt idx="6">
                  <c:v>Nap 0.84 mM</c:v>
                </c:pt>
                <c:pt idx="7">
                  <c:v>Nap 1.00 mM</c:v>
                </c:pt>
                <c:pt idx="8">
                  <c:v>Nap 1.21 mM</c:v>
                </c:pt>
                <c:pt idx="9">
                  <c:v>Nap 1.45 mM</c:v>
                </c:pt>
                <c:pt idx="10">
                  <c:v>Nap 1.74 mM</c:v>
                </c:pt>
                <c:pt idx="11">
                  <c:v>Nap 2.08 mM</c:v>
                </c:pt>
                <c:pt idx="12">
                  <c:v>Nap 2.5 mM</c:v>
                </c:pt>
              </c:strCache>
            </c:strRef>
          </c:cat>
          <c:val>
            <c:numRef>
              <c:f>Napthal!$T$30:$T$42</c:f>
              <c:numCache>
                <c:formatCode>0.0</c:formatCode>
                <c:ptCount val="13"/>
                <c:pt idx="0">
                  <c:v>100</c:v>
                </c:pt>
                <c:pt idx="1">
                  <c:v>92.923728813559322</c:v>
                </c:pt>
                <c:pt idx="2">
                  <c:v>87.76680896478122</c:v>
                </c:pt>
                <c:pt idx="3">
                  <c:v>87.86057692307692</c:v>
                </c:pt>
                <c:pt idx="4">
                  <c:v>78.470896946564878</c:v>
                </c:pt>
                <c:pt idx="5">
                  <c:v>75.93490304709141</c:v>
                </c:pt>
                <c:pt idx="6">
                  <c:v>92.401685393258418</c:v>
                </c:pt>
                <c:pt idx="7">
                  <c:v>91.680602006688972</c:v>
                </c:pt>
                <c:pt idx="8">
                  <c:v>78.098290598290603</c:v>
                </c:pt>
                <c:pt idx="9">
                  <c:v>70.590128755364816</c:v>
                </c:pt>
                <c:pt idx="10">
                  <c:v>46.019865696698382</c:v>
                </c:pt>
                <c:pt idx="11">
                  <c:v>30.447056645686775</c:v>
                </c:pt>
                <c:pt idx="12">
                  <c:v>32.608049167327522</c:v>
                </c:pt>
              </c:numCache>
            </c:numRef>
          </c:val>
          <c:smooth val="0"/>
          <c:extLst>
            <c:ext xmlns:c16="http://schemas.microsoft.com/office/drawing/2014/chart" uri="{C3380CC4-5D6E-409C-BE32-E72D297353CC}">
              <c16:uniqueId val="{00000000-6330-482F-8CB7-BCA5A282FB3C}"/>
            </c:ext>
          </c:extLst>
        </c:ser>
        <c:dLbls>
          <c:showLegendKey val="0"/>
          <c:showVal val="0"/>
          <c:showCatName val="0"/>
          <c:showSerName val="0"/>
          <c:showPercent val="0"/>
          <c:showBubbleSize val="0"/>
        </c:dLbls>
        <c:marker val="1"/>
        <c:smooth val="0"/>
        <c:axId val="468067552"/>
        <c:axId val="468067224"/>
      </c:lineChart>
      <c:lineChart>
        <c:grouping val="standard"/>
        <c:varyColors val="0"/>
        <c:ser>
          <c:idx val="1"/>
          <c:order val="1"/>
          <c:tx>
            <c:strRef>
              <c:f>Napthal!$X$7</c:f>
              <c:strCache>
                <c:ptCount val="1"/>
                <c:pt idx="0">
                  <c:v>%MN</c:v>
                </c:pt>
              </c:strCache>
            </c:strRef>
          </c:tx>
          <c:spPr>
            <a:ln w="31750" cap="rnd">
              <a:solidFill>
                <a:schemeClr val="accent3"/>
              </a:solidFill>
              <a:round/>
            </a:ln>
            <a:effectLst/>
          </c:spPr>
          <c:marker>
            <c:symbol val="circle"/>
            <c:size val="6"/>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w="12700">
                <a:solidFill>
                  <a:schemeClr val="lt2"/>
                </a:solidFill>
                <a:round/>
              </a:ln>
              <a:effectLst/>
            </c:spPr>
          </c:marker>
          <c:errBars>
            <c:errDir val="y"/>
            <c:errBarType val="both"/>
            <c:errValType val="cust"/>
            <c:noEndCap val="0"/>
            <c:plus>
              <c:numRef>
                <c:f>Napthal!$W$30:$W$42</c:f>
                <c:numCache>
                  <c:formatCode>General</c:formatCode>
                  <c:ptCount val="13"/>
                  <c:pt idx="0">
                    <c:v>0.15</c:v>
                  </c:pt>
                  <c:pt idx="1">
                    <c:v>0.2</c:v>
                  </c:pt>
                  <c:pt idx="2">
                    <c:v>0.31</c:v>
                  </c:pt>
                  <c:pt idx="3">
                    <c:v>0.17</c:v>
                  </c:pt>
                  <c:pt idx="4">
                    <c:v>0.11</c:v>
                  </c:pt>
                  <c:pt idx="5">
                    <c:v>0.21</c:v>
                  </c:pt>
                  <c:pt idx="6">
                    <c:v>0.16</c:v>
                  </c:pt>
                  <c:pt idx="7">
                    <c:v>0.19</c:v>
                  </c:pt>
                  <c:pt idx="8">
                    <c:v>0.14000000000000001</c:v>
                  </c:pt>
                  <c:pt idx="9">
                    <c:v>0.1</c:v>
                  </c:pt>
                  <c:pt idx="10">
                    <c:v>0.21</c:v>
                  </c:pt>
                  <c:pt idx="11">
                    <c:v>2.78</c:v>
                  </c:pt>
                  <c:pt idx="12">
                    <c:v>2.83</c:v>
                  </c:pt>
                </c:numCache>
              </c:numRef>
            </c:plus>
            <c:minus>
              <c:numRef>
                <c:f>Napthal!$W$30:$W$42</c:f>
                <c:numCache>
                  <c:formatCode>General</c:formatCode>
                  <c:ptCount val="13"/>
                  <c:pt idx="0">
                    <c:v>0.15</c:v>
                  </c:pt>
                  <c:pt idx="1">
                    <c:v>0.2</c:v>
                  </c:pt>
                  <c:pt idx="2">
                    <c:v>0.31</c:v>
                  </c:pt>
                  <c:pt idx="3">
                    <c:v>0.17</c:v>
                  </c:pt>
                  <c:pt idx="4">
                    <c:v>0.11</c:v>
                  </c:pt>
                  <c:pt idx="5">
                    <c:v>0.21</c:v>
                  </c:pt>
                  <c:pt idx="6">
                    <c:v>0.16</c:v>
                  </c:pt>
                  <c:pt idx="7">
                    <c:v>0.19</c:v>
                  </c:pt>
                  <c:pt idx="8">
                    <c:v>0.14000000000000001</c:v>
                  </c:pt>
                  <c:pt idx="9">
                    <c:v>0.1</c:v>
                  </c:pt>
                  <c:pt idx="10">
                    <c:v>0.21</c:v>
                  </c:pt>
                  <c:pt idx="11">
                    <c:v>2.78</c:v>
                  </c:pt>
                  <c:pt idx="12">
                    <c:v>2.83</c:v>
                  </c:pt>
                </c:numCache>
              </c:numRef>
            </c:minus>
            <c:spPr>
              <a:noFill/>
              <a:ln w="15875">
                <a:solidFill>
                  <a:schemeClr val="bg2">
                    <a:lumMod val="50000"/>
                  </a:schemeClr>
                </a:solidFill>
                <a:round/>
              </a:ln>
              <a:effectLst/>
            </c:spPr>
          </c:errBars>
          <c:val>
            <c:numRef>
              <c:f>Napthal!$V$30:$V$42</c:f>
              <c:numCache>
                <c:formatCode>0.0</c:formatCode>
                <c:ptCount val="13"/>
                <c:pt idx="0">
                  <c:v>1.9175000000000002</c:v>
                </c:pt>
                <c:pt idx="1">
                  <c:v>1.6466666666666665</c:v>
                </c:pt>
                <c:pt idx="2">
                  <c:v>2.0666666666666664</c:v>
                </c:pt>
                <c:pt idx="3">
                  <c:v>2.1</c:v>
                </c:pt>
                <c:pt idx="4">
                  <c:v>1.9133333333333336</c:v>
                </c:pt>
                <c:pt idx="5">
                  <c:v>1.8533333333333335</c:v>
                </c:pt>
                <c:pt idx="6">
                  <c:v>2.0133333333333332</c:v>
                </c:pt>
                <c:pt idx="7">
                  <c:v>1.94</c:v>
                </c:pt>
                <c:pt idx="8">
                  <c:v>2.0066666666666668</c:v>
                </c:pt>
                <c:pt idx="9">
                  <c:v>1.9533333333333334</c:v>
                </c:pt>
                <c:pt idx="10">
                  <c:v>1.7333333333333336</c:v>
                </c:pt>
                <c:pt idx="11">
                  <c:v>5.0933333333333328</c:v>
                </c:pt>
                <c:pt idx="12">
                  <c:v>5.6733333333333338</c:v>
                </c:pt>
              </c:numCache>
            </c:numRef>
          </c:val>
          <c:smooth val="0"/>
          <c:extLst>
            <c:ext xmlns:c16="http://schemas.microsoft.com/office/drawing/2014/chart" uri="{C3380CC4-5D6E-409C-BE32-E72D297353CC}">
              <c16:uniqueId val="{00000001-6330-482F-8CB7-BCA5A282FB3C}"/>
            </c:ext>
          </c:extLst>
        </c:ser>
        <c:dLbls>
          <c:showLegendKey val="0"/>
          <c:showVal val="0"/>
          <c:showCatName val="0"/>
          <c:showSerName val="0"/>
          <c:showPercent val="0"/>
          <c:showBubbleSize val="0"/>
        </c:dLbls>
        <c:marker val="1"/>
        <c:smooth val="0"/>
        <c:axId val="534429272"/>
        <c:axId val="534428944"/>
      </c:lineChart>
      <c:valAx>
        <c:axId val="468067224"/>
        <c:scaling>
          <c:orientation val="minMax"/>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1200" b="1" i="0" u="none" strike="noStrike" kern="1200" baseline="0">
                    <a:solidFill>
                      <a:schemeClr val="tx2"/>
                    </a:solidFill>
                    <a:latin typeface="Arial" panose="020B0604020202020204" pitchFamily="34" charset="0"/>
                    <a:ea typeface="+mn-ea"/>
                    <a:cs typeface="Arial" panose="020B0604020202020204" pitchFamily="34" charset="0"/>
                  </a:defRPr>
                </a:pPr>
                <a:r>
                  <a:rPr lang="en-US" sz="1200">
                    <a:latin typeface="Arial" panose="020B0604020202020204" pitchFamily="34" charset="0"/>
                    <a:cs typeface="Arial" panose="020B0604020202020204" pitchFamily="34" charset="0"/>
                  </a:rPr>
                  <a:t>% RS Nuclei:Bead</a:t>
                </a:r>
              </a:p>
            </c:rich>
          </c:tx>
          <c:overlay val="0"/>
          <c:spPr>
            <a:noFill/>
            <a:ln>
              <a:noFill/>
            </a:ln>
            <a:effectLst/>
          </c:spPr>
          <c:txPr>
            <a:bodyPr rot="-5400000" spcFirstLastPara="1" vertOverflow="ellipsis" vert="horz" wrap="square" anchor="ctr" anchorCtr="1"/>
            <a:lstStyle/>
            <a:p>
              <a:pPr>
                <a:defRPr sz="1200" b="1" i="0" u="none" strike="noStrike" kern="1200" baseline="0">
                  <a:solidFill>
                    <a:schemeClr val="tx2"/>
                  </a:solidFill>
                  <a:latin typeface="Arial" panose="020B0604020202020204" pitchFamily="34" charset="0"/>
                  <a:ea typeface="+mn-ea"/>
                  <a:cs typeface="Arial" panose="020B0604020202020204" pitchFamily="34" charset="0"/>
                </a:defRPr>
              </a:pPr>
              <a:endParaRPr lang="en-US"/>
            </a:p>
          </c:txPr>
        </c:title>
        <c:numFmt formatCode="0.0" sourceLinked="1"/>
        <c:majorTickMark val="out"/>
        <c:minorTickMark val="out"/>
        <c:tickLblPos val="nextTo"/>
        <c:spPr>
          <a:noFill/>
          <a:ln w="15875">
            <a:solidFill>
              <a:schemeClr val="tx1"/>
            </a:solidFill>
          </a:ln>
          <a:effectLst/>
        </c:spPr>
        <c:txPr>
          <a:bodyPr rot="-60000000" spcFirstLastPara="1" vertOverflow="ellipsis" vert="horz" wrap="square" anchor="ctr" anchorCtr="1"/>
          <a:lstStyle/>
          <a:p>
            <a:pPr>
              <a:defRPr sz="900" b="1" i="0" u="none" strike="noStrike" kern="1200" baseline="0">
                <a:solidFill>
                  <a:schemeClr val="tx2"/>
                </a:solidFill>
                <a:latin typeface="Arial" panose="020B0604020202020204" pitchFamily="34" charset="0"/>
                <a:ea typeface="+mn-ea"/>
                <a:cs typeface="Arial" panose="020B0604020202020204" pitchFamily="34" charset="0"/>
              </a:defRPr>
            </a:pPr>
            <a:endParaRPr lang="en-US"/>
          </a:p>
        </c:txPr>
        <c:crossAx val="468067552"/>
        <c:crosses val="autoZero"/>
        <c:crossBetween val="between"/>
      </c:valAx>
      <c:catAx>
        <c:axId val="468067552"/>
        <c:scaling>
          <c:orientation val="minMax"/>
        </c:scaling>
        <c:delete val="0"/>
        <c:axPos val="b"/>
        <c:title>
          <c:tx>
            <c:rich>
              <a:bodyPr rot="0" spcFirstLastPara="1" vertOverflow="ellipsis" vert="horz" wrap="square" anchor="ctr" anchorCtr="1"/>
              <a:lstStyle/>
              <a:p>
                <a:pPr>
                  <a:defRPr sz="1200" b="1" i="0" u="none" strike="noStrike" kern="1200" baseline="0">
                    <a:solidFill>
                      <a:schemeClr val="tx2"/>
                    </a:solidFill>
                    <a:latin typeface="Arial" panose="020B0604020202020204" pitchFamily="34" charset="0"/>
                    <a:ea typeface="+mn-ea"/>
                    <a:cs typeface="Arial" panose="020B0604020202020204" pitchFamily="34" charset="0"/>
                  </a:defRPr>
                </a:pPr>
                <a:r>
                  <a:rPr lang="en-US" sz="1200">
                    <a:latin typeface="Arial" panose="020B0604020202020204" pitchFamily="34" charset="0"/>
                    <a:cs typeface="Arial" panose="020B0604020202020204" pitchFamily="34" charset="0"/>
                  </a:rPr>
                  <a:t>Exposure mM</a:t>
                </a:r>
              </a:p>
            </c:rich>
          </c:tx>
          <c:layout>
            <c:manualLayout>
              <c:xMode val="edge"/>
              <c:yMode val="edge"/>
              <c:x val="0.39124753729640177"/>
              <c:y val="0.89860854466055917"/>
            </c:manualLayout>
          </c:layout>
          <c:overlay val="0"/>
          <c:spPr>
            <a:noFill/>
            <a:ln>
              <a:noFill/>
            </a:ln>
            <a:effectLst/>
          </c:spPr>
          <c:txPr>
            <a:bodyPr rot="0" spcFirstLastPara="1" vertOverflow="ellipsis" vert="horz" wrap="square" anchor="ctr" anchorCtr="1"/>
            <a:lstStyle/>
            <a:p>
              <a:pPr>
                <a:defRPr sz="1200" b="1" i="0" u="none" strike="noStrike" kern="1200" baseline="0">
                  <a:solidFill>
                    <a:schemeClr val="tx2"/>
                  </a:solidFill>
                  <a:latin typeface="Arial" panose="020B0604020202020204" pitchFamily="34" charset="0"/>
                  <a:ea typeface="+mn-ea"/>
                  <a:cs typeface="Arial" panose="020B0604020202020204" pitchFamily="34" charset="0"/>
                </a:defRPr>
              </a:pPr>
              <a:endParaRPr lang="en-US"/>
            </a:p>
          </c:txPr>
        </c:title>
        <c:numFmt formatCode="General" sourceLinked="1"/>
        <c:majorTickMark val="out"/>
        <c:minorTickMark val="none"/>
        <c:tickLblPos val="nextTo"/>
        <c:spPr>
          <a:noFill/>
          <a:ln w="15875" cap="flat" cmpd="sng" algn="ctr">
            <a:solidFill>
              <a:schemeClr val="tx1"/>
            </a:solidFill>
            <a:round/>
          </a:ln>
          <a:effectLst/>
        </c:spPr>
        <c:txPr>
          <a:bodyPr rot="-60000000" spcFirstLastPara="1" vertOverflow="ellipsis" vert="horz" wrap="square" anchor="ctr" anchorCtr="1"/>
          <a:lstStyle/>
          <a:p>
            <a:pPr>
              <a:defRPr sz="1000" b="1" i="0" u="none" strike="noStrike" kern="1200" baseline="0">
                <a:solidFill>
                  <a:schemeClr val="tx2"/>
                </a:solidFill>
                <a:latin typeface="+mn-lt"/>
                <a:ea typeface="+mn-ea"/>
                <a:cs typeface="+mn-cs"/>
              </a:defRPr>
            </a:pPr>
            <a:endParaRPr lang="en-US"/>
          </a:p>
        </c:txPr>
        <c:crossAx val="468067224"/>
        <c:crosses val="autoZero"/>
        <c:auto val="1"/>
        <c:lblAlgn val="ctr"/>
        <c:lblOffset val="100"/>
        <c:noMultiLvlLbl val="0"/>
      </c:catAx>
      <c:valAx>
        <c:axId val="534428944"/>
        <c:scaling>
          <c:orientation val="minMax"/>
        </c:scaling>
        <c:delete val="0"/>
        <c:axPos val="r"/>
        <c:title>
          <c:tx>
            <c:rich>
              <a:bodyPr rot="-5400000" spcFirstLastPara="1" vertOverflow="ellipsis" vert="horz" wrap="square" anchor="ctr" anchorCtr="1"/>
              <a:lstStyle/>
              <a:p>
                <a:pPr>
                  <a:defRPr sz="1200" b="1" i="0" u="none" strike="noStrike" kern="1200" baseline="0">
                    <a:solidFill>
                      <a:schemeClr val="tx2"/>
                    </a:solidFill>
                    <a:latin typeface="Arial" panose="020B0604020202020204" pitchFamily="34" charset="0"/>
                    <a:ea typeface="+mn-ea"/>
                    <a:cs typeface="Arial" panose="020B0604020202020204" pitchFamily="34" charset="0"/>
                  </a:defRPr>
                </a:pPr>
                <a:r>
                  <a:rPr lang="en-US" sz="1200">
                    <a:latin typeface="Arial" panose="020B0604020202020204" pitchFamily="34" charset="0"/>
                    <a:cs typeface="Arial" panose="020B0604020202020204" pitchFamily="34" charset="0"/>
                  </a:rPr>
                  <a:t>% Micronuclei</a:t>
                </a:r>
              </a:p>
            </c:rich>
          </c:tx>
          <c:layout>
            <c:manualLayout>
              <c:xMode val="edge"/>
              <c:yMode val="edge"/>
              <c:x val="0.95121620265448348"/>
              <c:y val="0.21020486970494096"/>
            </c:manualLayout>
          </c:layout>
          <c:overlay val="0"/>
          <c:spPr>
            <a:noFill/>
            <a:ln>
              <a:noFill/>
            </a:ln>
            <a:effectLst/>
          </c:spPr>
          <c:txPr>
            <a:bodyPr rot="-5400000" spcFirstLastPara="1" vertOverflow="ellipsis" vert="horz" wrap="square" anchor="ctr" anchorCtr="1"/>
            <a:lstStyle/>
            <a:p>
              <a:pPr>
                <a:defRPr sz="1200" b="1" i="0" u="none" strike="noStrike" kern="1200" baseline="0">
                  <a:solidFill>
                    <a:schemeClr val="tx2"/>
                  </a:solidFill>
                  <a:latin typeface="Arial" panose="020B0604020202020204" pitchFamily="34" charset="0"/>
                  <a:ea typeface="+mn-ea"/>
                  <a:cs typeface="Arial" panose="020B0604020202020204" pitchFamily="34" charset="0"/>
                </a:defRPr>
              </a:pPr>
              <a:endParaRPr lang="en-US"/>
            </a:p>
          </c:txPr>
        </c:title>
        <c:numFmt formatCode="0.0" sourceLinked="1"/>
        <c:majorTickMark val="out"/>
        <c:minorTickMark val="out"/>
        <c:tickLblPos val="nextTo"/>
        <c:spPr>
          <a:noFill/>
          <a:ln w="15875">
            <a:solidFill>
              <a:schemeClr val="tx1"/>
            </a:solidFill>
          </a:ln>
          <a:effectLst/>
        </c:spPr>
        <c:txPr>
          <a:bodyPr rot="-60000000" spcFirstLastPara="1" vertOverflow="ellipsis" vert="horz" wrap="square" anchor="ctr" anchorCtr="1"/>
          <a:lstStyle/>
          <a:p>
            <a:pPr>
              <a:defRPr sz="900" b="1" i="0" u="none" strike="noStrike" kern="1200" baseline="0">
                <a:solidFill>
                  <a:schemeClr val="tx2"/>
                </a:solidFill>
                <a:latin typeface="Arial" panose="020B0604020202020204" pitchFamily="34" charset="0"/>
                <a:ea typeface="+mn-ea"/>
                <a:cs typeface="Arial" panose="020B0604020202020204" pitchFamily="34" charset="0"/>
              </a:defRPr>
            </a:pPr>
            <a:endParaRPr lang="en-US"/>
          </a:p>
        </c:txPr>
        <c:crossAx val="534429272"/>
        <c:crosses val="max"/>
        <c:crossBetween val="between"/>
      </c:valAx>
      <c:catAx>
        <c:axId val="534429272"/>
        <c:scaling>
          <c:orientation val="minMax"/>
        </c:scaling>
        <c:delete val="1"/>
        <c:axPos val="b"/>
        <c:majorTickMark val="none"/>
        <c:minorTickMark val="none"/>
        <c:tickLblPos val="nextTo"/>
        <c:crossAx val="534428944"/>
        <c:crosses val="autoZero"/>
        <c:auto val="1"/>
        <c:lblAlgn val="ctr"/>
        <c:lblOffset val="100"/>
        <c:noMultiLvlLbl val="0"/>
      </c:catAx>
      <c:spPr>
        <a:noFill/>
        <a:ln>
          <a:noFill/>
        </a:ln>
        <a:effectLst/>
      </c:spPr>
    </c:plotArea>
    <c:legend>
      <c:legendPos val="b"/>
      <c:layout>
        <c:manualLayout>
          <c:xMode val="edge"/>
          <c:yMode val="edge"/>
          <c:x val="0.32645746427998351"/>
          <c:y val="5.1639346386596001E-2"/>
          <c:w val="0.32644643032987047"/>
          <c:h val="4.9164859905360965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2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dk1">
            <a:lumMod val="75000"/>
            <a:lumOff val="25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dk1">
            <a:lumMod val="75000"/>
            <a:lumOff val="25000"/>
          </a:schemeClr>
        </a:solidFill>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F15D2F7891F04F979E265D492BB3CF" ma:contentTypeVersion="7" ma:contentTypeDescription="Create a new document." ma:contentTypeScope="" ma:versionID="3eb98b1d48ced4d1390f6af06553511a">
  <xsd:schema xmlns:xsd="http://www.w3.org/2001/XMLSchema" xmlns:xs="http://www.w3.org/2001/XMLSchema" xmlns:p="http://schemas.microsoft.com/office/2006/metadata/properties" xmlns:ns3="5f52f75a-d8f2-4ec5-891d-8c9068c22c89" xmlns:ns4="fd912939-2e9c-4125-816b-4e81da27694b" targetNamespace="http://schemas.microsoft.com/office/2006/metadata/properties" ma:root="true" ma:fieldsID="4363e6d787b94129b1058937e4e5698e" ns3:_="" ns4:_="">
    <xsd:import namespace="5f52f75a-d8f2-4ec5-891d-8c9068c22c89"/>
    <xsd:import namespace="fd912939-2e9c-4125-816b-4e81da27694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52f75a-d8f2-4ec5-891d-8c9068c22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d912939-2e9c-4125-816b-4e81da27694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1C4039-113A-4BBD-BA40-329ECCA6345A}">
  <ds:schemaRefs>
    <ds:schemaRef ds:uri="http://schemas.microsoft.com/sharepoint/v3/contenttype/forms"/>
  </ds:schemaRefs>
</ds:datastoreItem>
</file>

<file path=customXml/itemProps2.xml><?xml version="1.0" encoding="utf-8"?>
<ds:datastoreItem xmlns:ds="http://schemas.openxmlformats.org/officeDocument/2006/customXml" ds:itemID="{F3A5D413-CFA0-4733-9FC9-D45C56C25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52f75a-d8f2-4ec5-891d-8c9068c22c89"/>
    <ds:schemaRef ds:uri="fd912939-2e9c-4125-816b-4e81da276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AFA36E-9E49-4B2E-AF44-CF58472FD1D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29</Pages>
  <Words>5866</Words>
  <Characters>33437</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 Recio</dc:creator>
  <cp:keywords/>
  <dc:description/>
  <cp:lastModifiedBy>Leslie Recio</cp:lastModifiedBy>
  <cp:revision>11</cp:revision>
  <dcterms:created xsi:type="dcterms:W3CDTF">2023-06-22T13:18:00Z</dcterms:created>
  <dcterms:modified xsi:type="dcterms:W3CDTF">2023-06-22T14:24:00Z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0x01010088F15D2F7891F04F979E265D492BB3CF</vt:lpwstr>
  </property>
</Properties>
</file>