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A0558" w14:textId="1A904FDF" w:rsidR="0065376B" w:rsidRPr="006112E3" w:rsidRDefault="0065376B" w:rsidP="00405A17">
      <w:pPr>
        <w:rPr>
          <w:rFonts w:ascii="Arial" w:hAnsi="Arial" w:cs="Arial"/>
          <w:b/>
          <w:bCs/>
          <w:color w:val="000000" w:themeColor="text1"/>
          <w:sz w:val="22"/>
          <w:szCs w:val="22"/>
        </w:rPr>
      </w:pPr>
      <w:r w:rsidRPr="006112E3">
        <w:rPr>
          <w:rFonts w:ascii="Arial" w:hAnsi="Arial" w:cs="Arial"/>
          <w:b/>
          <w:bCs/>
          <w:color w:val="000000" w:themeColor="text1"/>
          <w:sz w:val="22"/>
          <w:szCs w:val="22"/>
        </w:rPr>
        <w:t xml:space="preserve">Title: </w:t>
      </w:r>
      <w:r w:rsidR="00AA2E6F" w:rsidRPr="006112E3">
        <w:rPr>
          <w:rFonts w:ascii="Arial" w:hAnsi="Arial" w:cs="Arial"/>
          <w:b/>
          <w:bCs/>
          <w:color w:val="000000" w:themeColor="text1"/>
          <w:sz w:val="22"/>
          <w:szCs w:val="22"/>
        </w:rPr>
        <w:t>Impact of</w:t>
      </w:r>
      <w:r w:rsidR="00B479F2" w:rsidRPr="006112E3">
        <w:rPr>
          <w:rFonts w:ascii="Arial" w:hAnsi="Arial" w:cs="Arial"/>
          <w:b/>
          <w:bCs/>
          <w:color w:val="000000" w:themeColor="text1"/>
          <w:sz w:val="22"/>
          <w:szCs w:val="22"/>
        </w:rPr>
        <w:t xml:space="preserve"> </w:t>
      </w:r>
      <w:r w:rsidR="005835BE">
        <w:rPr>
          <w:rFonts w:ascii="Arial" w:hAnsi="Arial" w:cs="Arial"/>
          <w:b/>
          <w:bCs/>
          <w:color w:val="000000" w:themeColor="text1"/>
          <w:sz w:val="22"/>
          <w:szCs w:val="22"/>
        </w:rPr>
        <w:t>state</w:t>
      </w:r>
      <w:r w:rsidR="000678B9" w:rsidRPr="006112E3">
        <w:rPr>
          <w:rFonts w:ascii="Arial" w:hAnsi="Arial" w:cs="Arial"/>
          <w:b/>
          <w:bCs/>
          <w:color w:val="000000" w:themeColor="text1"/>
          <w:sz w:val="22"/>
          <w:szCs w:val="22"/>
        </w:rPr>
        <w:t xml:space="preserve"> </w:t>
      </w:r>
      <w:r w:rsidR="00BA0FB0">
        <w:rPr>
          <w:rFonts w:ascii="Arial" w:hAnsi="Arial" w:cs="Arial"/>
          <w:b/>
          <w:bCs/>
          <w:color w:val="000000" w:themeColor="text1"/>
          <w:sz w:val="22"/>
          <w:szCs w:val="22"/>
        </w:rPr>
        <w:t xml:space="preserve">policies </w:t>
      </w:r>
      <w:r w:rsidR="00AA2E6F" w:rsidRPr="006112E3">
        <w:rPr>
          <w:rFonts w:ascii="Arial" w:hAnsi="Arial" w:cs="Arial"/>
          <w:b/>
          <w:bCs/>
          <w:color w:val="000000" w:themeColor="text1"/>
          <w:sz w:val="22"/>
          <w:szCs w:val="22"/>
        </w:rPr>
        <w:t xml:space="preserve">on opioid prescribing </w:t>
      </w:r>
      <w:r w:rsidR="000678B9" w:rsidRPr="006112E3">
        <w:rPr>
          <w:rFonts w:ascii="Arial" w:hAnsi="Arial" w:cs="Arial"/>
          <w:b/>
          <w:bCs/>
          <w:color w:val="000000" w:themeColor="text1"/>
          <w:sz w:val="22"/>
          <w:szCs w:val="22"/>
        </w:rPr>
        <w:t xml:space="preserve">among </w:t>
      </w:r>
      <w:r w:rsidR="00AA2E6F" w:rsidRPr="006112E3">
        <w:rPr>
          <w:rFonts w:ascii="Arial" w:hAnsi="Arial" w:cs="Arial"/>
          <w:b/>
          <w:bCs/>
          <w:color w:val="000000" w:themeColor="text1"/>
          <w:sz w:val="22"/>
          <w:szCs w:val="22"/>
        </w:rPr>
        <w:t>s</w:t>
      </w:r>
      <w:r w:rsidR="00204599" w:rsidRPr="006112E3">
        <w:rPr>
          <w:rFonts w:ascii="Arial" w:hAnsi="Arial" w:cs="Arial"/>
          <w:b/>
          <w:bCs/>
          <w:color w:val="000000" w:themeColor="text1"/>
          <w:sz w:val="22"/>
          <w:szCs w:val="22"/>
        </w:rPr>
        <w:t>urg</w:t>
      </w:r>
      <w:r w:rsidR="00AA2E6F" w:rsidRPr="006112E3">
        <w:rPr>
          <w:rFonts w:ascii="Arial" w:hAnsi="Arial" w:cs="Arial"/>
          <w:b/>
          <w:bCs/>
          <w:color w:val="000000" w:themeColor="text1"/>
          <w:sz w:val="22"/>
          <w:szCs w:val="22"/>
        </w:rPr>
        <w:t>ery</w:t>
      </w:r>
      <w:r w:rsidR="00204599" w:rsidRPr="006112E3">
        <w:rPr>
          <w:rFonts w:ascii="Arial" w:hAnsi="Arial" w:cs="Arial"/>
          <w:b/>
          <w:bCs/>
          <w:color w:val="000000" w:themeColor="text1"/>
          <w:sz w:val="22"/>
          <w:szCs w:val="22"/>
        </w:rPr>
        <w:t xml:space="preserve"> and injury patients</w:t>
      </w:r>
      <w:r w:rsidR="00840375" w:rsidRPr="006112E3">
        <w:rPr>
          <w:rFonts w:ascii="Arial" w:hAnsi="Arial" w:cs="Arial"/>
          <w:b/>
          <w:bCs/>
          <w:color w:val="000000" w:themeColor="text1"/>
          <w:sz w:val="22"/>
          <w:szCs w:val="22"/>
        </w:rPr>
        <w:t xml:space="preserve">: </w:t>
      </w:r>
      <w:r w:rsidR="007D0EE3">
        <w:rPr>
          <w:rFonts w:ascii="Arial" w:hAnsi="Arial" w:cs="Arial"/>
          <w:b/>
          <w:bCs/>
          <w:color w:val="000000" w:themeColor="text1"/>
          <w:sz w:val="22"/>
          <w:szCs w:val="22"/>
        </w:rPr>
        <w:t>C</w:t>
      </w:r>
      <w:r w:rsidR="00840375" w:rsidRPr="006112E3">
        <w:rPr>
          <w:rFonts w:ascii="Arial" w:hAnsi="Arial" w:cs="Arial"/>
          <w:b/>
          <w:bCs/>
          <w:color w:val="000000" w:themeColor="text1"/>
          <w:sz w:val="22"/>
          <w:szCs w:val="22"/>
        </w:rPr>
        <w:t>ontrolled interrupted time-series</w:t>
      </w:r>
      <w:r w:rsidR="00AA2E6F" w:rsidRPr="006112E3">
        <w:rPr>
          <w:rFonts w:ascii="Arial" w:hAnsi="Arial" w:cs="Arial"/>
          <w:b/>
          <w:bCs/>
          <w:color w:val="000000" w:themeColor="text1"/>
          <w:sz w:val="22"/>
          <w:szCs w:val="22"/>
        </w:rPr>
        <w:t xml:space="preserve"> study</w:t>
      </w:r>
      <w:r w:rsidR="00840375" w:rsidRPr="006112E3">
        <w:rPr>
          <w:rFonts w:ascii="Arial" w:hAnsi="Arial" w:cs="Arial"/>
          <w:b/>
          <w:bCs/>
          <w:color w:val="000000" w:themeColor="text1"/>
          <w:sz w:val="22"/>
          <w:szCs w:val="22"/>
        </w:rPr>
        <w:t xml:space="preserve">, </w:t>
      </w:r>
      <w:r w:rsidR="005835BE">
        <w:rPr>
          <w:rFonts w:ascii="Arial" w:hAnsi="Arial" w:cs="Arial"/>
          <w:b/>
          <w:bCs/>
          <w:color w:val="000000" w:themeColor="text1"/>
          <w:sz w:val="22"/>
          <w:szCs w:val="22"/>
        </w:rPr>
        <w:t xml:space="preserve">North Carolina, </w:t>
      </w:r>
      <w:r w:rsidR="00840375" w:rsidRPr="006112E3">
        <w:rPr>
          <w:rFonts w:ascii="Arial" w:hAnsi="Arial" w:cs="Arial"/>
          <w:b/>
          <w:bCs/>
          <w:color w:val="000000" w:themeColor="text1"/>
          <w:sz w:val="22"/>
          <w:szCs w:val="22"/>
        </w:rPr>
        <w:t>2014-2019</w:t>
      </w:r>
    </w:p>
    <w:p w14:paraId="502654B6" w14:textId="60D8768C" w:rsidR="008A2581" w:rsidRPr="006112E3" w:rsidRDefault="008A2581" w:rsidP="00405A17">
      <w:pPr>
        <w:rPr>
          <w:rFonts w:ascii="Arial" w:hAnsi="Arial" w:cs="Arial"/>
          <w:sz w:val="22"/>
          <w:szCs w:val="22"/>
          <w:vertAlign w:val="superscript"/>
        </w:rPr>
      </w:pPr>
      <w:r w:rsidRPr="006112E3">
        <w:rPr>
          <w:rFonts w:ascii="Arial" w:hAnsi="Arial" w:cs="Arial"/>
          <w:b/>
          <w:sz w:val="22"/>
          <w:szCs w:val="22"/>
        </w:rPr>
        <w:t>Authors:</w:t>
      </w:r>
      <w:r w:rsidRPr="006112E3">
        <w:rPr>
          <w:rFonts w:ascii="Arial" w:hAnsi="Arial" w:cs="Arial"/>
          <w:sz w:val="22"/>
          <w:szCs w:val="22"/>
        </w:rPr>
        <w:t xml:space="preserve"> Theo G. Beltran</w:t>
      </w:r>
      <w:r w:rsidR="006A68C3">
        <w:rPr>
          <w:rFonts w:ascii="Arial" w:hAnsi="Arial" w:cs="Arial"/>
          <w:sz w:val="22"/>
          <w:szCs w:val="22"/>
        </w:rPr>
        <w:t>, MPH</w:t>
      </w:r>
      <w:r w:rsidRPr="006112E3">
        <w:rPr>
          <w:rFonts w:ascii="Arial" w:hAnsi="Arial" w:cs="Arial"/>
          <w:sz w:val="22"/>
          <w:szCs w:val="22"/>
          <w:vertAlign w:val="superscript"/>
        </w:rPr>
        <w:t>1</w:t>
      </w:r>
      <w:r w:rsidR="00405A17" w:rsidRPr="006112E3">
        <w:rPr>
          <w:rFonts w:ascii="Arial" w:hAnsi="Arial" w:cs="Arial"/>
          <w:sz w:val="22"/>
          <w:szCs w:val="22"/>
          <w:vertAlign w:val="superscript"/>
        </w:rPr>
        <w:t>,2</w:t>
      </w:r>
      <w:r w:rsidR="006A40A1">
        <w:rPr>
          <w:rFonts w:ascii="Arial" w:hAnsi="Arial" w:cs="Arial"/>
          <w:sz w:val="22"/>
          <w:szCs w:val="22"/>
        </w:rPr>
        <w:t>;</w:t>
      </w:r>
      <w:r w:rsidRPr="006112E3">
        <w:rPr>
          <w:rFonts w:ascii="Arial" w:hAnsi="Arial" w:cs="Arial"/>
          <w:sz w:val="22"/>
          <w:szCs w:val="22"/>
        </w:rPr>
        <w:t xml:space="preserve"> </w:t>
      </w:r>
      <w:r w:rsidR="008C7927" w:rsidRPr="006112E3">
        <w:rPr>
          <w:rFonts w:ascii="Arial" w:hAnsi="Arial" w:cs="Arial"/>
          <w:sz w:val="22"/>
          <w:szCs w:val="22"/>
        </w:rPr>
        <w:t>Brian W. Pence</w:t>
      </w:r>
      <w:r w:rsidR="002D36C8">
        <w:rPr>
          <w:rFonts w:ascii="Arial" w:hAnsi="Arial" w:cs="Arial"/>
          <w:sz w:val="22"/>
          <w:szCs w:val="22"/>
        </w:rPr>
        <w:t>, PhD</w:t>
      </w:r>
      <w:r w:rsidR="00405A17" w:rsidRPr="006112E3">
        <w:rPr>
          <w:rFonts w:ascii="Arial" w:hAnsi="Arial" w:cs="Arial"/>
          <w:sz w:val="22"/>
          <w:szCs w:val="22"/>
          <w:vertAlign w:val="superscript"/>
        </w:rPr>
        <w:t>1,2</w:t>
      </w:r>
      <w:r w:rsidR="006A40A1">
        <w:rPr>
          <w:rFonts w:ascii="Arial" w:hAnsi="Arial" w:cs="Arial"/>
          <w:sz w:val="22"/>
          <w:szCs w:val="22"/>
        </w:rPr>
        <w:t>;</w:t>
      </w:r>
      <w:r w:rsidR="008C7927" w:rsidRPr="006112E3">
        <w:rPr>
          <w:rFonts w:ascii="Arial" w:hAnsi="Arial" w:cs="Arial"/>
          <w:sz w:val="22"/>
          <w:szCs w:val="22"/>
        </w:rPr>
        <w:t xml:space="preserve"> Naoko Fulcher</w:t>
      </w:r>
      <w:r w:rsidR="002D36C8">
        <w:rPr>
          <w:rFonts w:ascii="Arial" w:hAnsi="Arial" w:cs="Arial"/>
          <w:sz w:val="22"/>
          <w:szCs w:val="22"/>
        </w:rPr>
        <w:t>, MS</w:t>
      </w:r>
      <w:r w:rsidR="00405A17" w:rsidRPr="006112E3">
        <w:rPr>
          <w:rFonts w:ascii="Arial" w:hAnsi="Arial" w:cs="Arial"/>
          <w:sz w:val="22"/>
          <w:szCs w:val="22"/>
          <w:vertAlign w:val="superscript"/>
        </w:rPr>
        <w:t>2</w:t>
      </w:r>
      <w:r w:rsidR="006A40A1">
        <w:rPr>
          <w:rFonts w:ascii="Arial" w:hAnsi="Arial" w:cs="Arial"/>
          <w:sz w:val="22"/>
          <w:szCs w:val="22"/>
        </w:rPr>
        <w:t>;</w:t>
      </w:r>
      <w:r w:rsidR="008C7927" w:rsidRPr="006112E3">
        <w:rPr>
          <w:rFonts w:ascii="Arial" w:hAnsi="Arial" w:cs="Arial"/>
          <w:sz w:val="22"/>
          <w:szCs w:val="22"/>
        </w:rPr>
        <w:t xml:space="preserve"> </w:t>
      </w:r>
      <w:r w:rsidR="00520C05" w:rsidRPr="006112E3">
        <w:rPr>
          <w:rFonts w:ascii="Arial" w:hAnsi="Arial" w:cs="Arial"/>
          <w:sz w:val="22"/>
          <w:szCs w:val="22"/>
        </w:rPr>
        <w:t>Nabarun Dasgupta,</w:t>
      </w:r>
      <w:r w:rsidR="00520C05">
        <w:rPr>
          <w:rFonts w:ascii="Arial" w:hAnsi="Arial" w:cs="Arial"/>
          <w:sz w:val="22"/>
          <w:szCs w:val="22"/>
        </w:rPr>
        <w:t xml:space="preserve"> PhD</w:t>
      </w:r>
      <w:r w:rsidR="00520C05" w:rsidRPr="006112E3">
        <w:rPr>
          <w:rFonts w:ascii="Arial" w:hAnsi="Arial" w:cs="Arial"/>
          <w:sz w:val="22"/>
          <w:szCs w:val="22"/>
          <w:vertAlign w:val="superscript"/>
        </w:rPr>
        <w:t>2</w:t>
      </w:r>
      <w:r w:rsidR="00520C05">
        <w:rPr>
          <w:rFonts w:ascii="Arial" w:hAnsi="Arial" w:cs="Arial"/>
          <w:sz w:val="22"/>
          <w:szCs w:val="22"/>
        </w:rPr>
        <w:t>;</w:t>
      </w:r>
      <w:r w:rsidR="00520C05" w:rsidRPr="006112E3">
        <w:rPr>
          <w:rFonts w:ascii="Arial" w:hAnsi="Arial" w:cs="Arial"/>
          <w:sz w:val="22"/>
          <w:szCs w:val="22"/>
        </w:rPr>
        <w:t xml:space="preserve"> </w:t>
      </w:r>
      <w:r w:rsidR="00680084" w:rsidRPr="006112E3">
        <w:rPr>
          <w:rFonts w:ascii="Arial" w:hAnsi="Arial" w:cs="Arial"/>
          <w:sz w:val="22"/>
          <w:szCs w:val="22"/>
        </w:rPr>
        <w:t xml:space="preserve">Courtney </w:t>
      </w:r>
      <w:r w:rsidR="00680084">
        <w:rPr>
          <w:rFonts w:ascii="Arial" w:hAnsi="Arial" w:cs="Arial"/>
          <w:sz w:val="22"/>
          <w:szCs w:val="22"/>
        </w:rPr>
        <w:t xml:space="preserve">N. </w:t>
      </w:r>
      <w:r w:rsidR="00680084" w:rsidRPr="006112E3">
        <w:rPr>
          <w:rFonts w:ascii="Arial" w:hAnsi="Arial" w:cs="Arial"/>
          <w:sz w:val="22"/>
          <w:szCs w:val="22"/>
        </w:rPr>
        <w:t>Maierhofer</w:t>
      </w:r>
      <w:r w:rsidR="00680084">
        <w:rPr>
          <w:rFonts w:ascii="Arial" w:hAnsi="Arial" w:cs="Arial"/>
          <w:sz w:val="22"/>
          <w:szCs w:val="22"/>
        </w:rPr>
        <w:t>, MPH</w:t>
      </w:r>
      <w:r w:rsidR="00680084" w:rsidRPr="006112E3">
        <w:rPr>
          <w:rFonts w:ascii="Arial" w:hAnsi="Arial" w:cs="Arial"/>
          <w:sz w:val="22"/>
          <w:szCs w:val="22"/>
          <w:vertAlign w:val="superscript"/>
        </w:rPr>
        <w:t>1</w:t>
      </w:r>
      <w:r w:rsidR="00680084">
        <w:rPr>
          <w:rFonts w:ascii="Arial" w:hAnsi="Arial" w:cs="Arial"/>
          <w:sz w:val="22"/>
          <w:szCs w:val="22"/>
        </w:rPr>
        <w:t>;</w:t>
      </w:r>
      <w:r w:rsidR="00680084" w:rsidRPr="006112E3">
        <w:rPr>
          <w:rFonts w:ascii="Arial" w:hAnsi="Arial" w:cs="Arial"/>
          <w:sz w:val="22"/>
          <w:szCs w:val="22"/>
        </w:rPr>
        <w:t xml:space="preserve"> Bethany </w:t>
      </w:r>
      <w:r w:rsidR="00680084">
        <w:rPr>
          <w:rFonts w:ascii="Arial" w:hAnsi="Arial" w:cs="Arial"/>
          <w:sz w:val="22"/>
          <w:szCs w:val="22"/>
        </w:rPr>
        <w:t xml:space="preserve">L. </w:t>
      </w:r>
      <w:r w:rsidR="00680084" w:rsidRPr="006112E3">
        <w:rPr>
          <w:rFonts w:ascii="Arial" w:hAnsi="Arial" w:cs="Arial"/>
          <w:sz w:val="22"/>
          <w:szCs w:val="22"/>
        </w:rPr>
        <w:t>DiPrete,</w:t>
      </w:r>
      <w:r w:rsidR="00680084">
        <w:rPr>
          <w:rFonts w:ascii="Arial" w:hAnsi="Arial" w:cs="Arial"/>
          <w:sz w:val="22"/>
          <w:szCs w:val="22"/>
        </w:rPr>
        <w:t xml:space="preserve"> PhD</w:t>
      </w:r>
      <w:r w:rsidR="00680084" w:rsidRPr="006112E3">
        <w:rPr>
          <w:rFonts w:ascii="Arial" w:hAnsi="Arial" w:cs="Arial"/>
          <w:sz w:val="22"/>
          <w:szCs w:val="22"/>
          <w:vertAlign w:val="superscript"/>
        </w:rPr>
        <w:t>1</w:t>
      </w:r>
      <w:r w:rsidR="00680084">
        <w:rPr>
          <w:rFonts w:ascii="Arial" w:hAnsi="Arial" w:cs="Arial"/>
          <w:sz w:val="22"/>
          <w:szCs w:val="22"/>
        </w:rPr>
        <w:t xml:space="preserve">; </w:t>
      </w:r>
      <w:r w:rsidR="008C7927" w:rsidRPr="006112E3">
        <w:rPr>
          <w:rFonts w:ascii="Arial" w:hAnsi="Arial" w:cs="Arial"/>
          <w:sz w:val="22"/>
          <w:szCs w:val="22"/>
        </w:rPr>
        <w:t>Stephen W. Marshall</w:t>
      </w:r>
      <w:r w:rsidR="002D36C8">
        <w:rPr>
          <w:rFonts w:ascii="Arial" w:hAnsi="Arial" w:cs="Arial"/>
          <w:sz w:val="22"/>
          <w:szCs w:val="22"/>
        </w:rPr>
        <w:t>, PhD</w:t>
      </w:r>
      <w:r w:rsidR="00405A17" w:rsidRPr="006112E3">
        <w:rPr>
          <w:rFonts w:ascii="Arial" w:hAnsi="Arial" w:cs="Arial"/>
          <w:sz w:val="22"/>
          <w:szCs w:val="22"/>
          <w:vertAlign w:val="superscript"/>
        </w:rPr>
        <w:t>1,2</w:t>
      </w:r>
      <w:r w:rsidR="006A40A1">
        <w:rPr>
          <w:rFonts w:ascii="Arial" w:hAnsi="Arial" w:cs="Arial"/>
          <w:sz w:val="22"/>
          <w:szCs w:val="22"/>
        </w:rPr>
        <w:t>;</w:t>
      </w:r>
      <w:r w:rsidR="008C7927" w:rsidRPr="006112E3">
        <w:rPr>
          <w:rFonts w:ascii="Arial" w:hAnsi="Arial" w:cs="Arial"/>
          <w:sz w:val="22"/>
          <w:szCs w:val="22"/>
        </w:rPr>
        <w:t xml:space="preserve"> Maryalice Nocera</w:t>
      </w:r>
      <w:r w:rsidR="002D36C8">
        <w:rPr>
          <w:rFonts w:ascii="Arial" w:hAnsi="Arial" w:cs="Arial"/>
          <w:sz w:val="22"/>
          <w:szCs w:val="22"/>
        </w:rPr>
        <w:t>, RN</w:t>
      </w:r>
      <w:r w:rsidR="00405A17" w:rsidRPr="006112E3">
        <w:rPr>
          <w:rFonts w:ascii="Arial" w:hAnsi="Arial" w:cs="Arial"/>
          <w:sz w:val="22"/>
          <w:szCs w:val="22"/>
          <w:vertAlign w:val="superscript"/>
        </w:rPr>
        <w:t>2</w:t>
      </w:r>
      <w:r w:rsidR="006A40A1">
        <w:rPr>
          <w:rFonts w:ascii="Arial" w:hAnsi="Arial" w:cs="Arial"/>
          <w:sz w:val="22"/>
          <w:szCs w:val="22"/>
        </w:rPr>
        <w:t>;</w:t>
      </w:r>
      <w:r w:rsidR="008C7927" w:rsidRPr="006112E3">
        <w:rPr>
          <w:rFonts w:ascii="Arial" w:hAnsi="Arial" w:cs="Arial"/>
          <w:sz w:val="22"/>
          <w:szCs w:val="22"/>
        </w:rPr>
        <w:t xml:space="preserve"> </w:t>
      </w:r>
      <w:r w:rsidR="00680084" w:rsidRPr="006112E3">
        <w:rPr>
          <w:rFonts w:ascii="Arial" w:hAnsi="Arial" w:cs="Arial"/>
          <w:sz w:val="22"/>
          <w:szCs w:val="22"/>
        </w:rPr>
        <w:t xml:space="preserve">Scott K. </w:t>
      </w:r>
      <w:proofErr w:type="spellStart"/>
      <w:r w:rsidR="00680084" w:rsidRPr="006112E3">
        <w:rPr>
          <w:rFonts w:ascii="Arial" w:hAnsi="Arial" w:cs="Arial"/>
          <w:sz w:val="22"/>
          <w:szCs w:val="22"/>
        </w:rPr>
        <w:t>Proescholdbell</w:t>
      </w:r>
      <w:proofErr w:type="spellEnd"/>
      <w:r w:rsidR="00680084" w:rsidRPr="006112E3">
        <w:rPr>
          <w:rFonts w:ascii="Arial" w:hAnsi="Arial" w:cs="Arial"/>
          <w:sz w:val="22"/>
          <w:szCs w:val="22"/>
        </w:rPr>
        <w:t>,</w:t>
      </w:r>
      <w:r w:rsidR="00680084">
        <w:rPr>
          <w:rFonts w:ascii="Arial" w:hAnsi="Arial" w:cs="Arial"/>
          <w:sz w:val="22"/>
          <w:szCs w:val="22"/>
        </w:rPr>
        <w:t xml:space="preserve"> MPH</w:t>
      </w:r>
      <w:r w:rsidR="00680084" w:rsidRPr="006112E3">
        <w:rPr>
          <w:rFonts w:ascii="Arial" w:hAnsi="Arial" w:cs="Arial"/>
          <w:sz w:val="22"/>
          <w:szCs w:val="22"/>
          <w:vertAlign w:val="superscript"/>
        </w:rPr>
        <w:t>8</w:t>
      </w:r>
      <w:r w:rsidR="00680084">
        <w:rPr>
          <w:rFonts w:ascii="Arial" w:hAnsi="Arial" w:cs="Arial"/>
          <w:sz w:val="22"/>
          <w:szCs w:val="22"/>
        </w:rPr>
        <w:t>;</w:t>
      </w:r>
      <w:r w:rsidR="00680084" w:rsidRPr="006112E3">
        <w:rPr>
          <w:rFonts w:ascii="Arial" w:hAnsi="Arial" w:cs="Arial"/>
          <w:sz w:val="22"/>
          <w:szCs w:val="22"/>
        </w:rPr>
        <w:t xml:space="preserve"> </w:t>
      </w:r>
      <w:r w:rsidR="00AA63AD" w:rsidRPr="006112E3">
        <w:rPr>
          <w:rFonts w:ascii="Arial" w:hAnsi="Arial" w:cs="Arial"/>
          <w:sz w:val="22"/>
          <w:szCs w:val="22"/>
        </w:rPr>
        <w:t>Li-</w:t>
      </w:r>
      <w:proofErr w:type="spellStart"/>
      <w:r w:rsidR="00AA63AD" w:rsidRPr="006112E3">
        <w:rPr>
          <w:rFonts w:ascii="Arial" w:hAnsi="Arial" w:cs="Arial"/>
          <w:sz w:val="22"/>
          <w:szCs w:val="22"/>
        </w:rPr>
        <w:t>Tzy</w:t>
      </w:r>
      <w:proofErr w:type="spellEnd"/>
      <w:r w:rsidR="00AA63AD" w:rsidRPr="006112E3">
        <w:rPr>
          <w:rFonts w:ascii="Arial" w:hAnsi="Arial" w:cs="Arial"/>
          <w:sz w:val="22"/>
          <w:szCs w:val="22"/>
        </w:rPr>
        <w:t xml:space="preserve"> Wu,</w:t>
      </w:r>
      <w:r w:rsidR="00354626">
        <w:rPr>
          <w:rFonts w:ascii="Arial" w:hAnsi="Arial" w:cs="Arial"/>
          <w:sz w:val="22"/>
          <w:szCs w:val="22"/>
        </w:rPr>
        <w:t xml:space="preserve"> PhD</w:t>
      </w:r>
      <w:r w:rsidR="00405A17" w:rsidRPr="006112E3">
        <w:rPr>
          <w:rFonts w:ascii="Arial" w:hAnsi="Arial" w:cs="Arial"/>
          <w:sz w:val="22"/>
          <w:szCs w:val="22"/>
          <w:vertAlign w:val="superscript"/>
        </w:rPr>
        <w:t>3</w:t>
      </w:r>
      <w:r w:rsidR="006A40A1">
        <w:rPr>
          <w:rFonts w:ascii="Arial" w:hAnsi="Arial" w:cs="Arial"/>
          <w:sz w:val="22"/>
          <w:szCs w:val="22"/>
        </w:rPr>
        <w:t>;</w:t>
      </w:r>
      <w:r w:rsidR="00AA63AD" w:rsidRPr="006112E3">
        <w:rPr>
          <w:rFonts w:ascii="Arial" w:hAnsi="Arial" w:cs="Arial"/>
          <w:sz w:val="22"/>
          <w:szCs w:val="22"/>
        </w:rPr>
        <w:t xml:space="preserve"> David A. Edwards,</w:t>
      </w:r>
      <w:r w:rsidR="00354626">
        <w:rPr>
          <w:rFonts w:ascii="Arial" w:hAnsi="Arial" w:cs="Arial"/>
          <w:sz w:val="22"/>
          <w:szCs w:val="22"/>
        </w:rPr>
        <w:t xml:space="preserve"> MD, PhD</w:t>
      </w:r>
      <w:r w:rsidR="00405A17" w:rsidRPr="006112E3">
        <w:rPr>
          <w:rFonts w:ascii="Arial" w:hAnsi="Arial" w:cs="Arial"/>
          <w:sz w:val="22"/>
          <w:szCs w:val="22"/>
          <w:vertAlign w:val="superscript"/>
        </w:rPr>
        <w:t>4</w:t>
      </w:r>
      <w:r w:rsidR="006A40A1">
        <w:rPr>
          <w:rFonts w:ascii="Arial" w:hAnsi="Arial" w:cs="Arial"/>
          <w:sz w:val="22"/>
          <w:szCs w:val="22"/>
        </w:rPr>
        <w:t>;</w:t>
      </w:r>
      <w:r w:rsidR="00ED41F7" w:rsidRPr="006112E3">
        <w:rPr>
          <w:rFonts w:ascii="Arial" w:hAnsi="Arial" w:cs="Arial"/>
          <w:sz w:val="22"/>
          <w:szCs w:val="22"/>
        </w:rPr>
        <w:t xml:space="preserve"> Timothy S. Carey,</w:t>
      </w:r>
      <w:r w:rsidR="00354626">
        <w:rPr>
          <w:rFonts w:ascii="Arial" w:hAnsi="Arial" w:cs="Arial"/>
          <w:sz w:val="22"/>
          <w:szCs w:val="22"/>
        </w:rPr>
        <w:t xml:space="preserve"> MD</w:t>
      </w:r>
      <w:r w:rsidR="00266E15" w:rsidRPr="006112E3">
        <w:rPr>
          <w:rFonts w:ascii="Arial" w:hAnsi="Arial" w:cs="Arial"/>
          <w:sz w:val="22"/>
          <w:szCs w:val="22"/>
          <w:vertAlign w:val="superscript"/>
        </w:rPr>
        <w:t>1,5,6</w:t>
      </w:r>
      <w:r w:rsidR="006A40A1">
        <w:rPr>
          <w:rFonts w:ascii="Arial" w:hAnsi="Arial" w:cs="Arial"/>
          <w:sz w:val="22"/>
          <w:szCs w:val="22"/>
        </w:rPr>
        <w:t>;</w:t>
      </w:r>
      <w:r w:rsidR="00ED41F7" w:rsidRPr="006112E3">
        <w:rPr>
          <w:rFonts w:ascii="Arial" w:hAnsi="Arial" w:cs="Arial"/>
          <w:sz w:val="22"/>
          <w:szCs w:val="22"/>
        </w:rPr>
        <w:t xml:space="preserve"> Paul </w:t>
      </w:r>
      <w:r w:rsidR="00354626">
        <w:rPr>
          <w:rFonts w:ascii="Arial" w:hAnsi="Arial" w:cs="Arial"/>
          <w:sz w:val="22"/>
          <w:szCs w:val="22"/>
        </w:rPr>
        <w:t xml:space="preserve">R. </w:t>
      </w:r>
      <w:proofErr w:type="spellStart"/>
      <w:r w:rsidR="00ED41F7" w:rsidRPr="006112E3">
        <w:rPr>
          <w:rFonts w:ascii="Arial" w:hAnsi="Arial" w:cs="Arial"/>
          <w:sz w:val="22"/>
          <w:szCs w:val="22"/>
        </w:rPr>
        <w:t>Chelminski</w:t>
      </w:r>
      <w:proofErr w:type="spellEnd"/>
      <w:r w:rsidR="00ED41F7" w:rsidRPr="006112E3">
        <w:rPr>
          <w:rFonts w:ascii="Arial" w:hAnsi="Arial" w:cs="Arial"/>
          <w:sz w:val="22"/>
          <w:szCs w:val="22"/>
        </w:rPr>
        <w:t>,</w:t>
      </w:r>
      <w:r w:rsidR="00354626">
        <w:rPr>
          <w:rFonts w:ascii="Arial" w:hAnsi="Arial" w:cs="Arial"/>
          <w:sz w:val="22"/>
          <w:szCs w:val="22"/>
        </w:rPr>
        <w:t xml:space="preserve"> MD</w:t>
      </w:r>
      <w:r w:rsidR="00EA0C89" w:rsidRPr="006112E3">
        <w:rPr>
          <w:rFonts w:ascii="Arial" w:hAnsi="Arial" w:cs="Arial"/>
          <w:sz w:val="22"/>
          <w:szCs w:val="22"/>
          <w:vertAlign w:val="superscript"/>
        </w:rPr>
        <w:t>7</w:t>
      </w:r>
      <w:r w:rsidR="006A40A1">
        <w:rPr>
          <w:rFonts w:ascii="Arial" w:hAnsi="Arial" w:cs="Arial"/>
          <w:sz w:val="22"/>
          <w:szCs w:val="22"/>
        </w:rPr>
        <w:t>;</w:t>
      </w:r>
      <w:r w:rsidR="00AA63AD" w:rsidRPr="006112E3">
        <w:rPr>
          <w:rFonts w:ascii="Arial" w:hAnsi="Arial" w:cs="Arial"/>
          <w:sz w:val="22"/>
          <w:szCs w:val="22"/>
        </w:rPr>
        <w:t xml:space="preserve"> </w:t>
      </w:r>
      <w:r w:rsidR="004B7C68" w:rsidRPr="006112E3">
        <w:rPr>
          <w:rFonts w:ascii="Arial" w:hAnsi="Arial" w:cs="Arial"/>
          <w:sz w:val="22"/>
          <w:szCs w:val="22"/>
        </w:rPr>
        <w:t xml:space="preserve">Juan </w:t>
      </w:r>
      <w:r w:rsidR="004B7C68">
        <w:rPr>
          <w:rFonts w:ascii="Arial" w:hAnsi="Arial" w:cs="Arial"/>
          <w:sz w:val="22"/>
          <w:szCs w:val="22"/>
        </w:rPr>
        <w:t xml:space="preserve">M. </w:t>
      </w:r>
      <w:r w:rsidR="004B7C68" w:rsidRPr="006112E3">
        <w:rPr>
          <w:rFonts w:ascii="Arial" w:hAnsi="Arial" w:cs="Arial"/>
          <w:sz w:val="22"/>
          <w:szCs w:val="22"/>
        </w:rPr>
        <w:t>Hincapie-Castillo,</w:t>
      </w:r>
      <w:r w:rsidR="003F26B6">
        <w:rPr>
          <w:rFonts w:ascii="Arial" w:hAnsi="Arial" w:cs="Arial"/>
          <w:sz w:val="22"/>
          <w:szCs w:val="22"/>
        </w:rPr>
        <w:t xml:space="preserve"> PhD</w:t>
      </w:r>
      <w:r w:rsidR="004B7C68" w:rsidRPr="006112E3">
        <w:rPr>
          <w:rFonts w:ascii="Arial" w:hAnsi="Arial" w:cs="Arial"/>
          <w:sz w:val="22"/>
          <w:szCs w:val="22"/>
          <w:vertAlign w:val="superscript"/>
        </w:rPr>
        <w:t>1</w:t>
      </w:r>
      <w:r w:rsidR="004B7C68">
        <w:rPr>
          <w:rFonts w:ascii="Arial" w:hAnsi="Arial" w:cs="Arial"/>
          <w:sz w:val="22"/>
          <w:szCs w:val="22"/>
          <w:vertAlign w:val="superscript"/>
        </w:rPr>
        <w:t>,2</w:t>
      </w:r>
      <w:r w:rsidR="006A40A1">
        <w:rPr>
          <w:rFonts w:ascii="Arial" w:hAnsi="Arial" w:cs="Arial"/>
          <w:sz w:val="22"/>
          <w:szCs w:val="22"/>
        </w:rPr>
        <w:t>;</w:t>
      </w:r>
      <w:r w:rsidR="004B7C68" w:rsidRPr="006112E3">
        <w:rPr>
          <w:rFonts w:ascii="Arial" w:hAnsi="Arial" w:cs="Arial"/>
          <w:sz w:val="22"/>
          <w:szCs w:val="22"/>
        </w:rPr>
        <w:t xml:space="preserve"> </w:t>
      </w:r>
      <w:proofErr w:type="spellStart"/>
      <w:r w:rsidR="009B3B4B">
        <w:rPr>
          <w:rFonts w:ascii="Arial" w:hAnsi="Arial" w:cs="Arial"/>
          <w:sz w:val="22"/>
          <w:szCs w:val="22"/>
        </w:rPr>
        <w:t>Joacy</w:t>
      </w:r>
      <w:proofErr w:type="spellEnd"/>
      <w:r w:rsidR="009B3B4B">
        <w:rPr>
          <w:rFonts w:ascii="Arial" w:hAnsi="Arial" w:cs="Arial"/>
          <w:sz w:val="22"/>
          <w:szCs w:val="22"/>
        </w:rPr>
        <w:t xml:space="preserve"> </w:t>
      </w:r>
      <w:r w:rsidR="004B7C68">
        <w:rPr>
          <w:rFonts w:ascii="Arial" w:hAnsi="Arial" w:cs="Arial"/>
          <w:sz w:val="22"/>
          <w:szCs w:val="22"/>
        </w:rPr>
        <w:t xml:space="preserve">G. </w:t>
      </w:r>
      <w:r w:rsidR="009B3B4B">
        <w:rPr>
          <w:rFonts w:ascii="Arial" w:hAnsi="Arial" w:cs="Arial"/>
          <w:sz w:val="22"/>
          <w:szCs w:val="22"/>
        </w:rPr>
        <w:t>Mathias,</w:t>
      </w:r>
      <w:r w:rsidR="003F26B6">
        <w:rPr>
          <w:rFonts w:ascii="Arial" w:hAnsi="Arial" w:cs="Arial"/>
          <w:sz w:val="22"/>
          <w:szCs w:val="22"/>
        </w:rPr>
        <w:t xml:space="preserve"> PhD</w:t>
      </w:r>
      <w:r w:rsidR="004B7C68">
        <w:rPr>
          <w:rFonts w:ascii="Arial" w:hAnsi="Arial" w:cs="Arial"/>
          <w:sz w:val="22"/>
          <w:szCs w:val="22"/>
          <w:vertAlign w:val="superscript"/>
        </w:rPr>
        <w:t>9</w:t>
      </w:r>
      <w:r w:rsidR="006A40A1">
        <w:rPr>
          <w:rFonts w:ascii="Arial" w:hAnsi="Arial" w:cs="Arial"/>
          <w:sz w:val="22"/>
          <w:szCs w:val="22"/>
        </w:rPr>
        <w:t>;</w:t>
      </w:r>
      <w:r w:rsidR="009B3B4B">
        <w:rPr>
          <w:rFonts w:ascii="Arial" w:hAnsi="Arial" w:cs="Arial"/>
          <w:sz w:val="22"/>
          <w:szCs w:val="22"/>
        </w:rPr>
        <w:t xml:space="preserve"> </w:t>
      </w:r>
      <w:r w:rsidRPr="006112E3">
        <w:rPr>
          <w:rFonts w:ascii="Arial" w:hAnsi="Arial" w:cs="Arial"/>
          <w:sz w:val="22"/>
          <w:szCs w:val="22"/>
        </w:rPr>
        <w:t xml:space="preserve">Shabbar </w:t>
      </w:r>
      <w:r w:rsidR="00116F37" w:rsidRPr="006112E3">
        <w:rPr>
          <w:rFonts w:ascii="Arial" w:hAnsi="Arial" w:cs="Arial"/>
          <w:sz w:val="22"/>
          <w:szCs w:val="22"/>
        </w:rPr>
        <w:t xml:space="preserve">I. </w:t>
      </w:r>
      <w:r w:rsidRPr="006112E3">
        <w:rPr>
          <w:rFonts w:ascii="Arial" w:hAnsi="Arial" w:cs="Arial"/>
          <w:sz w:val="22"/>
          <w:szCs w:val="22"/>
        </w:rPr>
        <w:t>Ranapurwala</w:t>
      </w:r>
      <w:r w:rsidR="003F26B6">
        <w:rPr>
          <w:rFonts w:ascii="Arial" w:hAnsi="Arial" w:cs="Arial"/>
          <w:sz w:val="22"/>
          <w:szCs w:val="22"/>
        </w:rPr>
        <w:t>, PhD</w:t>
      </w:r>
      <w:r w:rsidR="00405A17" w:rsidRPr="006112E3">
        <w:rPr>
          <w:rFonts w:ascii="Arial" w:hAnsi="Arial" w:cs="Arial"/>
          <w:sz w:val="22"/>
          <w:szCs w:val="22"/>
          <w:vertAlign w:val="superscript"/>
        </w:rPr>
        <w:t>1,2</w:t>
      </w:r>
    </w:p>
    <w:p w14:paraId="3C461C87" w14:textId="77777777" w:rsidR="00AA2E6F" w:rsidRPr="006112E3" w:rsidRDefault="00AA2E6F" w:rsidP="00405A17">
      <w:pPr>
        <w:rPr>
          <w:rFonts w:ascii="Arial" w:hAnsi="Arial" w:cs="Arial"/>
          <w:b/>
          <w:sz w:val="22"/>
          <w:szCs w:val="22"/>
        </w:rPr>
      </w:pPr>
    </w:p>
    <w:p w14:paraId="698CA4DA" w14:textId="77777777" w:rsidR="008A2581" w:rsidRPr="006112E3" w:rsidRDefault="008A2581" w:rsidP="00405A17">
      <w:pPr>
        <w:rPr>
          <w:rFonts w:ascii="Arial" w:hAnsi="Arial" w:cs="Arial"/>
          <w:b/>
          <w:sz w:val="22"/>
          <w:szCs w:val="22"/>
        </w:rPr>
      </w:pPr>
      <w:r w:rsidRPr="006112E3">
        <w:rPr>
          <w:rFonts w:ascii="Arial" w:hAnsi="Arial" w:cs="Arial"/>
          <w:b/>
          <w:sz w:val="22"/>
          <w:szCs w:val="22"/>
        </w:rPr>
        <w:t>Institutional Addresses and Affiliations</w:t>
      </w:r>
    </w:p>
    <w:p w14:paraId="3C441B17" w14:textId="77777777" w:rsidR="003A1F0C" w:rsidRPr="006112E3" w:rsidRDefault="008A2581" w:rsidP="00753B88">
      <w:pPr>
        <w:pStyle w:val="ListParagraph"/>
        <w:numPr>
          <w:ilvl w:val="0"/>
          <w:numId w:val="10"/>
        </w:numPr>
        <w:rPr>
          <w:rFonts w:ascii="Arial" w:hAnsi="Arial" w:cs="Arial"/>
          <w:sz w:val="22"/>
          <w:szCs w:val="22"/>
        </w:rPr>
      </w:pPr>
      <w:r w:rsidRPr="006112E3">
        <w:rPr>
          <w:rFonts w:ascii="Arial" w:hAnsi="Arial" w:cs="Arial"/>
          <w:sz w:val="22"/>
          <w:szCs w:val="22"/>
        </w:rPr>
        <w:t>Department of Epidemiology, Gillings School of Global Public Health, University of North Carolina at Chapel Hill, N</w:t>
      </w:r>
      <w:r w:rsidR="008133EE" w:rsidRPr="006112E3">
        <w:rPr>
          <w:rFonts w:ascii="Arial" w:hAnsi="Arial" w:cs="Arial"/>
          <w:sz w:val="22"/>
          <w:szCs w:val="22"/>
        </w:rPr>
        <w:t>C</w:t>
      </w:r>
    </w:p>
    <w:p w14:paraId="7795FF6D" w14:textId="77777777" w:rsidR="003A1F0C" w:rsidRPr="006112E3" w:rsidRDefault="008133EE" w:rsidP="00405A17">
      <w:pPr>
        <w:pStyle w:val="ListParagraph"/>
        <w:numPr>
          <w:ilvl w:val="0"/>
          <w:numId w:val="10"/>
        </w:numPr>
        <w:rPr>
          <w:rFonts w:ascii="Arial" w:hAnsi="Arial" w:cs="Arial"/>
          <w:sz w:val="22"/>
          <w:szCs w:val="22"/>
        </w:rPr>
      </w:pPr>
      <w:r w:rsidRPr="006112E3">
        <w:rPr>
          <w:rFonts w:ascii="Arial" w:hAnsi="Arial" w:cs="Arial"/>
          <w:sz w:val="22"/>
          <w:szCs w:val="22"/>
        </w:rPr>
        <w:t>Injury Prevention Research Center, University of North Carolina at Chapel Hill, NC</w:t>
      </w:r>
    </w:p>
    <w:p w14:paraId="22F723BE" w14:textId="7F5A4318" w:rsidR="009C15E4" w:rsidRPr="006112E3" w:rsidRDefault="009C15E4" w:rsidP="009C15E4">
      <w:pPr>
        <w:pStyle w:val="ListParagraph"/>
        <w:numPr>
          <w:ilvl w:val="0"/>
          <w:numId w:val="10"/>
        </w:numPr>
        <w:rPr>
          <w:rFonts w:ascii="Arial" w:hAnsi="Arial" w:cs="Arial"/>
          <w:sz w:val="22"/>
          <w:szCs w:val="22"/>
        </w:rPr>
      </w:pPr>
      <w:r w:rsidRPr="006112E3">
        <w:rPr>
          <w:rFonts w:ascii="Arial" w:hAnsi="Arial" w:cs="Arial"/>
          <w:sz w:val="22"/>
          <w:szCs w:val="22"/>
        </w:rPr>
        <w:t xml:space="preserve">Department of </w:t>
      </w:r>
      <w:r w:rsidR="009079BA">
        <w:rPr>
          <w:rFonts w:ascii="Arial" w:hAnsi="Arial" w:cs="Arial"/>
          <w:sz w:val="22"/>
          <w:szCs w:val="22"/>
        </w:rPr>
        <w:t xml:space="preserve">Psychiatry and Behavioral Sciences and Department of </w:t>
      </w:r>
      <w:r w:rsidRPr="006112E3">
        <w:rPr>
          <w:rFonts w:ascii="Arial" w:hAnsi="Arial" w:cs="Arial"/>
          <w:sz w:val="22"/>
          <w:szCs w:val="22"/>
        </w:rPr>
        <w:t>Medicine, School of Medicine, Duke University, Durham, N</w:t>
      </w:r>
      <w:r w:rsidR="00944C2F">
        <w:rPr>
          <w:rFonts w:ascii="Arial" w:hAnsi="Arial" w:cs="Arial"/>
          <w:sz w:val="22"/>
          <w:szCs w:val="22"/>
        </w:rPr>
        <w:t>C</w:t>
      </w:r>
      <w:r w:rsidRPr="006112E3">
        <w:rPr>
          <w:rFonts w:ascii="Arial" w:hAnsi="Arial" w:cs="Arial"/>
          <w:sz w:val="22"/>
          <w:szCs w:val="22"/>
        </w:rPr>
        <w:t>, USA</w:t>
      </w:r>
    </w:p>
    <w:p w14:paraId="6ACD2EEE" w14:textId="477214D6" w:rsidR="003A1F0C" w:rsidRPr="006112E3" w:rsidRDefault="00C233FE" w:rsidP="003A1F0C">
      <w:pPr>
        <w:pStyle w:val="ListParagraph"/>
        <w:numPr>
          <w:ilvl w:val="0"/>
          <w:numId w:val="10"/>
        </w:numPr>
        <w:rPr>
          <w:rFonts w:ascii="Arial" w:hAnsi="Arial" w:cs="Arial"/>
          <w:sz w:val="22"/>
          <w:szCs w:val="22"/>
        </w:rPr>
      </w:pPr>
      <w:r>
        <w:rPr>
          <w:rFonts w:ascii="Arial" w:hAnsi="Arial" w:cs="Arial"/>
          <w:sz w:val="22"/>
          <w:szCs w:val="22"/>
        </w:rPr>
        <w:t>Vanderbilt University Medical C</w:t>
      </w:r>
      <w:r w:rsidR="00944C2F">
        <w:rPr>
          <w:rFonts w:ascii="Arial" w:hAnsi="Arial" w:cs="Arial"/>
          <w:sz w:val="22"/>
          <w:szCs w:val="22"/>
        </w:rPr>
        <w:t>enter, Department of Anesthesiology, Nashville, TN, USA</w:t>
      </w:r>
    </w:p>
    <w:p w14:paraId="56D009D5" w14:textId="524CBE7A" w:rsidR="003A1F0C" w:rsidRPr="006112E3" w:rsidRDefault="003A1F0C" w:rsidP="003A1F0C">
      <w:pPr>
        <w:pStyle w:val="ListParagraph"/>
        <w:numPr>
          <w:ilvl w:val="0"/>
          <w:numId w:val="10"/>
        </w:numPr>
        <w:rPr>
          <w:rFonts w:ascii="Arial" w:hAnsi="Arial" w:cs="Arial"/>
          <w:sz w:val="22"/>
          <w:szCs w:val="22"/>
        </w:rPr>
      </w:pPr>
      <w:r w:rsidRPr="006112E3">
        <w:rPr>
          <w:rFonts w:ascii="Arial" w:hAnsi="Arial" w:cs="Arial"/>
          <w:sz w:val="22"/>
          <w:szCs w:val="22"/>
        </w:rPr>
        <w:t>North Carolina Translational and Clinical Sciences Institute, School of Medicine, University of North Carolina at Chapel Hill, N</w:t>
      </w:r>
      <w:r w:rsidR="00944C2F">
        <w:rPr>
          <w:rFonts w:ascii="Arial" w:hAnsi="Arial" w:cs="Arial"/>
          <w:sz w:val="22"/>
          <w:szCs w:val="22"/>
        </w:rPr>
        <w:t>C</w:t>
      </w:r>
      <w:r w:rsidRPr="006112E3">
        <w:rPr>
          <w:rFonts w:ascii="Arial" w:hAnsi="Arial" w:cs="Arial"/>
          <w:sz w:val="22"/>
          <w:szCs w:val="22"/>
        </w:rPr>
        <w:t>, USA</w:t>
      </w:r>
    </w:p>
    <w:p w14:paraId="588CF774" w14:textId="793B37A3" w:rsidR="009C15E4" w:rsidRPr="006112E3" w:rsidRDefault="003A1F0C" w:rsidP="00944C2F">
      <w:pPr>
        <w:pStyle w:val="ListParagraph"/>
        <w:numPr>
          <w:ilvl w:val="0"/>
          <w:numId w:val="10"/>
        </w:numPr>
        <w:rPr>
          <w:rFonts w:ascii="Arial" w:hAnsi="Arial" w:cs="Arial"/>
          <w:sz w:val="22"/>
          <w:szCs w:val="22"/>
        </w:rPr>
      </w:pPr>
      <w:r w:rsidRPr="006112E3">
        <w:rPr>
          <w:rFonts w:ascii="Arial" w:hAnsi="Arial" w:cs="Arial"/>
          <w:sz w:val="22"/>
          <w:szCs w:val="22"/>
        </w:rPr>
        <w:t>Department of Medicine, School of Medicine, University of North Carolina at Chapel Hill, N</w:t>
      </w:r>
      <w:r w:rsidR="00944C2F">
        <w:rPr>
          <w:rFonts w:ascii="Arial" w:hAnsi="Arial" w:cs="Arial"/>
          <w:sz w:val="22"/>
          <w:szCs w:val="22"/>
        </w:rPr>
        <w:t>C</w:t>
      </w:r>
      <w:r w:rsidR="00EA0C89" w:rsidRPr="006112E3">
        <w:rPr>
          <w:rFonts w:ascii="Arial" w:hAnsi="Arial" w:cs="Arial"/>
          <w:sz w:val="22"/>
          <w:szCs w:val="22"/>
        </w:rPr>
        <w:t>, USA</w:t>
      </w:r>
    </w:p>
    <w:p w14:paraId="593B87DB" w14:textId="77777777" w:rsidR="00E71A97" w:rsidRDefault="00FE39A0" w:rsidP="00405A17">
      <w:pPr>
        <w:pStyle w:val="ListParagraph"/>
        <w:numPr>
          <w:ilvl w:val="0"/>
          <w:numId w:val="10"/>
        </w:numPr>
        <w:rPr>
          <w:rFonts w:ascii="Arial" w:hAnsi="Arial" w:cs="Arial"/>
          <w:sz w:val="22"/>
          <w:szCs w:val="22"/>
        </w:rPr>
      </w:pPr>
      <w:r w:rsidRPr="006112E3">
        <w:rPr>
          <w:rFonts w:ascii="Arial" w:hAnsi="Arial" w:cs="Arial"/>
          <w:sz w:val="22"/>
          <w:szCs w:val="22"/>
        </w:rPr>
        <w:t>Injury and Violence Prevention Branch, Division of Public Health, NC Department of Health and Human Services, Raleigh, NC</w:t>
      </w:r>
    </w:p>
    <w:p w14:paraId="5297B4E7" w14:textId="73F318DF" w:rsidR="004B7C68" w:rsidRPr="004B7C68" w:rsidRDefault="004B7C68" w:rsidP="004B7C68">
      <w:pPr>
        <w:pStyle w:val="ListParagraph"/>
        <w:numPr>
          <w:ilvl w:val="0"/>
          <w:numId w:val="10"/>
        </w:numPr>
        <w:rPr>
          <w:rFonts w:ascii="Arial" w:hAnsi="Arial" w:cs="Arial"/>
          <w:sz w:val="22"/>
          <w:szCs w:val="22"/>
        </w:rPr>
      </w:pPr>
      <w:r>
        <w:rPr>
          <w:rFonts w:ascii="Arial" w:hAnsi="Arial" w:cs="Arial"/>
          <w:sz w:val="22"/>
          <w:szCs w:val="22"/>
        </w:rPr>
        <w:t>Department of Obstetrics and Gynecology, Duke University School of Medicine, Durham, NC</w:t>
      </w:r>
    </w:p>
    <w:p w14:paraId="67A348D9" w14:textId="77777777" w:rsidR="00E71A97" w:rsidRDefault="00E71A97" w:rsidP="00E71A97">
      <w:pPr>
        <w:rPr>
          <w:rFonts w:ascii="Arial" w:hAnsi="Arial" w:cs="Arial"/>
          <w:sz w:val="22"/>
          <w:szCs w:val="22"/>
        </w:rPr>
      </w:pPr>
    </w:p>
    <w:p w14:paraId="7ACB84D3" w14:textId="77777777" w:rsidR="006112E3" w:rsidRPr="00E71A97" w:rsidRDefault="008A2581" w:rsidP="00405A17">
      <w:pPr>
        <w:spacing w:after="100" w:afterAutospacing="1"/>
        <w:contextualSpacing/>
        <w:rPr>
          <w:rFonts w:ascii="Arial" w:hAnsi="Arial" w:cs="Arial"/>
          <w:b/>
          <w:bCs/>
          <w:color w:val="000000"/>
          <w:sz w:val="22"/>
          <w:szCs w:val="22"/>
        </w:rPr>
      </w:pPr>
      <w:r w:rsidRPr="00E71A97">
        <w:rPr>
          <w:rFonts w:ascii="Arial" w:hAnsi="Arial" w:cs="Arial"/>
          <w:b/>
          <w:bCs/>
          <w:color w:val="000000"/>
          <w:sz w:val="22"/>
          <w:szCs w:val="22"/>
        </w:rPr>
        <w:t>Correspond</w:t>
      </w:r>
      <w:r w:rsidR="006112E3" w:rsidRPr="00E71A97">
        <w:rPr>
          <w:rFonts w:ascii="Arial" w:hAnsi="Arial" w:cs="Arial"/>
          <w:b/>
          <w:bCs/>
          <w:color w:val="000000"/>
          <w:sz w:val="22"/>
          <w:szCs w:val="22"/>
        </w:rPr>
        <w:t>ing Author</w:t>
      </w:r>
      <w:r w:rsidRPr="00E71A97">
        <w:rPr>
          <w:rFonts w:ascii="Arial" w:hAnsi="Arial" w:cs="Arial"/>
          <w:b/>
          <w:bCs/>
          <w:color w:val="000000"/>
          <w:sz w:val="22"/>
          <w:szCs w:val="22"/>
        </w:rPr>
        <w:t xml:space="preserve">: </w:t>
      </w:r>
    </w:p>
    <w:p w14:paraId="254E5695" w14:textId="66C05527" w:rsidR="008A2581" w:rsidRPr="00E71A97" w:rsidRDefault="009579AF" w:rsidP="00405A17">
      <w:pPr>
        <w:spacing w:after="100" w:afterAutospacing="1"/>
        <w:contextualSpacing/>
        <w:rPr>
          <w:rFonts w:ascii="Arial" w:hAnsi="Arial" w:cs="Arial"/>
          <w:color w:val="000000"/>
          <w:sz w:val="22"/>
          <w:szCs w:val="22"/>
        </w:rPr>
      </w:pPr>
      <w:r>
        <w:rPr>
          <w:rFonts w:ascii="Arial" w:hAnsi="Arial" w:cs="Arial"/>
          <w:color w:val="000000"/>
          <w:sz w:val="22"/>
          <w:szCs w:val="22"/>
        </w:rPr>
        <w:t>Shabbar I. Ranapurwala</w:t>
      </w:r>
    </w:p>
    <w:p w14:paraId="61CFEE0F" w14:textId="6E1817D6" w:rsidR="008A2581" w:rsidRDefault="005B464B" w:rsidP="00405A17">
      <w:pPr>
        <w:rPr>
          <w:rFonts w:ascii="Arial" w:hAnsi="Arial" w:cs="Arial"/>
          <w:color w:val="000000"/>
          <w:sz w:val="22"/>
          <w:szCs w:val="22"/>
        </w:rPr>
      </w:pPr>
      <w:r w:rsidRPr="006112E3">
        <w:rPr>
          <w:rFonts w:ascii="Arial" w:hAnsi="Arial" w:cs="Arial"/>
          <w:color w:val="000000"/>
          <w:sz w:val="22"/>
          <w:szCs w:val="22"/>
        </w:rPr>
        <w:t>Assistant</w:t>
      </w:r>
      <w:r w:rsidR="009579AF">
        <w:rPr>
          <w:rFonts w:ascii="Arial" w:hAnsi="Arial" w:cs="Arial"/>
          <w:color w:val="000000"/>
          <w:sz w:val="22"/>
          <w:szCs w:val="22"/>
        </w:rPr>
        <w:t xml:space="preserve"> Professor</w:t>
      </w:r>
      <w:r w:rsidR="00E71A97">
        <w:rPr>
          <w:rFonts w:ascii="Arial" w:hAnsi="Arial" w:cs="Arial"/>
          <w:color w:val="000000"/>
          <w:sz w:val="22"/>
          <w:szCs w:val="22"/>
        </w:rPr>
        <w:t xml:space="preserve">, </w:t>
      </w:r>
      <w:r w:rsidRPr="006112E3">
        <w:rPr>
          <w:rFonts w:ascii="Arial" w:hAnsi="Arial" w:cs="Arial"/>
          <w:color w:val="000000"/>
          <w:sz w:val="22"/>
          <w:szCs w:val="22"/>
        </w:rPr>
        <w:t>Epidemiology</w:t>
      </w:r>
      <w:r w:rsidR="00E71A97">
        <w:rPr>
          <w:rFonts w:ascii="Arial" w:hAnsi="Arial" w:cs="Arial"/>
          <w:color w:val="000000"/>
          <w:sz w:val="22"/>
          <w:szCs w:val="22"/>
        </w:rPr>
        <w:t xml:space="preserve">, </w:t>
      </w:r>
      <w:r w:rsidRPr="006112E3">
        <w:rPr>
          <w:rFonts w:ascii="Arial" w:hAnsi="Arial" w:cs="Arial"/>
          <w:color w:val="000000"/>
          <w:sz w:val="22"/>
          <w:szCs w:val="22"/>
        </w:rPr>
        <w:t>University of North Carolina at Chapel Hill</w:t>
      </w:r>
    </w:p>
    <w:p w14:paraId="01D50FCF" w14:textId="2BDE8DDD" w:rsidR="00AB3A9B" w:rsidRDefault="00AB3A9B" w:rsidP="00405A17">
      <w:pPr>
        <w:rPr>
          <w:rFonts w:ascii="Arial" w:hAnsi="Arial" w:cs="Arial"/>
          <w:color w:val="000000"/>
          <w:sz w:val="22"/>
          <w:szCs w:val="22"/>
        </w:rPr>
      </w:pPr>
      <w:r>
        <w:rPr>
          <w:rFonts w:ascii="Arial" w:hAnsi="Arial" w:cs="Arial"/>
          <w:color w:val="000000"/>
          <w:sz w:val="22"/>
          <w:szCs w:val="22"/>
        </w:rPr>
        <w:t>Core Faculty, UNC Injury Prevention Research Center</w:t>
      </w:r>
    </w:p>
    <w:p w14:paraId="758454B6" w14:textId="57182C14" w:rsidR="00E71A97" w:rsidRPr="006112E3" w:rsidRDefault="003E5AE2" w:rsidP="00405A17">
      <w:pPr>
        <w:rPr>
          <w:rFonts w:ascii="Arial" w:hAnsi="Arial" w:cs="Arial"/>
          <w:color w:val="000000"/>
          <w:sz w:val="22"/>
          <w:szCs w:val="22"/>
        </w:rPr>
      </w:pPr>
      <w:hyperlink r:id="rId8" w:history="1">
        <w:r w:rsidR="00AB3A9B" w:rsidRPr="00740933">
          <w:rPr>
            <w:rStyle w:val="Hyperlink"/>
            <w:rFonts w:ascii="Arial" w:hAnsi="Arial" w:cs="Arial"/>
            <w:sz w:val="22"/>
            <w:szCs w:val="22"/>
          </w:rPr>
          <w:t>sirana@email.unc.edu</w:t>
        </w:r>
      </w:hyperlink>
    </w:p>
    <w:p w14:paraId="18BC4736" w14:textId="77777777" w:rsidR="005B464B" w:rsidRPr="006112E3" w:rsidRDefault="005B464B" w:rsidP="00405A17">
      <w:pPr>
        <w:rPr>
          <w:rFonts w:ascii="Arial" w:hAnsi="Arial" w:cs="Arial"/>
          <w:color w:val="000000"/>
          <w:sz w:val="22"/>
          <w:szCs w:val="22"/>
        </w:rPr>
      </w:pPr>
    </w:p>
    <w:p w14:paraId="00EC9B95" w14:textId="2E01B2D7" w:rsidR="008A2581" w:rsidRPr="006112E3" w:rsidRDefault="008A2581" w:rsidP="00405A17">
      <w:pPr>
        <w:rPr>
          <w:rFonts w:ascii="Arial" w:hAnsi="Arial" w:cs="Arial"/>
          <w:sz w:val="22"/>
          <w:szCs w:val="22"/>
        </w:rPr>
      </w:pPr>
      <w:r w:rsidRPr="006112E3">
        <w:rPr>
          <w:rFonts w:ascii="Arial" w:hAnsi="Arial" w:cs="Arial"/>
          <w:b/>
          <w:bCs/>
          <w:sz w:val="22"/>
          <w:szCs w:val="22"/>
          <w:lang w:val="en"/>
        </w:rPr>
        <w:t>Short Running Title</w:t>
      </w:r>
      <w:r w:rsidRPr="006112E3">
        <w:rPr>
          <w:rFonts w:ascii="Arial" w:hAnsi="Arial" w:cs="Arial"/>
          <w:sz w:val="22"/>
          <w:szCs w:val="22"/>
          <w:lang w:val="en"/>
        </w:rPr>
        <w:t xml:space="preserve">: </w:t>
      </w:r>
      <w:r w:rsidR="00FD4835">
        <w:rPr>
          <w:rFonts w:ascii="Arial" w:hAnsi="Arial" w:cs="Arial"/>
          <w:sz w:val="22"/>
          <w:szCs w:val="22"/>
          <w:lang w:val="en"/>
        </w:rPr>
        <w:t>Impact</w:t>
      </w:r>
      <w:r w:rsidRPr="006112E3">
        <w:rPr>
          <w:rFonts w:ascii="Arial" w:hAnsi="Arial" w:cs="Arial"/>
          <w:sz w:val="22"/>
          <w:szCs w:val="22"/>
        </w:rPr>
        <w:t xml:space="preserve"> </w:t>
      </w:r>
      <w:r w:rsidR="005B464B" w:rsidRPr="006112E3">
        <w:rPr>
          <w:rFonts w:ascii="Arial" w:hAnsi="Arial" w:cs="Arial"/>
          <w:sz w:val="22"/>
          <w:szCs w:val="22"/>
        </w:rPr>
        <w:t>o</w:t>
      </w:r>
      <w:r w:rsidR="00FD4835">
        <w:rPr>
          <w:rFonts w:ascii="Arial" w:hAnsi="Arial" w:cs="Arial"/>
          <w:sz w:val="22"/>
          <w:szCs w:val="22"/>
        </w:rPr>
        <w:t>f</w:t>
      </w:r>
      <w:r w:rsidR="005B464B" w:rsidRPr="006112E3">
        <w:rPr>
          <w:rFonts w:ascii="Arial" w:hAnsi="Arial" w:cs="Arial"/>
          <w:sz w:val="22"/>
          <w:szCs w:val="22"/>
        </w:rPr>
        <w:t xml:space="preserve"> </w:t>
      </w:r>
      <w:r w:rsidR="00FD4835">
        <w:rPr>
          <w:rFonts w:ascii="Arial" w:hAnsi="Arial" w:cs="Arial"/>
          <w:sz w:val="22"/>
          <w:szCs w:val="22"/>
        </w:rPr>
        <w:t>o</w:t>
      </w:r>
      <w:r w:rsidR="005B464B" w:rsidRPr="006112E3">
        <w:rPr>
          <w:rFonts w:ascii="Arial" w:hAnsi="Arial" w:cs="Arial"/>
          <w:sz w:val="22"/>
          <w:szCs w:val="22"/>
        </w:rPr>
        <w:t xml:space="preserve">pioid </w:t>
      </w:r>
      <w:r w:rsidR="00FD4835">
        <w:rPr>
          <w:rFonts w:ascii="Arial" w:hAnsi="Arial" w:cs="Arial"/>
          <w:sz w:val="22"/>
          <w:szCs w:val="22"/>
        </w:rPr>
        <w:t>prescribing p</w:t>
      </w:r>
      <w:r w:rsidR="005B464B" w:rsidRPr="006112E3">
        <w:rPr>
          <w:rFonts w:ascii="Arial" w:hAnsi="Arial" w:cs="Arial"/>
          <w:sz w:val="22"/>
          <w:szCs w:val="22"/>
        </w:rPr>
        <w:t>olic</w:t>
      </w:r>
      <w:r w:rsidR="00FD4835">
        <w:rPr>
          <w:rFonts w:ascii="Arial" w:hAnsi="Arial" w:cs="Arial"/>
          <w:sz w:val="22"/>
          <w:szCs w:val="22"/>
        </w:rPr>
        <w:t xml:space="preserve">ies and </w:t>
      </w:r>
      <w:r w:rsidR="00B74531">
        <w:rPr>
          <w:rFonts w:ascii="Arial" w:hAnsi="Arial" w:cs="Arial"/>
          <w:sz w:val="22"/>
          <w:szCs w:val="22"/>
        </w:rPr>
        <w:t xml:space="preserve">racial </w:t>
      </w:r>
      <w:r w:rsidR="006571A8">
        <w:rPr>
          <w:rFonts w:ascii="Arial" w:hAnsi="Arial" w:cs="Arial"/>
          <w:sz w:val="22"/>
          <w:szCs w:val="22"/>
        </w:rPr>
        <w:t>in</w:t>
      </w:r>
      <w:r w:rsidR="00FD4835">
        <w:rPr>
          <w:rFonts w:ascii="Arial" w:hAnsi="Arial" w:cs="Arial"/>
          <w:sz w:val="22"/>
          <w:szCs w:val="22"/>
        </w:rPr>
        <w:t>equit</w:t>
      </w:r>
      <w:r w:rsidR="006571A8">
        <w:rPr>
          <w:rFonts w:ascii="Arial" w:hAnsi="Arial" w:cs="Arial"/>
          <w:sz w:val="22"/>
          <w:szCs w:val="22"/>
        </w:rPr>
        <w:t>ies</w:t>
      </w:r>
    </w:p>
    <w:p w14:paraId="10194659" w14:textId="77777777" w:rsidR="008A2581" w:rsidRPr="006112E3" w:rsidRDefault="008A2581" w:rsidP="00405A17">
      <w:pPr>
        <w:rPr>
          <w:rFonts w:ascii="Arial" w:hAnsi="Arial" w:cs="Arial"/>
          <w:sz w:val="22"/>
          <w:szCs w:val="22"/>
          <w:lang w:val="en"/>
        </w:rPr>
      </w:pPr>
    </w:p>
    <w:p w14:paraId="7D0C0984" w14:textId="13416E70" w:rsidR="008A2581" w:rsidRDefault="008A2581" w:rsidP="00405A17">
      <w:pPr>
        <w:rPr>
          <w:rFonts w:ascii="Arial" w:hAnsi="Arial" w:cs="Arial"/>
          <w:sz w:val="22"/>
          <w:szCs w:val="22"/>
        </w:rPr>
      </w:pPr>
      <w:r w:rsidRPr="006112E3">
        <w:rPr>
          <w:rFonts w:ascii="Arial" w:hAnsi="Arial" w:cs="Arial"/>
          <w:b/>
          <w:sz w:val="22"/>
          <w:szCs w:val="22"/>
        </w:rPr>
        <w:t>Keywords</w:t>
      </w:r>
      <w:r w:rsidRPr="006112E3">
        <w:rPr>
          <w:rFonts w:ascii="Arial" w:hAnsi="Arial" w:cs="Arial"/>
          <w:sz w:val="22"/>
          <w:szCs w:val="22"/>
        </w:rPr>
        <w:t xml:space="preserve">: </w:t>
      </w:r>
      <w:r w:rsidR="005B464B" w:rsidRPr="006112E3">
        <w:rPr>
          <w:rFonts w:ascii="Arial" w:hAnsi="Arial" w:cs="Arial"/>
          <w:sz w:val="22"/>
          <w:szCs w:val="22"/>
        </w:rPr>
        <w:t>opioids</w:t>
      </w:r>
      <w:r w:rsidRPr="006112E3">
        <w:rPr>
          <w:rFonts w:ascii="Arial" w:hAnsi="Arial" w:cs="Arial"/>
          <w:sz w:val="22"/>
          <w:szCs w:val="22"/>
        </w:rPr>
        <w:t xml:space="preserve">, </w:t>
      </w:r>
      <w:r w:rsidR="005B464B" w:rsidRPr="006112E3">
        <w:rPr>
          <w:rFonts w:ascii="Arial" w:hAnsi="Arial" w:cs="Arial"/>
          <w:sz w:val="22"/>
          <w:szCs w:val="22"/>
        </w:rPr>
        <w:t>opioid prescri</w:t>
      </w:r>
      <w:r w:rsidR="007811A5">
        <w:rPr>
          <w:rFonts w:ascii="Arial" w:hAnsi="Arial" w:cs="Arial"/>
          <w:sz w:val="22"/>
          <w:szCs w:val="22"/>
        </w:rPr>
        <w:t xml:space="preserve">bing, </w:t>
      </w:r>
      <w:r w:rsidR="00E73C17">
        <w:rPr>
          <w:rFonts w:ascii="Arial" w:hAnsi="Arial" w:cs="Arial"/>
          <w:sz w:val="22"/>
          <w:szCs w:val="22"/>
        </w:rPr>
        <w:t xml:space="preserve">policies, </w:t>
      </w:r>
    </w:p>
    <w:p w14:paraId="1E925905" w14:textId="77777777" w:rsidR="00A7470F" w:rsidRDefault="00A7470F" w:rsidP="00405A17">
      <w:pPr>
        <w:rPr>
          <w:rFonts w:ascii="Arial" w:hAnsi="Arial" w:cs="Arial"/>
          <w:sz w:val="22"/>
          <w:szCs w:val="22"/>
        </w:rPr>
      </w:pPr>
    </w:p>
    <w:p w14:paraId="623A05A8" w14:textId="4E584CBA" w:rsidR="00A7470F" w:rsidRDefault="00A7470F" w:rsidP="00405A17">
      <w:pPr>
        <w:rPr>
          <w:rFonts w:ascii="Arial" w:hAnsi="Arial" w:cs="Arial"/>
          <w:sz w:val="22"/>
          <w:szCs w:val="22"/>
        </w:rPr>
      </w:pPr>
      <w:r w:rsidRPr="00A7470F">
        <w:rPr>
          <w:rFonts w:ascii="Arial" w:hAnsi="Arial" w:cs="Arial"/>
          <w:b/>
          <w:bCs/>
          <w:sz w:val="22"/>
          <w:szCs w:val="22"/>
        </w:rPr>
        <w:t>Word Count</w:t>
      </w:r>
      <w:r>
        <w:rPr>
          <w:rFonts w:ascii="Arial" w:hAnsi="Arial" w:cs="Arial"/>
          <w:sz w:val="22"/>
          <w:szCs w:val="22"/>
        </w:rPr>
        <w:t>: (</w:t>
      </w:r>
      <w:r w:rsidR="006F55B1">
        <w:rPr>
          <w:rFonts w:ascii="Arial" w:hAnsi="Arial" w:cs="Arial"/>
          <w:sz w:val="22"/>
          <w:szCs w:val="22"/>
        </w:rPr>
        <w:t>2,9</w:t>
      </w:r>
      <w:r w:rsidR="007F655D">
        <w:rPr>
          <w:rFonts w:ascii="Arial" w:hAnsi="Arial" w:cs="Arial"/>
          <w:sz w:val="22"/>
          <w:szCs w:val="22"/>
        </w:rPr>
        <w:t>85</w:t>
      </w:r>
      <w:r>
        <w:rPr>
          <w:rFonts w:ascii="Arial" w:hAnsi="Arial" w:cs="Arial"/>
          <w:sz w:val="22"/>
          <w:szCs w:val="22"/>
        </w:rPr>
        <w:t>/3,000 words)</w:t>
      </w:r>
    </w:p>
    <w:p w14:paraId="34AC860C" w14:textId="124AFF8A" w:rsidR="00A7470F" w:rsidRPr="006112E3" w:rsidRDefault="00A7470F" w:rsidP="00405A17">
      <w:pPr>
        <w:rPr>
          <w:rFonts w:ascii="Arial" w:hAnsi="Arial" w:cs="Arial"/>
          <w:sz w:val="22"/>
          <w:szCs w:val="22"/>
        </w:rPr>
        <w:sectPr w:rsidR="00A7470F" w:rsidRPr="006112E3" w:rsidSect="005B464B">
          <w:pgSz w:w="12240" w:h="15840"/>
          <w:pgMar w:top="1411" w:right="1526" w:bottom="1080" w:left="1526" w:header="1022" w:footer="850" w:gutter="0"/>
          <w:lnNumType w:countBy="1" w:restart="continuous"/>
          <w:cols w:space="720"/>
          <w:docGrid w:type="lines" w:linePitch="326"/>
        </w:sectPr>
      </w:pPr>
    </w:p>
    <w:p w14:paraId="25A14DE5" w14:textId="383600F8" w:rsidR="008A2581" w:rsidRPr="006112E3" w:rsidRDefault="008A2581" w:rsidP="00B22EB8">
      <w:pPr>
        <w:rPr>
          <w:rFonts w:ascii="Arial" w:hAnsi="Arial" w:cs="Arial"/>
          <w:b/>
          <w:bCs/>
          <w:color w:val="000000" w:themeColor="text1"/>
          <w:sz w:val="22"/>
          <w:szCs w:val="22"/>
        </w:rPr>
      </w:pPr>
    </w:p>
    <w:p w14:paraId="75A1A2ED" w14:textId="3BB1FE21" w:rsidR="001F2663" w:rsidRDefault="001F2663">
      <w:pPr>
        <w:rPr>
          <w:rFonts w:ascii="Arial" w:hAnsi="Arial" w:cs="Arial"/>
          <w:b/>
          <w:bCs/>
          <w:color w:val="000000" w:themeColor="text1"/>
          <w:sz w:val="22"/>
          <w:szCs w:val="22"/>
        </w:rPr>
      </w:pPr>
      <w:r>
        <w:rPr>
          <w:rFonts w:ascii="Arial" w:hAnsi="Arial" w:cs="Arial"/>
          <w:b/>
          <w:bCs/>
          <w:color w:val="000000" w:themeColor="text1"/>
          <w:sz w:val="22"/>
          <w:szCs w:val="22"/>
        </w:rPr>
        <w:t>ABSTRACT</w:t>
      </w:r>
      <w:r w:rsidR="00F80157">
        <w:rPr>
          <w:rFonts w:ascii="Arial" w:hAnsi="Arial" w:cs="Arial"/>
          <w:b/>
          <w:bCs/>
          <w:color w:val="000000" w:themeColor="text1"/>
          <w:sz w:val="22"/>
          <w:szCs w:val="22"/>
        </w:rPr>
        <w:t xml:space="preserve"> (</w:t>
      </w:r>
      <w:r w:rsidR="005B2B48">
        <w:rPr>
          <w:rFonts w:ascii="Arial" w:hAnsi="Arial" w:cs="Arial"/>
          <w:b/>
          <w:bCs/>
          <w:color w:val="000000" w:themeColor="text1"/>
          <w:sz w:val="22"/>
          <w:szCs w:val="22"/>
        </w:rPr>
        <w:t>249</w:t>
      </w:r>
      <w:r w:rsidR="00F80157">
        <w:rPr>
          <w:rFonts w:ascii="Arial" w:hAnsi="Arial" w:cs="Arial"/>
          <w:b/>
          <w:bCs/>
          <w:color w:val="000000" w:themeColor="text1"/>
          <w:sz w:val="22"/>
          <w:szCs w:val="22"/>
        </w:rPr>
        <w:t>/</w:t>
      </w:r>
      <w:r w:rsidR="005B2B48">
        <w:rPr>
          <w:rFonts w:ascii="Arial" w:hAnsi="Arial" w:cs="Arial"/>
          <w:b/>
          <w:bCs/>
          <w:color w:val="000000" w:themeColor="text1"/>
          <w:sz w:val="22"/>
          <w:szCs w:val="22"/>
        </w:rPr>
        <w:t>2</w:t>
      </w:r>
      <w:r w:rsidR="00F80157">
        <w:rPr>
          <w:rFonts w:ascii="Arial" w:hAnsi="Arial" w:cs="Arial"/>
          <w:b/>
          <w:bCs/>
          <w:color w:val="000000" w:themeColor="text1"/>
          <w:sz w:val="22"/>
          <w:szCs w:val="22"/>
        </w:rPr>
        <w:t>50 words)</w:t>
      </w:r>
    </w:p>
    <w:p w14:paraId="31AA4BF5" w14:textId="77777777" w:rsidR="00F80157" w:rsidRDefault="00F80157">
      <w:pPr>
        <w:rPr>
          <w:rFonts w:ascii="Arial" w:hAnsi="Arial" w:cs="Arial"/>
          <w:b/>
          <w:bCs/>
          <w:color w:val="000000" w:themeColor="text1"/>
          <w:sz w:val="22"/>
          <w:szCs w:val="22"/>
        </w:rPr>
      </w:pPr>
    </w:p>
    <w:p w14:paraId="52FEE5BA" w14:textId="310FA2D0" w:rsidR="00F80157" w:rsidRPr="00CA35D2" w:rsidRDefault="00CA35D2">
      <w:pPr>
        <w:rPr>
          <w:rFonts w:ascii="Arial" w:hAnsi="Arial" w:cs="Arial"/>
          <w:color w:val="000000" w:themeColor="text1"/>
          <w:sz w:val="22"/>
          <w:szCs w:val="22"/>
        </w:rPr>
      </w:pPr>
      <w:r>
        <w:rPr>
          <w:rFonts w:ascii="Arial" w:hAnsi="Arial" w:cs="Arial"/>
          <w:b/>
          <w:bCs/>
          <w:color w:val="000000" w:themeColor="text1"/>
          <w:sz w:val="22"/>
          <w:szCs w:val="22"/>
        </w:rPr>
        <w:t>Purpose</w:t>
      </w:r>
      <w:r w:rsidR="00F80157">
        <w:rPr>
          <w:rFonts w:ascii="Arial" w:hAnsi="Arial" w:cs="Arial"/>
          <w:b/>
          <w:bCs/>
          <w:color w:val="000000" w:themeColor="text1"/>
          <w:sz w:val="22"/>
          <w:szCs w:val="22"/>
        </w:rPr>
        <w:t xml:space="preserve">: </w:t>
      </w:r>
      <w:r w:rsidR="00C37367">
        <w:rPr>
          <w:rFonts w:ascii="Arial" w:hAnsi="Arial" w:cs="Arial"/>
          <w:color w:val="000000" w:themeColor="text1"/>
          <w:sz w:val="22"/>
          <w:szCs w:val="22"/>
        </w:rPr>
        <w:t>Impact of p</w:t>
      </w:r>
      <w:r w:rsidR="00D77A6A">
        <w:rPr>
          <w:rFonts w:ascii="Arial" w:hAnsi="Arial" w:cs="Arial"/>
          <w:color w:val="000000" w:themeColor="text1"/>
          <w:sz w:val="22"/>
          <w:szCs w:val="22"/>
        </w:rPr>
        <w:t xml:space="preserve">olicies limiting </w:t>
      </w:r>
      <w:r w:rsidR="003234F9">
        <w:rPr>
          <w:rFonts w:ascii="Arial" w:hAnsi="Arial" w:cs="Arial"/>
          <w:color w:val="000000" w:themeColor="text1"/>
          <w:sz w:val="22"/>
          <w:szCs w:val="22"/>
        </w:rPr>
        <w:t>o</w:t>
      </w:r>
      <w:r w:rsidR="00654780">
        <w:rPr>
          <w:rFonts w:ascii="Arial" w:hAnsi="Arial" w:cs="Arial"/>
          <w:color w:val="000000" w:themeColor="text1"/>
          <w:sz w:val="22"/>
          <w:szCs w:val="22"/>
        </w:rPr>
        <w:t xml:space="preserve">pioid prescribing </w:t>
      </w:r>
      <w:r w:rsidR="009E1BB4">
        <w:rPr>
          <w:rFonts w:ascii="Arial" w:hAnsi="Arial" w:cs="Arial"/>
          <w:color w:val="000000" w:themeColor="text1"/>
          <w:sz w:val="22"/>
          <w:szCs w:val="22"/>
        </w:rPr>
        <w:t xml:space="preserve">for acute and post-surgical pain among </w:t>
      </w:r>
      <w:r w:rsidR="00780383">
        <w:rPr>
          <w:rFonts w:ascii="Arial" w:hAnsi="Arial" w:cs="Arial"/>
          <w:color w:val="000000" w:themeColor="text1"/>
          <w:sz w:val="22"/>
          <w:szCs w:val="22"/>
        </w:rPr>
        <w:t>racially minoritized populations</w:t>
      </w:r>
      <w:r w:rsidR="000C660B">
        <w:rPr>
          <w:rFonts w:ascii="Arial" w:hAnsi="Arial" w:cs="Arial"/>
          <w:color w:val="000000" w:themeColor="text1"/>
          <w:sz w:val="22"/>
          <w:szCs w:val="22"/>
        </w:rPr>
        <w:t xml:space="preserve"> are </w:t>
      </w:r>
      <w:r w:rsidR="000D5E95">
        <w:rPr>
          <w:rFonts w:ascii="Arial" w:hAnsi="Arial" w:cs="Arial"/>
          <w:color w:val="000000" w:themeColor="text1"/>
          <w:sz w:val="22"/>
          <w:szCs w:val="22"/>
        </w:rPr>
        <w:t>not well understood</w:t>
      </w:r>
      <w:r w:rsidR="00780383">
        <w:rPr>
          <w:rFonts w:ascii="Arial" w:hAnsi="Arial" w:cs="Arial"/>
          <w:color w:val="000000" w:themeColor="text1"/>
          <w:sz w:val="22"/>
          <w:szCs w:val="22"/>
        </w:rPr>
        <w:t>.</w:t>
      </w:r>
      <w:r>
        <w:rPr>
          <w:rFonts w:ascii="Arial" w:hAnsi="Arial" w:cs="Arial"/>
          <w:color w:val="000000" w:themeColor="text1"/>
          <w:sz w:val="22"/>
          <w:szCs w:val="22"/>
        </w:rPr>
        <w:t xml:space="preserve"> </w:t>
      </w:r>
      <w:r w:rsidR="00C06B0C">
        <w:rPr>
          <w:rFonts w:ascii="Arial" w:hAnsi="Arial" w:cs="Arial"/>
          <w:color w:val="000000" w:themeColor="text1"/>
          <w:sz w:val="22"/>
          <w:szCs w:val="22"/>
        </w:rPr>
        <w:t>W</w:t>
      </w:r>
      <w:r>
        <w:rPr>
          <w:rFonts w:ascii="Arial" w:hAnsi="Arial" w:cs="Arial"/>
          <w:color w:val="000000" w:themeColor="text1"/>
          <w:sz w:val="22"/>
          <w:szCs w:val="22"/>
        </w:rPr>
        <w:t>e e</w:t>
      </w:r>
      <w:r w:rsidR="008B494A">
        <w:rPr>
          <w:rFonts w:ascii="Arial" w:hAnsi="Arial" w:cs="Arial"/>
          <w:bCs/>
          <w:color w:val="000000" w:themeColor="text1"/>
          <w:sz w:val="22"/>
          <w:szCs w:val="22"/>
        </w:rPr>
        <w:t>valuate</w:t>
      </w:r>
      <w:r>
        <w:rPr>
          <w:rFonts w:ascii="Arial" w:hAnsi="Arial" w:cs="Arial"/>
          <w:bCs/>
          <w:color w:val="000000" w:themeColor="text1"/>
          <w:sz w:val="22"/>
          <w:szCs w:val="22"/>
        </w:rPr>
        <w:t>d</w:t>
      </w:r>
      <w:r w:rsidR="00F14C62">
        <w:rPr>
          <w:rFonts w:ascii="Arial" w:hAnsi="Arial" w:cs="Arial"/>
          <w:color w:val="000000" w:themeColor="text1"/>
          <w:sz w:val="22"/>
          <w:szCs w:val="22"/>
        </w:rPr>
        <w:t xml:space="preserve"> </w:t>
      </w:r>
      <w:r w:rsidR="00601D07">
        <w:rPr>
          <w:rFonts w:ascii="Arial" w:hAnsi="Arial" w:cs="Arial"/>
          <w:color w:val="000000" w:themeColor="text1"/>
          <w:sz w:val="22"/>
          <w:szCs w:val="22"/>
        </w:rPr>
        <w:t xml:space="preserve">the </w:t>
      </w:r>
      <w:r w:rsidR="00F80157" w:rsidRPr="006112E3">
        <w:rPr>
          <w:rFonts w:ascii="Arial" w:hAnsi="Arial" w:cs="Arial"/>
          <w:color w:val="000000" w:themeColor="text1"/>
          <w:sz w:val="22"/>
          <w:szCs w:val="22"/>
        </w:rPr>
        <w:t xml:space="preserve">impact of two </w:t>
      </w:r>
      <w:r w:rsidR="005B2B48">
        <w:rPr>
          <w:rFonts w:ascii="Arial" w:hAnsi="Arial" w:cs="Arial"/>
          <w:color w:val="000000" w:themeColor="text1"/>
          <w:sz w:val="22"/>
          <w:szCs w:val="22"/>
        </w:rPr>
        <w:t xml:space="preserve">North Carolina (NC) </w:t>
      </w:r>
      <w:r w:rsidR="00F80157" w:rsidRPr="006112E3">
        <w:rPr>
          <w:rFonts w:ascii="Arial" w:hAnsi="Arial" w:cs="Arial"/>
          <w:color w:val="000000" w:themeColor="text1"/>
          <w:sz w:val="22"/>
          <w:szCs w:val="22"/>
        </w:rPr>
        <w:t xml:space="preserve">policies </w:t>
      </w:r>
      <w:r w:rsidR="00182429">
        <w:rPr>
          <w:rFonts w:ascii="Arial" w:hAnsi="Arial" w:cs="Arial"/>
          <w:color w:val="000000" w:themeColor="text1"/>
          <w:sz w:val="22"/>
          <w:szCs w:val="22"/>
        </w:rPr>
        <w:t xml:space="preserve">on </w:t>
      </w:r>
      <w:r w:rsidR="00BA0FB0">
        <w:rPr>
          <w:rFonts w:ascii="Arial" w:hAnsi="Arial" w:cs="Arial"/>
          <w:color w:val="000000" w:themeColor="text1"/>
          <w:sz w:val="22"/>
          <w:szCs w:val="22"/>
        </w:rPr>
        <w:t xml:space="preserve">outpatient </w:t>
      </w:r>
      <w:r w:rsidR="00182429">
        <w:rPr>
          <w:rFonts w:ascii="Arial" w:hAnsi="Arial" w:cs="Arial"/>
          <w:color w:val="000000" w:themeColor="text1"/>
          <w:sz w:val="22"/>
          <w:szCs w:val="22"/>
        </w:rPr>
        <w:t>opioid prescribing among injury and surg</w:t>
      </w:r>
      <w:r w:rsidR="00D927FC">
        <w:rPr>
          <w:rFonts w:ascii="Arial" w:hAnsi="Arial" w:cs="Arial"/>
          <w:color w:val="000000" w:themeColor="text1"/>
          <w:sz w:val="22"/>
          <w:szCs w:val="22"/>
        </w:rPr>
        <w:t xml:space="preserve">ical </w:t>
      </w:r>
      <w:r w:rsidR="00182429">
        <w:rPr>
          <w:rFonts w:ascii="Arial" w:hAnsi="Arial" w:cs="Arial"/>
          <w:color w:val="000000" w:themeColor="text1"/>
          <w:sz w:val="22"/>
          <w:szCs w:val="22"/>
        </w:rPr>
        <w:t>patients</w:t>
      </w:r>
      <w:r w:rsidR="00651130">
        <w:rPr>
          <w:rFonts w:ascii="Arial" w:hAnsi="Arial" w:cs="Arial"/>
          <w:color w:val="000000" w:themeColor="text1"/>
          <w:sz w:val="22"/>
          <w:szCs w:val="22"/>
        </w:rPr>
        <w:t xml:space="preserve"> by race</w:t>
      </w:r>
      <w:r w:rsidR="00545F00">
        <w:rPr>
          <w:rFonts w:ascii="Arial" w:hAnsi="Arial" w:cs="Arial"/>
          <w:color w:val="000000" w:themeColor="text1"/>
          <w:sz w:val="22"/>
          <w:szCs w:val="22"/>
        </w:rPr>
        <w:t xml:space="preserve">, </w:t>
      </w:r>
      <w:r w:rsidR="00651130">
        <w:rPr>
          <w:rFonts w:ascii="Arial" w:hAnsi="Arial" w:cs="Arial"/>
          <w:color w:val="000000" w:themeColor="text1"/>
          <w:sz w:val="22"/>
          <w:szCs w:val="22"/>
        </w:rPr>
        <w:t>ethnicity</w:t>
      </w:r>
      <w:r w:rsidR="00545F00">
        <w:rPr>
          <w:rFonts w:ascii="Arial" w:hAnsi="Arial" w:cs="Arial"/>
          <w:color w:val="000000" w:themeColor="text1"/>
          <w:sz w:val="22"/>
          <w:szCs w:val="22"/>
        </w:rPr>
        <w:t>, age</w:t>
      </w:r>
      <w:r w:rsidR="009E1BB4">
        <w:rPr>
          <w:rFonts w:ascii="Arial" w:hAnsi="Arial" w:cs="Arial"/>
          <w:color w:val="000000" w:themeColor="text1"/>
          <w:sz w:val="22"/>
          <w:szCs w:val="22"/>
        </w:rPr>
        <w:t>,</w:t>
      </w:r>
      <w:r w:rsidR="00545F00">
        <w:rPr>
          <w:rFonts w:ascii="Arial" w:hAnsi="Arial" w:cs="Arial"/>
          <w:color w:val="000000" w:themeColor="text1"/>
          <w:sz w:val="22"/>
          <w:szCs w:val="22"/>
        </w:rPr>
        <w:t xml:space="preserve"> and sex</w:t>
      </w:r>
      <w:r w:rsidR="00651130">
        <w:rPr>
          <w:rFonts w:ascii="Arial" w:hAnsi="Arial" w:cs="Arial"/>
          <w:color w:val="000000" w:themeColor="text1"/>
          <w:sz w:val="22"/>
          <w:szCs w:val="22"/>
        </w:rPr>
        <w:t>.</w:t>
      </w:r>
    </w:p>
    <w:p w14:paraId="20D78916" w14:textId="74C14391" w:rsidR="00F80157" w:rsidRPr="00F80157" w:rsidRDefault="00CA35D2" w:rsidP="00DA4E3D">
      <w:pPr>
        <w:rPr>
          <w:rFonts w:ascii="Arial" w:hAnsi="Arial" w:cs="Arial"/>
          <w:bCs/>
          <w:color w:val="000000" w:themeColor="text1"/>
          <w:sz w:val="22"/>
          <w:szCs w:val="22"/>
        </w:rPr>
      </w:pPr>
      <w:r>
        <w:rPr>
          <w:rFonts w:ascii="Arial" w:hAnsi="Arial" w:cs="Arial"/>
          <w:b/>
          <w:bCs/>
          <w:color w:val="000000" w:themeColor="text1"/>
          <w:sz w:val="22"/>
          <w:szCs w:val="22"/>
        </w:rPr>
        <w:t xml:space="preserve">Methods: </w:t>
      </w:r>
      <w:r>
        <w:rPr>
          <w:rFonts w:ascii="Arial" w:hAnsi="Arial" w:cs="Arial"/>
          <w:color w:val="000000" w:themeColor="text1"/>
          <w:sz w:val="22"/>
          <w:szCs w:val="22"/>
        </w:rPr>
        <w:t>We conducte</w:t>
      </w:r>
      <w:r w:rsidR="004E4B8E">
        <w:rPr>
          <w:rFonts w:ascii="Arial" w:hAnsi="Arial" w:cs="Arial"/>
          <w:color w:val="000000" w:themeColor="text1"/>
          <w:sz w:val="22"/>
          <w:szCs w:val="22"/>
        </w:rPr>
        <w:t>d</w:t>
      </w:r>
      <w:r>
        <w:rPr>
          <w:rFonts w:ascii="Arial" w:hAnsi="Arial" w:cs="Arial"/>
          <w:color w:val="000000" w:themeColor="text1"/>
          <w:sz w:val="22"/>
          <w:szCs w:val="22"/>
        </w:rPr>
        <w:t xml:space="preserve"> c</w:t>
      </w:r>
      <w:r w:rsidR="004B6224">
        <w:rPr>
          <w:rFonts w:ascii="Arial" w:hAnsi="Arial" w:cs="Arial"/>
          <w:bCs/>
          <w:color w:val="000000" w:themeColor="text1"/>
          <w:sz w:val="22"/>
          <w:szCs w:val="22"/>
        </w:rPr>
        <w:t>ontrolled and single series</w:t>
      </w:r>
      <w:r w:rsidR="00F80157" w:rsidRPr="006112E3">
        <w:rPr>
          <w:rFonts w:ascii="Arial" w:hAnsi="Arial" w:cs="Arial"/>
          <w:bCs/>
          <w:color w:val="000000" w:themeColor="text1"/>
          <w:sz w:val="22"/>
          <w:szCs w:val="22"/>
        </w:rPr>
        <w:t xml:space="preserve"> interrupted time series</w:t>
      </w:r>
      <w:r w:rsidR="004E4B8E">
        <w:rPr>
          <w:rFonts w:ascii="Arial" w:hAnsi="Arial" w:cs="Arial"/>
          <w:bCs/>
          <w:color w:val="000000" w:themeColor="text1"/>
          <w:sz w:val="22"/>
          <w:szCs w:val="22"/>
        </w:rPr>
        <w:t xml:space="preserve"> using electronic health data from t</w:t>
      </w:r>
      <w:r w:rsidR="00F80157" w:rsidRPr="006112E3">
        <w:rPr>
          <w:rFonts w:ascii="Arial" w:hAnsi="Arial" w:cs="Arial"/>
          <w:bCs/>
          <w:color w:val="000000" w:themeColor="text1"/>
          <w:sz w:val="22"/>
          <w:szCs w:val="22"/>
        </w:rPr>
        <w:t>wo integrated healthcare systems</w:t>
      </w:r>
      <w:r w:rsidR="008B494A">
        <w:rPr>
          <w:rFonts w:ascii="Arial" w:hAnsi="Arial" w:cs="Arial"/>
          <w:bCs/>
          <w:color w:val="000000" w:themeColor="text1"/>
          <w:sz w:val="22"/>
          <w:szCs w:val="22"/>
        </w:rPr>
        <w:t xml:space="preserve"> in N</w:t>
      </w:r>
      <w:r w:rsidR="009E1BB4">
        <w:rPr>
          <w:rFonts w:ascii="Arial" w:hAnsi="Arial" w:cs="Arial"/>
          <w:bCs/>
          <w:color w:val="000000" w:themeColor="text1"/>
          <w:sz w:val="22"/>
          <w:szCs w:val="22"/>
        </w:rPr>
        <w:t>C</w:t>
      </w:r>
      <w:r w:rsidR="004E4B8E">
        <w:rPr>
          <w:rFonts w:ascii="Arial" w:hAnsi="Arial" w:cs="Arial"/>
          <w:bCs/>
          <w:color w:val="000000" w:themeColor="text1"/>
          <w:sz w:val="22"/>
          <w:szCs w:val="22"/>
        </w:rPr>
        <w:t xml:space="preserve">, </w:t>
      </w:r>
      <w:r w:rsidR="000F0431">
        <w:rPr>
          <w:rFonts w:ascii="Arial" w:hAnsi="Arial" w:cs="Arial"/>
          <w:color w:val="000000" w:themeColor="text1"/>
          <w:sz w:val="22"/>
          <w:szCs w:val="22"/>
        </w:rPr>
        <w:t xml:space="preserve">among </w:t>
      </w:r>
      <w:r w:rsidR="00493769">
        <w:rPr>
          <w:rFonts w:ascii="Arial" w:hAnsi="Arial" w:cs="Arial"/>
          <w:bCs/>
          <w:color w:val="000000" w:themeColor="text1"/>
          <w:sz w:val="22"/>
          <w:szCs w:val="22"/>
        </w:rPr>
        <w:t>&gt;</w:t>
      </w:r>
      <w:r w:rsidR="00F80157" w:rsidRPr="006112E3">
        <w:rPr>
          <w:rFonts w:ascii="Arial" w:hAnsi="Arial" w:cs="Arial"/>
          <w:bCs/>
          <w:color w:val="000000" w:themeColor="text1"/>
          <w:sz w:val="22"/>
          <w:szCs w:val="22"/>
        </w:rPr>
        <w:t>11 years</w:t>
      </w:r>
      <w:r w:rsidR="00BA0FB0">
        <w:rPr>
          <w:rFonts w:ascii="Arial" w:hAnsi="Arial" w:cs="Arial"/>
          <w:bCs/>
          <w:color w:val="000000" w:themeColor="text1"/>
          <w:sz w:val="22"/>
          <w:szCs w:val="22"/>
        </w:rPr>
        <w:t>-old</w:t>
      </w:r>
      <w:r w:rsidR="000F0431">
        <w:rPr>
          <w:rFonts w:ascii="Arial" w:hAnsi="Arial" w:cs="Arial"/>
          <w:bCs/>
          <w:color w:val="000000" w:themeColor="text1"/>
          <w:sz w:val="22"/>
          <w:szCs w:val="22"/>
        </w:rPr>
        <w:t xml:space="preserve"> patients having</w:t>
      </w:r>
      <w:r w:rsidR="00F80157" w:rsidRPr="006112E3">
        <w:rPr>
          <w:rFonts w:ascii="Arial" w:hAnsi="Arial" w:cs="Arial"/>
          <w:bCs/>
          <w:color w:val="000000" w:themeColor="text1"/>
          <w:sz w:val="22"/>
          <w:szCs w:val="22"/>
        </w:rPr>
        <w:t xml:space="preserve"> </w:t>
      </w:r>
      <w:r w:rsidR="00D345DB">
        <w:rPr>
          <w:rFonts w:ascii="Arial" w:hAnsi="Arial" w:cs="Arial"/>
          <w:bCs/>
          <w:color w:val="000000" w:themeColor="text1"/>
          <w:sz w:val="22"/>
          <w:szCs w:val="22"/>
        </w:rPr>
        <w:t xml:space="preserve">acute </w:t>
      </w:r>
      <w:r w:rsidR="00F80157" w:rsidRPr="006112E3">
        <w:rPr>
          <w:rFonts w:ascii="Arial" w:hAnsi="Arial" w:cs="Arial"/>
          <w:bCs/>
          <w:color w:val="000000" w:themeColor="text1"/>
          <w:sz w:val="22"/>
          <w:szCs w:val="22"/>
        </w:rPr>
        <w:t xml:space="preserve">injuries </w:t>
      </w:r>
      <w:r w:rsidR="00663D68">
        <w:rPr>
          <w:rFonts w:ascii="Arial" w:hAnsi="Arial" w:cs="Arial"/>
          <w:bCs/>
          <w:color w:val="000000" w:themeColor="text1"/>
          <w:sz w:val="22"/>
          <w:szCs w:val="22"/>
        </w:rPr>
        <w:t>and surgery</w:t>
      </w:r>
      <w:r w:rsidR="00F80157" w:rsidRPr="006112E3">
        <w:rPr>
          <w:rFonts w:ascii="Arial" w:hAnsi="Arial" w:cs="Arial"/>
          <w:bCs/>
          <w:color w:val="000000" w:themeColor="text1"/>
          <w:sz w:val="22"/>
          <w:szCs w:val="22"/>
        </w:rPr>
        <w:t xml:space="preserve"> </w:t>
      </w:r>
      <w:r w:rsidR="000F0431">
        <w:rPr>
          <w:rFonts w:ascii="Arial" w:hAnsi="Arial" w:cs="Arial"/>
          <w:bCs/>
          <w:color w:val="000000" w:themeColor="text1"/>
          <w:sz w:val="22"/>
          <w:szCs w:val="22"/>
        </w:rPr>
        <w:t>between</w:t>
      </w:r>
      <w:r w:rsidR="000D5E95">
        <w:rPr>
          <w:rFonts w:ascii="Arial" w:hAnsi="Arial" w:cs="Arial"/>
          <w:bCs/>
          <w:color w:val="000000" w:themeColor="text1"/>
          <w:sz w:val="22"/>
          <w:szCs w:val="22"/>
        </w:rPr>
        <w:t xml:space="preserve"> </w:t>
      </w:r>
      <w:r w:rsidR="004C7CBC" w:rsidRPr="006112E3">
        <w:rPr>
          <w:rFonts w:ascii="Arial" w:hAnsi="Arial" w:cs="Arial"/>
          <w:bCs/>
          <w:color w:val="000000" w:themeColor="text1"/>
          <w:sz w:val="22"/>
          <w:szCs w:val="22"/>
        </w:rPr>
        <w:t>April 2014 to December 2019</w:t>
      </w:r>
      <w:r w:rsidR="000D5E95">
        <w:rPr>
          <w:rFonts w:ascii="Arial" w:hAnsi="Arial" w:cs="Arial"/>
          <w:bCs/>
          <w:color w:val="000000" w:themeColor="text1"/>
          <w:sz w:val="22"/>
          <w:szCs w:val="22"/>
        </w:rPr>
        <w:t>.</w:t>
      </w:r>
      <w:r w:rsidR="00F862F3">
        <w:rPr>
          <w:rFonts w:ascii="Arial" w:hAnsi="Arial" w:cs="Arial"/>
          <w:bCs/>
          <w:color w:val="000000" w:themeColor="text1"/>
          <w:sz w:val="22"/>
          <w:szCs w:val="22"/>
        </w:rPr>
        <w:t xml:space="preserve"> </w:t>
      </w:r>
      <w:r w:rsidR="000737F5" w:rsidRPr="000737F5">
        <w:rPr>
          <w:rFonts w:ascii="Arial" w:hAnsi="Arial" w:cs="Arial"/>
          <w:bCs/>
          <w:color w:val="000000" w:themeColor="text1"/>
          <w:sz w:val="22"/>
          <w:szCs w:val="22"/>
        </w:rPr>
        <w:t xml:space="preserve">The policy interventions </w:t>
      </w:r>
      <w:r w:rsidR="00A82FB7" w:rsidRPr="000737F5">
        <w:rPr>
          <w:rFonts w:ascii="Arial" w:hAnsi="Arial" w:cs="Arial"/>
          <w:bCs/>
          <w:color w:val="000000" w:themeColor="text1"/>
          <w:sz w:val="22"/>
          <w:szCs w:val="22"/>
        </w:rPr>
        <w:t>were</w:t>
      </w:r>
      <w:r w:rsidR="000737F5" w:rsidRPr="000737F5">
        <w:rPr>
          <w:rFonts w:ascii="Arial" w:hAnsi="Arial" w:cs="Arial"/>
          <w:bCs/>
          <w:color w:val="000000" w:themeColor="text1"/>
          <w:sz w:val="22"/>
          <w:szCs w:val="22"/>
        </w:rPr>
        <w:t xml:space="preserve"> safe opioid prescribing investigative initiative (SOPI, May 2016) and NC law </w:t>
      </w:r>
      <w:r w:rsidR="00210B00">
        <w:rPr>
          <w:rFonts w:ascii="Arial" w:hAnsi="Arial" w:cs="Arial"/>
          <w:bCs/>
          <w:color w:val="000000" w:themeColor="text1"/>
          <w:sz w:val="22"/>
          <w:szCs w:val="22"/>
        </w:rPr>
        <w:t>limiting</w:t>
      </w:r>
      <w:r w:rsidR="000737F5" w:rsidRPr="000737F5">
        <w:rPr>
          <w:rFonts w:ascii="Arial" w:hAnsi="Arial" w:cs="Arial"/>
          <w:bCs/>
          <w:color w:val="000000" w:themeColor="text1"/>
          <w:sz w:val="22"/>
          <w:szCs w:val="22"/>
        </w:rPr>
        <w:t xml:space="preserve"> opioid days’ supply (STOP Act, January 2018).</w:t>
      </w:r>
      <w:r w:rsidR="000737F5">
        <w:rPr>
          <w:rFonts w:ascii="Arial" w:hAnsi="Arial" w:cs="Arial"/>
          <w:bCs/>
          <w:color w:val="000000" w:themeColor="text1"/>
          <w:sz w:val="22"/>
          <w:szCs w:val="22"/>
        </w:rPr>
        <w:t xml:space="preserve"> </w:t>
      </w:r>
      <w:r w:rsidR="00DA4E3D">
        <w:rPr>
          <w:rFonts w:ascii="Arial" w:hAnsi="Arial" w:cs="Arial"/>
          <w:color w:val="000000" w:themeColor="text1"/>
          <w:sz w:val="22"/>
          <w:szCs w:val="22"/>
        </w:rPr>
        <w:t xml:space="preserve">Outcomes included, </w:t>
      </w:r>
      <w:r w:rsidR="00DA4E3D" w:rsidRPr="00DA4E3D">
        <w:rPr>
          <w:rFonts w:ascii="Arial" w:hAnsi="Arial" w:cs="Arial"/>
          <w:color w:val="000000" w:themeColor="text1"/>
          <w:sz w:val="22"/>
          <w:szCs w:val="22"/>
        </w:rPr>
        <w:t>p</w:t>
      </w:r>
      <w:r w:rsidR="00F37E7C" w:rsidRPr="006112E3">
        <w:rPr>
          <w:rFonts w:ascii="Arial" w:hAnsi="Arial" w:cs="Arial"/>
          <w:bCs/>
          <w:color w:val="000000" w:themeColor="text1"/>
          <w:sz w:val="22"/>
          <w:szCs w:val="22"/>
        </w:rPr>
        <w:t>roportion of patients</w:t>
      </w:r>
      <w:r w:rsidR="00F37E7C">
        <w:rPr>
          <w:rFonts w:ascii="Arial" w:hAnsi="Arial" w:cs="Arial"/>
          <w:color w:val="000000" w:themeColor="text1"/>
          <w:sz w:val="22"/>
          <w:szCs w:val="22"/>
        </w:rPr>
        <w:t xml:space="preserve"> receiving </w:t>
      </w:r>
      <w:r w:rsidR="00BA0FB0" w:rsidRPr="008B494A">
        <w:rPr>
          <w:rFonts w:ascii="Arial" w:hAnsi="Arial" w:cs="Arial"/>
          <w:color w:val="000000" w:themeColor="text1"/>
          <w:sz w:val="22"/>
          <w:szCs w:val="22"/>
        </w:rPr>
        <w:t xml:space="preserve">index opioid </w:t>
      </w:r>
      <w:r w:rsidR="00AB3D9C">
        <w:rPr>
          <w:rFonts w:ascii="Arial" w:hAnsi="Arial" w:cs="Arial"/>
          <w:color w:val="000000" w:themeColor="text1"/>
          <w:sz w:val="22"/>
          <w:szCs w:val="22"/>
        </w:rPr>
        <w:t>p</w:t>
      </w:r>
      <w:r w:rsidR="00BA0FB0" w:rsidRPr="008B494A">
        <w:rPr>
          <w:rFonts w:ascii="Arial" w:hAnsi="Arial" w:cs="Arial"/>
          <w:color w:val="000000" w:themeColor="text1"/>
          <w:sz w:val="22"/>
          <w:szCs w:val="22"/>
        </w:rPr>
        <w:t xml:space="preserve">rescription </w:t>
      </w:r>
      <w:r w:rsidR="00F17253">
        <w:rPr>
          <w:rFonts w:ascii="Arial" w:hAnsi="Arial" w:cs="Arial"/>
          <w:color w:val="000000" w:themeColor="text1"/>
          <w:sz w:val="22"/>
          <w:szCs w:val="22"/>
        </w:rPr>
        <w:t xml:space="preserve">after </w:t>
      </w:r>
      <w:r w:rsidR="0056505E" w:rsidRPr="008B494A">
        <w:rPr>
          <w:rFonts w:ascii="Arial" w:hAnsi="Arial" w:cs="Arial"/>
          <w:color w:val="000000" w:themeColor="text1"/>
          <w:sz w:val="22"/>
          <w:szCs w:val="22"/>
        </w:rPr>
        <w:t>surgery or injury</w:t>
      </w:r>
      <w:r w:rsidR="00F17253">
        <w:rPr>
          <w:rFonts w:ascii="Arial" w:hAnsi="Arial" w:cs="Arial"/>
          <w:color w:val="000000" w:themeColor="text1"/>
          <w:sz w:val="22"/>
          <w:szCs w:val="22"/>
        </w:rPr>
        <w:t xml:space="preserve"> event</w:t>
      </w:r>
      <w:r w:rsidR="00DA4E3D">
        <w:rPr>
          <w:rFonts w:ascii="Arial" w:hAnsi="Arial" w:cs="Arial"/>
          <w:color w:val="000000" w:themeColor="text1"/>
          <w:sz w:val="22"/>
          <w:szCs w:val="22"/>
        </w:rPr>
        <w:t xml:space="preserve">, </w:t>
      </w:r>
      <w:r w:rsidR="00F17253">
        <w:rPr>
          <w:rFonts w:ascii="Arial" w:hAnsi="Arial" w:cs="Arial"/>
          <w:color w:val="000000" w:themeColor="text1"/>
          <w:sz w:val="22"/>
          <w:szCs w:val="22"/>
        </w:rPr>
        <w:t>r</w:t>
      </w:r>
      <w:r w:rsidR="0056505E" w:rsidRPr="00CE6A08">
        <w:rPr>
          <w:rFonts w:ascii="Arial" w:hAnsi="Arial" w:cs="Arial"/>
          <w:color w:val="000000" w:themeColor="text1"/>
          <w:sz w:val="22"/>
          <w:szCs w:val="22"/>
        </w:rPr>
        <w:t xml:space="preserve">eceipt of </w:t>
      </w:r>
      <w:r w:rsidR="00B411C2" w:rsidRPr="00CE6A08">
        <w:rPr>
          <w:rFonts w:ascii="Arial" w:hAnsi="Arial" w:cs="Arial"/>
          <w:color w:val="000000" w:themeColor="text1"/>
          <w:sz w:val="22"/>
          <w:szCs w:val="22"/>
        </w:rPr>
        <w:t>subsequent opioid prescriptions</w:t>
      </w:r>
      <w:r w:rsidR="00DA4E3D">
        <w:rPr>
          <w:rFonts w:ascii="Arial" w:hAnsi="Arial" w:cs="Arial"/>
          <w:color w:val="000000" w:themeColor="text1"/>
          <w:sz w:val="22"/>
          <w:szCs w:val="22"/>
        </w:rPr>
        <w:t>,</w:t>
      </w:r>
      <w:r w:rsidR="008B494A">
        <w:rPr>
          <w:rFonts w:ascii="Arial" w:hAnsi="Arial" w:cs="Arial"/>
          <w:color w:val="000000" w:themeColor="text1"/>
          <w:sz w:val="22"/>
          <w:szCs w:val="22"/>
        </w:rPr>
        <w:t xml:space="preserve"> </w:t>
      </w:r>
      <w:r w:rsidR="00F80157" w:rsidRPr="006112E3">
        <w:rPr>
          <w:rFonts w:ascii="Arial" w:hAnsi="Arial" w:cs="Arial"/>
          <w:bCs/>
          <w:color w:val="000000" w:themeColor="text1"/>
          <w:sz w:val="22"/>
          <w:szCs w:val="22"/>
        </w:rPr>
        <w:t>days’ supply</w:t>
      </w:r>
      <w:r w:rsidR="00DA4E3D">
        <w:rPr>
          <w:rFonts w:ascii="Arial" w:hAnsi="Arial" w:cs="Arial"/>
          <w:bCs/>
          <w:color w:val="000000" w:themeColor="text1"/>
          <w:sz w:val="22"/>
          <w:szCs w:val="22"/>
        </w:rPr>
        <w:t>,</w:t>
      </w:r>
      <w:r w:rsidR="00F80157" w:rsidRPr="006112E3">
        <w:rPr>
          <w:rFonts w:ascii="Arial" w:hAnsi="Arial" w:cs="Arial"/>
          <w:bCs/>
          <w:color w:val="000000" w:themeColor="text1"/>
          <w:sz w:val="22"/>
          <w:szCs w:val="22"/>
        </w:rPr>
        <w:t xml:space="preserve"> </w:t>
      </w:r>
      <w:r w:rsidR="00A77311">
        <w:rPr>
          <w:rFonts w:ascii="Arial" w:hAnsi="Arial" w:cs="Arial"/>
          <w:bCs/>
          <w:color w:val="000000" w:themeColor="text1"/>
          <w:sz w:val="22"/>
          <w:szCs w:val="22"/>
        </w:rPr>
        <w:t xml:space="preserve">and </w:t>
      </w:r>
      <w:r w:rsidR="00BA0FB0">
        <w:rPr>
          <w:rFonts w:ascii="Arial" w:hAnsi="Arial" w:cs="Arial"/>
          <w:bCs/>
          <w:color w:val="000000" w:themeColor="text1"/>
          <w:sz w:val="22"/>
          <w:szCs w:val="22"/>
        </w:rPr>
        <w:t xml:space="preserve">milligrams of </w:t>
      </w:r>
      <w:r w:rsidR="00F80157" w:rsidRPr="006112E3">
        <w:rPr>
          <w:rFonts w:ascii="Arial" w:hAnsi="Arial" w:cs="Arial"/>
          <w:bCs/>
          <w:color w:val="000000" w:themeColor="text1"/>
          <w:sz w:val="22"/>
          <w:szCs w:val="22"/>
        </w:rPr>
        <w:t>morphine equivalent</w:t>
      </w:r>
      <w:r w:rsidR="00BA0FB0">
        <w:rPr>
          <w:rFonts w:ascii="Arial" w:hAnsi="Arial" w:cs="Arial"/>
          <w:bCs/>
          <w:color w:val="000000" w:themeColor="text1"/>
          <w:sz w:val="22"/>
          <w:szCs w:val="22"/>
        </w:rPr>
        <w:t>s</w:t>
      </w:r>
      <w:r w:rsidR="00F80157" w:rsidRPr="006112E3">
        <w:rPr>
          <w:rFonts w:ascii="Arial" w:hAnsi="Arial" w:cs="Arial"/>
          <w:bCs/>
          <w:color w:val="000000" w:themeColor="text1"/>
          <w:sz w:val="22"/>
          <w:szCs w:val="22"/>
        </w:rPr>
        <w:t xml:space="preserve"> (MME)</w:t>
      </w:r>
      <w:r w:rsidR="009F3B9C">
        <w:rPr>
          <w:rFonts w:ascii="Arial" w:hAnsi="Arial" w:cs="Arial"/>
          <w:bCs/>
          <w:color w:val="000000" w:themeColor="text1"/>
          <w:sz w:val="22"/>
          <w:szCs w:val="22"/>
        </w:rPr>
        <w:t>.</w:t>
      </w:r>
    </w:p>
    <w:p w14:paraId="7FAF3F95" w14:textId="24B6F7C0" w:rsidR="00F80157" w:rsidRPr="006112E3" w:rsidRDefault="00F80157" w:rsidP="00F80157">
      <w:pPr>
        <w:rPr>
          <w:rFonts w:ascii="Arial" w:hAnsi="Arial" w:cs="Arial"/>
          <w:bCs/>
          <w:color w:val="000000" w:themeColor="text1"/>
          <w:sz w:val="22"/>
          <w:szCs w:val="22"/>
        </w:rPr>
      </w:pPr>
      <w:r>
        <w:rPr>
          <w:rFonts w:ascii="Arial" w:hAnsi="Arial" w:cs="Arial"/>
          <w:b/>
          <w:bCs/>
          <w:color w:val="000000" w:themeColor="text1"/>
          <w:sz w:val="22"/>
          <w:szCs w:val="22"/>
        </w:rPr>
        <w:t xml:space="preserve">Results: </w:t>
      </w:r>
      <w:r w:rsidR="003B647D">
        <w:rPr>
          <w:rFonts w:ascii="Arial" w:hAnsi="Arial" w:cs="Arial"/>
          <w:color w:val="000000" w:themeColor="text1"/>
          <w:sz w:val="22"/>
          <w:szCs w:val="22"/>
        </w:rPr>
        <w:t xml:space="preserve">Of </w:t>
      </w:r>
      <w:r w:rsidR="00585F76">
        <w:rPr>
          <w:rFonts w:ascii="Arial" w:hAnsi="Arial" w:cs="Arial"/>
          <w:color w:val="000000" w:themeColor="text1"/>
          <w:sz w:val="22"/>
          <w:szCs w:val="22"/>
        </w:rPr>
        <w:t xml:space="preserve">the </w:t>
      </w:r>
      <w:r w:rsidRPr="006112E3">
        <w:rPr>
          <w:rFonts w:ascii="Arial" w:hAnsi="Arial" w:cs="Arial"/>
          <w:color w:val="000000" w:themeColor="text1"/>
          <w:sz w:val="22"/>
          <w:szCs w:val="22"/>
        </w:rPr>
        <w:t xml:space="preserve">621,997 surgical and 864,061 </w:t>
      </w:r>
      <w:r w:rsidR="00217D51">
        <w:rPr>
          <w:rFonts w:ascii="Arial" w:hAnsi="Arial" w:cs="Arial"/>
          <w:color w:val="000000" w:themeColor="text1"/>
          <w:sz w:val="22"/>
          <w:szCs w:val="22"/>
        </w:rPr>
        <w:t xml:space="preserve">injury </w:t>
      </w:r>
      <w:r w:rsidRPr="006112E3">
        <w:rPr>
          <w:rFonts w:ascii="Arial" w:hAnsi="Arial" w:cs="Arial"/>
          <w:color w:val="000000" w:themeColor="text1"/>
          <w:sz w:val="22"/>
          <w:szCs w:val="22"/>
        </w:rPr>
        <w:t>patients</w:t>
      </w:r>
      <w:r w:rsidR="00585F76">
        <w:rPr>
          <w:rFonts w:ascii="Arial" w:hAnsi="Arial" w:cs="Arial"/>
          <w:color w:val="000000" w:themeColor="text1"/>
          <w:sz w:val="22"/>
          <w:szCs w:val="22"/>
        </w:rPr>
        <w:t>,</w:t>
      </w:r>
      <w:r w:rsidRPr="006112E3">
        <w:rPr>
          <w:rFonts w:ascii="Arial" w:hAnsi="Arial" w:cs="Arial"/>
          <w:color w:val="000000" w:themeColor="text1"/>
          <w:sz w:val="22"/>
          <w:szCs w:val="22"/>
        </w:rPr>
        <w:t xml:space="preserve"> 69.4% </w:t>
      </w:r>
      <w:r w:rsidR="00585F76">
        <w:rPr>
          <w:rFonts w:ascii="Arial" w:hAnsi="Arial" w:cs="Arial"/>
          <w:color w:val="000000" w:themeColor="text1"/>
          <w:sz w:val="22"/>
          <w:szCs w:val="22"/>
        </w:rPr>
        <w:t xml:space="preserve">and </w:t>
      </w:r>
      <w:r w:rsidRPr="006112E3">
        <w:rPr>
          <w:rFonts w:ascii="Arial" w:hAnsi="Arial" w:cs="Arial"/>
          <w:color w:val="000000" w:themeColor="text1"/>
          <w:sz w:val="22"/>
          <w:szCs w:val="22"/>
        </w:rPr>
        <w:t>19.7%</w:t>
      </w:r>
      <w:r w:rsidR="009316DB">
        <w:rPr>
          <w:rFonts w:ascii="Arial" w:hAnsi="Arial" w:cs="Arial"/>
          <w:color w:val="000000" w:themeColor="text1"/>
          <w:sz w:val="22"/>
          <w:szCs w:val="22"/>
        </w:rPr>
        <w:t>, respectively,</w:t>
      </w:r>
      <w:r w:rsidRPr="006112E3">
        <w:rPr>
          <w:rFonts w:ascii="Arial" w:hAnsi="Arial" w:cs="Arial"/>
          <w:color w:val="000000" w:themeColor="text1"/>
          <w:sz w:val="22"/>
          <w:szCs w:val="22"/>
        </w:rPr>
        <w:t xml:space="preserve"> received an index opioid </w:t>
      </w:r>
      <w:r w:rsidR="0094569C">
        <w:rPr>
          <w:rFonts w:ascii="Arial" w:hAnsi="Arial" w:cs="Arial"/>
          <w:color w:val="000000" w:themeColor="text1"/>
          <w:sz w:val="22"/>
          <w:szCs w:val="22"/>
        </w:rPr>
        <w:t xml:space="preserve">analgesic </w:t>
      </w:r>
      <w:r w:rsidRPr="006112E3">
        <w:rPr>
          <w:rFonts w:ascii="Arial" w:hAnsi="Arial" w:cs="Arial"/>
          <w:color w:val="000000" w:themeColor="text1"/>
          <w:sz w:val="22"/>
          <w:szCs w:val="22"/>
        </w:rPr>
        <w:t xml:space="preserve">prescription. </w:t>
      </w:r>
      <w:r w:rsidR="000221D1">
        <w:rPr>
          <w:rFonts w:ascii="Arial" w:hAnsi="Arial" w:cs="Arial"/>
          <w:color w:val="000000" w:themeColor="text1"/>
          <w:sz w:val="22"/>
          <w:szCs w:val="22"/>
        </w:rPr>
        <w:t>There were</w:t>
      </w:r>
      <w:r w:rsidRPr="006112E3">
        <w:rPr>
          <w:rFonts w:ascii="Arial" w:hAnsi="Arial" w:cs="Arial"/>
          <w:bCs/>
          <w:color w:val="000000" w:themeColor="text1"/>
          <w:sz w:val="22"/>
          <w:szCs w:val="22"/>
        </w:rPr>
        <w:t xml:space="preserve"> </w:t>
      </w:r>
      <w:r w:rsidR="008C29CF">
        <w:rPr>
          <w:rFonts w:ascii="Arial" w:hAnsi="Arial" w:cs="Arial"/>
          <w:bCs/>
          <w:color w:val="000000" w:themeColor="text1"/>
          <w:sz w:val="22"/>
          <w:szCs w:val="22"/>
        </w:rPr>
        <w:t>sustained declines in index opioid prescription among post-surgical patients</w:t>
      </w:r>
      <w:r w:rsidRPr="006112E3">
        <w:rPr>
          <w:rFonts w:ascii="Arial" w:hAnsi="Arial" w:cs="Arial"/>
          <w:bCs/>
          <w:color w:val="000000" w:themeColor="text1"/>
          <w:sz w:val="22"/>
          <w:szCs w:val="22"/>
        </w:rPr>
        <w:t xml:space="preserve"> </w:t>
      </w:r>
      <w:r w:rsidR="000221D1">
        <w:rPr>
          <w:rFonts w:ascii="Arial" w:hAnsi="Arial" w:cs="Arial"/>
          <w:bCs/>
          <w:color w:val="000000" w:themeColor="text1"/>
          <w:sz w:val="22"/>
          <w:szCs w:val="22"/>
        </w:rPr>
        <w:t xml:space="preserve">after </w:t>
      </w:r>
      <w:r w:rsidR="00493769">
        <w:rPr>
          <w:rFonts w:ascii="Arial" w:hAnsi="Arial" w:cs="Arial"/>
          <w:bCs/>
          <w:color w:val="000000" w:themeColor="text1"/>
          <w:sz w:val="22"/>
          <w:szCs w:val="22"/>
        </w:rPr>
        <w:t>SOPI</w:t>
      </w:r>
      <w:r w:rsidR="000221D1">
        <w:rPr>
          <w:rFonts w:ascii="Arial" w:hAnsi="Arial" w:cs="Arial"/>
          <w:bCs/>
          <w:color w:val="000000" w:themeColor="text1"/>
          <w:sz w:val="22"/>
          <w:szCs w:val="22"/>
        </w:rPr>
        <w:t xml:space="preserve"> [</w:t>
      </w:r>
      <w:r w:rsidR="008C29CF">
        <w:rPr>
          <w:rFonts w:ascii="Arial" w:hAnsi="Arial" w:cs="Arial"/>
          <w:bCs/>
          <w:color w:val="000000" w:themeColor="text1"/>
          <w:sz w:val="22"/>
          <w:szCs w:val="22"/>
        </w:rPr>
        <w:t xml:space="preserve">-2.7% per year </w:t>
      </w:r>
      <w:r w:rsidR="000221D1">
        <w:rPr>
          <w:rFonts w:ascii="Arial" w:hAnsi="Arial" w:cs="Arial"/>
          <w:bCs/>
          <w:color w:val="000000" w:themeColor="text1"/>
          <w:sz w:val="22"/>
          <w:szCs w:val="22"/>
        </w:rPr>
        <w:t>(</w:t>
      </w:r>
      <w:r w:rsidR="008C29CF">
        <w:rPr>
          <w:rFonts w:ascii="Arial" w:hAnsi="Arial" w:cs="Arial"/>
          <w:bCs/>
          <w:color w:val="000000" w:themeColor="text1"/>
          <w:sz w:val="22"/>
          <w:szCs w:val="22"/>
        </w:rPr>
        <w:t>-4.6, -0.9</w:t>
      </w:r>
      <w:r w:rsidR="000221D1">
        <w:rPr>
          <w:rFonts w:ascii="Arial" w:hAnsi="Arial" w:cs="Arial"/>
          <w:bCs/>
          <w:color w:val="000000" w:themeColor="text1"/>
          <w:sz w:val="22"/>
          <w:szCs w:val="22"/>
        </w:rPr>
        <w:t>)</w:t>
      </w:r>
      <w:r w:rsidR="008C29CF">
        <w:rPr>
          <w:rFonts w:ascii="Arial" w:hAnsi="Arial" w:cs="Arial"/>
          <w:bCs/>
          <w:color w:val="000000" w:themeColor="text1"/>
          <w:sz w:val="22"/>
          <w:szCs w:val="22"/>
        </w:rPr>
        <w:t>]</w:t>
      </w:r>
      <w:r w:rsidR="00D2002B">
        <w:rPr>
          <w:rFonts w:ascii="Arial" w:hAnsi="Arial" w:cs="Arial"/>
          <w:bCs/>
          <w:color w:val="000000" w:themeColor="text1"/>
          <w:sz w:val="22"/>
          <w:szCs w:val="22"/>
        </w:rPr>
        <w:t xml:space="preserve"> and </w:t>
      </w:r>
      <w:r w:rsidR="00493769">
        <w:rPr>
          <w:rFonts w:ascii="Arial" w:hAnsi="Arial" w:cs="Arial"/>
          <w:bCs/>
          <w:color w:val="000000" w:themeColor="text1"/>
          <w:sz w:val="22"/>
          <w:szCs w:val="22"/>
        </w:rPr>
        <w:t>STOP</w:t>
      </w:r>
      <w:r w:rsidR="00D2002B">
        <w:rPr>
          <w:rFonts w:ascii="Arial" w:hAnsi="Arial" w:cs="Arial"/>
          <w:bCs/>
          <w:color w:val="000000" w:themeColor="text1"/>
          <w:sz w:val="22"/>
          <w:szCs w:val="22"/>
        </w:rPr>
        <w:t xml:space="preserve"> act [</w:t>
      </w:r>
      <w:r w:rsidR="008C29CF">
        <w:rPr>
          <w:rFonts w:ascii="Arial" w:hAnsi="Arial" w:cs="Arial"/>
          <w:bCs/>
          <w:color w:val="000000" w:themeColor="text1"/>
          <w:sz w:val="22"/>
          <w:szCs w:val="22"/>
        </w:rPr>
        <w:t>-4.1</w:t>
      </w:r>
      <w:r w:rsidR="00545F00">
        <w:rPr>
          <w:rFonts w:ascii="Arial" w:hAnsi="Arial" w:cs="Arial"/>
          <w:bCs/>
          <w:color w:val="000000" w:themeColor="text1"/>
          <w:sz w:val="22"/>
          <w:szCs w:val="22"/>
        </w:rPr>
        <w:t>%</w:t>
      </w:r>
      <w:r w:rsidR="00493769">
        <w:rPr>
          <w:rFonts w:ascii="Arial" w:hAnsi="Arial" w:cs="Arial"/>
          <w:bCs/>
          <w:color w:val="000000" w:themeColor="text1"/>
          <w:sz w:val="22"/>
          <w:szCs w:val="22"/>
        </w:rPr>
        <w:t xml:space="preserve"> </w:t>
      </w:r>
      <w:r w:rsidR="00D2002B">
        <w:rPr>
          <w:rFonts w:ascii="Arial" w:hAnsi="Arial" w:cs="Arial"/>
          <w:bCs/>
          <w:color w:val="000000" w:themeColor="text1"/>
          <w:sz w:val="22"/>
          <w:szCs w:val="22"/>
        </w:rPr>
        <w:t>(</w:t>
      </w:r>
      <w:r w:rsidR="008C29CF">
        <w:rPr>
          <w:rFonts w:ascii="Arial" w:hAnsi="Arial" w:cs="Arial"/>
          <w:bCs/>
          <w:color w:val="000000" w:themeColor="text1"/>
          <w:sz w:val="22"/>
          <w:szCs w:val="22"/>
        </w:rPr>
        <w:t>-5.9, -2.2</w:t>
      </w:r>
      <w:r w:rsidR="00493769">
        <w:rPr>
          <w:rFonts w:ascii="Arial" w:hAnsi="Arial" w:cs="Arial"/>
          <w:bCs/>
          <w:color w:val="000000" w:themeColor="text1"/>
          <w:sz w:val="22"/>
          <w:szCs w:val="22"/>
        </w:rPr>
        <w:t>)</w:t>
      </w:r>
      <w:r w:rsidR="00D2002B">
        <w:rPr>
          <w:rFonts w:ascii="Arial" w:hAnsi="Arial" w:cs="Arial"/>
          <w:bCs/>
          <w:color w:val="000000" w:themeColor="text1"/>
          <w:sz w:val="22"/>
          <w:szCs w:val="22"/>
        </w:rPr>
        <w:t>]</w:t>
      </w:r>
      <w:r w:rsidR="008C29CF">
        <w:rPr>
          <w:rFonts w:ascii="Arial" w:hAnsi="Arial" w:cs="Arial"/>
          <w:bCs/>
          <w:color w:val="000000" w:themeColor="text1"/>
          <w:sz w:val="22"/>
          <w:szCs w:val="22"/>
        </w:rPr>
        <w:t>, but no change among injury patients.</w:t>
      </w:r>
      <w:r w:rsidRPr="006112E3">
        <w:rPr>
          <w:rFonts w:ascii="Arial" w:hAnsi="Arial" w:cs="Arial"/>
          <w:bCs/>
          <w:color w:val="000000" w:themeColor="text1"/>
          <w:sz w:val="22"/>
          <w:szCs w:val="22"/>
        </w:rPr>
        <w:t xml:space="preserve"> </w:t>
      </w:r>
      <w:r w:rsidR="009E1BB4">
        <w:rPr>
          <w:rFonts w:ascii="Arial" w:hAnsi="Arial" w:cs="Arial"/>
          <w:bCs/>
          <w:color w:val="000000" w:themeColor="text1"/>
          <w:sz w:val="22"/>
          <w:szCs w:val="22"/>
        </w:rPr>
        <w:t xml:space="preserve">Policy-related opioid prescribing </w:t>
      </w:r>
      <w:r w:rsidR="007F453E">
        <w:rPr>
          <w:rFonts w:ascii="Arial" w:hAnsi="Arial" w:cs="Arial"/>
          <w:bCs/>
          <w:color w:val="000000" w:themeColor="text1"/>
          <w:sz w:val="22"/>
          <w:szCs w:val="22"/>
        </w:rPr>
        <w:t xml:space="preserve">declines </w:t>
      </w:r>
      <w:r w:rsidR="009E1BB4">
        <w:rPr>
          <w:rFonts w:ascii="Arial" w:hAnsi="Arial" w:cs="Arial"/>
          <w:bCs/>
          <w:color w:val="000000" w:themeColor="text1"/>
          <w:sz w:val="22"/>
          <w:szCs w:val="22"/>
        </w:rPr>
        <w:t xml:space="preserve">were larger among black, native American, and Hispanic </w:t>
      </w:r>
      <w:r w:rsidR="00923B40">
        <w:rPr>
          <w:rFonts w:ascii="Arial" w:hAnsi="Arial" w:cs="Arial"/>
          <w:bCs/>
          <w:color w:val="000000" w:themeColor="text1"/>
          <w:sz w:val="22"/>
          <w:szCs w:val="22"/>
        </w:rPr>
        <w:t xml:space="preserve">post-surgical </w:t>
      </w:r>
      <w:r w:rsidR="009E1BB4">
        <w:rPr>
          <w:rFonts w:ascii="Arial" w:hAnsi="Arial" w:cs="Arial"/>
          <w:bCs/>
          <w:color w:val="000000" w:themeColor="text1"/>
          <w:sz w:val="22"/>
          <w:szCs w:val="22"/>
        </w:rPr>
        <w:t>patients than white</w:t>
      </w:r>
      <w:r w:rsidR="007F453E">
        <w:rPr>
          <w:rFonts w:ascii="Arial" w:hAnsi="Arial" w:cs="Arial"/>
          <w:bCs/>
          <w:color w:val="000000" w:themeColor="text1"/>
          <w:sz w:val="22"/>
          <w:szCs w:val="22"/>
        </w:rPr>
        <w:t>s</w:t>
      </w:r>
      <w:r w:rsidR="00031E16">
        <w:rPr>
          <w:rFonts w:ascii="Arial" w:hAnsi="Arial" w:cs="Arial"/>
          <w:bCs/>
          <w:color w:val="000000" w:themeColor="text1"/>
          <w:sz w:val="22"/>
          <w:szCs w:val="22"/>
        </w:rPr>
        <w:t xml:space="preserve"> and Asian</w:t>
      </w:r>
      <w:r w:rsidR="007F453E">
        <w:rPr>
          <w:rFonts w:ascii="Arial" w:hAnsi="Arial" w:cs="Arial"/>
          <w:bCs/>
          <w:color w:val="000000" w:themeColor="text1"/>
          <w:sz w:val="22"/>
          <w:szCs w:val="22"/>
        </w:rPr>
        <w:t>s</w:t>
      </w:r>
      <w:r w:rsidR="009E1BB4">
        <w:rPr>
          <w:rFonts w:ascii="Arial" w:hAnsi="Arial" w:cs="Arial"/>
          <w:bCs/>
          <w:color w:val="000000" w:themeColor="text1"/>
          <w:sz w:val="22"/>
          <w:szCs w:val="22"/>
        </w:rPr>
        <w:t xml:space="preserve">. </w:t>
      </w:r>
      <w:r w:rsidR="008C29CF">
        <w:rPr>
          <w:rFonts w:ascii="Arial" w:hAnsi="Arial" w:cs="Arial"/>
          <w:bCs/>
          <w:color w:val="000000" w:themeColor="text1"/>
          <w:sz w:val="22"/>
          <w:szCs w:val="22"/>
        </w:rPr>
        <w:t xml:space="preserve">Index and subsequent </w:t>
      </w:r>
      <w:r w:rsidR="0046099A">
        <w:rPr>
          <w:rFonts w:ascii="Arial" w:hAnsi="Arial" w:cs="Arial"/>
          <w:bCs/>
          <w:color w:val="000000" w:themeColor="text1"/>
          <w:sz w:val="22"/>
          <w:szCs w:val="22"/>
        </w:rPr>
        <w:t xml:space="preserve">opioid </w:t>
      </w:r>
      <w:r w:rsidR="008C29CF">
        <w:rPr>
          <w:rFonts w:ascii="Arial" w:hAnsi="Arial" w:cs="Arial"/>
          <w:bCs/>
          <w:color w:val="000000" w:themeColor="text1"/>
          <w:sz w:val="22"/>
          <w:szCs w:val="22"/>
        </w:rPr>
        <w:t xml:space="preserve">days’ supply </w:t>
      </w:r>
      <w:r w:rsidR="001250DF">
        <w:rPr>
          <w:rFonts w:ascii="Arial" w:hAnsi="Arial" w:cs="Arial"/>
          <w:bCs/>
          <w:color w:val="000000" w:themeColor="text1"/>
          <w:sz w:val="22"/>
          <w:szCs w:val="22"/>
        </w:rPr>
        <w:t>showed</w:t>
      </w:r>
      <w:r w:rsidR="008C29CF">
        <w:rPr>
          <w:rFonts w:ascii="Arial" w:hAnsi="Arial" w:cs="Arial"/>
          <w:bCs/>
          <w:color w:val="000000" w:themeColor="text1"/>
          <w:sz w:val="22"/>
          <w:szCs w:val="22"/>
        </w:rPr>
        <w:t xml:space="preserve"> sustained declines after SOPI </w:t>
      </w:r>
      <w:r w:rsidR="0095715F">
        <w:rPr>
          <w:rFonts w:ascii="Arial" w:hAnsi="Arial" w:cs="Arial"/>
          <w:bCs/>
          <w:color w:val="000000" w:themeColor="text1"/>
          <w:sz w:val="22"/>
          <w:szCs w:val="22"/>
        </w:rPr>
        <w:t xml:space="preserve">and </w:t>
      </w:r>
      <w:r w:rsidR="000E6B30">
        <w:rPr>
          <w:rFonts w:ascii="Arial" w:hAnsi="Arial" w:cs="Arial"/>
          <w:bCs/>
          <w:color w:val="000000" w:themeColor="text1"/>
          <w:sz w:val="22"/>
          <w:szCs w:val="22"/>
        </w:rPr>
        <w:t>STOP Act</w:t>
      </w:r>
      <w:r w:rsidR="006F3490">
        <w:rPr>
          <w:rFonts w:ascii="Arial" w:hAnsi="Arial" w:cs="Arial"/>
          <w:bCs/>
          <w:color w:val="000000" w:themeColor="text1"/>
          <w:sz w:val="22"/>
          <w:szCs w:val="22"/>
        </w:rPr>
        <w:t xml:space="preserve"> among post-surgical patients. There was no </w:t>
      </w:r>
      <w:r w:rsidR="009E1BB4">
        <w:rPr>
          <w:rFonts w:ascii="Arial" w:hAnsi="Arial" w:cs="Arial"/>
          <w:bCs/>
          <w:color w:val="000000" w:themeColor="text1"/>
          <w:sz w:val="22"/>
          <w:szCs w:val="22"/>
        </w:rPr>
        <w:t xml:space="preserve">policy </w:t>
      </w:r>
      <w:r w:rsidR="006F3490">
        <w:rPr>
          <w:rFonts w:ascii="Arial" w:hAnsi="Arial" w:cs="Arial"/>
          <w:bCs/>
          <w:color w:val="000000" w:themeColor="text1"/>
          <w:sz w:val="22"/>
          <w:szCs w:val="22"/>
        </w:rPr>
        <w:t>impact on MME</w:t>
      </w:r>
      <w:r w:rsidR="00545F00">
        <w:rPr>
          <w:rFonts w:ascii="Arial" w:hAnsi="Arial" w:cs="Arial"/>
          <w:bCs/>
          <w:color w:val="000000" w:themeColor="text1"/>
          <w:sz w:val="22"/>
          <w:szCs w:val="22"/>
        </w:rPr>
        <w:t xml:space="preserve">. </w:t>
      </w:r>
    </w:p>
    <w:p w14:paraId="55D1AFEE" w14:textId="62665E43" w:rsidR="00F80157" w:rsidRPr="006112E3" w:rsidRDefault="00F80157" w:rsidP="00F80157">
      <w:pPr>
        <w:rPr>
          <w:rFonts w:ascii="Arial" w:hAnsi="Arial" w:cs="Arial"/>
          <w:bCs/>
          <w:color w:val="000000" w:themeColor="text1"/>
          <w:sz w:val="22"/>
          <w:szCs w:val="22"/>
        </w:rPr>
      </w:pPr>
      <w:r>
        <w:rPr>
          <w:rFonts w:ascii="Arial" w:hAnsi="Arial" w:cs="Arial"/>
          <w:b/>
          <w:bCs/>
          <w:color w:val="000000" w:themeColor="text1"/>
          <w:sz w:val="22"/>
          <w:szCs w:val="22"/>
        </w:rPr>
        <w:t xml:space="preserve">Conclusions: </w:t>
      </w:r>
      <w:r w:rsidR="00424E79">
        <w:rPr>
          <w:rFonts w:ascii="Arial" w:hAnsi="Arial" w:cs="Arial"/>
          <w:bCs/>
          <w:color w:val="000000" w:themeColor="text1"/>
          <w:sz w:val="22"/>
          <w:szCs w:val="22"/>
        </w:rPr>
        <w:t xml:space="preserve">Policies </w:t>
      </w:r>
      <w:r w:rsidR="00123AC4">
        <w:rPr>
          <w:rFonts w:ascii="Arial" w:hAnsi="Arial" w:cs="Arial"/>
          <w:bCs/>
          <w:color w:val="000000" w:themeColor="text1"/>
          <w:sz w:val="22"/>
          <w:szCs w:val="22"/>
        </w:rPr>
        <w:t xml:space="preserve">were </w:t>
      </w:r>
      <w:r w:rsidR="00424E79">
        <w:rPr>
          <w:rFonts w:ascii="Arial" w:hAnsi="Arial" w:cs="Arial"/>
          <w:bCs/>
          <w:color w:val="000000" w:themeColor="text1"/>
          <w:sz w:val="22"/>
          <w:szCs w:val="22"/>
        </w:rPr>
        <w:t>associated with reductions</w:t>
      </w:r>
      <w:r w:rsidR="00123AC4">
        <w:rPr>
          <w:rFonts w:ascii="Arial" w:hAnsi="Arial" w:cs="Arial"/>
          <w:bCs/>
          <w:color w:val="000000" w:themeColor="text1"/>
          <w:sz w:val="22"/>
          <w:szCs w:val="22"/>
        </w:rPr>
        <w:t xml:space="preserve"> in opioid prescribing</w:t>
      </w:r>
      <w:r w:rsidR="006D3FF3">
        <w:rPr>
          <w:rFonts w:ascii="Arial" w:hAnsi="Arial" w:cs="Arial"/>
          <w:bCs/>
          <w:color w:val="000000" w:themeColor="text1"/>
          <w:sz w:val="22"/>
          <w:szCs w:val="22"/>
        </w:rPr>
        <w:t xml:space="preserve">, particularly </w:t>
      </w:r>
      <w:r w:rsidR="006F3490">
        <w:rPr>
          <w:rFonts w:ascii="Arial" w:hAnsi="Arial" w:cs="Arial"/>
          <w:bCs/>
          <w:color w:val="000000" w:themeColor="text1"/>
          <w:sz w:val="22"/>
          <w:szCs w:val="22"/>
        </w:rPr>
        <w:t xml:space="preserve">in post-surgical </w:t>
      </w:r>
      <w:r w:rsidR="006D3FF3">
        <w:rPr>
          <w:rFonts w:ascii="Arial" w:hAnsi="Arial" w:cs="Arial"/>
          <w:bCs/>
          <w:color w:val="000000" w:themeColor="text1"/>
          <w:sz w:val="22"/>
          <w:szCs w:val="22"/>
        </w:rPr>
        <w:t>patients</w:t>
      </w:r>
      <w:r w:rsidR="00FC0C3C">
        <w:rPr>
          <w:rFonts w:ascii="Arial" w:hAnsi="Arial" w:cs="Arial"/>
          <w:bCs/>
          <w:color w:val="000000" w:themeColor="text1"/>
          <w:sz w:val="22"/>
          <w:szCs w:val="22"/>
        </w:rPr>
        <w:t xml:space="preserve">, however, </w:t>
      </w:r>
      <w:r w:rsidR="00BE03D2">
        <w:rPr>
          <w:rFonts w:ascii="Arial" w:hAnsi="Arial" w:cs="Arial"/>
          <w:bCs/>
          <w:color w:val="000000" w:themeColor="text1"/>
          <w:sz w:val="22"/>
          <w:szCs w:val="22"/>
        </w:rPr>
        <w:t>r</w:t>
      </w:r>
      <w:r w:rsidR="006F3490">
        <w:rPr>
          <w:rFonts w:ascii="Arial" w:hAnsi="Arial" w:cs="Arial"/>
          <w:bCs/>
          <w:color w:val="000000" w:themeColor="text1"/>
          <w:sz w:val="22"/>
          <w:szCs w:val="22"/>
        </w:rPr>
        <w:t>acial</w:t>
      </w:r>
      <w:r w:rsidR="00BE03D2">
        <w:rPr>
          <w:rFonts w:ascii="Arial" w:hAnsi="Arial" w:cs="Arial"/>
          <w:bCs/>
          <w:color w:val="000000" w:themeColor="text1"/>
          <w:sz w:val="22"/>
          <w:szCs w:val="22"/>
        </w:rPr>
        <w:t>ized</w:t>
      </w:r>
      <w:r w:rsidR="006F3490">
        <w:rPr>
          <w:rFonts w:ascii="Arial" w:hAnsi="Arial" w:cs="Arial"/>
          <w:bCs/>
          <w:color w:val="000000" w:themeColor="text1"/>
          <w:sz w:val="22"/>
          <w:szCs w:val="22"/>
        </w:rPr>
        <w:t xml:space="preserve"> d</w:t>
      </w:r>
      <w:r w:rsidR="0032141A">
        <w:rPr>
          <w:rFonts w:ascii="Arial" w:hAnsi="Arial" w:cs="Arial"/>
          <w:bCs/>
          <w:color w:val="000000" w:themeColor="text1"/>
          <w:sz w:val="22"/>
          <w:szCs w:val="22"/>
        </w:rPr>
        <w:t xml:space="preserve">isparities </w:t>
      </w:r>
      <w:r w:rsidR="0056730D">
        <w:rPr>
          <w:rFonts w:ascii="Arial" w:hAnsi="Arial" w:cs="Arial"/>
          <w:bCs/>
          <w:color w:val="000000" w:themeColor="text1"/>
          <w:sz w:val="22"/>
          <w:szCs w:val="22"/>
        </w:rPr>
        <w:t xml:space="preserve">likely </w:t>
      </w:r>
      <w:r w:rsidR="0032141A">
        <w:rPr>
          <w:rFonts w:ascii="Arial" w:hAnsi="Arial" w:cs="Arial"/>
          <w:bCs/>
          <w:color w:val="000000" w:themeColor="text1"/>
          <w:sz w:val="22"/>
          <w:szCs w:val="22"/>
        </w:rPr>
        <w:t>reflect implicit and explicit</w:t>
      </w:r>
      <w:r w:rsidR="00CE6A08">
        <w:rPr>
          <w:rFonts w:ascii="Arial" w:hAnsi="Arial" w:cs="Arial"/>
          <w:bCs/>
          <w:color w:val="000000" w:themeColor="text1"/>
          <w:sz w:val="22"/>
          <w:szCs w:val="22"/>
        </w:rPr>
        <w:t xml:space="preserve"> racial</w:t>
      </w:r>
      <w:r w:rsidR="0056730D">
        <w:rPr>
          <w:rFonts w:ascii="Arial" w:hAnsi="Arial" w:cs="Arial"/>
          <w:bCs/>
          <w:color w:val="000000" w:themeColor="text1"/>
          <w:sz w:val="22"/>
          <w:szCs w:val="22"/>
        </w:rPr>
        <w:t>ized</w:t>
      </w:r>
      <w:r w:rsidR="00CE6A08">
        <w:rPr>
          <w:rFonts w:ascii="Arial" w:hAnsi="Arial" w:cs="Arial"/>
          <w:bCs/>
          <w:color w:val="000000" w:themeColor="text1"/>
          <w:sz w:val="22"/>
          <w:szCs w:val="22"/>
        </w:rPr>
        <w:t xml:space="preserve"> </w:t>
      </w:r>
      <w:r w:rsidR="0032141A">
        <w:rPr>
          <w:rFonts w:ascii="Arial" w:hAnsi="Arial" w:cs="Arial"/>
          <w:bCs/>
          <w:color w:val="000000" w:themeColor="text1"/>
          <w:sz w:val="22"/>
          <w:szCs w:val="22"/>
        </w:rPr>
        <w:t>bias</w:t>
      </w:r>
      <w:r w:rsidR="0056730D">
        <w:rPr>
          <w:rFonts w:ascii="Arial" w:hAnsi="Arial" w:cs="Arial"/>
          <w:bCs/>
          <w:color w:val="000000" w:themeColor="text1"/>
          <w:sz w:val="22"/>
          <w:szCs w:val="22"/>
        </w:rPr>
        <w:t>es</w:t>
      </w:r>
      <w:r w:rsidR="0032141A">
        <w:rPr>
          <w:rFonts w:ascii="Arial" w:hAnsi="Arial" w:cs="Arial"/>
          <w:bCs/>
          <w:color w:val="000000" w:themeColor="text1"/>
          <w:sz w:val="22"/>
          <w:szCs w:val="22"/>
        </w:rPr>
        <w:t xml:space="preserve"> in pain management practices.</w:t>
      </w:r>
    </w:p>
    <w:p w14:paraId="4ADC3205" w14:textId="77777777" w:rsidR="000D2F52" w:rsidRDefault="000D2F52">
      <w:pPr>
        <w:rPr>
          <w:rFonts w:ascii="Arial" w:hAnsi="Arial" w:cs="Arial"/>
          <w:b/>
          <w:bCs/>
          <w:color w:val="000000" w:themeColor="text1"/>
          <w:sz w:val="22"/>
          <w:szCs w:val="22"/>
        </w:rPr>
      </w:pPr>
    </w:p>
    <w:p w14:paraId="1940B9B7" w14:textId="77777777" w:rsidR="000D2F52" w:rsidRDefault="000D2F52">
      <w:pPr>
        <w:rPr>
          <w:rFonts w:ascii="Arial" w:hAnsi="Arial" w:cs="Arial"/>
          <w:b/>
          <w:bCs/>
          <w:color w:val="000000" w:themeColor="text1"/>
          <w:sz w:val="22"/>
          <w:szCs w:val="22"/>
        </w:rPr>
      </w:pPr>
    </w:p>
    <w:p w14:paraId="5A402CE4" w14:textId="77777777" w:rsidR="0024327F" w:rsidRDefault="0024327F">
      <w:pPr>
        <w:rPr>
          <w:rFonts w:ascii="Arial" w:hAnsi="Arial" w:cs="Arial"/>
          <w:b/>
          <w:bCs/>
          <w:color w:val="000000" w:themeColor="text1"/>
          <w:sz w:val="22"/>
          <w:szCs w:val="22"/>
        </w:rPr>
      </w:pPr>
      <w:r>
        <w:rPr>
          <w:rFonts w:ascii="Arial" w:hAnsi="Arial" w:cs="Arial"/>
          <w:b/>
          <w:bCs/>
          <w:color w:val="000000" w:themeColor="text1"/>
          <w:sz w:val="22"/>
          <w:szCs w:val="22"/>
        </w:rPr>
        <w:t>Plain Language Summary:</w:t>
      </w:r>
    </w:p>
    <w:p w14:paraId="69E9C69A" w14:textId="304FE5C9" w:rsidR="0024327F" w:rsidRDefault="0024327F" w:rsidP="0024327F">
      <w:pPr>
        <w:ind w:firstLine="720"/>
        <w:rPr>
          <w:rFonts w:ascii="Arial" w:hAnsi="Arial" w:cs="Arial"/>
          <w:color w:val="000000" w:themeColor="text1"/>
          <w:sz w:val="22"/>
          <w:szCs w:val="22"/>
        </w:rPr>
      </w:pPr>
      <w:r>
        <w:rPr>
          <w:rFonts w:ascii="Arial" w:hAnsi="Arial" w:cs="Arial"/>
          <w:color w:val="000000" w:themeColor="text1"/>
          <w:sz w:val="22"/>
          <w:szCs w:val="22"/>
        </w:rPr>
        <w:t>In this study, we examined how did opioid prescribing patterns in North Carolina change in response to two policy initiatives designed to reduce opioid overprescribing: 1) NC safe opioid prescribing initiative (SOPI), an investigative program by the NC medical board (May</w:t>
      </w:r>
      <w:r w:rsidRPr="00F80157">
        <w:rPr>
          <w:rFonts w:ascii="Arial" w:hAnsi="Arial" w:cs="Arial"/>
          <w:color w:val="000000" w:themeColor="text1"/>
          <w:sz w:val="22"/>
          <w:szCs w:val="22"/>
        </w:rPr>
        <w:t xml:space="preserve"> 2016</w:t>
      </w:r>
      <w:r>
        <w:rPr>
          <w:rFonts w:ascii="Arial" w:hAnsi="Arial" w:cs="Arial"/>
          <w:color w:val="000000" w:themeColor="text1"/>
          <w:sz w:val="22"/>
          <w:szCs w:val="22"/>
        </w:rPr>
        <w:t>)</w:t>
      </w:r>
      <w:r w:rsidRPr="00F80157">
        <w:rPr>
          <w:rFonts w:ascii="Arial" w:hAnsi="Arial" w:cs="Arial"/>
          <w:color w:val="000000" w:themeColor="text1"/>
          <w:sz w:val="22"/>
          <w:szCs w:val="22"/>
        </w:rPr>
        <w:t xml:space="preserve">, and </w:t>
      </w:r>
      <w:r>
        <w:rPr>
          <w:rFonts w:ascii="Arial" w:hAnsi="Arial" w:cs="Arial"/>
          <w:color w:val="000000" w:themeColor="text1"/>
          <w:sz w:val="22"/>
          <w:szCs w:val="22"/>
        </w:rPr>
        <w:t xml:space="preserve">2) </w:t>
      </w:r>
      <w:proofErr w:type="spellStart"/>
      <w:r w:rsidRPr="00AE2DEC">
        <w:rPr>
          <w:rFonts w:ascii="Arial" w:hAnsi="Arial" w:cs="Arial"/>
          <w:bCs/>
          <w:color w:val="000000" w:themeColor="text1"/>
          <w:sz w:val="22"/>
          <w:szCs w:val="22"/>
        </w:rPr>
        <w:t>STrengthen</w:t>
      </w:r>
      <w:proofErr w:type="spellEnd"/>
      <w:r w:rsidRPr="00AE2DEC">
        <w:rPr>
          <w:rFonts w:ascii="Arial" w:hAnsi="Arial" w:cs="Arial"/>
          <w:bCs/>
          <w:color w:val="000000" w:themeColor="text1"/>
          <w:sz w:val="22"/>
          <w:szCs w:val="22"/>
        </w:rPr>
        <w:t xml:space="preserve"> Opioid </w:t>
      </w:r>
      <w:r>
        <w:rPr>
          <w:rFonts w:ascii="Arial" w:hAnsi="Arial" w:cs="Arial"/>
          <w:bCs/>
          <w:color w:val="000000" w:themeColor="text1"/>
          <w:sz w:val="22"/>
          <w:szCs w:val="22"/>
        </w:rPr>
        <w:t>m</w:t>
      </w:r>
      <w:r w:rsidRPr="00AE2DEC">
        <w:rPr>
          <w:rFonts w:ascii="Arial" w:hAnsi="Arial" w:cs="Arial"/>
          <w:bCs/>
          <w:color w:val="000000" w:themeColor="text1"/>
          <w:sz w:val="22"/>
          <w:szCs w:val="22"/>
        </w:rPr>
        <w:t xml:space="preserve">isuse Prevention (STOP) </w:t>
      </w:r>
      <w:r>
        <w:rPr>
          <w:rFonts w:ascii="Arial" w:hAnsi="Arial" w:cs="Arial"/>
          <w:bCs/>
          <w:color w:val="000000" w:themeColor="text1"/>
          <w:sz w:val="22"/>
          <w:szCs w:val="22"/>
        </w:rPr>
        <w:t>A</w:t>
      </w:r>
      <w:r w:rsidRPr="00AE2DEC">
        <w:rPr>
          <w:rFonts w:ascii="Arial" w:hAnsi="Arial" w:cs="Arial"/>
          <w:bCs/>
          <w:color w:val="000000" w:themeColor="text1"/>
          <w:sz w:val="22"/>
          <w:szCs w:val="22"/>
        </w:rPr>
        <w:t>ct</w:t>
      </w:r>
      <w:r>
        <w:rPr>
          <w:rFonts w:ascii="Arial" w:hAnsi="Arial" w:cs="Arial"/>
          <w:bCs/>
          <w:color w:val="000000" w:themeColor="text1"/>
          <w:sz w:val="22"/>
          <w:szCs w:val="22"/>
        </w:rPr>
        <w:t xml:space="preserve">, that introduced opioid days’ supply limits for acute and post-surgical pain </w:t>
      </w:r>
      <w:r>
        <w:rPr>
          <w:rFonts w:ascii="Arial" w:hAnsi="Arial" w:cs="Arial"/>
          <w:color w:val="000000" w:themeColor="text1"/>
          <w:sz w:val="22"/>
          <w:szCs w:val="22"/>
        </w:rPr>
        <w:t>(</w:t>
      </w:r>
      <w:r w:rsidRPr="00F80157">
        <w:rPr>
          <w:rFonts w:ascii="Arial" w:hAnsi="Arial" w:cs="Arial"/>
          <w:color w:val="000000" w:themeColor="text1"/>
          <w:sz w:val="22"/>
          <w:szCs w:val="22"/>
        </w:rPr>
        <w:t>January 2018</w:t>
      </w:r>
      <w:r>
        <w:rPr>
          <w:rFonts w:ascii="Arial" w:hAnsi="Arial" w:cs="Arial"/>
          <w:color w:val="000000" w:themeColor="text1"/>
          <w:sz w:val="22"/>
          <w:szCs w:val="22"/>
        </w:rPr>
        <w:t>)?</w:t>
      </w:r>
    </w:p>
    <w:p w14:paraId="6953B3F4" w14:textId="77777777" w:rsidR="00301789" w:rsidRDefault="00EC3198" w:rsidP="00301789">
      <w:pPr>
        <w:ind w:firstLine="720"/>
        <w:rPr>
          <w:rFonts w:ascii="Arial" w:hAnsi="Arial" w:cs="Arial"/>
          <w:bCs/>
          <w:color w:val="000000" w:themeColor="text1"/>
          <w:sz w:val="22"/>
          <w:szCs w:val="22"/>
        </w:rPr>
      </w:pPr>
      <w:r>
        <w:rPr>
          <w:rFonts w:ascii="Arial" w:hAnsi="Arial" w:cs="Arial"/>
          <w:color w:val="000000" w:themeColor="text1"/>
          <w:sz w:val="22"/>
          <w:szCs w:val="22"/>
        </w:rPr>
        <w:t>We found that t</w:t>
      </w:r>
      <w:r w:rsidR="0024327F">
        <w:rPr>
          <w:rFonts w:ascii="Arial" w:hAnsi="Arial" w:cs="Arial"/>
          <w:bCs/>
          <w:color w:val="000000" w:themeColor="text1"/>
          <w:sz w:val="22"/>
          <w:szCs w:val="22"/>
        </w:rPr>
        <w:t xml:space="preserve">he </w:t>
      </w:r>
      <w:r w:rsidR="0024327F" w:rsidRPr="006112E3">
        <w:rPr>
          <w:rFonts w:ascii="Arial" w:hAnsi="Arial" w:cs="Arial"/>
          <w:bCs/>
          <w:color w:val="000000" w:themeColor="text1"/>
          <w:sz w:val="22"/>
          <w:szCs w:val="22"/>
        </w:rPr>
        <w:t xml:space="preserve">SOPI and </w:t>
      </w:r>
      <w:r w:rsidR="0024327F">
        <w:rPr>
          <w:rFonts w:ascii="Arial" w:hAnsi="Arial" w:cs="Arial"/>
          <w:bCs/>
          <w:color w:val="000000" w:themeColor="text1"/>
          <w:sz w:val="22"/>
          <w:szCs w:val="22"/>
        </w:rPr>
        <w:t>STOP Act</w:t>
      </w:r>
      <w:r w:rsidR="0024327F" w:rsidRPr="006112E3">
        <w:rPr>
          <w:rFonts w:ascii="Arial" w:hAnsi="Arial" w:cs="Arial"/>
          <w:bCs/>
          <w:color w:val="000000" w:themeColor="text1"/>
          <w:sz w:val="22"/>
          <w:szCs w:val="22"/>
        </w:rPr>
        <w:t xml:space="preserve"> </w:t>
      </w:r>
      <w:r w:rsidR="0024327F">
        <w:rPr>
          <w:rFonts w:ascii="Arial" w:hAnsi="Arial" w:cs="Arial"/>
          <w:bCs/>
          <w:color w:val="000000" w:themeColor="text1"/>
          <w:sz w:val="22"/>
          <w:szCs w:val="22"/>
        </w:rPr>
        <w:t xml:space="preserve">initiatives resulted in </w:t>
      </w:r>
      <w:r w:rsidR="0024327F" w:rsidRPr="006112E3">
        <w:rPr>
          <w:rFonts w:ascii="Arial" w:hAnsi="Arial" w:cs="Arial"/>
          <w:bCs/>
          <w:color w:val="000000" w:themeColor="text1"/>
          <w:sz w:val="22"/>
          <w:szCs w:val="22"/>
        </w:rPr>
        <w:t xml:space="preserve">declines in index </w:t>
      </w:r>
      <w:r w:rsidR="0024327F">
        <w:rPr>
          <w:rFonts w:ascii="Arial" w:hAnsi="Arial" w:cs="Arial"/>
          <w:bCs/>
          <w:color w:val="000000" w:themeColor="text1"/>
          <w:sz w:val="22"/>
          <w:szCs w:val="22"/>
        </w:rPr>
        <w:t xml:space="preserve">(first) </w:t>
      </w:r>
      <w:r w:rsidR="0024327F" w:rsidRPr="006112E3">
        <w:rPr>
          <w:rFonts w:ascii="Arial" w:hAnsi="Arial" w:cs="Arial"/>
          <w:bCs/>
          <w:color w:val="000000" w:themeColor="text1"/>
          <w:sz w:val="22"/>
          <w:szCs w:val="22"/>
        </w:rPr>
        <w:t>opioid prescribing rates</w:t>
      </w:r>
      <w:r w:rsidR="0024327F">
        <w:rPr>
          <w:rFonts w:ascii="Arial" w:hAnsi="Arial" w:cs="Arial"/>
          <w:bCs/>
          <w:color w:val="000000" w:themeColor="text1"/>
          <w:sz w:val="22"/>
          <w:szCs w:val="22"/>
        </w:rPr>
        <w:t xml:space="preserve">. Additionally, there were reductions in days’ supply of index opioid prescriptions. These reductions in opioid prescribing were part of the intended policy effects. However, there were unintended reductions in </w:t>
      </w:r>
      <w:r>
        <w:rPr>
          <w:rFonts w:ascii="Arial" w:hAnsi="Arial" w:cs="Arial"/>
          <w:bCs/>
          <w:color w:val="000000" w:themeColor="text1"/>
          <w:sz w:val="22"/>
          <w:szCs w:val="22"/>
        </w:rPr>
        <w:t xml:space="preserve">subsequent </w:t>
      </w:r>
      <w:r w:rsidR="0024327F">
        <w:rPr>
          <w:rFonts w:ascii="Arial" w:hAnsi="Arial" w:cs="Arial"/>
          <w:bCs/>
          <w:color w:val="000000" w:themeColor="text1"/>
          <w:sz w:val="22"/>
          <w:szCs w:val="22"/>
        </w:rPr>
        <w:t xml:space="preserve">opioid prescribing </w:t>
      </w:r>
      <w:r w:rsidR="002242AB">
        <w:rPr>
          <w:rFonts w:ascii="Arial" w:hAnsi="Arial" w:cs="Arial"/>
          <w:bCs/>
          <w:color w:val="000000" w:themeColor="text1"/>
          <w:sz w:val="22"/>
          <w:szCs w:val="22"/>
        </w:rPr>
        <w:t xml:space="preserve">after the first prescription, including fewer </w:t>
      </w:r>
      <w:r w:rsidR="00CF5494">
        <w:rPr>
          <w:rFonts w:ascii="Arial" w:hAnsi="Arial" w:cs="Arial"/>
          <w:bCs/>
          <w:color w:val="000000" w:themeColor="text1"/>
          <w:sz w:val="22"/>
          <w:szCs w:val="22"/>
        </w:rPr>
        <w:t>prescriptions and shorter</w:t>
      </w:r>
      <w:r w:rsidR="0024327F">
        <w:rPr>
          <w:rFonts w:ascii="Arial" w:hAnsi="Arial" w:cs="Arial"/>
          <w:bCs/>
          <w:color w:val="000000" w:themeColor="text1"/>
          <w:sz w:val="22"/>
          <w:szCs w:val="22"/>
        </w:rPr>
        <w:t xml:space="preserve"> </w:t>
      </w:r>
      <w:proofErr w:type="gramStart"/>
      <w:r w:rsidR="0024327F">
        <w:rPr>
          <w:rFonts w:ascii="Arial" w:hAnsi="Arial" w:cs="Arial"/>
          <w:bCs/>
          <w:color w:val="000000" w:themeColor="text1"/>
          <w:sz w:val="22"/>
          <w:szCs w:val="22"/>
        </w:rPr>
        <w:t>day’s</w:t>
      </w:r>
      <w:proofErr w:type="gramEnd"/>
      <w:r w:rsidR="0024327F">
        <w:rPr>
          <w:rFonts w:ascii="Arial" w:hAnsi="Arial" w:cs="Arial"/>
          <w:bCs/>
          <w:color w:val="000000" w:themeColor="text1"/>
          <w:sz w:val="22"/>
          <w:szCs w:val="22"/>
        </w:rPr>
        <w:t xml:space="preserve"> supply </w:t>
      </w:r>
      <w:r w:rsidR="00694F2E">
        <w:rPr>
          <w:rFonts w:ascii="Arial" w:hAnsi="Arial" w:cs="Arial"/>
          <w:bCs/>
          <w:color w:val="000000" w:themeColor="text1"/>
          <w:sz w:val="22"/>
          <w:szCs w:val="22"/>
        </w:rPr>
        <w:t>of</w:t>
      </w:r>
      <w:r w:rsidR="0024327F">
        <w:rPr>
          <w:rFonts w:ascii="Arial" w:hAnsi="Arial" w:cs="Arial"/>
          <w:bCs/>
          <w:color w:val="000000" w:themeColor="text1"/>
          <w:sz w:val="22"/>
          <w:szCs w:val="22"/>
        </w:rPr>
        <w:t xml:space="preserve"> subsequent prescriptions. Further, there were racial</w:t>
      </w:r>
      <w:r w:rsidR="00CF5494">
        <w:rPr>
          <w:rFonts w:ascii="Arial" w:hAnsi="Arial" w:cs="Arial"/>
          <w:bCs/>
          <w:color w:val="000000" w:themeColor="text1"/>
          <w:sz w:val="22"/>
          <w:szCs w:val="22"/>
        </w:rPr>
        <w:t>ized</w:t>
      </w:r>
      <w:r w:rsidR="0024327F">
        <w:rPr>
          <w:rFonts w:ascii="Arial" w:hAnsi="Arial" w:cs="Arial"/>
          <w:bCs/>
          <w:color w:val="000000" w:themeColor="text1"/>
          <w:sz w:val="22"/>
          <w:szCs w:val="22"/>
        </w:rPr>
        <w:t xml:space="preserve"> disparities in policy effects, such that opioid prescribing was reduced more among black</w:t>
      </w:r>
      <w:r w:rsidR="00301789">
        <w:rPr>
          <w:rFonts w:ascii="Arial" w:hAnsi="Arial" w:cs="Arial"/>
          <w:bCs/>
          <w:color w:val="000000" w:themeColor="text1"/>
          <w:sz w:val="22"/>
          <w:szCs w:val="22"/>
        </w:rPr>
        <w:t>, native American, and Hispanic pain patients</w:t>
      </w:r>
      <w:r w:rsidR="0024327F">
        <w:rPr>
          <w:rFonts w:ascii="Arial" w:hAnsi="Arial" w:cs="Arial"/>
          <w:bCs/>
          <w:color w:val="000000" w:themeColor="text1"/>
          <w:sz w:val="22"/>
          <w:szCs w:val="22"/>
        </w:rPr>
        <w:t xml:space="preserve"> North</w:t>
      </w:r>
      <w:r w:rsidR="00301789">
        <w:rPr>
          <w:rFonts w:ascii="Arial" w:hAnsi="Arial" w:cs="Arial"/>
          <w:bCs/>
          <w:color w:val="000000" w:themeColor="text1"/>
          <w:sz w:val="22"/>
          <w:szCs w:val="22"/>
        </w:rPr>
        <w:t xml:space="preserve"> </w:t>
      </w:r>
      <w:r w:rsidR="0024327F">
        <w:rPr>
          <w:rFonts w:ascii="Arial" w:hAnsi="Arial" w:cs="Arial"/>
          <w:bCs/>
          <w:color w:val="000000" w:themeColor="text1"/>
          <w:sz w:val="22"/>
          <w:szCs w:val="22"/>
        </w:rPr>
        <w:t>compared to whites</w:t>
      </w:r>
      <w:r w:rsidR="00301789">
        <w:rPr>
          <w:rFonts w:ascii="Arial" w:hAnsi="Arial" w:cs="Arial"/>
          <w:bCs/>
          <w:color w:val="000000" w:themeColor="text1"/>
          <w:sz w:val="22"/>
          <w:szCs w:val="22"/>
        </w:rPr>
        <w:t xml:space="preserve"> and Asians.</w:t>
      </w:r>
    </w:p>
    <w:p w14:paraId="04BCD37D" w14:textId="2942526B" w:rsidR="0024327F" w:rsidRPr="006112E3" w:rsidRDefault="00F7630B" w:rsidP="00301789">
      <w:pPr>
        <w:ind w:firstLine="720"/>
        <w:rPr>
          <w:rFonts w:ascii="Arial" w:hAnsi="Arial" w:cs="Arial"/>
          <w:bCs/>
          <w:color w:val="000000" w:themeColor="text1"/>
          <w:sz w:val="22"/>
          <w:szCs w:val="22"/>
        </w:rPr>
      </w:pPr>
      <w:r>
        <w:rPr>
          <w:rFonts w:ascii="Arial" w:hAnsi="Arial" w:cs="Arial"/>
          <w:bCs/>
          <w:color w:val="000000" w:themeColor="text1"/>
          <w:sz w:val="22"/>
          <w:szCs w:val="22"/>
        </w:rPr>
        <w:t>While the f</w:t>
      </w:r>
      <w:r w:rsidR="0024327F">
        <w:rPr>
          <w:rFonts w:ascii="Arial" w:hAnsi="Arial" w:cs="Arial"/>
          <w:bCs/>
          <w:color w:val="000000" w:themeColor="text1"/>
          <w:sz w:val="22"/>
          <w:szCs w:val="22"/>
        </w:rPr>
        <w:t>indings indicate that the two NC policies attained some intended effects in terms of reduced opioid prescribing</w:t>
      </w:r>
      <w:r>
        <w:rPr>
          <w:rFonts w:ascii="Arial" w:hAnsi="Arial" w:cs="Arial"/>
          <w:bCs/>
          <w:color w:val="000000" w:themeColor="text1"/>
          <w:sz w:val="22"/>
          <w:szCs w:val="22"/>
        </w:rPr>
        <w:t xml:space="preserve">, there are also </w:t>
      </w:r>
      <w:r w:rsidR="0024327F">
        <w:rPr>
          <w:rFonts w:ascii="Arial" w:hAnsi="Arial" w:cs="Arial"/>
          <w:bCs/>
          <w:color w:val="000000" w:themeColor="text1"/>
          <w:sz w:val="22"/>
          <w:szCs w:val="22"/>
        </w:rPr>
        <w:t xml:space="preserve">unintended effects </w:t>
      </w:r>
      <w:r w:rsidR="00421232">
        <w:rPr>
          <w:rFonts w:ascii="Arial" w:hAnsi="Arial" w:cs="Arial"/>
          <w:bCs/>
          <w:color w:val="000000" w:themeColor="text1"/>
          <w:sz w:val="22"/>
          <w:szCs w:val="22"/>
        </w:rPr>
        <w:t xml:space="preserve">that </w:t>
      </w:r>
      <w:r w:rsidR="001E5039">
        <w:rPr>
          <w:rFonts w:ascii="Arial" w:hAnsi="Arial" w:cs="Arial"/>
          <w:bCs/>
          <w:color w:val="000000" w:themeColor="text1"/>
          <w:sz w:val="22"/>
          <w:szCs w:val="22"/>
        </w:rPr>
        <w:t xml:space="preserve">may </w:t>
      </w:r>
      <w:r w:rsidR="00D53E5E">
        <w:rPr>
          <w:rFonts w:ascii="Arial" w:hAnsi="Arial" w:cs="Arial"/>
          <w:bCs/>
          <w:color w:val="000000" w:themeColor="text1"/>
          <w:sz w:val="22"/>
          <w:szCs w:val="22"/>
        </w:rPr>
        <w:t xml:space="preserve">not address </w:t>
      </w:r>
      <w:r w:rsidR="0024327F">
        <w:rPr>
          <w:rFonts w:ascii="Arial" w:hAnsi="Arial" w:cs="Arial"/>
          <w:bCs/>
          <w:color w:val="000000" w:themeColor="text1"/>
          <w:sz w:val="22"/>
          <w:szCs w:val="22"/>
        </w:rPr>
        <w:t xml:space="preserve">continued pain management needs of patients and </w:t>
      </w:r>
      <w:r w:rsidR="00D53E5E">
        <w:rPr>
          <w:rFonts w:ascii="Arial" w:hAnsi="Arial" w:cs="Arial"/>
          <w:bCs/>
          <w:color w:val="000000" w:themeColor="text1"/>
          <w:sz w:val="22"/>
          <w:szCs w:val="22"/>
        </w:rPr>
        <w:t>especially patients who are racially minoritized</w:t>
      </w:r>
      <w:r w:rsidR="0024327F">
        <w:rPr>
          <w:rFonts w:ascii="Arial" w:hAnsi="Arial" w:cs="Arial"/>
          <w:bCs/>
          <w:color w:val="000000" w:themeColor="text1"/>
          <w:sz w:val="22"/>
          <w:szCs w:val="22"/>
        </w:rPr>
        <w:t xml:space="preserve">. </w:t>
      </w:r>
    </w:p>
    <w:p w14:paraId="0DF5AEEF" w14:textId="77777777" w:rsidR="00E274B9" w:rsidRDefault="00E274B9">
      <w:pPr>
        <w:rPr>
          <w:rFonts w:ascii="Arial" w:hAnsi="Arial" w:cs="Arial"/>
          <w:b/>
          <w:bCs/>
          <w:color w:val="000000" w:themeColor="text1"/>
          <w:sz w:val="22"/>
          <w:szCs w:val="22"/>
        </w:rPr>
      </w:pPr>
    </w:p>
    <w:p w14:paraId="0C55405C" w14:textId="77777777" w:rsidR="00853D30" w:rsidRDefault="00853D30">
      <w:pPr>
        <w:rPr>
          <w:rFonts w:ascii="Arial" w:hAnsi="Arial" w:cs="Arial"/>
          <w:b/>
          <w:bCs/>
          <w:color w:val="000000" w:themeColor="text1"/>
          <w:sz w:val="22"/>
          <w:szCs w:val="22"/>
        </w:rPr>
      </w:pPr>
    </w:p>
    <w:p w14:paraId="2AE79878" w14:textId="77777777" w:rsidR="00E274B9" w:rsidRDefault="00E274B9">
      <w:pPr>
        <w:rPr>
          <w:rFonts w:ascii="Arial" w:hAnsi="Arial" w:cs="Arial"/>
          <w:b/>
          <w:bCs/>
          <w:color w:val="000000" w:themeColor="text1"/>
          <w:sz w:val="22"/>
          <w:szCs w:val="22"/>
        </w:rPr>
      </w:pPr>
      <w:r>
        <w:rPr>
          <w:rFonts w:ascii="Arial" w:hAnsi="Arial" w:cs="Arial"/>
          <w:b/>
          <w:bCs/>
          <w:color w:val="000000" w:themeColor="text1"/>
          <w:sz w:val="22"/>
          <w:szCs w:val="22"/>
        </w:rPr>
        <w:t>Key Points:</w:t>
      </w:r>
    </w:p>
    <w:p w14:paraId="0356F558" w14:textId="06FC51B9" w:rsidR="00F63A1D" w:rsidRDefault="00F63A1D" w:rsidP="00E274B9">
      <w:pPr>
        <w:pStyle w:val="ListParagraph"/>
        <w:numPr>
          <w:ilvl w:val="0"/>
          <w:numId w:val="14"/>
        </w:numPr>
        <w:ind w:left="360"/>
        <w:rPr>
          <w:rFonts w:ascii="Arial" w:hAnsi="Arial" w:cs="Arial"/>
          <w:color w:val="000000" w:themeColor="text1"/>
          <w:sz w:val="22"/>
          <w:szCs w:val="22"/>
        </w:rPr>
      </w:pPr>
      <w:r>
        <w:rPr>
          <w:rFonts w:ascii="Arial" w:hAnsi="Arial" w:cs="Arial"/>
          <w:color w:val="000000" w:themeColor="text1"/>
          <w:sz w:val="22"/>
          <w:szCs w:val="22"/>
        </w:rPr>
        <w:t xml:space="preserve">The </w:t>
      </w:r>
      <w:r w:rsidRPr="00F63A1D">
        <w:rPr>
          <w:rFonts w:ascii="Arial" w:hAnsi="Arial" w:cs="Arial"/>
          <w:color w:val="000000" w:themeColor="text1"/>
          <w:sz w:val="22"/>
          <w:szCs w:val="22"/>
        </w:rPr>
        <w:t xml:space="preserve">two NC-based opioid prescribing policies resulted in intended </w:t>
      </w:r>
      <w:r w:rsidR="00416011">
        <w:rPr>
          <w:rFonts w:ascii="Arial" w:hAnsi="Arial" w:cs="Arial"/>
          <w:color w:val="000000" w:themeColor="text1"/>
          <w:sz w:val="22"/>
          <w:szCs w:val="22"/>
        </w:rPr>
        <w:t xml:space="preserve">and unintended </w:t>
      </w:r>
      <w:r w:rsidRPr="00F63A1D">
        <w:rPr>
          <w:rFonts w:ascii="Arial" w:hAnsi="Arial" w:cs="Arial"/>
          <w:color w:val="000000" w:themeColor="text1"/>
          <w:sz w:val="22"/>
          <w:szCs w:val="22"/>
        </w:rPr>
        <w:t xml:space="preserve">changes in opioid prescribing practices for acute injury and post-surgical pain patients. </w:t>
      </w:r>
    </w:p>
    <w:p w14:paraId="10FAE858" w14:textId="20F881F3" w:rsidR="005532B1" w:rsidRDefault="00F63A1D" w:rsidP="00E274B9">
      <w:pPr>
        <w:pStyle w:val="ListParagraph"/>
        <w:numPr>
          <w:ilvl w:val="0"/>
          <w:numId w:val="14"/>
        </w:numPr>
        <w:ind w:left="360"/>
        <w:rPr>
          <w:rFonts w:ascii="Arial" w:hAnsi="Arial" w:cs="Arial"/>
          <w:color w:val="000000" w:themeColor="text1"/>
          <w:sz w:val="22"/>
          <w:szCs w:val="22"/>
        </w:rPr>
      </w:pPr>
      <w:r w:rsidRPr="00F63A1D">
        <w:rPr>
          <w:rFonts w:ascii="Arial" w:hAnsi="Arial" w:cs="Arial"/>
          <w:color w:val="000000" w:themeColor="text1"/>
          <w:sz w:val="22"/>
          <w:szCs w:val="22"/>
        </w:rPr>
        <w:t xml:space="preserve">However, black, Hispanic, </w:t>
      </w:r>
      <w:r w:rsidR="007E5FDF">
        <w:rPr>
          <w:rFonts w:ascii="Arial" w:hAnsi="Arial" w:cs="Arial"/>
          <w:color w:val="000000" w:themeColor="text1"/>
          <w:sz w:val="22"/>
          <w:szCs w:val="22"/>
        </w:rPr>
        <w:t xml:space="preserve">and </w:t>
      </w:r>
      <w:r w:rsidRPr="00F63A1D">
        <w:rPr>
          <w:rFonts w:ascii="Arial" w:hAnsi="Arial" w:cs="Arial"/>
          <w:color w:val="000000" w:themeColor="text1"/>
          <w:sz w:val="22"/>
          <w:szCs w:val="22"/>
        </w:rPr>
        <w:t xml:space="preserve">native American patients experienced the greatest declines in post-surgical opioid prescribing </w:t>
      </w:r>
      <w:r w:rsidR="00853D30">
        <w:rPr>
          <w:rFonts w:ascii="Arial" w:hAnsi="Arial" w:cs="Arial"/>
          <w:color w:val="000000" w:themeColor="text1"/>
          <w:sz w:val="22"/>
          <w:szCs w:val="22"/>
        </w:rPr>
        <w:t>compared</w:t>
      </w:r>
      <w:r w:rsidRPr="00F63A1D">
        <w:rPr>
          <w:rFonts w:ascii="Arial" w:hAnsi="Arial" w:cs="Arial"/>
          <w:color w:val="000000" w:themeColor="text1"/>
          <w:sz w:val="22"/>
          <w:szCs w:val="22"/>
        </w:rPr>
        <w:t xml:space="preserve"> to white </w:t>
      </w:r>
      <w:r w:rsidR="007E5FDF">
        <w:rPr>
          <w:rFonts w:ascii="Arial" w:hAnsi="Arial" w:cs="Arial"/>
          <w:color w:val="000000" w:themeColor="text1"/>
          <w:sz w:val="22"/>
          <w:szCs w:val="22"/>
        </w:rPr>
        <w:t xml:space="preserve">and Asian </w:t>
      </w:r>
      <w:r w:rsidRPr="00F63A1D">
        <w:rPr>
          <w:rFonts w:ascii="Arial" w:hAnsi="Arial" w:cs="Arial"/>
          <w:color w:val="000000" w:themeColor="text1"/>
          <w:sz w:val="22"/>
          <w:szCs w:val="22"/>
        </w:rPr>
        <w:t xml:space="preserve">patients. </w:t>
      </w:r>
    </w:p>
    <w:p w14:paraId="4CC3ED8D" w14:textId="789E1174" w:rsidR="00555EE2" w:rsidRDefault="005532B1" w:rsidP="00E274B9">
      <w:pPr>
        <w:pStyle w:val="ListParagraph"/>
        <w:numPr>
          <w:ilvl w:val="0"/>
          <w:numId w:val="14"/>
        </w:numPr>
        <w:ind w:left="360"/>
        <w:rPr>
          <w:rFonts w:ascii="Arial" w:hAnsi="Arial" w:cs="Arial"/>
          <w:color w:val="000000" w:themeColor="text1"/>
          <w:sz w:val="22"/>
          <w:szCs w:val="22"/>
        </w:rPr>
      </w:pPr>
      <w:r>
        <w:rPr>
          <w:rFonts w:ascii="Arial" w:hAnsi="Arial" w:cs="Arial"/>
          <w:color w:val="000000" w:themeColor="text1"/>
          <w:sz w:val="22"/>
          <w:szCs w:val="22"/>
        </w:rPr>
        <w:t>The racialized disparities</w:t>
      </w:r>
      <w:r w:rsidR="00042841">
        <w:rPr>
          <w:rFonts w:ascii="Arial" w:hAnsi="Arial" w:cs="Arial"/>
          <w:color w:val="000000" w:themeColor="text1"/>
          <w:sz w:val="22"/>
          <w:szCs w:val="22"/>
        </w:rPr>
        <w:t xml:space="preserve"> likely</w:t>
      </w:r>
      <w:r>
        <w:rPr>
          <w:rFonts w:ascii="Arial" w:hAnsi="Arial" w:cs="Arial"/>
          <w:color w:val="000000" w:themeColor="text1"/>
          <w:sz w:val="22"/>
          <w:szCs w:val="22"/>
        </w:rPr>
        <w:t xml:space="preserve"> reflect </w:t>
      </w:r>
      <w:r w:rsidR="00042841">
        <w:rPr>
          <w:rFonts w:ascii="Arial" w:hAnsi="Arial" w:cs="Arial"/>
          <w:bCs/>
          <w:color w:val="000000" w:themeColor="text1"/>
          <w:sz w:val="22"/>
          <w:szCs w:val="22"/>
        </w:rPr>
        <w:t>implicit and explicit racialized biases in pain management practices</w:t>
      </w:r>
      <w:r w:rsidR="00C1350C">
        <w:rPr>
          <w:rFonts w:ascii="Arial" w:hAnsi="Arial" w:cs="Arial"/>
          <w:bCs/>
          <w:color w:val="000000" w:themeColor="text1"/>
          <w:sz w:val="22"/>
          <w:szCs w:val="22"/>
        </w:rPr>
        <w:t xml:space="preserve">, </w:t>
      </w:r>
      <w:r w:rsidR="00F63A1D" w:rsidRPr="00F63A1D">
        <w:rPr>
          <w:rFonts w:ascii="Arial" w:hAnsi="Arial" w:cs="Arial"/>
          <w:color w:val="000000" w:themeColor="text1"/>
          <w:sz w:val="22"/>
          <w:szCs w:val="22"/>
        </w:rPr>
        <w:t xml:space="preserve">driven by racial stereotyping rather than clinical evidence. </w:t>
      </w:r>
    </w:p>
    <w:p w14:paraId="22AC0685" w14:textId="0A6D7B52" w:rsidR="0068234F" w:rsidRDefault="008C54BB" w:rsidP="0068234F">
      <w:pPr>
        <w:pStyle w:val="ListParagraph"/>
        <w:numPr>
          <w:ilvl w:val="0"/>
          <w:numId w:val="14"/>
        </w:numPr>
        <w:ind w:left="360"/>
        <w:rPr>
          <w:rFonts w:ascii="Arial" w:hAnsi="Arial" w:cs="Arial"/>
          <w:color w:val="000000" w:themeColor="text1"/>
          <w:sz w:val="22"/>
          <w:szCs w:val="22"/>
        </w:rPr>
      </w:pPr>
      <w:r>
        <w:rPr>
          <w:rFonts w:ascii="Arial" w:hAnsi="Arial" w:cs="Arial"/>
          <w:color w:val="000000" w:themeColor="text1"/>
          <w:sz w:val="22"/>
          <w:szCs w:val="22"/>
        </w:rPr>
        <w:t>U</w:t>
      </w:r>
      <w:r w:rsidR="00555EE2">
        <w:rPr>
          <w:rFonts w:ascii="Arial" w:hAnsi="Arial" w:cs="Arial"/>
          <w:color w:val="000000" w:themeColor="text1"/>
          <w:sz w:val="22"/>
          <w:szCs w:val="22"/>
        </w:rPr>
        <w:t xml:space="preserve">nintended effects on </w:t>
      </w:r>
      <w:r w:rsidR="00987119">
        <w:rPr>
          <w:rFonts w:ascii="Arial" w:hAnsi="Arial" w:cs="Arial"/>
          <w:color w:val="000000" w:themeColor="text1"/>
          <w:sz w:val="22"/>
          <w:szCs w:val="22"/>
        </w:rPr>
        <w:t>opioid prescribing</w:t>
      </w:r>
      <w:r w:rsidR="00DF565D">
        <w:rPr>
          <w:rFonts w:ascii="Arial" w:hAnsi="Arial" w:cs="Arial"/>
          <w:color w:val="000000" w:themeColor="text1"/>
          <w:sz w:val="22"/>
          <w:szCs w:val="22"/>
        </w:rPr>
        <w:t xml:space="preserve">, specifically </w:t>
      </w:r>
      <w:r w:rsidR="00AE2BD5">
        <w:rPr>
          <w:rFonts w:ascii="Arial" w:hAnsi="Arial" w:cs="Arial"/>
          <w:color w:val="000000" w:themeColor="text1"/>
          <w:sz w:val="22"/>
          <w:szCs w:val="22"/>
        </w:rPr>
        <w:t xml:space="preserve">fewer second prescriptions and </w:t>
      </w:r>
      <w:r w:rsidR="00BF4720">
        <w:rPr>
          <w:rFonts w:ascii="Arial" w:hAnsi="Arial" w:cs="Arial"/>
          <w:color w:val="000000" w:themeColor="text1"/>
          <w:sz w:val="22"/>
          <w:szCs w:val="22"/>
        </w:rPr>
        <w:t xml:space="preserve">smaller days’ supply </w:t>
      </w:r>
      <w:r w:rsidR="00416011">
        <w:rPr>
          <w:rFonts w:ascii="Arial" w:hAnsi="Arial" w:cs="Arial"/>
          <w:color w:val="000000" w:themeColor="text1"/>
          <w:sz w:val="22"/>
          <w:szCs w:val="22"/>
        </w:rPr>
        <w:t xml:space="preserve">of </w:t>
      </w:r>
      <w:r w:rsidR="00BF4720">
        <w:rPr>
          <w:rFonts w:ascii="Arial" w:hAnsi="Arial" w:cs="Arial"/>
          <w:color w:val="000000" w:themeColor="text1"/>
          <w:sz w:val="22"/>
          <w:szCs w:val="22"/>
        </w:rPr>
        <w:t xml:space="preserve">second prescriptions </w:t>
      </w:r>
      <w:r w:rsidR="00416011">
        <w:rPr>
          <w:rFonts w:ascii="Arial" w:hAnsi="Arial" w:cs="Arial"/>
          <w:color w:val="000000" w:themeColor="text1"/>
          <w:sz w:val="22"/>
          <w:szCs w:val="22"/>
        </w:rPr>
        <w:t>may</w:t>
      </w:r>
      <w:r w:rsidR="00987119">
        <w:rPr>
          <w:rFonts w:ascii="Arial" w:hAnsi="Arial" w:cs="Arial"/>
          <w:color w:val="000000" w:themeColor="text1"/>
          <w:sz w:val="22"/>
          <w:szCs w:val="22"/>
        </w:rPr>
        <w:t xml:space="preserve"> </w:t>
      </w:r>
      <w:r w:rsidR="00BF4720">
        <w:rPr>
          <w:rFonts w:ascii="Arial" w:hAnsi="Arial" w:cs="Arial"/>
          <w:color w:val="000000" w:themeColor="text1"/>
          <w:sz w:val="22"/>
          <w:szCs w:val="22"/>
        </w:rPr>
        <w:t>reflect</w:t>
      </w:r>
      <w:r w:rsidR="00987119">
        <w:rPr>
          <w:rFonts w:ascii="Arial" w:hAnsi="Arial" w:cs="Arial"/>
          <w:color w:val="000000" w:themeColor="text1"/>
          <w:sz w:val="22"/>
          <w:szCs w:val="22"/>
        </w:rPr>
        <w:t xml:space="preserve"> </w:t>
      </w:r>
      <w:r w:rsidR="005328CC">
        <w:rPr>
          <w:rFonts w:ascii="Arial" w:hAnsi="Arial" w:cs="Arial"/>
          <w:color w:val="000000" w:themeColor="text1"/>
          <w:sz w:val="22"/>
          <w:szCs w:val="22"/>
        </w:rPr>
        <w:t xml:space="preserve">either </w:t>
      </w:r>
      <w:r>
        <w:rPr>
          <w:rFonts w:ascii="Arial" w:hAnsi="Arial" w:cs="Arial"/>
          <w:color w:val="000000" w:themeColor="text1"/>
          <w:sz w:val="22"/>
          <w:szCs w:val="22"/>
        </w:rPr>
        <w:t xml:space="preserve">secondary effects of </w:t>
      </w:r>
      <w:r w:rsidR="005328CC">
        <w:rPr>
          <w:rFonts w:ascii="Arial" w:hAnsi="Arial" w:cs="Arial"/>
          <w:color w:val="000000" w:themeColor="text1"/>
          <w:sz w:val="22"/>
          <w:szCs w:val="22"/>
        </w:rPr>
        <w:t xml:space="preserve">reductions in index </w:t>
      </w:r>
      <w:r w:rsidR="0068234F">
        <w:rPr>
          <w:rFonts w:ascii="Arial" w:hAnsi="Arial" w:cs="Arial"/>
          <w:color w:val="000000" w:themeColor="text1"/>
          <w:sz w:val="22"/>
          <w:szCs w:val="22"/>
        </w:rPr>
        <w:t>prescribing or clinician’s unwillingness to prescribe subsequent prescriptions.</w:t>
      </w:r>
    </w:p>
    <w:p w14:paraId="653A5767" w14:textId="3432F9F5" w:rsidR="001F2663" w:rsidRPr="0068234F" w:rsidRDefault="001F2663" w:rsidP="0068234F">
      <w:pPr>
        <w:pStyle w:val="ListParagraph"/>
        <w:numPr>
          <w:ilvl w:val="0"/>
          <w:numId w:val="14"/>
        </w:numPr>
        <w:ind w:left="360"/>
        <w:rPr>
          <w:rFonts w:ascii="Arial" w:hAnsi="Arial" w:cs="Arial"/>
          <w:color w:val="000000" w:themeColor="text1"/>
          <w:sz w:val="22"/>
          <w:szCs w:val="22"/>
        </w:rPr>
      </w:pPr>
      <w:r w:rsidRPr="0068234F">
        <w:rPr>
          <w:rFonts w:ascii="Arial" w:hAnsi="Arial" w:cs="Arial"/>
          <w:color w:val="000000" w:themeColor="text1"/>
          <w:sz w:val="22"/>
          <w:szCs w:val="22"/>
        </w:rPr>
        <w:br w:type="page"/>
      </w:r>
    </w:p>
    <w:p w14:paraId="44B75676" w14:textId="66C4BFD3" w:rsidR="004A0FF2" w:rsidRPr="006112E3" w:rsidRDefault="004A0FF2" w:rsidP="00B22EB8">
      <w:pPr>
        <w:rPr>
          <w:rFonts w:ascii="Arial" w:hAnsi="Arial" w:cs="Arial"/>
          <w:b/>
          <w:bCs/>
          <w:color w:val="000000" w:themeColor="text1"/>
          <w:sz w:val="22"/>
          <w:szCs w:val="22"/>
        </w:rPr>
      </w:pPr>
      <w:r w:rsidRPr="006112E3">
        <w:rPr>
          <w:rFonts w:ascii="Arial" w:hAnsi="Arial" w:cs="Arial"/>
          <w:b/>
          <w:bCs/>
          <w:color w:val="000000" w:themeColor="text1"/>
          <w:sz w:val="22"/>
          <w:szCs w:val="22"/>
        </w:rPr>
        <w:lastRenderedPageBreak/>
        <w:t xml:space="preserve">Introduction </w:t>
      </w:r>
    </w:p>
    <w:p w14:paraId="733E0AE0" w14:textId="7F42ED47" w:rsidR="00D21E0C" w:rsidRPr="00B77651" w:rsidRDefault="000478A3" w:rsidP="00D13221">
      <w:pPr>
        <w:ind w:firstLine="360"/>
        <w:rPr>
          <w:rFonts w:ascii="Arial" w:hAnsi="Arial" w:cs="Arial"/>
          <w:bCs/>
          <w:sz w:val="22"/>
          <w:szCs w:val="22"/>
        </w:rPr>
      </w:pPr>
      <w:r w:rsidRPr="00AE2DEC">
        <w:rPr>
          <w:rFonts w:ascii="Arial" w:hAnsi="Arial" w:cs="Arial"/>
          <w:sz w:val="22"/>
          <w:szCs w:val="22"/>
        </w:rPr>
        <w:t>To curtail the rise in opioid misuse</w:t>
      </w:r>
      <w:r w:rsidR="00497B95">
        <w:rPr>
          <w:rFonts w:ascii="Arial" w:hAnsi="Arial" w:cs="Arial"/>
          <w:sz w:val="22"/>
          <w:szCs w:val="22"/>
        </w:rPr>
        <w:t xml:space="preserve"> and opioid overdose deaths</w:t>
      </w:r>
      <w:r w:rsidRPr="00AE2DEC">
        <w:rPr>
          <w:rFonts w:ascii="Arial" w:hAnsi="Arial" w:cs="Arial"/>
          <w:sz w:val="22"/>
          <w:szCs w:val="22"/>
        </w:rPr>
        <w:t xml:space="preserve">, policies </w:t>
      </w:r>
      <w:r w:rsidR="00F819B4" w:rsidRPr="00AE2DEC">
        <w:rPr>
          <w:rFonts w:ascii="Arial" w:hAnsi="Arial" w:cs="Arial"/>
          <w:sz w:val="22"/>
          <w:szCs w:val="22"/>
        </w:rPr>
        <w:t xml:space="preserve">and guidelines </w:t>
      </w:r>
      <w:r w:rsidRPr="00AE2DEC">
        <w:rPr>
          <w:rFonts w:ascii="Arial" w:hAnsi="Arial" w:cs="Arial"/>
          <w:sz w:val="22"/>
          <w:szCs w:val="22"/>
        </w:rPr>
        <w:t xml:space="preserve">have been implemented to reduce the risk of </w:t>
      </w:r>
      <w:r w:rsidR="002C4161">
        <w:rPr>
          <w:rFonts w:ascii="Arial" w:hAnsi="Arial" w:cs="Arial"/>
          <w:sz w:val="22"/>
          <w:szCs w:val="22"/>
        </w:rPr>
        <w:t xml:space="preserve">opioid-involved </w:t>
      </w:r>
      <w:r w:rsidRPr="00AE2DEC">
        <w:rPr>
          <w:rFonts w:ascii="Arial" w:hAnsi="Arial" w:cs="Arial"/>
          <w:sz w:val="22"/>
          <w:szCs w:val="22"/>
        </w:rPr>
        <w:t>overdose</w:t>
      </w:r>
      <w:r w:rsidR="002C4161">
        <w:rPr>
          <w:rFonts w:ascii="Arial" w:hAnsi="Arial" w:cs="Arial"/>
          <w:sz w:val="22"/>
          <w:szCs w:val="22"/>
        </w:rPr>
        <w:t>s</w:t>
      </w:r>
      <w:r w:rsidRPr="00AE2DEC">
        <w:rPr>
          <w:rFonts w:ascii="Arial" w:hAnsi="Arial" w:cs="Arial"/>
          <w:sz w:val="22"/>
          <w:szCs w:val="22"/>
        </w:rPr>
        <w:t>.</w:t>
      </w:r>
      <w:r w:rsidR="001B40DF">
        <w:rPr>
          <w:rFonts w:ascii="Arial" w:hAnsi="Arial" w:cs="Arial"/>
          <w:sz w:val="22"/>
          <w:szCs w:val="22"/>
        </w:rPr>
        <w:fldChar w:fldCharType="begin"/>
      </w:r>
      <w:r w:rsidR="001B40DF">
        <w:rPr>
          <w:rFonts w:ascii="Arial" w:hAnsi="Arial" w:cs="Arial"/>
          <w:sz w:val="22"/>
          <w:szCs w:val="22"/>
        </w:rPr>
        <w:instrText xml:space="preserve"> ADDIN ZOTERO_ITEM CSL_CITATION {"citationID":"yJWHqAEK","properties":{"formattedCitation":"\\super 1\\nosupersub{}","plainCitation":"1","noteIndex":0},"citationItems":[{"id":14053,"uris":["http://zotero.org/users/5919053/items/BNB9ZP8U"],"itemData":{"id":14053,"type":"webpage","abstract":"The Centers for Disease Control and Prevention collects information on deaths involving many commonly used drugs","container-title":"National Institute on Drug Abuse","language":"en","title":"Overdose Death Rates","URL":"https://nida.nih.gov/research-topics/trends-statistics/overdose-death-rates","author":[{"family":"Abuse","given":"National Institute on Drug"}],"accessed":{"date-parts":[["2022",11,9]]},"issued":{"date-parts":[["2022",1,20]]}}}],"schema":"https://github.com/citation-style-language/schema/raw/master/csl-citation.json"} </w:instrText>
      </w:r>
      <w:r w:rsidR="001B40DF">
        <w:rPr>
          <w:rFonts w:ascii="Arial" w:hAnsi="Arial" w:cs="Arial"/>
          <w:sz w:val="22"/>
          <w:szCs w:val="22"/>
        </w:rPr>
        <w:fldChar w:fldCharType="separate"/>
      </w:r>
      <w:r w:rsidR="001B40DF" w:rsidRPr="001B40DF">
        <w:rPr>
          <w:rFonts w:ascii="Arial" w:hAnsi="Arial" w:cs="Arial"/>
          <w:sz w:val="22"/>
          <w:vertAlign w:val="superscript"/>
        </w:rPr>
        <w:t>1</w:t>
      </w:r>
      <w:r w:rsidR="001B40DF">
        <w:rPr>
          <w:rFonts w:ascii="Arial" w:hAnsi="Arial" w:cs="Arial"/>
          <w:sz w:val="22"/>
          <w:szCs w:val="22"/>
        </w:rPr>
        <w:fldChar w:fldCharType="end"/>
      </w:r>
      <w:r w:rsidRPr="00AE2DEC">
        <w:rPr>
          <w:rFonts w:ascii="Arial" w:hAnsi="Arial" w:cs="Arial"/>
          <w:sz w:val="22"/>
          <w:szCs w:val="22"/>
        </w:rPr>
        <w:t xml:space="preserve"> </w:t>
      </w:r>
      <w:r w:rsidR="00480C1A">
        <w:rPr>
          <w:rFonts w:ascii="Arial" w:hAnsi="Arial" w:cs="Arial"/>
          <w:sz w:val="22"/>
          <w:szCs w:val="22"/>
        </w:rPr>
        <w:t xml:space="preserve">In </w:t>
      </w:r>
      <w:r w:rsidR="00497B95">
        <w:rPr>
          <w:rFonts w:ascii="Arial" w:hAnsi="Arial" w:cs="Arial"/>
          <w:sz w:val="22"/>
          <w:szCs w:val="22"/>
        </w:rPr>
        <w:t xml:space="preserve">March </w:t>
      </w:r>
      <w:r w:rsidR="00480C1A">
        <w:rPr>
          <w:rFonts w:ascii="Arial" w:hAnsi="Arial" w:cs="Arial"/>
          <w:sz w:val="22"/>
          <w:szCs w:val="22"/>
        </w:rPr>
        <w:t>2016, the CDC issued opioid prescribing guideline</w:t>
      </w:r>
      <w:r w:rsidR="00A17620">
        <w:rPr>
          <w:rFonts w:ascii="Arial" w:hAnsi="Arial" w:cs="Arial"/>
          <w:sz w:val="22"/>
          <w:szCs w:val="22"/>
        </w:rPr>
        <w:t>s</w:t>
      </w:r>
      <w:r w:rsidR="00480C1A">
        <w:rPr>
          <w:rFonts w:ascii="Arial" w:hAnsi="Arial" w:cs="Arial"/>
          <w:sz w:val="22"/>
          <w:szCs w:val="22"/>
        </w:rPr>
        <w:t xml:space="preserve"> for chronic non-cancer pain, </w:t>
      </w:r>
      <w:r w:rsidR="001F2C3A">
        <w:rPr>
          <w:rFonts w:ascii="Arial" w:hAnsi="Arial" w:cs="Arial"/>
          <w:sz w:val="22"/>
          <w:szCs w:val="22"/>
        </w:rPr>
        <w:t xml:space="preserve">which were </w:t>
      </w:r>
      <w:r w:rsidR="00480C1A">
        <w:rPr>
          <w:rFonts w:ascii="Arial" w:hAnsi="Arial" w:cs="Arial"/>
          <w:sz w:val="22"/>
          <w:szCs w:val="22"/>
        </w:rPr>
        <w:t>revised in 2022</w:t>
      </w:r>
      <w:r w:rsidR="00F819B4" w:rsidRPr="00AE2DEC">
        <w:rPr>
          <w:rFonts w:ascii="Arial" w:hAnsi="Arial" w:cs="Arial"/>
          <w:color w:val="000000" w:themeColor="text1"/>
          <w:sz w:val="22"/>
          <w:szCs w:val="22"/>
        </w:rPr>
        <w:t>.</w:t>
      </w:r>
      <w:r w:rsidR="00F819B4" w:rsidRPr="00AE2DEC">
        <w:rPr>
          <w:rFonts w:ascii="Arial" w:hAnsi="Arial" w:cs="Arial"/>
          <w:color w:val="000000" w:themeColor="text1"/>
          <w:sz w:val="22"/>
          <w:szCs w:val="22"/>
        </w:rPr>
        <w:fldChar w:fldCharType="begin"/>
      </w:r>
      <w:r w:rsidR="001B40DF">
        <w:rPr>
          <w:rFonts w:ascii="Arial" w:hAnsi="Arial" w:cs="Arial"/>
          <w:color w:val="000000" w:themeColor="text1"/>
          <w:sz w:val="22"/>
          <w:szCs w:val="22"/>
        </w:rPr>
        <w:instrText xml:space="preserve"> ADDIN ZOTERO_ITEM CSL_CITATION {"citationID":"J7t1d9Hg","properties":{"formattedCitation":"\\super 2,3\\nosupersub{}","plainCitation":"2,3","noteIndex":0},"citationItems":[{"id":13743,"uris":["http://zotero.org/users/5919053/items/5UC8EG76"],"itemData":{"id":13743,"type":"article-journal","abstract":"This report from CDC’s Morbidity and Mortality Weekly Report (MMWR) provides recommendations for primary care clinicians who are prescribing opioids for chronic pain outside of active cancer treatment, palliative care, and end-of-life care.","container-title":"MMWR. Recommendations and Reports","DOI":"10.15585/mmwr.rr6501e1er","ISSN":"1057-59871545-8601","issue":"1","journalAbbreviation":"MMWR Recomm Rep","language":"en-us","page":"1-49","source":"www.cdc.gov","title":"CDC Guideline for Prescribing Opioids for Chronic Pain — United States, 2016","volume":"65","author":[{"family":"Dowell","given":"D."},{"family":"Haegerich","given":"T."},{"family":"Chou","given":"R."}],"issued":{"date-parts":[["2016"]]}}},{"id":14091,"uris":["http://zotero.org/users/5919053/items/7YTCIIQJ"],"itemData":{"id":14091,"type":"article-journal","abstract":"This guideline provides recommendations for clinicians providing pain care, including those prescribing opioids, for outpatients aged ≥18 years. It updates the CDC Guideline for Prescribing Opioids for Chronic Pain - United States, 2016 (MMWR Recomm Rep 2016;65[No. RR-1]:1-49) and includes recommendations for managing acute (duration of &lt;1 month), subacute (duration of 1-3 months), and chronic (duration of &gt;3 months) pain. The recommendations do not apply to pain related to sickle cell disease or cancer or to patients receiving palliative or end-of-life care. The guideline addresses the following four areas: 1) determining whether or not to initiate opioids for pain, 2) selecting opioids and determining opioid dosages, 3) deciding duration of initial opioid prescription and conducting follow-up, and 4) assessing risk and addressing potential harms of opioid use. CDC developed the guideline using the Grading of Recommendations Assessment, Development, and Evaluation (GRADE) framework. Recommendations are based on systematic reviews of the scientific evidence and reflect considerations of benefits and harms, patient and clinician values and preferences, and resource allocation. CDC obtained input from the Board of Scientific Counselors of the National Center for Injury Prevention and Control (a federally chartered advisory committee), the public, and peer reviewers. CDC recommends that persons with pain receive appropriate pain treatment, with careful consideration of the benefits and risks of all treatment options in the context of the patient's circumstances. Recommendations should not be applied as inflexible standards of care across patient populations. This clinical practice guideline is intended to improve communication between clinicians and patients about the benefits and risks of pain treatments, including opioid therapy; improve the effectiveness and safety of pain treatment; mitigate pain; improve function and quality of life for patients with pain; and reduce risks associated with opioid pain therapy, including opioid use disorder, overdose, and death.","container-title":"MMWR. Recommendations and reports: Morbidity and mortality weekly report. Recommendations and reports","DOI":"10.15585/mmwr.rr7103a1","ISSN":"1545-8601","issue":"3","journalAbbreviation":"MMWR Recomm Rep","language":"eng","note":"PMID: 36327391","page":"1-95","source":"PubMed","title":"CDC Clinical Practice Guideline for Prescribing Opioids for Pain - United States, 2022","volume":"71","author":[{"family":"Dowell","given":"Deborah"},{"family":"Ragan","given":"Kathleen R."},{"family":"Jones","given":"Christopher M."},{"family":"Baldwin","given":"Grant T."},{"family":"Chou","given":"Roger"}],"issued":{"date-parts":[["2022",11,4]]}}}],"schema":"https://github.com/citation-style-language/schema/raw/master/csl-citation.json"} </w:instrText>
      </w:r>
      <w:r w:rsidR="00F819B4" w:rsidRPr="00AE2DEC">
        <w:rPr>
          <w:rFonts w:ascii="Arial" w:hAnsi="Arial" w:cs="Arial"/>
          <w:color w:val="000000" w:themeColor="text1"/>
          <w:sz w:val="22"/>
          <w:szCs w:val="22"/>
        </w:rPr>
        <w:fldChar w:fldCharType="separate"/>
      </w:r>
      <w:r w:rsidR="001B40DF" w:rsidRPr="001B40DF">
        <w:rPr>
          <w:rFonts w:ascii="Arial" w:hAnsi="Arial" w:cs="Arial"/>
          <w:color w:val="000000"/>
          <w:sz w:val="22"/>
          <w:vertAlign w:val="superscript"/>
        </w:rPr>
        <w:t>2,3</w:t>
      </w:r>
      <w:r w:rsidR="00F819B4" w:rsidRPr="00AE2DEC">
        <w:rPr>
          <w:rFonts w:ascii="Arial" w:hAnsi="Arial" w:cs="Arial"/>
          <w:color w:val="000000" w:themeColor="text1"/>
          <w:sz w:val="22"/>
          <w:szCs w:val="22"/>
        </w:rPr>
        <w:fldChar w:fldCharType="end"/>
      </w:r>
      <w:r w:rsidR="00F819B4" w:rsidRPr="00AE2DEC">
        <w:rPr>
          <w:rFonts w:ascii="Arial" w:hAnsi="Arial" w:cs="Arial"/>
          <w:color w:val="000000" w:themeColor="text1"/>
          <w:sz w:val="22"/>
          <w:szCs w:val="22"/>
        </w:rPr>
        <w:t xml:space="preserve"> </w:t>
      </w:r>
      <w:r w:rsidR="00480C1A">
        <w:rPr>
          <w:rFonts w:ascii="Arial" w:hAnsi="Arial" w:cs="Arial"/>
          <w:color w:val="000000" w:themeColor="text1"/>
          <w:sz w:val="22"/>
          <w:szCs w:val="22"/>
        </w:rPr>
        <w:t>The 2016 guideline</w:t>
      </w:r>
      <w:r w:rsidR="00526B3E">
        <w:rPr>
          <w:rFonts w:ascii="Arial" w:hAnsi="Arial" w:cs="Arial"/>
          <w:color w:val="000000" w:themeColor="text1"/>
          <w:sz w:val="22"/>
          <w:szCs w:val="22"/>
        </w:rPr>
        <w:t>s</w:t>
      </w:r>
      <w:r w:rsidR="00480C1A">
        <w:rPr>
          <w:rFonts w:ascii="Arial" w:hAnsi="Arial" w:cs="Arial"/>
          <w:color w:val="000000" w:themeColor="text1"/>
          <w:sz w:val="22"/>
          <w:szCs w:val="22"/>
        </w:rPr>
        <w:t xml:space="preserve"> influenced many states to codify whole or parts of the guidelines into regulations.</w:t>
      </w:r>
      <w:r w:rsidR="001B40DF">
        <w:rPr>
          <w:rFonts w:ascii="Arial" w:hAnsi="Arial" w:cs="Arial"/>
          <w:color w:val="000000" w:themeColor="text1"/>
          <w:sz w:val="22"/>
          <w:szCs w:val="22"/>
        </w:rPr>
        <w:fldChar w:fldCharType="begin"/>
      </w:r>
      <w:r w:rsidR="001B40DF">
        <w:rPr>
          <w:rFonts w:ascii="Arial" w:hAnsi="Arial" w:cs="Arial"/>
          <w:color w:val="000000" w:themeColor="text1"/>
          <w:sz w:val="22"/>
          <w:szCs w:val="22"/>
        </w:rPr>
        <w:instrText xml:space="preserve"> ADDIN ZOTERO_ITEM CSL_CITATION {"citationID":"AmfUpZSm","properties":{"formattedCitation":"\\super 4\\nosupersub{}","plainCitation":"4","noteIndex":0},"citationItems":[{"id":15513,"uris":["http://zotero.org/users/5919053/items/JTTIYVKN"],"itemData":{"id":15513,"type":"webpage","container-title":"PDAPS (Prescription Drug Abuse Policy System)","title":"PDAPS - State Laws Limiting Prescriptions for Opioid Analgesics","URL":"https://pdaps.org/datasets/opioid-analgesics-prescribing-limits","author":[{"family":"Center for Public Health Law Research Staff","given":""}],"accessed":{"date-parts":[["2023",7,24]]},"issued":{"date-parts":[["2019",12,31]]}}}],"schema":"https://github.com/citation-style-language/schema/raw/master/csl-citation.json"} </w:instrText>
      </w:r>
      <w:r w:rsidR="001B40DF">
        <w:rPr>
          <w:rFonts w:ascii="Arial" w:hAnsi="Arial" w:cs="Arial"/>
          <w:color w:val="000000" w:themeColor="text1"/>
          <w:sz w:val="22"/>
          <w:szCs w:val="22"/>
        </w:rPr>
        <w:fldChar w:fldCharType="separate"/>
      </w:r>
      <w:r w:rsidR="001B40DF" w:rsidRPr="001B40DF">
        <w:rPr>
          <w:rFonts w:ascii="Arial" w:hAnsi="Arial" w:cs="Arial"/>
          <w:color w:val="000000"/>
          <w:sz w:val="22"/>
          <w:vertAlign w:val="superscript"/>
        </w:rPr>
        <w:t>4</w:t>
      </w:r>
      <w:r w:rsidR="001B40DF">
        <w:rPr>
          <w:rFonts w:ascii="Arial" w:hAnsi="Arial" w:cs="Arial"/>
          <w:color w:val="000000" w:themeColor="text1"/>
          <w:sz w:val="22"/>
          <w:szCs w:val="22"/>
        </w:rPr>
        <w:fldChar w:fldCharType="end"/>
      </w:r>
      <w:r w:rsidR="00497B95">
        <w:rPr>
          <w:rFonts w:ascii="Arial" w:hAnsi="Arial" w:cs="Arial"/>
          <w:color w:val="000000" w:themeColor="text1"/>
          <w:sz w:val="22"/>
          <w:szCs w:val="22"/>
        </w:rPr>
        <w:t xml:space="preserve"> Consequently, t</w:t>
      </w:r>
      <w:r w:rsidR="001F2C3A">
        <w:rPr>
          <w:rFonts w:ascii="Arial" w:hAnsi="Arial" w:cs="Arial"/>
          <w:color w:val="000000" w:themeColor="text1"/>
          <w:sz w:val="22"/>
          <w:szCs w:val="22"/>
        </w:rPr>
        <w:t xml:space="preserve">he </w:t>
      </w:r>
      <w:r w:rsidR="00F819B4" w:rsidRPr="00AE2DEC">
        <w:rPr>
          <w:rFonts w:ascii="Arial" w:hAnsi="Arial" w:cs="Arial"/>
          <w:color w:val="000000" w:themeColor="text1"/>
          <w:sz w:val="22"/>
          <w:szCs w:val="22"/>
        </w:rPr>
        <w:t>North Carolina</w:t>
      </w:r>
      <w:r w:rsidR="00614CA6">
        <w:rPr>
          <w:rFonts w:ascii="Arial" w:hAnsi="Arial" w:cs="Arial"/>
          <w:color w:val="000000" w:themeColor="text1"/>
          <w:sz w:val="22"/>
          <w:szCs w:val="22"/>
        </w:rPr>
        <w:t xml:space="preserve"> (NC)</w:t>
      </w:r>
      <w:r w:rsidR="001F2C3A">
        <w:rPr>
          <w:rFonts w:ascii="Arial" w:hAnsi="Arial" w:cs="Arial"/>
          <w:color w:val="000000" w:themeColor="text1"/>
          <w:sz w:val="22"/>
          <w:szCs w:val="22"/>
        </w:rPr>
        <w:t xml:space="preserve"> </w:t>
      </w:r>
      <w:r w:rsidR="00F819B4" w:rsidRPr="00AE2DEC">
        <w:rPr>
          <w:rFonts w:ascii="Arial" w:hAnsi="Arial" w:cs="Arial"/>
          <w:color w:val="000000" w:themeColor="text1"/>
          <w:sz w:val="22"/>
          <w:szCs w:val="22"/>
        </w:rPr>
        <w:t xml:space="preserve">Medical Board </w:t>
      </w:r>
      <w:r w:rsidR="001F2C3A">
        <w:rPr>
          <w:rFonts w:ascii="Arial" w:hAnsi="Arial" w:cs="Arial"/>
          <w:color w:val="000000" w:themeColor="text1"/>
          <w:sz w:val="22"/>
          <w:szCs w:val="22"/>
        </w:rPr>
        <w:t>enacted</w:t>
      </w:r>
      <w:r w:rsidR="001F2C3A" w:rsidRPr="00AE2DEC">
        <w:rPr>
          <w:rFonts w:ascii="Arial" w:hAnsi="Arial" w:cs="Arial"/>
          <w:color w:val="000000" w:themeColor="text1"/>
          <w:sz w:val="22"/>
          <w:szCs w:val="22"/>
        </w:rPr>
        <w:t xml:space="preserve"> </w:t>
      </w:r>
      <w:r w:rsidR="00CF5A63" w:rsidRPr="00AE2DEC">
        <w:rPr>
          <w:rFonts w:ascii="Arial" w:hAnsi="Arial" w:cs="Arial"/>
          <w:color w:val="000000" w:themeColor="text1"/>
          <w:sz w:val="22"/>
          <w:szCs w:val="22"/>
        </w:rPr>
        <w:t xml:space="preserve">the Safe Opioid Prescribing Initiative (SOPI) in April 2016 </w:t>
      </w:r>
      <w:r w:rsidR="000312E4">
        <w:rPr>
          <w:rFonts w:ascii="Arial" w:hAnsi="Arial" w:cs="Arial"/>
          <w:color w:val="000000" w:themeColor="text1"/>
          <w:sz w:val="22"/>
          <w:szCs w:val="22"/>
        </w:rPr>
        <w:t>to</w:t>
      </w:r>
      <w:r w:rsidR="00CF5A63" w:rsidRPr="00AE2DEC">
        <w:rPr>
          <w:rFonts w:ascii="Arial" w:hAnsi="Arial" w:cs="Arial"/>
          <w:color w:val="000000" w:themeColor="text1"/>
          <w:sz w:val="22"/>
          <w:szCs w:val="22"/>
        </w:rPr>
        <w:t xml:space="preserve"> investigat</w:t>
      </w:r>
      <w:r w:rsidR="000312E4">
        <w:rPr>
          <w:rFonts w:ascii="Arial" w:hAnsi="Arial" w:cs="Arial"/>
          <w:color w:val="000000" w:themeColor="text1"/>
          <w:sz w:val="22"/>
          <w:szCs w:val="22"/>
        </w:rPr>
        <w:t>e</w:t>
      </w:r>
      <w:r w:rsidR="00C73E7E">
        <w:rPr>
          <w:rFonts w:ascii="Arial" w:hAnsi="Arial" w:cs="Arial"/>
          <w:color w:val="000000" w:themeColor="text1"/>
          <w:sz w:val="22"/>
          <w:szCs w:val="22"/>
        </w:rPr>
        <w:t>, educate</w:t>
      </w:r>
      <w:r w:rsidR="006E54DA">
        <w:rPr>
          <w:rFonts w:ascii="Arial" w:hAnsi="Arial" w:cs="Arial"/>
          <w:color w:val="000000" w:themeColor="text1"/>
          <w:sz w:val="22"/>
          <w:szCs w:val="22"/>
        </w:rPr>
        <w:t>,</w:t>
      </w:r>
      <w:r w:rsidR="00CF5A63" w:rsidRPr="00AE2DEC">
        <w:rPr>
          <w:rFonts w:ascii="Arial" w:hAnsi="Arial" w:cs="Arial"/>
          <w:color w:val="000000" w:themeColor="text1"/>
          <w:sz w:val="22"/>
          <w:szCs w:val="22"/>
        </w:rPr>
        <w:t xml:space="preserve"> and </w:t>
      </w:r>
      <w:r w:rsidR="00C73E7E">
        <w:rPr>
          <w:rFonts w:ascii="Arial" w:hAnsi="Arial" w:cs="Arial"/>
          <w:color w:val="000000" w:themeColor="text1"/>
          <w:sz w:val="22"/>
          <w:szCs w:val="22"/>
        </w:rPr>
        <w:t xml:space="preserve">potentially </w:t>
      </w:r>
      <w:r w:rsidR="00CF5A63" w:rsidRPr="00AE2DEC">
        <w:rPr>
          <w:rFonts w:ascii="Arial" w:hAnsi="Arial" w:cs="Arial"/>
          <w:color w:val="000000" w:themeColor="text1"/>
          <w:sz w:val="22"/>
          <w:szCs w:val="22"/>
        </w:rPr>
        <w:t>disciplin</w:t>
      </w:r>
      <w:r w:rsidR="000312E4">
        <w:rPr>
          <w:rFonts w:ascii="Arial" w:hAnsi="Arial" w:cs="Arial"/>
          <w:color w:val="000000" w:themeColor="text1"/>
          <w:sz w:val="22"/>
          <w:szCs w:val="22"/>
        </w:rPr>
        <w:t>e</w:t>
      </w:r>
      <w:r w:rsidR="00CF5A63" w:rsidRPr="00AE2DEC">
        <w:rPr>
          <w:rFonts w:ascii="Arial" w:hAnsi="Arial" w:cs="Arial"/>
          <w:color w:val="000000" w:themeColor="text1"/>
          <w:sz w:val="22"/>
          <w:szCs w:val="22"/>
        </w:rPr>
        <w:t xml:space="preserve"> </w:t>
      </w:r>
      <w:r w:rsidR="000312E4">
        <w:rPr>
          <w:rFonts w:ascii="Arial" w:hAnsi="Arial" w:cs="Arial"/>
          <w:color w:val="000000" w:themeColor="text1"/>
          <w:sz w:val="22"/>
          <w:szCs w:val="22"/>
        </w:rPr>
        <w:t>high</w:t>
      </w:r>
      <w:r w:rsidR="00663458">
        <w:rPr>
          <w:rFonts w:ascii="Arial" w:hAnsi="Arial" w:cs="Arial"/>
          <w:color w:val="000000" w:themeColor="text1"/>
          <w:sz w:val="22"/>
          <w:szCs w:val="22"/>
        </w:rPr>
        <w:t>-</w:t>
      </w:r>
      <w:r w:rsidR="000312E4">
        <w:rPr>
          <w:rFonts w:ascii="Arial" w:hAnsi="Arial" w:cs="Arial"/>
          <w:color w:val="000000" w:themeColor="text1"/>
          <w:sz w:val="22"/>
          <w:szCs w:val="22"/>
        </w:rPr>
        <w:t xml:space="preserve">volume </w:t>
      </w:r>
      <w:r w:rsidR="00CF5A63" w:rsidRPr="00AE2DEC">
        <w:rPr>
          <w:rFonts w:ascii="Arial" w:hAnsi="Arial" w:cs="Arial"/>
          <w:color w:val="000000" w:themeColor="text1"/>
          <w:sz w:val="22"/>
          <w:szCs w:val="22"/>
        </w:rPr>
        <w:t>prescribers</w:t>
      </w:r>
      <w:r w:rsidR="000312E4">
        <w:rPr>
          <w:rFonts w:ascii="Arial" w:hAnsi="Arial" w:cs="Arial"/>
          <w:color w:val="000000" w:themeColor="text1"/>
          <w:sz w:val="22"/>
          <w:szCs w:val="22"/>
        </w:rPr>
        <w:t xml:space="preserve"> </w:t>
      </w:r>
      <w:r w:rsidR="00CF5A63" w:rsidRPr="00AE2DEC">
        <w:rPr>
          <w:rFonts w:ascii="Arial" w:hAnsi="Arial" w:cs="Arial"/>
          <w:color w:val="000000" w:themeColor="text1"/>
          <w:sz w:val="22"/>
          <w:szCs w:val="22"/>
        </w:rPr>
        <w:t>who have had two or more patients die from opioid overdose.</w:t>
      </w:r>
      <w:r w:rsidR="00CF5A63" w:rsidRPr="00AE2DEC">
        <w:rPr>
          <w:rFonts w:ascii="Arial" w:hAnsi="Arial" w:cs="Arial"/>
          <w:color w:val="000000" w:themeColor="text1"/>
          <w:sz w:val="22"/>
          <w:szCs w:val="22"/>
        </w:rPr>
        <w:fldChar w:fldCharType="begin"/>
      </w:r>
      <w:r w:rsidR="001B40DF">
        <w:rPr>
          <w:rFonts w:ascii="Arial" w:hAnsi="Arial" w:cs="Arial"/>
          <w:color w:val="000000" w:themeColor="text1"/>
          <w:sz w:val="22"/>
          <w:szCs w:val="22"/>
        </w:rPr>
        <w:instrText xml:space="preserve"> ADDIN ZOTERO_ITEM CSL_CITATION {"citationID":"BodnYcBm","properties":{"formattedCitation":"\\super 5\\nosupersub{}","plainCitation":"5","noteIndex":0},"citationItems":[{"id":13758,"uris":["http://zotero.org/users/5919053/items/UDWZR2FN"],"itemData":{"id":13758,"type":"document","publisher":"North Carolina Medical Board","title":"North Carolina Medical Board Annual Report.","URL":"https://www.ncmedboard.org/images/uploads/disciplinary_reports/2016_Annual_Report1.pdf.","accessed":{"date-parts":[["2022",5,30]]},"issued":{"date-parts":[["2016"]]}}}],"schema":"https://github.com/citation-style-language/schema/raw/master/csl-citation.json"} </w:instrText>
      </w:r>
      <w:r w:rsidR="00CF5A63" w:rsidRPr="00AE2DEC">
        <w:rPr>
          <w:rFonts w:ascii="Arial" w:hAnsi="Arial" w:cs="Arial"/>
          <w:color w:val="000000" w:themeColor="text1"/>
          <w:sz w:val="22"/>
          <w:szCs w:val="22"/>
        </w:rPr>
        <w:fldChar w:fldCharType="separate"/>
      </w:r>
      <w:r w:rsidR="001B40DF" w:rsidRPr="001B40DF">
        <w:rPr>
          <w:rFonts w:ascii="Arial" w:hAnsi="Arial" w:cs="Arial"/>
          <w:color w:val="000000"/>
          <w:sz w:val="22"/>
          <w:vertAlign w:val="superscript"/>
        </w:rPr>
        <w:t>5</w:t>
      </w:r>
      <w:r w:rsidR="00CF5A63" w:rsidRPr="00AE2DEC">
        <w:rPr>
          <w:rFonts w:ascii="Arial" w:hAnsi="Arial" w:cs="Arial"/>
          <w:color w:val="000000" w:themeColor="text1"/>
          <w:sz w:val="22"/>
          <w:szCs w:val="22"/>
        </w:rPr>
        <w:fldChar w:fldCharType="end"/>
      </w:r>
      <w:r w:rsidR="00CF5A63" w:rsidRPr="00AE2DEC">
        <w:rPr>
          <w:rFonts w:ascii="Arial" w:hAnsi="Arial" w:cs="Arial"/>
          <w:color w:val="000000" w:themeColor="text1"/>
          <w:sz w:val="22"/>
          <w:szCs w:val="22"/>
        </w:rPr>
        <w:t xml:space="preserve"> </w:t>
      </w:r>
      <w:r w:rsidR="00614CA6">
        <w:rPr>
          <w:rFonts w:ascii="Arial" w:hAnsi="Arial" w:cs="Arial"/>
          <w:color w:val="000000" w:themeColor="text1"/>
          <w:sz w:val="22"/>
          <w:szCs w:val="22"/>
        </w:rPr>
        <w:t>Since o</w:t>
      </w:r>
      <w:r w:rsidR="00614CA6" w:rsidRPr="00AE2DEC">
        <w:rPr>
          <w:rFonts w:ascii="Arial" w:hAnsi="Arial" w:cs="Arial"/>
          <w:sz w:val="22"/>
          <w:szCs w:val="22"/>
        </w:rPr>
        <w:t xml:space="preserve">pioids prescribed for long </w:t>
      </w:r>
      <w:r w:rsidR="00614CA6">
        <w:rPr>
          <w:rFonts w:ascii="Arial" w:hAnsi="Arial" w:cs="Arial"/>
          <w:sz w:val="22"/>
          <w:szCs w:val="22"/>
        </w:rPr>
        <w:t>durations</w:t>
      </w:r>
      <w:r w:rsidR="00614CA6" w:rsidRPr="00AE2DEC">
        <w:rPr>
          <w:rFonts w:ascii="Arial" w:hAnsi="Arial" w:cs="Arial"/>
          <w:sz w:val="22"/>
          <w:szCs w:val="22"/>
        </w:rPr>
        <w:t xml:space="preserve"> or at high dos</w:t>
      </w:r>
      <w:r w:rsidR="00614CA6">
        <w:rPr>
          <w:rFonts w:ascii="Arial" w:hAnsi="Arial" w:cs="Arial"/>
          <w:sz w:val="22"/>
          <w:szCs w:val="22"/>
        </w:rPr>
        <w:t>es</w:t>
      </w:r>
      <w:r w:rsidR="00614CA6" w:rsidRPr="00AE2DEC">
        <w:rPr>
          <w:rFonts w:ascii="Arial" w:hAnsi="Arial" w:cs="Arial"/>
          <w:sz w:val="22"/>
          <w:szCs w:val="22"/>
        </w:rPr>
        <w:t xml:space="preserve"> </w:t>
      </w:r>
      <w:r w:rsidR="00614CA6">
        <w:rPr>
          <w:rFonts w:ascii="Arial" w:hAnsi="Arial" w:cs="Arial"/>
          <w:sz w:val="22"/>
          <w:szCs w:val="22"/>
        </w:rPr>
        <w:t>are associated with</w:t>
      </w:r>
      <w:r w:rsidR="00614CA6" w:rsidRPr="00AE2DEC">
        <w:rPr>
          <w:rFonts w:ascii="Arial" w:hAnsi="Arial" w:cs="Arial"/>
          <w:sz w:val="22"/>
          <w:szCs w:val="22"/>
        </w:rPr>
        <w:t xml:space="preserve"> opioid use disorder and opioid overdose deaths</w:t>
      </w:r>
      <w:r w:rsidR="00614CA6">
        <w:rPr>
          <w:rFonts w:ascii="Arial" w:hAnsi="Arial" w:cs="Arial"/>
          <w:sz w:val="22"/>
          <w:szCs w:val="22"/>
        </w:rPr>
        <w:t>,</w:t>
      </w:r>
      <w:r w:rsidR="00614CA6" w:rsidRPr="00AE2DEC">
        <w:rPr>
          <w:rFonts w:ascii="Arial" w:hAnsi="Arial" w:cs="Arial"/>
          <w:sz w:val="22"/>
          <w:szCs w:val="22"/>
        </w:rPr>
        <w:fldChar w:fldCharType="begin"/>
      </w:r>
      <w:r w:rsidR="001B40DF">
        <w:rPr>
          <w:rFonts w:ascii="Arial" w:hAnsi="Arial" w:cs="Arial"/>
          <w:sz w:val="22"/>
          <w:szCs w:val="22"/>
        </w:rPr>
        <w:instrText xml:space="preserve"> ADDIN ZOTERO_ITEM CSL_CITATION {"citationID":"C92pM6Ts","properties":{"formattedCitation":"\\super 6\\uc0\\u8211{}12\\nosupersub{}","plainCitation":"6–12","noteIndex":0},"citationItems":[{"id":14055,"uris":["http://zotero.org/users/5919053/items/JTE657ZT"],"itemData":{"id":14055,"type":"article-journal","container-title":"American Journal of Public Health","DOI":"10.2105/AJPH.2019.305253","ISSN":"0090-0036","issue":"9","journalAbbreviation":"Am J Public Health","note":"PMID: 31390249\nPMCID: PMC6687263","page":"1166-1167","source":"PubMed Central","title":"Prescription Opioids: A Continuing Contributor to the Epidemic","title-short":"Prescription Opioids","volume":"109","author":[{"family":"Heins","given":"Sara E."}],"issued":{"date-parts":[["2019",9]]}}},{"id":14060,"uris":["http://zotero.org/users/5919053/items/ZAPM8UXJ"],"itemData":{"id":14060,"type":"article-journal","abstract":"Objective\nIncreasing rates of opioid use disorders (abuse and dependence) among patients prescribed opioids are a significant public health concern. We investigated the association between exposure to prescription opioids and incident opioid use disorders (OUDs) among individuals with a new episode of a chronic non-cancer pain (CNCP) condition.\n\nMethods\nWe utilized claims data from the HealthCore Database for 2000–2005. The dataset included all individuals aged 18 and over with a new CNCP episode (no diagnosis in the prior 6 months), and no opioid use or OUD in the prior 6 months (n=568,640). We constructed a single multinomial variable describing prescription opioid days supply (none, acute, and chronic) and average daily dose (none, low dose, medium dose, and high dose), and examined the association between this variable and an incident OUD diagnosis.\n\nResults\nPatients with CNCP prescribed opioids had significantly higher rates of OUDs compared to those not prescribed opioids. Effects varied by average daily dose and days supply: low dose, acute (odds ratio (OR)=3.03, 95% confidence interval (CI)= 2.32, 3.95); low dose, chronic (OR=14.92, 95% CI=10.38, 21.46); medium dose, acute (OR=2.80, 95% CI=2.12, 3.71); medium dose, chronic (OR=28.69, 95% CI=20.02, 41.13); high dose, acute (OR=3.10 95% CI=1.67, 5.77); and high dose, chronic (OR=122.45, 95% CI=72.79, 205.99).\n\nConclusion\nAmong individuals with a new CNCP episode, prescription opioid exposure was a strong risk factor for incident OUDs; magnitudes of effects were large. Duration of opioid therapy was more important than daily dose in determining OUD risk.","container-title":"The Clinical journal of pain","DOI":"10.1097/AJP.0000000000000021","ISSN":"0749-8047","issue":"7","journalAbbreviation":"Clin J Pain","note":"PMID: 24281273\nPMCID: PMC4032801","page":"557-564","source":"PubMed Central","title":"The Role of Opioid Prescription in Incident Opioid Abuse and Dependence Among Individuals with Chronic Non-Cancer Pain: The Role of Opioid Prescription","title-short":"The Role of Opioid Prescription in Incident Opioid Abuse and Dependence Among Individuals with Chronic Non-Cancer Pain","volume":"30","author":[{"family":"Edlund","given":"Mark J."},{"family":"Martin","given":"Bradley C."},{"family":"Russo","given":"Joan E."},{"family":"Devries","given":"Andrea"},{"family":"Braden","given":"Jennifer Brennan"},{"family":"Sullivan","given":"Mark D."}],"issued":{"date-parts":[["2014",7]]}}},{"id":14066,"uris":["http://zotero.org/users/5919053/items/QZ35YF6W"],"itemData":{"id":14066,"type":"article-journal","abstract":"BACKGROUND: Opioid analgesics and other psychoactive drugs may pose an even greater risk for drug overdose in persons with mental health disorders.\nOBJECTIVE: The purpose of this study was to examine interactions of filled prescriptions for opioids, benzodiazepines, antidepressants, and zolpidem with mental health disorders in regard to drug overdose.\nDESIGN: The study was a retrospective cohort review.\nSUBJECTS: Subjects were national HMO beneficiaries aged 18-64 years, enrolled at least 1 year (01/2009 to 07/2012), who filled at least two prescriptions for Schedule II or III opioids for non-cancer pain.\nMAIN MEASURES: The outcome was the first inpatient or outpatient drug overdose after the first filled opioid prescription. Predictors were calculated in 6-month intervals and exactly 6 months before a drug overdose: opioid use (mean daily morphine-equivalent dose), benzodiazepine use (days' supply), antidepressant use (days' supply), zolpidem use (days' supply), mental health disorders (depression, anxiety/PTSD, psychosis), pain-related conditions, and substance use disorders (alcohol, other drug).\nKEY RESULTS: A total of 1,385 (0.67%) subjects experienced a drug overdose (incidence rate 421/100,000 person-years). The adjusted odds ratios (AOR) for overdose among all subjects rose monotonically with daily opioid dose, but highest (AOR = 7.06) for persons with depression and a high opioid dose (≥100 mg) versus no depression or opioid use. Longer-term antidepressants (91-180 days) were protective for persons with depression, with 20% lower AORs for overdose versus short-term (1-30 days) or none. For persons without depression, the AORs of overdose were increased for antidepressant use, but greatest (AOR = 1.98) for short-term use versus none. The AORs of overdose increased with the duration of benzodiazepine therapy among all subjects, with over 2.5-fold higher AORs for 91-180 days versus none.\nCONCLUSIONS: Opioids and longer-duration benzodiazepines were associated with drug overdose among all subjects, but opioid risk was greatest for persons with depression. Antidepressant use &gt; 90 days reduced the odds of overdose for persons with depression, but all antidepressant use increased the risk for persons without depression.","container-title":"Journal of General Internal Medicine","DOI":"10.1007/s11606-015-3199-4","ISSN":"1525-1497","issue":"8","journalAbbreviation":"J Gen Intern Med","language":"eng","note":"PMID: 25650263\nPMCID: PMC4510211","page":"1081-1096","source":"PubMed","title":"Drug Overdose in a Retrospective Cohort with Non-Cancer Pain Treated with Opioids, Antidepressants, and/or Sedative-Hypnotics: Interactions with Mental Health Disorders","title-short":"Drug Overdose in a Retrospective Cohort with Non-Cancer Pain Treated with Opioids, Antidepressants, and/or Sedative-Hypnotics","volume":"30","author":[{"family":"Turner","given":"Barbara J."},{"family":"Liang","given":"Yuanyuan"}],"issued":{"date-parts":[["2015",8]]}}},{"id":14072,"uris":["http://zotero.org/users/5919053/items/GWXWS65C"],"itemData":{"id":14072,"type":"article-journal","abstract":"OBJECTIVE: Prescription opioid use and deaths related to serious toxicity, including overdose, have increased dramatically in the United States since 1999. However, factors associated with serious opioid-related respiratory or central nervous system (CNS) depression or overdose in medical users are not well characterized. The objective of this study was to examine the factors associated with serious toxicity in medical users of prescription opioids.\nDESIGN: Retrospective, nested, case-control analysis of Veterans Health Administration (VHA) medical, pharmacy, and health care resource utilization administrative data.\nSUBJECTS: Patients dispensed an opioid by VHA between October 1, 2010 and September 30, 2012 (N=8,987).\nMETHODS: Cases (N=817) experienced life-threatening opioid-related respiratory/CNS depression or overdose. Ten controls were randomly assigned to each case (N=8,170). Logistic regression was used to examine associations with the outcome.\nRESULTS: The strongest associations were maximum prescribed daily morphine equivalent dose (MED)≥ 100 mg (odds ratio [OR]=4.1, 95% confidence interval [CI], 2.6-6.5), history of opioid dependence (OR=3.9, 95% CI, 2.6-5.8), and hospitalization during the 6 months before the serious toxicity or overdose event (OR=2.9, 95% CI, 2.3-3.6). Liver disease, extended-release or long-acting opioids, and daily MED of 20 mg or more were also significantly associated.\nCONCLUSIONS: Substantial risk for serious opioid-related toxicity and overdose exists at even relatively low maximum prescribed daily MED, especially in patients already vulnerable due to underlying demographic factors, comorbid conditions, and concomitant use of CNS depressant medications or substances. Screening patients for risk, providing education, and coprescribing naloxone for those at elevated risk may be effective at reducing serious opioid-related respiratory/CNS depression and overdose in medical users of prescription opioids.","container-title":"Pain Medicine (Malden, Mass.)","DOI":"10.1111/pme.12480","ISSN":"1526-4637","issue":"11","journalAbbreviation":"Pain Med","language":"eng","note":"PMID: 24931395","page":"1911-1929","source":"PubMed","title":"Risk factors for serious prescription opioid-related toxicity or overdose among Veterans Health Administration patients","volume":"15","author":[{"family":"Zedler","given":"Barbara"},{"family":"Xie","given":"Lin"},{"family":"Wang","given":"Li"},{"family":"Joyce","given":"Andrew"},{"family":"Vick","given":"Catherine"},{"family":"Kariburyo","given":"Furaha"},{"family":"Rajan","given":"Pradeep"},{"family":"Baser","given":"Onur"},{"family":"Murrelle","given":"Lenn"}],"issued":{"date-parts":[["2014",11]]}}},{"id":13753,"uris":["http://zotero.org/users/5919053/items/YZC8P3I7"],"itemData":{"id":13753,"type":"article-journal","container-title":"New England Journal of Medicine","DOI":"10.1056/NEJMra1802148","ISSN":"0028-4793","issue":"1","journalAbbreviation":"N Engl J Med","note":"publisher: Massachusetts Medical Society","page":"71-79","title":"Understanding Links among Opioid Use, Overdose, and Suicide","volume":"380","author":[{"family":"Bohnert","given":"Amy S.B."},{"family":"Ilgen","given":"Mark A."}],"issued":{"date-parts":[["2019",1,3]]}}},{"id":14085,"uris":["http://zotero.org/users/5919053/items/K5HSP7J9"],"itemData":{"id":14085,"type":"article-journal","abstract":"OBJECTIVE: Previous studies examining opioid dose and overdose risk provide limited granularity by milligram strength and instead rely on thresholds. We quantify dose-dependent overdose mortality over a large spectrum of clinically common doses. We also examine the contributions of benzodiazepines and extended release opioid formulations to mortality.\nDESIGN: Prospective observational cohort with one year follow-up.\nSETTING: One year in one state (NC) using a controlled substances prescription monitoring program, with name-linked mortality data.\nSUBJECTS: Residential population of North Carolina (n = 9,560,234), with 2,182,374 opioid analgesic patients.\nMETHODS: Exposure was dispensed prescriptions of solid oral and transdermal opioid analgesics; person-years calculated using intent-to-treat principles. Outcome was overdose deaths involving opioid analgesics in a primary or additive role. Poisson models were created, implemented using generalized estimating equations.\nRESULTS: Opioid analgesics were dispensed to 22.8% of residents. Among licensed clinicians, 89.6% prescribed opioid analgesics, and 40.0% prescribed ER formulations. There were 629 overdose deaths, half of which had an opioid analgesic prescription active on the day of death. Of 2,182,374 patients prescribed opioids, 478 overdose deaths were reported (0.022% per year). Mortality rates increased gradually across the range of average daily milligrams of morphine equivalents. 80.0% of opioid analgesic patients also received benzodiazepines. Rates of overdose death among those co-dispensed benzodiazepines and opioid analgesics were ten times higher (7.0 per 10,000 person-years, 95 percent CI: 6.3, 7.8) than opioid analgesics alone (0.7 per 10,000 person years, 95 percent CI: 0.6, 0.9).\nCONCLUSIONS: Dose-dependent opioid overdose risk among patients increased gradually and did not show evidence of a distinct risk threshold. There is urgent need for guidance about combined classes of medicines to facilitate a better balance between pain relief and overdose risk.","container-title":"Pain Medicine (Malden, Mass.)","DOI":"10.1111/pme.12907","ISSN":"1526-4637","issue":"1","journalAbbreviation":"Pain Med","language":"eng","note":"PMID: 26333030","page":"85-98","source":"PubMed","title":"Cohort Study of the Impact of High-Dose Opioid Analgesics on Overdose Mortality","volume":"17","author":[{"family":"Dasgupta","given":"Nabarun"},{"family":"Funk","given":"Michele Jonsson"},{"family":"Proescholdbell","given":"Scott"},{"family":"Hirsch","given":"Annie"},{"family":"Ribisl","given":"Kurt M."},{"family":"Marshall","given":"Steve"}],"issued":{"date-parts":[["2016",1]]}}},{"id":13896,"uris":["http://zotero.org/users/5919053/items/G9PVSDW3"],"itemData":{"id":13896,"type":"article-journal","abstract":"In 2004, wisdom tooth extraction was performed in an estimated 3.5 million patients. Patients undergoing wisdom tooth extraction are predominantly young and healthy and routinely receive a postoperative opioid prescription.Opioid-naive patients are at risk for persistent opioid use after elective surgery; to our knowledge, the risk following dental procedures has not been assessed. We investigated the association of filled perioperative opioid prescriptions with persistent use of prescription opioid medications following wisdom tooth extraction.","container-title":"JAMA","DOI":"10.1001/jama.2018.9023","ISSN":"0098-7484","issue":"5","journalAbbreviation":"JAMA","page":"504-506","source":"Silverchair","title":"Persistent Opioid Use After Wisdom Tooth Extraction","volume":"320","author":[{"family":"Harbaugh","given":"Calista M."},{"family":"Nalliah","given":"Romesh P."},{"family":"Hu","given":"Hsou Mei"},{"family":"Englesbe","given":"Michael J."},{"family":"Waljee","given":"Jennifer F."},{"family":"Brummett","given":"Chad M."}],"issued":{"date-parts":[["2018",8,7]]}}}],"schema":"https://github.com/citation-style-language/schema/raw/master/csl-citation.json"} </w:instrText>
      </w:r>
      <w:r w:rsidR="00614CA6" w:rsidRPr="00AE2DEC">
        <w:rPr>
          <w:rFonts w:ascii="Arial" w:hAnsi="Arial" w:cs="Arial"/>
          <w:sz w:val="22"/>
          <w:szCs w:val="22"/>
        </w:rPr>
        <w:fldChar w:fldCharType="separate"/>
      </w:r>
      <w:r w:rsidR="001B40DF" w:rsidRPr="001B40DF">
        <w:rPr>
          <w:rFonts w:ascii="Arial" w:hAnsi="Arial" w:cs="Arial"/>
          <w:sz w:val="22"/>
          <w:vertAlign w:val="superscript"/>
        </w:rPr>
        <w:t>6–12</w:t>
      </w:r>
      <w:r w:rsidR="00614CA6" w:rsidRPr="00AE2DEC">
        <w:rPr>
          <w:rFonts w:ascii="Arial" w:hAnsi="Arial" w:cs="Arial"/>
          <w:sz w:val="22"/>
          <w:szCs w:val="22"/>
        </w:rPr>
        <w:fldChar w:fldCharType="end"/>
      </w:r>
      <w:r w:rsidR="00614CA6">
        <w:rPr>
          <w:rFonts w:ascii="Arial" w:hAnsi="Arial" w:cs="Arial"/>
          <w:sz w:val="22"/>
          <w:szCs w:val="22"/>
        </w:rPr>
        <w:t xml:space="preserve"> </w:t>
      </w:r>
      <w:r w:rsidR="00BB67A6" w:rsidRPr="00AE2DEC">
        <w:rPr>
          <w:rFonts w:ascii="Arial" w:hAnsi="Arial" w:cs="Arial"/>
          <w:color w:val="000000" w:themeColor="text1"/>
          <w:sz w:val="22"/>
          <w:szCs w:val="22"/>
        </w:rPr>
        <w:t xml:space="preserve">in July 2017, </w:t>
      </w:r>
      <w:r w:rsidR="00900405">
        <w:rPr>
          <w:rFonts w:ascii="Arial" w:hAnsi="Arial" w:cs="Arial"/>
          <w:color w:val="000000" w:themeColor="text1"/>
          <w:sz w:val="22"/>
          <w:szCs w:val="22"/>
        </w:rPr>
        <w:t xml:space="preserve">the </w:t>
      </w:r>
      <w:r w:rsidR="00CF5A63" w:rsidRPr="00AE2DEC">
        <w:rPr>
          <w:rFonts w:ascii="Arial" w:hAnsi="Arial" w:cs="Arial"/>
          <w:color w:val="000000" w:themeColor="text1"/>
          <w:sz w:val="22"/>
          <w:szCs w:val="22"/>
        </w:rPr>
        <w:t>N</w:t>
      </w:r>
      <w:r w:rsidR="00614CA6">
        <w:rPr>
          <w:rFonts w:ascii="Arial" w:hAnsi="Arial" w:cs="Arial"/>
          <w:color w:val="000000" w:themeColor="text1"/>
          <w:sz w:val="22"/>
          <w:szCs w:val="22"/>
        </w:rPr>
        <w:t>C</w:t>
      </w:r>
      <w:r w:rsidR="000312E4">
        <w:rPr>
          <w:rFonts w:ascii="Arial" w:hAnsi="Arial" w:cs="Arial"/>
          <w:color w:val="000000" w:themeColor="text1"/>
          <w:sz w:val="22"/>
          <w:szCs w:val="22"/>
        </w:rPr>
        <w:t xml:space="preserve"> </w:t>
      </w:r>
      <w:r w:rsidR="00CF5A63" w:rsidRPr="00AE2DEC">
        <w:rPr>
          <w:rFonts w:ascii="Arial" w:hAnsi="Arial" w:cs="Arial"/>
          <w:color w:val="000000" w:themeColor="text1"/>
          <w:sz w:val="22"/>
          <w:szCs w:val="22"/>
        </w:rPr>
        <w:t xml:space="preserve">legislature passed the </w:t>
      </w:r>
      <w:proofErr w:type="spellStart"/>
      <w:r w:rsidR="00CF5A63" w:rsidRPr="00AE2DEC">
        <w:rPr>
          <w:rFonts w:ascii="Arial" w:hAnsi="Arial" w:cs="Arial"/>
          <w:bCs/>
          <w:color w:val="000000" w:themeColor="text1"/>
          <w:sz w:val="22"/>
          <w:szCs w:val="22"/>
        </w:rPr>
        <w:t>STrengthen</w:t>
      </w:r>
      <w:proofErr w:type="spellEnd"/>
      <w:r w:rsidR="00CF5A63" w:rsidRPr="00AE2DEC">
        <w:rPr>
          <w:rFonts w:ascii="Arial" w:hAnsi="Arial" w:cs="Arial"/>
          <w:bCs/>
          <w:color w:val="000000" w:themeColor="text1"/>
          <w:sz w:val="22"/>
          <w:szCs w:val="22"/>
        </w:rPr>
        <w:t xml:space="preserve"> Opioid </w:t>
      </w:r>
      <w:r w:rsidR="00B4029C">
        <w:rPr>
          <w:rFonts w:ascii="Arial" w:hAnsi="Arial" w:cs="Arial"/>
          <w:bCs/>
          <w:color w:val="000000" w:themeColor="text1"/>
          <w:sz w:val="22"/>
          <w:szCs w:val="22"/>
        </w:rPr>
        <w:t>m</w:t>
      </w:r>
      <w:r w:rsidR="00CF5A63" w:rsidRPr="00AE2DEC">
        <w:rPr>
          <w:rFonts w:ascii="Arial" w:hAnsi="Arial" w:cs="Arial"/>
          <w:bCs/>
          <w:color w:val="000000" w:themeColor="text1"/>
          <w:sz w:val="22"/>
          <w:szCs w:val="22"/>
        </w:rPr>
        <w:t xml:space="preserve">isuse Prevention (STOP) </w:t>
      </w:r>
      <w:r w:rsidR="000C7A33">
        <w:rPr>
          <w:rFonts w:ascii="Arial" w:hAnsi="Arial" w:cs="Arial"/>
          <w:bCs/>
          <w:color w:val="000000" w:themeColor="text1"/>
          <w:sz w:val="22"/>
          <w:szCs w:val="22"/>
        </w:rPr>
        <w:t>A</w:t>
      </w:r>
      <w:r w:rsidR="00BB67A6" w:rsidRPr="00AE2DEC">
        <w:rPr>
          <w:rFonts w:ascii="Arial" w:hAnsi="Arial" w:cs="Arial"/>
          <w:bCs/>
          <w:color w:val="000000" w:themeColor="text1"/>
          <w:sz w:val="22"/>
          <w:szCs w:val="22"/>
        </w:rPr>
        <w:t>ct</w:t>
      </w:r>
      <w:r w:rsidR="00614CA6">
        <w:rPr>
          <w:rFonts w:ascii="Arial" w:hAnsi="Arial" w:cs="Arial"/>
          <w:bCs/>
          <w:color w:val="000000" w:themeColor="text1"/>
          <w:sz w:val="22"/>
          <w:szCs w:val="22"/>
        </w:rPr>
        <w:t>. The STOP Act</w:t>
      </w:r>
      <w:r w:rsidR="000312E4">
        <w:rPr>
          <w:rFonts w:ascii="Arial" w:hAnsi="Arial" w:cs="Arial"/>
          <w:bCs/>
          <w:color w:val="000000" w:themeColor="text1"/>
          <w:sz w:val="22"/>
          <w:szCs w:val="22"/>
        </w:rPr>
        <w:t xml:space="preserve">, among other mandates, </w:t>
      </w:r>
      <w:r w:rsidR="00BB67A6" w:rsidRPr="00AE2DEC">
        <w:rPr>
          <w:rFonts w:ascii="Arial" w:hAnsi="Arial" w:cs="Arial"/>
          <w:bCs/>
          <w:color w:val="000000" w:themeColor="text1"/>
          <w:sz w:val="22"/>
          <w:szCs w:val="22"/>
        </w:rPr>
        <w:t xml:space="preserve">limited </w:t>
      </w:r>
      <w:r w:rsidR="00937BED">
        <w:rPr>
          <w:rFonts w:ascii="Arial" w:hAnsi="Arial" w:cs="Arial"/>
          <w:bCs/>
          <w:color w:val="000000" w:themeColor="text1"/>
          <w:sz w:val="22"/>
          <w:szCs w:val="22"/>
        </w:rPr>
        <w:t>index</w:t>
      </w:r>
      <w:r w:rsidR="001F2C3A">
        <w:rPr>
          <w:rFonts w:ascii="Arial" w:hAnsi="Arial" w:cs="Arial"/>
          <w:bCs/>
          <w:color w:val="000000" w:themeColor="text1"/>
          <w:sz w:val="22"/>
          <w:szCs w:val="22"/>
        </w:rPr>
        <w:t xml:space="preserve"> (initial)</w:t>
      </w:r>
      <w:r w:rsidR="00AE2DEC" w:rsidRPr="00AE2DEC">
        <w:rPr>
          <w:rFonts w:ascii="Arial" w:hAnsi="Arial" w:cs="Arial"/>
          <w:bCs/>
          <w:color w:val="000000" w:themeColor="text1"/>
          <w:sz w:val="22"/>
          <w:szCs w:val="22"/>
        </w:rPr>
        <w:t xml:space="preserve"> opioid prescriptions </w:t>
      </w:r>
      <w:r w:rsidR="000312E4">
        <w:rPr>
          <w:rFonts w:ascii="Arial" w:hAnsi="Arial" w:cs="Arial"/>
          <w:bCs/>
          <w:color w:val="000000" w:themeColor="text1"/>
          <w:sz w:val="22"/>
          <w:szCs w:val="22"/>
        </w:rPr>
        <w:t xml:space="preserve">for acute and post-surgical pain </w:t>
      </w:r>
      <w:r w:rsidR="00AE2DEC" w:rsidRPr="00AE2DEC">
        <w:rPr>
          <w:rFonts w:ascii="Arial" w:hAnsi="Arial" w:cs="Arial"/>
          <w:bCs/>
          <w:color w:val="000000" w:themeColor="text1"/>
          <w:sz w:val="22"/>
          <w:szCs w:val="22"/>
        </w:rPr>
        <w:t xml:space="preserve">to </w:t>
      </w:r>
      <w:r w:rsidR="000312E4">
        <w:rPr>
          <w:rFonts w:ascii="Arial" w:hAnsi="Arial" w:cs="Arial"/>
          <w:bCs/>
          <w:color w:val="000000" w:themeColor="text1"/>
          <w:sz w:val="22"/>
          <w:szCs w:val="22"/>
        </w:rPr>
        <w:t xml:space="preserve">no more than </w:t>
      </w:r>
      <w:r w:rsidR="00AE2DEC" w:rsidRPr="00AE2DEC">
        <w:rPr>
          <w:rFonts w:ascii="Arial" w:hAnsi="Arial" w:cs="Arial"/>
          <w:bCs/>
          <w:color w:val="000000" w:themeColor="text1"/>
          <w:sz w:val="22"/>
          <w:szCs w:val="22"/>
        </w:rPr>
        <w:t>five days and seven days</w:t>
      </w:r>
      <w:r w:rsidR="000312E4">
        <w:rPr>
          <w:rFonts w:ascii="Arial" w:hAnsi="Arial" w:cs="Arial"/>
          <w:bCs/>
          <w:color w:val="000000" w:themeColor="text1"/>
          <w:sz w:val="22"/>
          <w:szCs w:val="22"/>
        </w:rPr>
        <w:t>, respectively</w:t>
      </w:r>
      <w:r w:rsidR="002B51D9">
        <w:rPr>
          <w:rFonts w:ascii="Arial" w:hAnsi="Arial" w:cs="Arial"/>
          <w:bCs/>
          <w:color w:val="000000" w:themeColor="text1"/>
          <w:sz w:val="22"/>
          <w:szCs w:val="22"/>
        </w:rPr>
        <w:t>,</w:t>
      </w:r>
      <w:r w:rsidR="00AE2DEC" w:rsidRPr="00AE2DEC">
        <w:rPr>
          <w:rFonts w:ascii="Arial" w:hAnsi="Arial" w:cs="Arial"/>
          <w:bCs/>
          <w:color w:val="000000" w:themeColor="text1"/>
          <w:sz w:val="22"/>
          <w:szCs w:val="22"/>
        </w:rPr>
        <w:t xml:space="preserve"> </w:t>
      </w:r>
      <w:r w:rsidR="000312E4">
        <w:rPr>
          <w:rFonts w:ascii="Arial" w:hAnsi="Arial" w:cs="Arial"/>
          <w:bCs/>
          <w:color w:val="000000" w:themeColor="text1"/>
          <w:sz w:val="22"/>
          <w:szCs w:val="22"/>
        </w:rPr>
        <w:t xml:space="preserve">beginning </w:t>
      </w:r>
      <w:r w:rsidR="00AE2DEC" w:rsidRPr="00AE2DEC">
        <w:rPr>
          <w:rFonts w:ascii="Arial" w:hAnsi="Arial" w:cs="Arial"/>
          <w:bCs/>
          <w:color w:val="000000" w:themeColor="text1"/>
          <w:sz w:val="22"/>
          <w:szCs w:val="22"/>
        </w:rPr>
        <w:t>January, 201</w:t>
      </w:r>
      <w:r w:rsidR="00AE2DEC">
        <w:rPr>
          <w:rFonts w:ascii="Arial" w:hAnsi="Arial" w:cs="Arial"/>
          <w:bCs/>
          <w:color w:val="000000" w:themeColor="text1"/>
          <w:sz w:val="22"/>
          <w:szCs w:val="22"/>
        </w:rPr>
        <w:t>8.</w:t>
      </w:r>
      <w:r w:rsidR="00AE2DEC">
        <w:rPr>
          <w:rFonts w:ascii="Arial" w:hAnsi="Arial" w:cs="Arial"/>
          <w:bCs/>
          <w:color w:val="000000" w:themeColor="text1"/>
          <w:sz w:val="22"/>
          <w:szCs w:val="22"/>
        </w:rPr>
        <w:fldChar w:fldCharType="begin"/>
      </w:r>
      <w:r w:rsidR="001B40DF">
        <w:rPr>
          <w:rFonts w:ascii="Arial" w:hAnsi="Arial" w:cs="Arial"/>
          <w:bCs/>
          <w:color w:val="000000" w:themeColor="text1"/>
          <w:sz w:val="22"/>
          <w:szCs w:val="22"/>
        </w:rPr>
        <w:instrText xml:space="preserve"> ADDIN ZOTERO_ITEM CSL_CITATION {"citationID":"zNFK7sBV","properties":{"formattedCitation":"\\super 13\\nosupersub{}","plainCitation":"13","noteIndex":0},"citationItems":[{"id":13759,"uris":["http://zotero.org/users/5919053/items/BN3CMSEC"],"itemData":{"id":13759,"type":"document","publisher":"North Carolina Medical Board","title":"The Strengthen Opioid Misuse Prevention (STOP) Act of 2017","URL":"https://www.ncmedboard.org/images/uploads/article_images/The_STOP_Act_summary-OnLetterhead.pdf","accessed":{"date-parts":[["2022",5,30]]},"issued":{"date-parts":[["2017"]]}}}],"schema":"https://github.com/citation-style-language/schema/raw/master/csl-citation.json"} </w:instrText>
      </w:r>
      <w:r w:rsidR="00AE2DEC">
        <w:rPr>
          <w:rFonts w:ascii="Arial" w:hAnsi="Arial" w:cs="Arial"/>
          <w:bCs/>
          <w:color w:val="000000" w:themeColor="text1"/>
          <w:sz w:val="22"/>
          <w:szCs w:val="22"/>
        </w:rPr>
        <w:fldChar w:fldCharType="separate"/>
      </w:r>
      <w:r w:rsidR="001B40DF" w:rsidRPr="001B40DF">
        <w:rPr>
          <w:rFonts w:ascii="Arial" w:hAnsi="Arial" w:cs="Arial"/>
          <w:color w:val="000000"/>
          <w:sz w:val="22"/>
          <w:vertAlign w:val="superscript"/>
        </w:rPr>
        <w:t>13</w:t>
      </w:r>
      <w:r w:rsidR="00AE2DEC">
        <w:rPr>
          <w:rFonts w:ascii="Arial" w:hAnsi="Arial" w:cs="Arial"/>
          <w:bCs/>
          <w:color w:val="000000" w:themeColor="text1"/>
          <w:sz w:val="22"/>
          <w:szCs w:val="22"/>
        </w:rPr>
        <w:fldChar w:fldCharType="end"/>
      </w:r>
      <w:r w:rsidR="00D21E0C">
        <w:rPr>
          <w:rFonts w:ascii="Arial" w:hAnsi="Arial" w:cs="Arial"/>
          <w:color w:val="000000" w:themeColor="text1"/>
          <w:sz w:val="22"/>
          <w:szCs w:val="22"/>
        </w:rPr>
        <w:t xml:space="preserve"> </w:t>
      </w:r>
    </w:p>
    <w:p w14:paraId="1949A667" w14:textId="09B09D0C" w:rsidR="00AE2DEC" w:rsidRDefault="00AE2DEC" w:rsidP="00AE2DEC">
      <w:pPr>
        <w:ind w:firstLine="360"/>
        <w:rPr>
          <w:rFonts w:ascii="Arial" w:hAnsi="Arial" w:cs="Arial"/>
          <w:sz w:val="22"/>
          <w:szCs w:val="22"/>
        </w:rPr>
      </w:pPr>
      <w:r w:rsidRPr="00AE2DEC">
        <w:rPr>
          <w:rFonts w:ascii="Arial" w:hAnsi="Arial" w:cs="Arial"/>
          <w:sz w:val="22"/>
          <w:szCs w:val="22"/>
        </w:rPr>
        <w:t xml:space="preserve">While the regulation of opioid prescribing is </w:t>
      </w:r>
      <w:r w:rsidR="000F59AD">
        <w:rPr>
          <w:rFonts w:ascii="Arial" w:hAnsi="Arial" w:cs="Arial"/>
          <w:sz w:val="22"/>
          <w:szCs w:val="22"/>
        </w:rPr>
        <w:t>understandable</w:t>
      </w:r>
      <w:r w:rsidR="000F59AD" w:rsidRPr="00AE2DEC">
        <w:rPr>
          <w:rFonts w:ascii="Arial" w:hAnsi="Arial" w:cs="Arial"/>
          <w:sz w:val="22"/>
          <w:szCs w:val="22"/>
        </w:rPr>
        <w:t xml:space="preserve"> </w:t>
      </w:r>
      <w:r w:rsidRPr="00AE2DEC">
        <w:rPr>
          <w:rFonts w:ascii="Arial" w:hAnsi="Arial" w:cs="Arial"/>
          <w:sz w:val="22"/>
          <w:szCs w:val="22"/>
        </w:rPr>
        <w:t xml:space="preserve">given the rise in opioid-related morbidity and mortality in the United States, </w:t>
      </w:r>
      <w:r w:rsidR="00B864DD">
        <w:rPr>
          <w:rFonts w:ascii="Arial" w:hAnsi="Arial" w:cs="Arial"/>
          <w:sz w:val="22"/>
          <w:szCs w:val="22"/>
        </w:rPr>
        <w:t xml:space="preserve">opioid prescriptions are still a necessary pain management resource </w:t>
      </w:r>
      <w:r>
        <w:rPr>
          <w:rFonts w:ascii="Arial" w:hAnsi="Arial" w:cs="Arial"/>
          <w:sz w:val="22"/>
          <w:szCs w:val="22"/>
        </w:rPr>
        <w:t>for</w:t>
      </w:r>
      <w:r w:rsidR="00B864DD">
        <w:rPr>
          <w:rFonts w:ascii="Arial" w:hAnsi="Arial" w:cs="Arial"/>
          <w:sz w:val="22"/>
          <w:szCs w:val="22"/>
        </w:rPr>
        <w:t xml:space="preserve"> patients.</w:t>
      </w:r>
    </w:p>
    <w:p w14:paraId="51B8EC81" w14:textId="2B36DAD7" w:rsidR="00614CA6" w:rsidRDefault="000835A4" w:rsidP="00D13221">
      <w:pPr>
        <w:rPr>
          <w:rFonts w:ascii="Arial" w:hAnsi="Arial" w:cs="Arial"/>
          <w:color w:val="000000" w:themeColor="text1"/>
          <w:sz w:val="22"/>
          <w:szCs w:val="22"/>
        </w:rPr>
      </w:pPr>
      <w:r>
        <w:rPr>
          <w:rFonts w:ascii="Arial" w:hAnsi="Arial" w:cs="Arial"/>
          <w:sz w:val="22"/>
          <w:szCs w:val="22"/>
        </w:rPr>
        <w:t>Premature or sudden discontinuation of high</w:t>
      </w:r>
      <w:r w:rsidR="00E279B6">
        <w:rPr>
          <w:rFonts w:ascii="Arial" w:hAnsi="Arial" w:cs="Arial"/>
          <w:sz w:val="22"/>
          <w:szCs w:val="22"/>
        </w:rPr>
        <w:t>-</w:t>
      </w:r>
      <w:r>
        <w:rPr>
          <w:rFonts w:ascii="Arial" w:hAnsi="Arial" w:cs="Arial"/>
          <w:sz w:val="22"/>
          <w:szCs w:val="22"/>
        </w:rPr>
        <w:t xml:space="preserve">dose opioid prescriptions can have negative consequences and could put patients’ safety at risk, such as resorting to </w:t>
      </w:r>
      <w:r w:rsidR="000F59AD">
        <w:rPr>
          <w:rFonts w:ascii="Arial" w:hAnsi="Arial" w:cs="Arial"/>
          <w:sz w:val="22"/>
          <w:szCs w:val="22"/>
        </w:rPr>
        <w:t xml:space="preserve">unregulated </w:t>
      </w:r>
      <w:r>
        <w:rPr>
          <w:rFonts w:ascii="Arial" w:hAnsi="Arial" w:cs="Arial"/>
          <w:sz w:val="22"/>
          <w:szCs w:val="22"/>
        </w:rPr>
        <w:t>opioids</w:t>
      </w:r>
      <w:r w:rsidR="00C31C36">
        <w:rPr>
          <w:rFonts w:ascii="Arial" w:hAnsi="Arial" w:cs="Arial"/>
          <w:sz w:val="22"/>
          <w:szCs w:val="22"/>
        </w:rPr>
        <w:t>,</w:t>
      </w:r>
      <w:r>
        <w:rPr>
          <w:rFonts w:ascii="Arial" w:hAnsi="Arial" w:cs="Arial"/>
          <w:sz w:val="22"/>
          <w:szCs w:val="22"/>
        </w:rPr>
        <w:t xml:space="preserve"> which could lead to opioid use disorder, overdose, and </w:t>
      </w:r>
      <w:r w:rsidR="002B51D9">
        <w:rPr>
          <w:rFonts w:ascii="Arial" w:hAnsi="Arial" w:cs="Arial"/>
          <w:sz w:val="22"/>
          <w:szCs w:val="22"/>
        </w:rPr>
        <w:t xml:space="preserve">even </w:t>
      </w:r>
      <w:r>
        <w:rPr>
          <w:rFonts w:ascii="Arial" w:hAnsi="Arial" w:cs="Arial"/>
          <w:sz w:val="22"/>
          <w:szCs w:val="22"/>
        </w:rPr>
        <w:t>death.</w:t>
      </w:r>
      <w:r w:rsidRPr="00B77651">
        <w:rPr>
          <w:rFonts w:ascii="Arial" w:hAnsi="Arial" w:cs="Arial"/>
          <w:color w:val="000000" w:themeColor="text1"/>
          <w:sz w:val="22"/>
          <w:szCs w:val="22"/>
        </w:rPr>
        <w:fldChar w:fldCharType="begin"/>
      </w:r>
      <w:r w:rsidR="001B40DF">
        <w:rPr>
          <w:rFonts w:ascii="Arial" w:hAnsi="Arial" w:cs="Arial"/>
          <w:color w:val="000000" w:themeColor="text1"/>
          <w:sz w:val="22"/>
          <w:szCs w:val="22"/>
        </w:rPr>
        <w:instrText xml:space="preserve"> ADDIN ZOTERO_ITEM CSL_CITATION {"citationID":"u9qtrrLl","properties":{"formattedCitation":"\\super 10,14\\uc0\\u8211{}21\\nosupersub{}","plainCitation":"10,14–21","noteIndex":0},"citationItems":[{"id":13749,"uris":["http://zotero.org/users/5919053/items/NKHX32NW"],"itemData":{"id":13749,"type":"article-journal","container-title":"New England Journal of Medicine","DOI":"10.1056/NEJMp1904190","ISSN":"0028-4793","issue":"24","journalAbbreviation":"N Engl J Med","note":"publisher: Massachusetts Medical Society","page":"2285-2287","title":"No Shortcuts to Safer Opioid Prescribing","volume":"380","author":[{"family":"Dowell","given":"Deborah"},{"family":"Haegerich","given":"Tamara"},{"family":"Chou","given":"Roger"}],"issued":{"date-parts":[["2019",6,13]]}}},{"id":13752,"uris":["http://zotero.org/users/5919053/items/VPL5HZP7"],"itemData":{"id":13752,"type":"article-journal","abstract":"BACKGROUND: Opioid prescribing guidelines recommend reducing or discontinuing opioids for chronic pain if harms of opioid treatment outweigh benefits. As opioid discontinuation becomes more prevalent, it is important to understand whether opioid discontinuation is associated with heroin use. In this study, we sought to assess the association between opioid discontinuation and heroin use documented in the medical record. METHODS :A matched nested case-control study was conducted in an integrated health plan and delivery system in Colorado. Patients receiving opioid therapy in the study period (January 2006—June 2018) were included. Opioid discontinuation was defined as ≥45 days with no opioids dispensed after initiating opioid therapy. The heroin use onset date represented the index date. Case patients were matched to up to 20 randomly selected patients without heroin use (control patients) by age, sex, calendar time, and time between initiating opioid therapy and the index date. Conditional logistic regression models estimated matched odds ratios (mOR) for the association between an opioid discontinuation prior to the index date and heroin use. RESULTS: Among 22,962 patients prescribed opioid therapy, 125 patients (0.54%) used heroin after initiating opioid therapy, of which 74 met criteria for inclusion in the analysis. The odds of opioid discontinuation were approximately two times higher in case patients (n = 74) than control patients (n = 1045; mOR = 2.19; 95% CI 1.27-3.78). CONCLUSIONS: Among patients prescribed chronic opioid therapy, the observed increased risk for heroin use associated with opioid discontinuation should be balanced with potential benefits.","container-title":"Drug and Alcohol Dependence","DOI":"10.1016/j.drugalcdep.2020.108248","ISSN":"0376-8716","journalAbbreviation":"Drug and Alcohol Dependence","page":"108248","title":"The Association between Opioid Discontinuation and Heroin Use: A Nested Case-Control Study","volume":"217","author":[{"family":"Binswanger","given":"Ingrid A."},{"family":"Glanz","given":"Jason M."},{"family":"Faul","given":"Mark"},{"family":"Shoup","given":"Jo Ann"},{"family":"Quintana","given":"LeeAnn M."},{"family":"Lyden","given":"Jennifer"},{"family":"Xu","given":"Stan"},{"family":"Narwaney","given":"Komal J."}],"issued":{"date-parts":[["2020",12,1]]}}},{"id":13753,"uris":["http://zotero.org/users/5919053/items/YZC8P3I7"],"itemData":{"id":13753,"type":"article-journal","container-title":"New England Journal of Medicine","DOI":"10.1056/NEJMra1802148","ISSN":"0028-4793","issue":"1","journalAbbreviation":"N Engl J Med","note":"publisher: Massachusetts Medical Society","page":"71-79","title":"Understanding Links among Opioid Use, Overdose, and Suicide","volume":"380","author":[{"family":"Bohnert","given":"Amy S.B."},{"family":"Ilgen","given":"Mark A."}],"issued":{"date-parts":[["2019",1,3]]}}},{"id":13755,"uris":["http://zotero.org/users/5919053/items/MV5BP9ZQ"],"itemData":{"id":13755,"type":"article-journal","abstract":"Background After decades of increased opioid pain reliever prescribing, providers are rapidly reducing prescribing. We hypothesized that reduced access to prescribed opioid pain relievers among patients previously reliant upon opioid pain relievers would result in increased illicit opioid use.   Methods and findings We conducted a retrospective cohort study among 602 publicly insured primary care patients who had been prescribed opioids for chronic non-cancer pain for at least three consecutive months in San Francisco, recruited through convenience sampling. We conducted a historical reconstruction interview and medical chart abstraction focused on illicit substance use and opioid pain reliever prescriptions, respectively, from 2012 through the interview date in 2017–2018. We used a nested-cohort design, in which patients were classified, based on opioid pain reliever dose change, into a series of nested cohorts starting with each follow-up quarter. Using continuation-ratio models, we estimated associations between opioid prescription discontinuation or 30% increase or decrease in dose, relative to no change, and subsequent frequency of heroin and non-prescribed opioid pain reliever use, separately. Models controlled for demographics, clinical and behavioral characteristics, and past use of heroin or non-prescribed opioid pain relievers. A total of 56,372 and 56,484 participant-quarter observations were included from the 597 and 598 participants available for analyses of heroin and non-prescribed opioid pain reliever outcomes, respectively. Participants discontinued from prescribed opioids were more likely to use heroin (Adjusted Odds Ratio (AOR) = 1.57, 95% CI: 1.25–1.97) and non-prescribed opioid pain relievers (AOR = 1.75, 1.45–2.11) more frequently in subsequent quarters compared to participants with unchanged opioid prescriptions. Participants whose opioid pain reliever dose increased were more likely to use heroin more frequently (AOR = 1.67, 1.32–2.12). Results held throughout sensitivity analyses. The main limitations were the observational nature of results and limited generalizability beyond safety-net settings.   Conclusions Discontinuation of prescribed opioid pain relievers was associated with more frequent non-prescribed opioid pain reliever and heroin use; increased dose was also associated with more frequent heroin use. Clinicians should be aware of these risks in determining pain management approaches.","container-title":"PLOS ONE","DOI":"10.1371/journal.pone.0232538","issue":"5","journalAbbreviation":"PLOS ONE","note":"publisher: Public Library of Science","page":"e0232538","title":"Illicit opioid use following changes in opioids prescribed for chronic non-cancer pain","volume":"15","author":[{"family":"Coffin","given":"Phillip O."},{"family":"Rowe","given":"Christopher"},{"family":"Oman","given":"Natalie"},{"family":"Sinchek","given":"Katie"},{"family":"Santos","given":"Glenn-Milo"},{"family":"Faul","given":"Mark"},{"family":"Bagnulo","given":"Rita"},{"family":"Mohamed","given":"Deeqa"},{"family":"Vittinghoff","given":"Eric"}],"issued":{"date-parts":[["2020",5,4]]}}},{"id":13727,"uris":["http://zotero.org/users/5919053/items/GYH5NQ5H"],"itemData":{"id":13727,"type":"article-journal","abstract":"A large proportion of individuals who use heroin report initiating opioid use with prescription opioids. However, patterns of prescription opioid use preceding heroin-related overdose have not been described.","container-title":"Journal of General Internal Medicine","DOI":"10.1007/s11606-020-06192-4","ISSN":"1525-1497","issue":"11","journalAbbreviation":"J GEN INTERN MED","language":"en","page":"3188-3196","source":"Springer Link","title":"Prescription Opioid Dispensing Patterns Prior to Heroin Overdose in a State Medicaid Program: a Case-Control Study","title-short":"Prescription Opioid Dispensing Patterns Prior to Heroin Overdose in a State Medicaid Program","volume":"35","author":[{"family":"Hartung","given":"Daniel M."},{"family":"Johnston","given":"Kirbee A."},{"family":"Hallvik","given":"Sara"},{"family":"Leichtling","given":"Gillian"},{"family":"Geddes","given":"Jonah"},{"family":"Hildebran","given":"Christi"},{"family":"Keast","given":"Shellie"},{"family":"Chan","given":"Brian"},{"family":"Korthuis","given":"P. Todd"}],"issued":{"date-parts":[["2020",11,1]]}}},{"id":13729,"uris":["http://zotero.org/users/5919053/items/JSZ6J2AT"],"itemData":{"id":13729,"type":"article-journal","abstract":"To identify potential areas for intervention and gain insight on current practice in patients who are tapered to zero morphine equivalent daily doses (MEDD) through the Pharmacy Pain E-Consult at a Veterans Healthcare System. This was done by describing the types of follow-up care and resources utilized by patients. This project is a retrospective chart review of Veterans with non-cancer pain on chronic-opioid therapy consulted to the pharmacy e-consult service and tapered to 0 MEDD. Descriptive statistics are collected one year pre-taper and one year post-taper. One year post-taper, approximately one-third of the patients were re-started on opioid therapy. However, average MEDD overall was significantly decreased one year post-taper compared to pre-taper. Average pain scores were not significantly different pre-taper compared to post-taper. Non-opioid medications generally increased post-taper. Follow-up with mental health and pain management clinical pharmacy specialists decreased post-taper. Tapering to zero MEDD did not lead to a significant increase in pain one-year post-taper; however, approximately 33% of patients were re-started on opioids within one year post-taper. Average MEDD scores decreased post-taper as expected but with effects on mental health being largely unknown, we believe that further study in this area will help us better support patients.","container-title":"Journal of Pain &amp; Palliative Care Pharmacotherapy","DOI":"10.1080/15360288.2021.1900492","ISSN":"1536-0288","issue":"2","note":"publisher: Taylor &amp; Francis\n_eprint: https://doi.org/10.1080/15360288.2021.1900492\nPMID: 33956566","page":"84-90","source":"Taylor and Francis+NEJM","title":"Characterizing Patients after Opioid Taper in a VA Medical Center","volume":"35","author":[{"family":"Muzzio","given":"Kathryn"},{"family":"Chandler","given":"Michael"},{"family":"Painter","given":"Jacob T."},{"family":"Dragic","given":"Lisa"}],"issued":{"date-parts":[["2021",4,3]]}}},{"id":13731,"uris":["http://zotero.org/users/5919053/items/YMSDSAKB"],"itemData":{"id":13731,"type":"article-journal","abstract":"Opioid tapering is increasingly utilized by providers to decrease risks of chronic opioid therapy, but it is unknown whether tapering is associated with termination of care.","container-title":"Journal of General Internal Medicine","DOI":"10.1007/s11606-019-05227-9","ISSN":"1525-1497","issue":"1","journalAbbreviation":"J GEN INTERN MED","language":"en","page":"36-42","source":"Springer Link","title":"Opioid Taper Is Associated with Subsequent Termination of Care: a Retrospective Cohort Study","title-short":"Opioid Taper Is Associated with Subsequent Termination of Care","volume":"35","author":[{"family":"Perez","given":"Hector R."},{"family":"Buonora","given":"Michele"},{"family":"Cunningham","given":"Chinazo O."},{"family":"Heo","given":"Moonseong"},{"family":"Starrels","given":"Joanna L."}],"issued":{"date-parts":[["2020",1,1]]}}},{"id":13716,"uris":["http://zotero.org/users/5919053/items/JSQ9AHNS"],"itemData":{"id":13716,"type":"article-journal","container-title":"American Journal of Preventive Medicine","DOI":"10.1016/j.amepre.2020.09.015","ISSN":"0749-3797, 1873-2607","issue":"3","journalAbbreviation":"American Journal of Preventive Medicine","language":"English","note":"publisher: Elsevier\nPMID: 33309449","page":"343-351","source":"www.ajpmonline.org","title":"State Medical Board Policy and Opioid Prescribing: A Controlled Interrupted Time Series","title-short":"State Medical Board Policy and Opioid Prescribing","volume":"60","author":[{"family":"Ranapurwala","given":"Shabbar I."},{"family":"Ringwalt","given":"Christopher L."},{"family":"Pence","given":"Brian W."},{"family":"Schiro","given":"Sharon"},{"family":"Fulcher","given":"Naoko"},{"family":"McCort","given":"Agnieszka"},{"family":"DiPrete","given":"Bethany L."},{"family":"Marshall","given":"Stephen W."}],"issued":{"date-parts":[["2021",3,1]]}}},{"id":13712,"uris":["http://zotero.org/users/5919053/items/MTQR5TIN"],"itemData":{"id":13712,"type":"document","abstract":"Press releases, advisories, telebriefings, transcripts and archives.","publisher":"Centers for Disease Control and Prevention","title":"CDC Advises Against Misapplication of the Guideline for Prescribing Opioids for Chronic Pain","URL":"https://www.cdc.gov/media/releases/2019/s0424-advises-misapplication-guideline-prescribing-opioids.html","accessed":{"date-parts":[["2022",5,29]]},"issued":{"date-parts":[["2019"]]}}}],"schema":"https://github.com/citation-style-language/schema/raw/master/csl-citation.json"} </w:instrText>
      </w:r>
      <w:r w:rsidRPr="00B77651">
        <w:rPr>
          <w:rFonts w:ascii="Arial" w:hAnsi="Arial" w:cs="Arial"/>
          <w:color w:val="000000" w:themeColor="text1"/>
          <w:sz w:val="22"/>
          <w:szCs w:val="22"/>
        </w:rPr>
        <w:fldChar w:fldCharType="separate"/>
      </w:r>
      <w:r w:rsidR="001B40DF" w:rsidRPr="001B40DF">
        <w:rPr>
          <w:rFonts w:ascii="Arial" w:hAnsi="Arial" w:cs="Arial"/>
          <w:color w:val="000000"/>
          <w:sz w:val="22"/>
          <w:vertAlign w:val="superscript"/>
        </w:rPr>
        <w:t>10,14–21</w:t>
      </w:r>
      <w:r w:rsidRPr="00B77651">
        <w:rPr>
          <w:rFonts w:ascii="Arial" w:hAnsi="Arial" w:cs="Arial"/>
          <w:color w:val="000000" w:themeColor="text1"/>
          <w:sz w:val="22"/>
          <w:szCs w:val="22"/>
        </w:rPr>
        <w:fldChar w:fldCharType="end"/>
      </w:r>
      <w:r w:rsidRPr="00B77651">
        <w:rPr>
          <w:rFonts w:ascii="Arial" w:hAnsi="Arial" w:cs="Arial"/>
          <w:color w:val="000000" w:themeColor="text1"/>
          <w:sz w:val="22"/>
          <w:szCs w:val="22"/>
        </w:rPr>
        <w:t xml:space="preserve"> </w:t>
      </w:r>
      <w:r w:rsidR="0008551C">
        <w:rPr>
          <w:rFonts w:ascii="Arial" w:hAnsi="Arial" w:cs="Arial"/>
          <w:color w:val="000000" w:themeColor="text1"/>
          <w:sz w:val="22"/>
          <w:szCs w:val="22"/>
        </w:rPr>
        <w:t>Prior studies have also found that racially minoritized populations are under prescribed pain medications leading to unmanaged pain.</w:t>
      </w:r>
      <w:r w:rsidR="00BA4FFC">
        <w:rPr>
          <w:rFonts w:ascii="Arial" w:hAnsi="Arial" w:cs="Arial"/>
          <w:color w:val="000000" w:themeColor="text1"/>
          <w:sz w:val="22"/>
          <w:szCs w:val="22"/>
        </w:rPr>
        <w:fldChar w:fldCharType="begin"/>
      </w:r>
      <w:r w:rsidR="001B40DF">
        <w:rPr>
          <w:rFonts w:ascii="Arial" w:hAnsi="Arial" w:cs="Arial"/>
          <w:color w:val="000000" w:themeColor="text1"/>
          <w:sz w:val="22"/>
          <w:szCs w:val="22"/>
        </w:rPr>
        <w:instrText xml:space="preserve"> ADDIN ZOTERO_ITEM CSL_CITATION {"citationID":"OZ3P7gFO","properties":{"formattedCitation":"\\super 22\\uc0\\u8211{}26\\nosupersub{}","plainCitation":"22–26","noteIndex":0},"citationItems":[{"id":14089,"uris":["http://zotero.org/users/5919053/items/WTIHTAPD"],"itemData":{"id":14089,"type":"article-journal","abstract":"OBJECTIVE: To evaluate whether pain management clinic laws and prescription drug monitoring program (PDMP) prescriber check mandates, two state opioid policies with relatively rapid adoption across states, reduced opioid dispensing more or less in Black versus White patients.\nDATA SOURCES: Pharmacy claims data, US sample of commercially insured adults, 2007-2018.\nSTUDY DESIGN: Stratifying by race, we used generalized estimating equations with an event-study specification to estimate time-varying effects of each policy on opioid dispensing, comparing to the four pre-policy quarters and states without the policy. Outcomes included high-dosage opioids, overlapping opioid prescriptions, concurrent opioid/benzodiazepines, opioids from &gt;3 prescribers, opioids from &gt;3 pharmacies.\nDATA EXTRACTION METHODS: We identified all prescription opioid dispensing to Black and White adults aged 18-64 without a palliative care or cancer diagnosis code.\nPRINCIPAL FINDINGS: Exactly 7,096,592 White and 1,167,310 Black individuals met inclusion criteria. Pain management clinic laws were associated with reductions in two outcomes; their association with high-dosage receipt was larger among White patients. In contrast, reductions due to PDMP mandates appeared limited to, or larger in, Black patients compared with White patients in four of five outcomes. For example, PDMP mandates reduced high-dosage receipt in Black patients by 0.7 percentage points (95% CI: 0.36-1.08 ppt.) over 4 years: an 8.4% decrease from baseline; there was no apparent effect in White patients. Similarly, while there was limited evidence that mandates reduced overlapping opioid receipt in White patients, they appeared to reduce overlapping opioid receipt in Black patients by 1.3 ppt. (95% CI: -1.66--1.01 ppt.) across post-policy years-a 14.4% decrease from baseline.\nCONCLUSIONS: PDMP prescriber check mandates but not pain management clinic laws appeared to reduce opioid dispensing more in Black patients than White patients. Future research should discern the mechanisms underlying these disparities and their consequences for pain management.","container-title":"Health Services Research","DOI":"10.1111/1475-6773.13968","ISSN":"1475-6773","issue":"3","journalAbbreviation":"Health Serv Res","language":"eng","note":"PMID: 35243639\nPMCID: PMC9108058","page":"482-496","source":"PubMed","title":"Did prescribing laws disproportionately affect opioid dispensing to Black patients?","volume":"57","author":[{"family":"Townsend","given":"Tarlise N."},{"family":"Bohnert","given":"Amy S. B."},{"family":"Lagisetty","given":"Pooja"},{"family":"Haffajee","given":"Rebecca L."}],"issued":{"date-parts":[["2022",6]]}}},{"id":14097,"uris":["http://zotero.org/users/5919053/items/7XDMSXQY"],"itemData":{"id":14097,"type":"article-journal","abstract":"Importance: Substantial patient racial and ethnic differences in opioid prescribing have been documented, but how much of these differences were attributable to physicians prescribing opioids differently to patients of racial and ethnic minority groups is unknown, particularly during the first wave of the opioid epidemic when the dangers of opioid prescribing and use were not as well known.\nObjective: To examine associations of patient race and ethnicity with differences in opioid prescribing by the same primary care physician (PCP) for new low back pain episodes among older adults from 2007 to 2014.\nDesign Setting and Participants: This cross-sectional study used Medicare data of PCP office visits by Medicare beneficiaries who were 66 years or older with new low back pain.\nMain Outcomes and Measures: Prescribing of any opioid in the first year of a new low back pain episode (days 1-365) and subsequent long-term use of an opioid (prescribed for ≥180 days in days 366-730).\nResults: Among the study population of 274 771 patients (mean [SD] age, 77.1 [7.2] years; 192 105 [69.9%] women) with new low back pain, 15 285 (6%) were Asian or Pacific Islander, 16 079 (6%) were Black, 21 289 (8%) were Hispanic, and 222 118 (81%) were White, cared for by 63 494 physicians. In adjusted analysis, on average, 11.5% of the White patients (95% CI, 11.4 to 11.6) received an opioid prescription in the first year of new low back pain. The same prescribing physician was 1.5 percentage points (PP; 95% CI, -2.2 PP to -0.8 PP) less likely to prescribe an opioid if the patient was Black, 2.7 PP (95% CI, -3.5 PP to -1.8 PP) less likely if the patient was Asian or Pacific Islander, and 1.0 PP (95% CI, -1.7 PP to -0.3 PP) less likely if the patient was Hispanic. The same physician was more likely to prescribe a prescription nonsteroidal anti-inflammatory drug to a patient of a racial or ethnic minority group. White patients with new low back pain were more likely to develop subsequent long-term opioid use than patients of racial and ethnic minority groups (eg, 1.8% for White patients vs 0.5% for Hispanic patients).\nConclusions and Relevance: This cross-sectional study found that from 2007 to 2014, primary care physicians prescribed opioids for new low back pain more often to White patients than to patients of racial and ethnic minority groups. These results suggest that there may have been unequal treatment of pain by physicians when less was known about the morbidity associated with opioid use.","container-title":"JAMA health forum","DOI":"10.1001/jamahealthforum.2021.2333","ISSN":"2689-0186","issue":"9","journalAbbreviation":"JAMA Health Forum","language":"eng","note":"PMID: 35977182\nPMCID: PMC8796941","page":"e212333","source":"PubMed","title":"Association of Patient Race and Ethnicity With Differences in Opioid Prescribing by Primary Care Physicians for Older Adults With New Low Back Pain","volume":"2","author":[{"family":"Ly","given":"Dan P."}],"issued":{"date-parts":[["2021",9]]}}},{"id":14103,"uris":["http://zotero.org/users/5919053/items/UXTYUTEF"],"itemData":{"id":14103,"type":"article-journal","abstract":"Background: Most research on opioid misuse focuses on younger adults, yet opioid-related mortality has risen fastest among older Americans over age 55.Objectives: To assess whether there are differential patterns of opioid misuse over time between younger and older adults and whether South Carolina's mandatory Prescription Drug Monitoring Program (PDMP) affected opioid misuse differentially between the two groups.Methods: We used South Carolina's Reporting and Identification Prescription Tracking System from 2010 to 2018 to calculate an opioid misuse score for 193,073 patients (sex unknown) using days' supply, morphine milligram equivalents (MME), and the numbers of unique prescribers and dispensaries. Multivariable regression was used to assess differential opioid misuse patterns by age group over time and in response to implementation of South Carolina's mandatory PDMP in 2017.Results: We found that between 2011 and 2018, older adults received 57% (p &lt; .01) more in total MME and 25.4 days more (p &lt; .01) in supply, but received prescriptions from fewer doctors (-0.063 doctors, p &lt; 01) and pharmacies (-0.11 pharmacies, p &lt; 01) per year versus younger adults. However, older adults had lower odds of receiving a high misuse score (OR 0.88, p &lt; .01). After the 2017 legislation, misuse scores fell among younger adults (OR 0.79, p &lt; .01) relative to 2011, but not among older adults.Conclusion: Older adults may misuse opioids differently compared to younger adults. Assessment of policies to reduce opioid misuse should take into account subgroup differences that may be masked at the population level.","container-title":"The American Journal of Drug and Alcohol Abuse","DOI":"10.1080/00952990.2022.2124380","ISSN":"1097-9891","issue":"5","journalAbbreviation":"Am J Drug Alcohol Abuse","language":"eng","note":"PMID: 36194086","page":"618-628","source":"PubMed","title":"Differential patterns of opioid misuse between younger and older adults - a retrospective observational study using data from South Carolina's prescription drug monitoring program","volume":"48","author":[{"family":"Zhang","given":"Suyanpeng"},{"family":"Silverman","given":"Allie"},{"family":"Suen","given":"Sze-Chuan"},{"family":"Andrews","given":"Christina"},{"family":"Chen","given":"Brian K."}],"issued":{"date-parts":[["2022",9,3]]}}},{"id":14105,"uris":["http://zotero.org/users/5919053/items/Y4CS3CUQ"],"itemData":{"id":14105,"type":"article-journal","abstract":"Objective Chronic pain affects both psychological and physical functioning, and is responsible for more than $60 billion in lost productivity annually in the United States. Although previous studies have demonstrated racial disparities in opioid treatment, there is little evidence regarding disparities in treatment of chronic noncancer pain (CNCP) and the role played by physician specialty in these disparities. Design A retrospective cohort study. Setting We analyzed North Carolina Medicaid claims data, from July 1, 2009 to May 31, 2010, to examine disparities by different provider specialties in beneficiaries' dispensed prescriptions for opioids. Subjects The population included white and black North Carolina Medicaid beneficiaries with CNCP (N = 75,458). Methods We used bivariate statistics and logistic regression analysis to examine race-based discrepancies in opioid prescribing by physician specialty. Results Compared with white beneficiaries with CNCP (N = 49,197), black beneficiaries (N = 26,261) were less likely (odds ratio [OR] 0.91 [confidence interval CI: 0.88–0.94]) to fill an opioid prescription. Our hypothesis was partially supported: we found that race-based differences in beneficiaries' dispensed opioid prescriptions were more prominent in certain specialties. In particular, these differences were most salient among patients of specialists in obstetrics and gynecology (OR 0.78 [CI: 0.67–0.89]) and internal medicine (OR 0.86 [CI: 0.79–0.92]), as well as general practitioners/family medicine physicians (OR 0.91 [CI: 0.85–0.97]). Conclusions Our findings suggest that, in our study population, black beneficiaries with CNCP are less likely than whites to fill prescriptions for opioid analgesics as a function of their provider's specialty. Although race-based differences in patients filling opioid prescriptions have been noted in previous studies, this is the first study that clearly demonstrates these disparities by provider specialty.","container-title":"Pain Medicine","DOI":"10.1111/pme.12555","ISSN":"1526-4637","issue":"4","language":"en","note":"_eprint: https://onlinelibrary.wiley.com/doi/pdf/10.1111/pme.12555","page":"633-640","source":"Wiley Online Library","title":"Racial Disparities Across Provider Specialties in Opioid Prescriptions Dispensed to Medicaid Beneficiaries with Chronic Noncancer Pain","volume":"16","author":[{"family":"Ringwalt","given":"Chris"},{"family":"Roberts","given":"Andrew W."},{"family":"Gugelmann","given":"Hallam"},{"family":"Skinner","given":"Asheley Cockrell"}],"issued":{"date-parts":[["2015"]]}}},{"id":13769,"uris":["http://zotero.org/users/5919053/items/9J8XEEM8"],"itemData":{"id":13769,"type":"article-journal","abstract":"BACKGROUND\nHistorically, the receipt of prescription opioids has differed among racial groups in the United States. Research has not sufficiently explored the contribution of individual health systems to these differences by examining within-system prescription opioid receipt according to race.\n\nMETHODS\nWe used 2016 and 2017 Medicare claims data from a random 40% national sample of fee-for-service, Black and White beneficiaries 18 to 64 years of age who were attributed to health systems. We identified 310 racially diverse systems (defined as systems with ≥200 person-years each for Black and White patients). To test representativeness, we compared patient characteristics and opioid receipt among the patients in these 310 systems with those in the national sample. Within the 310 systems, regression models were used to explore the difference between Black and White patients in the following annual opioid measures: any prescription filled, short-term receipt of opioids, long-term receipt of opioids (one or more filled opioid prescriptions in all four calendar quarters of a year), and the opioid dose in morphine milligram equivalents (MME); models controlled for patient characteristics, state, and system.\n\nRESULTS\nThe national sample included 2,197,153 person-years, and the sample served by 310 racially diverse systems included 896,807 person-years (representing 47.4% of all patients and 56.1% of Black patients in the national sample). The national sample and 310-systems sample differed meaningfully only in the percent of person-years contributed by Black patients (21.3% vs. 25.9%). In the 310-systems sample, the crude annual prevalence of any opioid receipt differed slightly between Black and White patients (50.2% vs. 52.2%), whereas the mean annual dose was 36% lower among Black patients than among White patients (5190 MME vs. 8082 MME). Within systems, the adjusted race differences in measures paralleled the population trends: the annual prevalence of opioid receipt differed little, but the mean annual dose was higher among White patients than among Black patients in 91% of the systems, and at least 15% higher in 75% of the systems.\n\nCONCLUSIONS\nWithin individual health systems, Black and White patients received markedly different opioid doses. These system-specific findings could facilitate exploration of the causes and consequences of these differences. (Funded by the National Institute on Aging and the Agency for Healthcare Research and Quality.)","container-title":"The New England journal of medicine","DOI":"10.1056/NEJMsa2034159","ISSN":"0028-4793","issue":"4","journalAbbreviation":"N Engl J Med","note":"PMID: 34289277\nPMCID: PMC8402927","page":"342-351","source":"PubMed Central","title":"Racial Inequality in Prescription Opioid Receipt — Role of Individual Health Systems","volume":"385","author":[{"family":"Morden","given":"Nancy E."},{"family":"Chyn","given":"Deanna"},{"family":"Wood","given":"Andrew"},{"family":"Meara","given":"Ellen"}],"issued":{"date-parts":[["2021",7,22]]}}}],"schema":"https://github.com/citation-style-language/schema/raw/master/csl-citation.json"} </w:instrText>
      </w:r>
      <w:r w:rsidR="00BA4FFC">
        <w:rPr>
          <w:rFonts w:ascii="Arial" w:hAnsi="Arial" w:cs="Arial"/>
          <w:color w:val="000000" w:themeColor="text1"/>
          <w:sz w:val="22"/>
          <w:szCs w:val="22"/>
        </w:rPr>
        <w:fldChar w:fldCharType="separate"/>
      </w:r>
      <w:r w:rsidR="001B40DF" w:rsidRPr="001B40DF">
        <w:rPr>
          <w:rFonts w:ascii="Arial" w:hAnsi="Arial" w:cs="Arial"/>
          <w:color w:val="000000"/>
          <w:sz w:val="22"/>
          <w:vertAlign w:val="superscript"/>
        </w:rPr>
        <w:t>22–26</w:t>
      </w:r>
      <w:r w:rsidR="00BA4FFC">
        <w:rPr>
          <w:rFonts w:ascii="Arial" w:hAnsi="Arial" w:cs="Arial"/>
          <w:color w:val="000000" w:themeColor="text1"/>
          <w:sz w:val="22"/>
          <w:szCs w:val="22"/>
        </w:rPr>
        <w:fldChar w:fldCharType="end"/>
      </w:r>
      <w:r w:rsidR="00B77651" w:rsidRPr="00B77651">
        <w:rPr>
          <w:rFonts w:ascii="Arial" w:hAnsi="Arial" w:cs="Arial"/>
          <w:color w:val="000000" w:themeColor="text1"/>
          <w:sz w:val="22"/>
          <w:szCs w:val="22"/>
        </w:rPr>
        <w:t xml:space="preserve"> </w:t>
      </w:r>
      <w:r w:rsidR="00AB23F7">
        <w:rPr>
          <w:rFonts w:ascii="Arial" w:hAnsi="Arial" w:cs="Arial"/>
          <w:color w:val="000000" w:themeColor="text1"/>
          <w:sz w:val="22"/>
          <w:szCs w:val="22"/>
        </w:rPr>
        <w:t xml:space="preserve">Opioid limiting policies could therefore have an outsized effect on pain management among racially minoritized people. </w:t>
      </w:r>
      <w:r w:rsidR="00AB23F7" w:rsidRPr="00B77651">
        <w:rPr>
          <w:rFonts w:ascii="Arial" w:hAnsi="Arial" w:cs="Arial"/>
          <w:color w:val="000000" w:themeColor="text1"/>
          <w:sz w:val="22"/>
          <w:szCs w:val="22"/>
        </w:rPr>
        <w:t xml:space="preserve">Therefore, </w:t>
      </w:r>
      <w:r w:rsidR="00AB23F7">
        <w:rPr>
          <w:rFonts w:ascii="Arial" w:hAnsi="Arial" w:cs="Arial"/>
          <w:color w:val="000000" w:themeColor="text1"/>
          <w:sz w:val="22"/>
          <w:szCs w:val="22"/>
        </w:rPr>
        <w:t>the effects</w:t>
      </w:r>
      <w:r w:rsidR="00AB23F7" w:rsidRPr="00B77651">
        <w:rPr>
          <w:rFonts w:ascii="Arial" w:hAnsi="Arial" w:cs="Arial"/>
          <w:color w:val="000000" w:themeColor="text1"/>
          <w:sz w:val="22"/>
          <w:szCs w:val="22"/>
        </w:rPr>
        <w:t xml:space="preserve"> of policies aimed at regulating opioid prescribing need to be evaluated</w:t>
      </w:r>
      <w:r w:rsidR="00AB23F7">
        <w:rPr>
          <w:rFonts w:ascii="Arial" w:hAnsi="Arial" w:cs="Arial"/>
          <w:color w:val="000000" w:themeColor="text1"/>
          <w:sz w:val="22"/>
          <w:szCs w:val="22"/>
        </w:rPr>
        <w:t xml:space="preserve"> by race and ethnicity, age, and sex. </w:t>
      </w:r>
    </w:p>
    <w:p w14:paraId="191BCB4E" w14:textId="0F1BA46F" w:rsidR="00900405" w:rsidRPr="00B77651" w:rsidRDefault="008F4E38" w:rsidP="00614CA6">
      <w:pPr>
        <w:ind w:firstLine="720"/>
        <w:rPr>
          <w:rFonts w:ascii="Arial" w:hAnsi="Arial" w:cs="Arial"/>
          <w:bCs/>
          <w:sz w:val="22"/>
          <w:szCs w:val="22"/>
        </w:rPr>
      </w:pPr>
      <w:r>
        <w:rPr>
          <w:rFonts w:ascii="Arial" w:hAnsi="Arial" w:cs="Arial"/>
          <w:color w:val="000000" w:themeColor="text1"/>
          <w:sz w:val="22"/>
          <w:szCs w:val="22"/>
        </w:rPr>
        <w:t xml:space="preserve">Accordingly, </w:t>
      </w:r>
      <w:r w:rsidR="00AB23F7">
        <w:rPr>
          <w:rFonts w:ascii="Arial" w:hAnsi="Arial" w:cs="Arial"/>
          <w:color w:val="000000" w:themeColor="text1"/>
          <w:sz w:val="22"/>
          <w:szCs w:val="22"/>
        </w:rPr>
        <w:t xml:space="preserve">we evaluated </w:t>
      </w:r>
      <w:r w:rsidR="00900405">
        <w:rPr>
          <w:rFonts w:ascii="Arial" w:hAnsi="Arial" w:cs="Arial"/>
          <w:bCs/>
          <w:sz w:val="22"/>
          <w:szCs w:val="22"/>
        </w:rPr>
        <w:t xml:space="preserve">the impacts </w:t>
      </w:r>
      <w:r w:rsidR="00900405" w:rsidRPr="00B77651">
        <w:rPr>
          <w:rFonts w:ascii="Arial" w:hAnsi="Arial" w:cs="Arial"/>
          <w:bCs/>
          <w:sz w:val="22"/>
          <w:szCs w:val="22"/>
        </w:rPr>
        <w:t xml:space="preserve">of </w:t>
      </w:r>
      <w:r w:rsidR="00900405">
        <w:rPr>
          <w:rFonts w:ascii="Arial" w:hAnsi="Arial" w:cs="Arial"/>
          <w:bCs/>
          <w:sz w:val="22"/>
          <w:szCs w:val="22"/>
        </w:rPr>
        <w:t>SOPI and</w:t>
      </w:r>
      <w:r w:rsidR="00D13221">
        <w:rPr>
          <w:rFonts w:ascii="Arial" w:hAnsi="Arial" w:cs="Arial"/>
          <w:bCs/>
          <w:sz w:val="22"/>
          <w:szCs w:val="22"/>
        </w:rPr>
        <w:t xml:space="preserve"> </w:t>
      </w:r>
      <w:r w:rsidR="000E6B30">
        <w:rPr>
          <w:rFonts w:ascii="Arial" w:hAnsi="Arial" w:cs="Arial"/>
          <w:bCs/>
          <w:sz w:val="22"/>
          <w:szCs w:val="22"/>
        </w:rPr>
        <w:t>STOP Act</w:t>
      </w:r>
      <w:r w:rsidR="00900405">
        <w:rPr>
          <w:rFonts w:ascii="Arial" w:hAnsi="Arial" w:cs="Arial"/>
          <w:bCs/>
          <w:sz w:val="22"/>
          <w:szCs w:val="22"/>
        </w:rPr>
        <w:t xml:space="preserve"> on</w:t>
      </w:r>
      <w:r w:rsidR="00D13221">
        <w:rPr>
          <w:rFonts w:ascii="Arial" w:hAnsi="Arial" w:cs="Arial"/>
          <w:bCs/>
          <w:sz w:val="22"/>
          <w:szCs w:val="22"/>
        </w:rPr>
        <w:t xml:space="preserve"> opioid prescribing </w:t>
      </w:r>
      <w:r w:rsidR="00CE41CF">
        <w:rPr>
          <w:rFonts w:ascii="Arial" w:hAnsi="Arial" w:cs="Arial"/>
          <w:bCs/>
          <w:sz w:val="22"/>
          <w:szCs w:val="22"/>
        </w:rPr>
        <w:t xml:space="preserve">and dispensing </w:t>
      </w:r>
      <w:r w:rsidR="00D13221">
        <w:rPr>
          <w:rFonts w:ascii="Arial" w:hAnsi="Arial" w:cs="Arial"/>
          <w:bCs/>
          <w:sz w:val="22"/>
          <w:szCs w:val="22"/>
        </w:rPr>
        <w:t>among acute and post-surgical pain patients who received treatment in two large NC-based integrated healthcare systems</w:t>
      </w:r>
      <w:r w:rsidR="00AB23F7">
        <w:rPr>
          <w:rFonts w:ascii="Arial" w:hAnsi="Arial" w:cs="Arial"/>
          <w:bCs/>
          <w:sz w:val="22"/>
          <w:szCs w:val="22"/>
        </w:rPr>
        <w:t xml:space="preserve">, and </w:t>
      </w:r>
      <w:r w:rsidR="00614CA6">
        <w:rPr>
          <w:rFonts w:ascii="Arial" w:hAnsi="Arial" w:cs="Arial"/>
          <w:bCs/>
          <w:sz w:val="22"/>
          <w:szCs w:val="22"/>
        </w:rPr>
        <w:t xml:space="preserve">examined modification of the policy impact </w:t>
      </w:r>
      <w:r w:rsidR="00D13221">
        <w:rPr>
          <w:rFonts w:ascii="Arial" w:hAnsi="Arial" w:cs="Arial"/>
          <w:bCs/>
          <w:sz w:val="22"/>
          <w:szCs w:val="22"/>
        </w:rPr>
        <w:t xml:space="preserve">by </w:t>
      </w:r>
      <w:r w:rsidR="00900405">
        <w:rPr>
          <w:rFonts w:ascii="Arial" w:hAnsi="Arial" w:cs="Arial"/>
          <w:bCs/>
          <w:sz w:val="22"/>
          <w:szCs w:val="22"/>
        </w:rPr>
        <w:t>race</w:t>
      </w:r>
      <w:r w:rsidR="00545F00">
        <w:rPr>
          <w:rFonts w:ascii="Arial" w:hAnsi="Arial" w:cs="Arial"/>
          <w:bCs/>
          <w:sz w:val="22"/>
          <w:szCs w:val="22"/>
        </w:rPr>
        <w:t xml:space="preserve">, </w:t>
      </w:r>
      <w:r w:rsidR="00857A5E">
        <w:rPr>
          <w:rFonts w:ascii="Arial" w:hAnsi="Arial" w:cs="Arial"/>
          <w:bCs/>
          <w:sz w:val="22"/>
          <w:szCs w:val="22"/>
        </w:rPr>
        <w:t>ethnicity</w:t>
      </w:r>
      <w:r w:rsidR="00900405">
        <w:rPr>
          <w:rFonts w:ascii="Arial" w:hAnsi="Arial" w:cs="Arial"/>
          <w:bCs/>
          <w:sz w:val="22"/>
          <w:szCs w:val="22"/>
        </w:rPr>
        <w:t xml:space="preserve">, age, and sex.  </w:t>
      </w:r>
    </w:p>
    <w:p w14:paraId="7ABDA0DB" w14:textId="77777777" w:rsidR="00900405" w:rsidRPr="00B77651" w:rsidRDefault="00900405" w:rsidP="00D13221">
      <w:pPr>
        <w:ind w:firstLine="720"/>
        <w:rPr>
          <w:rFonts w:ascii="Arial" w:hAnsi="Arial" w:cs="Arial"/>
          <w:bCs/>
          <w:sz w:val="22"/>
          <w:szCs w:val="22"/>
        </w:rPr>
      </w:pPr>
    </w:p>
    <w:p w14:paraId="241AA008" w14:textId="77777777" w:rsidR="00EB1FF1" w:rsidRPr="006112E3" w:rsidRDefault="00EB1FF1" w:rsidP="00B22EB8">
      <w:pPr>
        <w:rPr>
          <w:rFonts w:ascii="Arial" w:hAnsi="Arial" w:cs="Arial"/>
          <w:b/>
          <w:bCs/>
          <w:color w:val="000000" w:themeColor="text1"/>
          <w:sz w:val="22"/>
          <w:szCs w:val="22"/>
        </w:rPr>
      </w:pPr>
    </w:p>
    <w:p w14:paraId="413DA264" w14:textId="7E10C503" w:rsidR="00B22EB8" w:rsidRPr="006112E3" w:rsidRDefault="0061494C" w:rsidP="00B22EB8">
      <w:pPr>
        <w:rPr>
          <w:rFonts w:ascii="Arial" w:hAnsi="Arial" w:cs="Arial"/>
          <w:b/>
          <w:bCs/>
          <w:color w:val="000000" w:themeColor="text1"/>
          <w:sz w:val="22"/>
          <w:szCs w:val="22"/>
        </w:rPr>
      </w:pPr>
      <w:r w:rsidRPr="006112E3">
        <w:rPr>
          <w:rFonts w:ascii="Arial" w:hAnsi="Arial" w:cs="Arial"/>
          <w:b/>
          <w:bCs/>
          <w:color w:val="000000" w:themeColor="text1"/>
          <w:sz w:val="22"/>
          <w:szCs w:val="22"/>
        </w:rPr>
        <w:t>Methods</w:t>
      </w:r>
    </w:p>
    <w:p w14:paraId="5F181353" w14:textId="77571856" w:rsidR="00B438B8" w:rsidRPr="006112E3" w:rsidRDefault="00796AFB" w:rsidP="00FB061F">
      <w:pPr>
        <w:ind w:firstLine="720"/>
        <w:rPr>
          <w:rFonts w:ascii="Arial" w:hAnsi="Arial" w:cs="Arial"/>
          <w:bCs/>
          <w:color w:val="000000" w:themeColor="text1"/>
          <w:sz w:val="22"/>
          <w:szCs w:val="22"/>
        </w:rPr>
      </w:pPr>
      <w:r>
        <w:rPr>
          <w:rFonts w:ascii="Arial" w:hAnsi="Arial" w:cs="Arial"/>
          <w:bCs/>
          <w:color w:val="000000" w:themeColor="text1"/>
          <w:sz w:val="22"/>
          <w:szCs w:val="22"/>
        </w:rPr>
        <w:t xml:space="preserve">We </w:t>
      </w:r>
      <w:r w:rsidR="00AB23F7">
        <w:rPr>
          <w:rFonts w:ascii="Arial" w:hAnsi="Arial" w:cs="Arial"/>
          <w:bCs/>
          <w:color w:val="000000" w:themeColor="text1"/>
          <w:sz w:val="22"/>
          <w:szCs w:val="22"/>
        </w:rPr>
        <w:t xml:space="preserve">used retrospective cohorts of post-surgical and injury patients and </w:t>
      </w:r>
      <w:r w:rsidR="00BB38EC">
        <w:rPr>
          <w:rFonts w:ascii="Arial" w:hAnsi="Arial" w:cs="Arial"/>
          <w:bCs/>
          <w:color w:val="000000" w:themeColor="text1"/>
          <w:sz w:val="22"/>
          <w:szCs w:val="22"/>
        </w:rPr>
        <w:t>conducted controlled</w:t>
      </w:r>
      <w:r w:rsidR="00B22EB8" w:rsidRPr="006112E3">
        <w:rPr>
          <w:rFonts w:ascii="Arial" w:hAnsi="Arial" w:cs="Arial"/>
          <w:bCs/>
          <w:color w:val="000000" w:themeColor="text1"/>
          <w:sz w:val="22"/>
          <w:szCs w:val="22"/>
        </w:rPr>
        <w:t xml:space="preserve"> </w:t>
      </w:r>
      <w:r w:rsidR="007F0D18">
        <w:rPr>
          <w:rFonts w:ascii="Arial" w:hAnsi="Arial" w:cs="Arial"/>
          <w:bCs/>
          <w:color w:val="000000" w:themeColor="text1"/>
          <w:sz w:val="22"/>
          <w:szCs w:val="22"/>
        </w:rPr>
        <w:t xml:space="preserve">and single </w:t>
      </w:r>
      <w:r w:rsidR="00B22EB8" w:rsidRPr="006112E3">
        <w:rPr>
          <w:rFonts w:ascii="Arial" w:hAnsi="Arial" w:cs="Arial"/>
          <w:bCs/>
          <w:color w:val="000000" w:themeColor="text1"/>
          <w:sz w:val="22"/>
          <w:szCs w:val="22"/>
        </w:rPr>
        <w:t>interrupted</w:t>
      </w:r>
      <w:r w:rsidR="0061494C" w:rsidRPr="006112E3">
        <w:rPr>
          <w:rFonts w:ascii="Arial" w:hAnsi="Arial" w:cs="Arial"/>
          <w:bCs/>
          <w:color w:val="000000" w:themeColor="text1"/>
          <w:sz w:val="22"/>
          <w:szCs w:val="22"/>
        </w:rPr>
        <w:t xml:space="preserve"> time series </w:t>
      </w:r>
      <w:r w:rsidR="00AB23F7">
        <w:rPr>
          <w:rFonts w:ascii="Arial" w:hAnsi="Arial" w:cs="Arial"/>
          <w:bCs/>
          <w:color w:val="000000" w:themeColor="text1"/>
          <w:sz w:val="22"/>
          <w:szCs w:val="22"/>
        </w:rPr>
        <w:t xml:space="preserve">analyses </w:t>
      </w:r>
      <w:r w:rsidR="0061494C" w:rsidRPr="006112E3">
        <w:rPr>
          <w:rFonts w:ascii="Arial" w:hAnsi="Arial" w:cs="Arial"/>
          <w:bCs/>
          <w:color w:val="000000" w:themeColor="text1"/>
          <w:sz w:val="22"/>
          <w:szCs w:val="22"/>
        </w:rPr>
        <w:t xml:space="preserve">to </w:t>
      </w:r>
      <w:r w:rsidR="00937BED">
        <w:rPr>
          <w:rFonts w:ascii="Arial" w:hAnsi="Arial" w:cs="Arial"/>
          <w:bCs/>
          <w:color w:val="000000" w:themeColor="text1"/>
          <w:sz w:val="22"/>
          <w:szCs w:val="22"/>
        </w:rPr>
        <w:t>examine the</w:t>
      </w:r>
      <w:r w:rsidR="0061494C" w:rsidRPr="006112E3">
        <w:rPr>
          <w:rFonts w:ascii="Arial" w:hAnsi="Arial" w:cs="Arial"/>
          <w:bCs/>
          <w:color w:val="000000" w:themeColor="text1"/>
          <w:sz w:val="22"/>
          <w:szCs w:val="22"/>
        </w:rPr>
        <w:t xml:space="preserve"> </w:t>
      </w:r>
      <w:r w:rsidR="00BA4FFC">
        <w:rPr>
          <w:rFonts w:ascii="Arial" w:hAnsi="Arial" w:cs="Arial"/>
          <w:bCs/>
          <w:color w:val="000000" w:themeColor="text1"/>
          <w:sz w:val="22"/>
          <w:szCs w:val="22"/>
        </w:rPr>
        <w:t xml:space="preserve">immediate and </w:t>
      </w:r>
      <w:r w:rsidR="000312E4">
        <w:rPr>
          <w:rFonts w:ascii="Arial" w:hAnsi="Arial" w:cs="Arial"/>
          <w:bCs/>
          <w:color w:val="000000" w:themeColor="text1"/>
          <w:sz w:val="22"/>
          <w:szCs w:val="22"/>
        </w:rPr>
        <w:t>sustained</w:t>
      </w:r>
      <w:r w:rsidR="00937BED">
        <w:rPr>
          <w:rFonts w:ascii="Arial" w:hAnsi="Arial" w:cs="Arial"/>
          <w:bCs/>
          <w:color w:val="000000" w:themeColor="text1"/>
          <w:sz w:val="22"/>
          <w:szCs w:val="22"/>
        </w:rPr>
        <w:t xml:space="preserve"> </w:t>
      </w:r>
      <w:r w:rsidR="00BA4FFC">
        <w:rPr>
          <w:rFonts w:ascii="Arial" w:hAnsi="Arial" w:cs="Arial"/>
          <w:bCs/>
          <w:color w:val="000000" w:themeColor="text1"/>
          <w:sz w:val="22"/>
          <w:szCs w:val="22"/>
        </w:rPr>
        <w:t xml:space="preserve">changes </w:t>
      </w:r>
      <w:r w:rsidR="000312E4">
        <w:rPr>
          <w:rFonts w:ascii="Arial" w:hAnsi="Arial" w:cs="Arial"/>
          <w:bCs/>
          <w:color w:val="000000" w:themeColor="text1"/>
          <w:sz w:val="22"/>
          <w:szCs w:val="22"/>
        </w:rPr>
        <w:t xml:space="preserve">in </w:t>
      </w:r>
      <w:r w:rsidR="00B438B8" w:rsidRPr="006112E3">
        <w:rPr>
          <w:rFonts w:ascii="Arial" w:hAnsi="Arial" w:cs="Arial"/>
          <w:bCs/>
          <w:color w:val="000000" w:themeColor="text1"/>
          <w:sz w:val="22"/>
          <w:szCs w:val="22"/>
        </w:rPr>
        <w:t>opioid prescribing</w:t>
      </w:r>
      <w:r w:rsidR="00B766C9" w:rsidRPr="006112E3">
        <w:rPr>
          <w:rFonts w:ascii="Arial" w:hAnsi="Arial" w:cs="Arial"/>
          <w:bCs/>
          <w:color w:val="000000" w:themeColor="text1"/>
          <w:sz w:val="22"/>
          <w:szCs w:val="22"/>
        </w:rPr>
        <w:t xml:space="preserve"> </w:t>
      </w:r>
      <w:r w:rsidR="00B438B8" w:rsidRPr="006112E3">
        <w:rPr>
          <w:rFonts w:ascii="Arial" w:hAnsi="Arial" w:cs="Arial"/>
          <w:bCs/>
          <w:color w:val="000000" w:themeColor="text1"/>
          <w:sz w:val="22"/>
          <w:szCs w:val="22"/>
        </w:rPr>
        <w:t xml:space="preserve">among </w:t>
      </w:r>
      <w:r w:rsidR="000312E4">
        <w:rPr>
          <w:rFonts w:ascii="Arial" w:hAnsi="Arial" w:cs="Arial"/>
          <w:bCs/>
          <w:color w:val="000000" w:themeColor="text1"/>
          <w:sz w:val="22"/>
          <w:szCs w:val="22"/>
        </w:rPr>
        <w:t>injury and surg</w:t>
      </w:r>
      <w:r w:rsidR="002E7DED">
        <w:rPr>
          <w:rFonts w:ascii="Arial" w:hAnsi="Arial" w:cs="Arial"/>
          <w:bCs/>
          <w:color w:val="000000" w:themeColor="text1"/>
          <w:sz w:val="22"/>
          <w:szCs w:val="22"/>
        </w:rPr>
        <w:t>ical</w:t>
      </w:r>
      <w:r w:rsidR="000312E4">
        <w:rPr>
          <w:rFonts w:ascii="Arial" w:hAnsi="Arial" w:cs="Arial"/>
          <w:bCs/>
          <w:color w:val="000000" w:themeColor="text1"/>
          <w:sz w:val="22"/>
          <w:szCs w:val="22"/>
        </w:rPr>
        <w:t xml:space="preserve"> pain patients </w:t>
      </w:r>
      <w:r>
        <w:rPr>
          <w:rFonts w:ascii="Arial" w:hAnsi="Arial" w:cs="Arial"/>
          <w:bCs/>
          <w:color w:val="000000" w:themeColor="text1"/>
          <w:sz w:val="22"/>
          <w:szCs w:val="22"/>
        </w:rPr>
        <w:t>in</w:t>
      </w:r>
      <w:r w:rsidR="000312E4">
        <w:rPr>
          <w:rFonts w:ascii="Arial" w:hAnsi="Arial" w:cs="Arial"/>
          <w:bCs/>
          <w:color w:val="000000" w:themeColor="text1"/>
          <w:sz w:val="22"/>
          <w:szCs w:val="22"/>
        </w:rPr>
        <w:t xml:space="preserve"> NC </w:t>
      </w:r>
      <w:r w:rsidR="00B438B8" w:rsidRPr="006112E3">
        <w:rPr>
          <w:rFonts w:ascii="Arial" w:hAnsi="Arial" w:cs="Arial"/>
          <w:bCs/>
          <w:color w:val="000000" w:themeColor="text1"/>
          <w:sz w:val="22"/>
          <w:szCs w:val="22"/>
        </w:rPr>
        <w:t xml:space="preserve">after SOPI in </w:t>
      </w:r>
      <w:r w:rsidR="00892B18">
        <w:rPr>
          <w:rFonts w:ascii="Arial" w:hAnsi="Arial" w:cs="Arial"/>
          <w:bCs/>
          <w:color w:val="000000" w:themeColor="text1"/>
          <w:sz w:val="22"/>
          <w:szCs w:val="22"/>
        </w:rPr>
        <w:t>May</w:t>
      </w:r>
      <w:r w:rsidR="00B438B8" w:rsidRPr="006112E3">
        <w:rPr>
          <w:rFonts w:ascii="Arial" w:hAnsi="Arial" w:cs="Arial"/>
          <w:bCs/>
          <w:color w:val="000000" w:themeColor="text1"/>
          <w:sz w:val="22"/>
          <w:szCs w:val="22"/>
        </w:rPr>
        <w:t xml:space="preserve"> 2016</w:t>
      </w:r>
      <w:r w:rsidR="00AC7624" w:rsidRPr="006112E3">
        <w:rPr>
          <w:rFonts w:ascii="Arial" w:hAnsi="Arial" w:cs="Arial"/>
          <w:bCs/>
          <w:color w:val="000000" w:themeColor="text1"/>
          <w:sz w:val="22"/>
          <w:szCs w:val="22"/>
        </w:rPr>
        <w:t xml:space="preserve"> </w:t>
      </w:r>
      <w:r w:rsidR="002E5A9B" w:rsidRPr="006112E3">
        <w:rPr>
          <w:rFonts w:ascii="Arial" w:hAnsi="Arial" w:cs="Arial"/>
          <w:bCs/>
          <w:color w:val="000000" w:themeColor="text1"/>
          <w:sz w:val="22"/>
          <w:szCs w:val="22"/>
        </w:rPr>
        <w:t xml:space="preserve">and </w:t>
      </w:r>
      <w:r w:rsidR="000D1B51" w:rsidRPr="006112E3">
        <w:rPr>
          <w:rFonts w:ascii="Arial" w:hAnsi="Arial" w:cs="Arial"/>
          <w:bCs/>
          <w:color w:val="000000" w:themeColor="text1"/>
          <w:sz w:val="22"/>
          <w:szCs w:val="22"/>
        </w:rPr>
        <w:t xml:space="preserve">the </w:t>
      </w:r>
      <w:r w:rsidR="000E6B30">
        <w:rPr>
          <w:rFonts w:ascii="Arial" w:hAnsi="Arial" w:cs="Arial"/>
          <w:bCs/>
          <w:color w:val="000000" w:themeColor="text1"/>
          <w:sz w:val="22"/>
          <w:szCs w:val="22"/>
        </w:rPr>
        <w:t>STOP Act</w:t>
      </w:r>
      <w:r w:rsidR="000D1B51" w:rsidRPr="006112E3">
        <w:rPr>
          <w:rFonts w:ascii="Arial" w:hAnsi="Arial" w:cs="Arial"/>
          <w:bCs/>
          <w:color w:val="000000" w:themeColor="text1"/>
          <w:sz w:val="22"/>
          <w:szCs w:val="22"/>
        </w:rPr>
        <w:t xml:space="preserve"> in January 2018</w:t>
      </w:r>
      <w:r w:rsidR="008F1521" w:rsidRPr="006112E3">
        <w:rPr>
          <w:rFonts w:ascii="Arial" w:hAnsi="Arial" w:cs="Arial"/>
          <w:bCs/>
          <w:color w:val="000000" w:themeColor="text1"/>
          <w:sz w:val="22"/>
          <w:szCs w:val="22"/>
        </w:rPr>
        <w:t>.</w:t>
      </w:r>
      <w:r w:rsidR="00B438B8" w:rsidRPr="006112E3">
        <w:rPr>
          <w:rFonts w:ascii="Arial" w:hAnsi="Arial" w:cs="Arial"/>
          <w:bCs/>
          <w:color w:val="000000" w:themeColor="text1"/>
          <w:sz w:val="22"/>
          <w:szCs w:val="22"/>
        </w:rPr>
        <w:t xml:space="preserve"> </w:t>
      </w:r>
      <w:r w:rsidR="006258D5" w:rsidRPr="006258D5">
        <w:rPr>
          <w:rFonts w:ascii="Arial" w:hAnsi="Arial" w:cs="Arial"/>
          <w:bCs/>
          <w:color w:val="000000" w:themeColor="text1"/>
          <w:sz w:val="22"/>
          <w:szCs w:val="22"/>
        </w:rPr>
        <w:t>The study adheres to the Strengthening the Reporting of Observational Studies in Epidemiology (STROBE) reporting guideline</w:t>
      </w:r>
      <w:r w:rsidR="00AB23F7">
        <w:rPr>
          <w:rFonts w:ascii="Arial" w:hAnsi="Arial" w:cs="Arial"/>
          <w:bCs/>
          <w:color w:val="000000" w:themeColor="text1"/>
          <w:sz w:val="22"/>
          <w:szCs w:val="22"/>
        </w:rPr>
        <w:t>s for cohort studies</w:t>
      </w:r>
      <w:r w:rsidR="006258D5" w:rsidRPr="006258D5">
        <w:rPr>
          <w:rFonts w:ascii="Arial" w:hAnsi="Arial" w:cs="Arial"/>
          <w:bCs/>
          <w:color w:val="000000" w:themeColor="text1"/>
          <w:sz w:val="22"/>
          <w:szCs w:val="22"/>
        </w:rPr>
        <w:t>.</w:t>
      </w:r>
    </w:p>
    <w:p w14:paraId="75861CCA" w14:textId="77777777" w:rsidR="0022661A" w:rsidRPr="006112E3" w:rsidRDefault="0022661A" w:rsidP="00FB061F">
      <w:pPr>
        <w:ind w:firstLine="720"/>
        <w:rPr>
          <w:rFonts w:ascii="Arial" w:hAnsi="Arial" w:cs="Arial"/>
          <w:bCs/>
          <w:color w:val="000000" w:themeColor="text1"/>
          <w:sz w:val="22"/>
          <w:szCs w:val="22"/>
        </w:rPr>
      </w:pPr>
    </w:p>
    <w:p w14:paraId="52946DC9" w14:textId="600C20FF" w:rsidR="0061494C" w:rsidRPr="006112E3" w:rsidRDefault="0061494C" w:rsidP="00F768D7">
      <w:pPr>
        <w:rPr>
          <w:rFonts w:ascii="Arial" w:hAnsi="Arial" w:cs="Arial"/>
          <w:b/>
          <w:bCs/>
          <w:color w:val="000000" w:themeColor="text1"/>
          <w:sz w:val="22"/>
          <w:szCs w:val="22"/>
        </w:rPr>
      </w:pPr>
      <w:r w:rsidRPr="006112E3">
        <w:rPr>
          <w:rFonts w:ascii="Arial" w:hAnsi="Arial" w:cs="Arial"/>
          <w:b/>
          <w:bCs/>
          <w:color w:val="000000" w:themeColor="text1"/>
          <w:sz w:val="22"/>
          <w:szCs w:val="22"/>
        </w:rPr>
        <w:t>Data Source</w:t>
      </w:r>
      <w:r w:rsidR="00BE00B9" w:rsidRPr="006112E3">
        <w:rPr>
          <w:rFonts w:ascii="Arial" w:hAnsi="Arial" w:cs="Arial"/>
          <w:b/>
          <w:bCs/>
          <w:color w:val="000000" w:themeColor="text1"/>
          <w:sz w:val="22"/>
          <w:szCs w:val="22"/>
        </w:rPr>
        <w:t>s and study populations</w:t>
      </w:r>
    </w:p>
    <w:p w14:paraId="2A81EB96" w14:textId="6A921EE2" w:rsidR="00AF2C76" w:rsidRPr="006112E3" w:rsidRDefault="00CA6210" w:rsidP="00AB3D07">
      <w:pPr>
        <w:ind w:firstLine="720"/>
        <w:rPr>
          <w:rFonts w:ascii="Arial" w:hAnsi="Arial" w:cs="Arial"/>
          <w:bCs/>
          <w:color w:val="000000" w:themeColor="text1"/>
          <w:sz w:val="22"/>
          <w:szCs w:val="22"/>
        </w:rPr>
      </w:pPr>
      <w:r w:rsidRPr="006112E3">
        <w:rPr>
          <w:rFonts w:ascii="Arial" w:hAnsi="Arial" w:cs="Arial"/>
          <w:bCs/>
          <w:color w:val="000000" w:themeColor="text1"/>
          <w:sz w:val="22"/>
          <w:szCs w:val="22"/>
        </w:rPr>
        <w:t xml:space="preserve">We </w:t>
      </w:r>
      <w:r w:rsidR="00183296" w:rsidRPr="006112E3">
        <w:rPr>
          <w:rFonts w:ascii="Arial" w:hAnsi="Arial" w:cs="Arial"/>
          <w:bCs/>
          <w:color w:val="000000" w:themeColor="text1"/>
          <w:sz w:val="22"/>
          <w:szCs w:val="22"/>
        </w:rPr>
        <w:t xml:space="preserve">used </w:t>
      </w:r>
      <w:r w:rsidR="0061494C" w:rsidRPr="006112E3">
        <w:rPr>
          <w:rFonts w:ascii="Arial" w:hAnsi="Arial" w:cs="Arial"/>
          <w:bCs/>
          <w:color w:val="000000" w:themeColor="text1"/>
          <w:sz w:val="22"/>
          <w:szCs w:val="22"/>
        </w:rPr>
        <w:t xml:space="preserve">de-identified </w:t>
      </w:r>
      <w:r w:rsidR="008C7927" w:rsidRPr="006112E3">
        <w:rPr>
          <w:rFonts w:ascii="Arial" w:hAnsi="Arial" w:cs="Arial"/>
          <w:bCs/>
          <w:color w:val="000000" w:themeColor="text1"/>
          <w:sz w:val="22"/>
          <w:szCs w:val="22"/>
        </w:rPr>
        <w:t xml:space="preserve">electronic health records </w:t>
      </w:r>
      <w:r w:rsidR="007F28D6">
        <w:rPr>
          <w:rFonts w:ascii="Arial" w:hAnsi="Arial" w:cs="Arial"/>
          <w:bCs/>
          <w:color w:val="000000" w:themeColor="text1"/>
          <w:sz w:val="22"/>
          <w:szCs w:val="22"/>
        </w:rPr>
        <w:t xml:space="preserve">(EHR) </w:t>
      </w:r>
      <w:r w:rsidR="0061494C" w:rsidRPr="006112E3">
        <w:rPr>
          <w:rFonts w:ascii="Arial" w:hAnsi="Arial" w:cs="Arial"/>
          <w:bCs/>
          <w:color w:val="000000" w:themeColor="text1"/>
          <w:sz w:val="22"/>
          <w:szCs w:val="22"/>
        </w:rPr>
        <w:t xml:space="preserve">data from </w:t>
      </w:r>
      <w:r w:rsidR="00521A0B" w:rsidRPr="006112E3">
        <w:rPr>
          <w:rFonts w:ascii="Arial" w:hAnsi="Arial" w:cs="Arial"/>
          <w:bCs/>
          <w:color w:val="000000" w:themeColor="text1"/>
          <w:sz w:val="22"/>
          <w:szCs w:val="22"/>
        </w:rPr>
        <w:t xml:space="preserve">two large </w:t>
      </w:r>
      <w:r w:rsidR="00B566D3" w:rsidRPr="006112E3">
        <w:rPr>
          <w:rFonts w:ascii="Arial" w:hAnsi="Arial" w:cs="Arial"/>
          <w:bCs/>
          <w:color w:val="000000" w:themeColor="text1"/>
          <w:sz w:val="22"/>
          <w:szCs w:val="22"/>
        </w:rPr>
        <w:t xml:space="preserve">integrated </w:t>
      </w:r>
      <w:r w:rsidR="00521A0B" w:rsidRPr="006112E3">
        <w:rPr>
          <w:rFonts w:ascii="Arial" w:hAnsi="Arial" w:cs="Arial"/>
          <w:bCs/>
          <w:color w:val="000000" w:themeColor="text1"/>
          <w:sz w:val="22"/>
          <w:szCs w:val="22"/>
        </w:rPr>
        <w:t>healthcare systems</w:t>
      </w:r>
      <w:r w:rsidR="00796AFB">
        <w:rPr>
          <w:rFonts w:ascii="Arial" w:hAnsi="Arial" w:cs="Arial"/>
          <w:bCs/>
          <w:color w:val="000000" w:themeColor="text1"/>
          <w:sz w:val="22"/>
          <w:szCs w:val="22"/>
        </w:rPr>
        <w:t xml:space="preserve"> in NC</w:t>
      </w:r>
      <w:r w:rsidR="00521A0B" w:rsidRPr="006112E3">
        <w:rPr>
          <w:rFonts w:ascii="Arial" w:hAnsi="Arial" w:cs="Arial"/>
          <w:bCs/>
          <w:color w:val="000000" w:themeColor="text1"/>
          <w:sz w:val="22"/>
          <w:szCs w:val="22"/>
        </w:rPr>
        <w:t xml:space="preserve">, the </w:t>
      </w:r>
      <w:r w:rsidR="00C73B03" w:rsidRPr="006112E3">
        <w:rPr>
          <w:rFonts w:ascii="Arial" w:hAnsi="Arial" w:cs="Arial"/>
          <w:bCs/>
          <w:color w:val="000000" w:themeColor="text1"/>
          <w:sz w:val="22"/>
          <w:szCs w:val="22"/>
        </w:rPr>
        <w:t xml:space="preserve">University of </w:t>
      </w:r>
      <w:r w:rsidR="00614CA6" w:rsidRPr="006112E3">
        <w:rPr>
          <w:rFonts w:ascii="Arial" w:hAnsi="Arial" w:cs="Arial"/>
          <w:bCs/>
          <w:color w:val="000000" w:themeColor="text1"/>
          <w:sz w:val="22"/>
          <w:szCs w:val="22"/>
        </w:rPr>
        <w:t>North Carolina,</w:t>
      </w:r>
      <w:r w:rsidR="00C73B03" w:rsidRPr="006112E3">
        <w:rPr>
          <w:rFonts w:ascii="Arial" w:hAnsi="Arial" w:cs="Arial"/>
          <w:bCs/>
          <w:color w:val="000000" w:themeColor="text1"/>
          <w:sz w:val="22"/>
          <w:szCs w:val="22"/>
        </w:rPr>
        <w:t xml:space="preserve"> and Duke University </w:t>
      </w:r>
      <w:r w:rsidR="00B566D3" w:rsidRPr="006112E3">
        <w:rPr>
          <w:rFonts w:ascii="Arial" w:hAnsi="Arial" w:cs="Arial"/>
          <w:bCs/>
          <w:color w:val="000000" w:themeColor="text1"/>
          <w:sz w:val="22"/>
          <w:szCs w:val="22"/>
        </w:rPr>
        <w:t>health</w:t>
      </w:r>
      <w:r w:rsidR="00EF127E">
        <w:rPr>
          <w:rFonts w:ascii="Arial" w:hAnsi="Arial" w:cs="Arial"/>
          <w:bCs/>
          <w:color w:val="000000" w:themeColor="text1"/>
          <w:sz w:val="22"/>
          <w:szCs w:val="22"/>
        </w:rPr>
        <w:t xml:space="preserve"> </w:t>
      </w:r>
      <w:r w:rsidR="00C73B03" w:rsidRPr="006112E3">
        <w:rPr>
          <w:rFonts w:ascii="Arial" w:hAnsi="Arial" w:cs="Arial"/>
          <w:bCs/>
          <w:color w:val="000000" w:themeColor="text1"/>
          <w:sz w:val="22"/>
          <w:szCs w:val="22"/>
        </w:rPr>
        <w:t>systems</w:t>
      </w:r>
      <w:r w:rsidR="00B566D3" w:rsidRPr="006112E3">
        <w:rPr>
          <w:rFonts w:ascii="Arial" w:hAnsi="Arial" w:cs="Arial"/>
          <w:bCs/>
          <w:color w:val="000000" w:themeColor="text1"/>
          <w:sz w:val="22"/>
          <w:szCs w:val="22"/>
        </w:rPr>
        <w:t>,</w:t>
      </w:r>
      <w:r w:rsidR="00AE0DC4" w:rsidRPr="006112E3">
        <w:rPr>
          <w:rFonts w:ascii="Arial" w:hAnsi="Arial" w:cs="Arial"/>
          <w:bCs/>
          <w:color w:val="000000" w:themeColor="text1"/>
          <w:sz w:val="22"/>
          <w:szCs w:val="22"/>
        </w:rPr>
        <w:t xml:space="preserve"> </w:t>
      </w:r>
      <w:r w:rsidR="00B566D3" w:rsidRPr="006112E3">
        <w:rPr>
          <w:rFonts w:ascii="Arial" w:hAnsi="Arial" w:cs="Arial"/>
          <w:bCs/>
          <w:color w:val="000000" w:themeColor="text1"/>
          <w:sz w:val="22"/>
          <w:szCs w:val="22"/>
        </w:rPr>
        <w:t>from April 2014 to December 2019</w:t>
      </w:r>
      <w:r w:rsidR="008F1521" w:rsidRPr="006112E3">
        <w:rPr>
          <w:rFonts w:ascii="Arial" w:hAnsi="Arial" w:cs="Arial"/>
          <w:bCs/>
          <w:color w:val="000000" w:themeColor="text1"/>
          <w:sz w:val="22"/>
          <w:szCs w:val="22"/>
        </w:rPr>
        <w:t xml:space="preserve">. </w:t>
      </w:r>
      <w:r w:rsidR="0061494C" w:rsidRPr="006112E3">
        <w:rPr>
          <w:rFonts w:ascii="Arial" w:hAnsi="Arial" w:cs="Arial"/>
          <w:bCs/>
          <w:color w:val="000000" w:themeColor="text1"/>
          <w:sz w:val="22"/>
          <w:szCs w:val="22"/>
        </w:rPr>
        <w:t xml:space="preserve">Data included </w:t>
      </w:r>
      <w:r w:rsidR="00E84C6E" w:rsidRPr="006112E3">
        <w:rPr>
          <w:rFonts w:ascii="Arial" w:hAnsi="Arial" w:cs="Arial"/>
          <w:bCs/>
          <w:color w:val="000000" w:themeColor="text1"/>
          <w:sz w:val="22"/>
          <w:szCs w:val="22"/>
        </w:rPr>
        <w:t>patient</w:t>
      </w:r>
      <w:r w:rsidR="0061494C" w:rsidRPr="006112E3">
        <w:rPr>
          <w:rFonts w:ascii="Arial" w:hAnsi="Arial" w:cs="Arial"/>
          <w:bCs/>
          <w:color w:val="000000" w:themeColor="text1"/>
          <w:sz w:val="22"/>
          <w:szCs w:val="22"/>
        </w:rPr>
        <w:t xml:space="preserve"> demographics, inpatient and outpatient </w:t>
      </w:r>
      <w:r w:rsidR="00DE5683" w:rsidRPr="006112E3">
        <w:rPr>
          <w:rFonts w:ascii="Arial" w:hAnsi="Arial" w:cs="Arial"/>
          <w:bCs/>
          <w:color w:val="000000" w:themeColor="text1"/>
          <w:sz w:val="22"/>
          <w:szCs w:val="22"/>
        </w:rPr>
        <w:t xml:space="preserve">encounters, </w:t>
      </w:r>
      <w:r w:rsidR="00AB23F7">
        <w:rPr>
          <w:rFonts w:ascii="Arial" w:hAnsi="Arial" w:cs="Arial"/>
          <w:bCs/>
          <w:color w:val="000000" w:themeColor="text1"/>
          <w:sz w:val="22"/>
          <w:szCs w:val="22"/>
        </w:rPr>
        <w:t>prescri</w:t>
      </w:r>
      <w:r w:rsidR="00614CA6">
        <w:rPr>
          <w:rFonts w:ascii="Arial" w:hAnsi="Arial" w:cs="Arial"/>
          <w:bCs/>
          <w:color w:val="000000" w:themeColor="text1"/>
          <w:sz w:val="22"/>
          <w:szCs w:val="22"/>
        </w:rPr>
        <w:t>bed medications</w:t>
      </w:r>
      <w:r w:rsidR="00DE5683" w:rsidRPr="006112E3">
        <w:rPr>
          <w:rFonts w:ascii="Arial" w:hAnsi="Arial" w:cs="Arial"/>
          <w:bCs/>
          <w:color w:val="000000" w:themeColor="text1"/>
          <w:sz w:val="22"/>
          <w:szCs w:val="22"/>
        </w:rPr>
        <w:t>, diagnoses</w:t>
      </w:r>
      <w:r w:rsidR="006258D5">
        <w:rPr>
          <w:rFonts w:ascii="Arial" w:hAnsi="Arial" w:cs="Arial"/>
          <w:bCs/>
          <w:color w:val="000000" w:themeColor="text1"/>
          <w:sz w:val="22"/>
          <w:szCs w:val="22"/>
        </w:rPr>
        <w:t xml:space="preserve">, </w:t>
      </w:r>
      <w:r w:rsidR="009E135C">
        <w:rPr>
          <w:rFonts w:ascii="Arial" w:hAnsi="Arial" w:cs="Arial"/>
          <w:bCs/>
          <w:color w:val="000000" w:themeColor="text1"/>
          <w:sz w:val="22"/>
          <w:szCs w:val="22"/>
        </w:rPr>
        <w:t>and procedures</w:t>
      </w:r>
      <w:r w:rsidR="00FB061F" w:rsidRPr="006112E3">
        <w:rPr>
          <w:rFonts w:ascii="Arial" w:hAnsi="Arial" w:cs="Arial"/>
          <w:bCs/>
          <w:color w:val="000000" w:themeColor="text1"/>
          <w:sz w:val="22"/>
          <w:szCs w:val="22"/>
        </w:rPr>
        <w:t>.</w:t>
      </w:r>
      <w:r w:rsidR="00E329F2" w:rsidRPr="006112E3">
        <w:rPr>
          <w:rFonts w:ascii="Arial" w:hAnsi="Arial" w:cs="Arial"/>
          <w:bCs/>
          <w:color w:val="000000" w:themeColor="text1"/>
          <w:sz w:val="22"/>
          <w:szCs w:val="22"/>
        </w:rPr>
        <w:t xml:space="preserve"> </w:t>
      </w:r>
      <w:r w:rsidR="00614CA6">
        <w:rPr>
          <w:rFonts w:ascii="Arial" w:hAnsi="Arial" w:cs="Arial"/>
          <w:bCs/>
          <w:color w:val="000000" w:themeColor="text1"/>
          <w:sz w:val="22"/>
          <w:szCs w:val="22"/>
        </w:rPr>
        <w:t>We incl</w:t>
      </w:r>
      <w:r w:rsidR="00796AFB">
        <w:rPr>
          <w:rFonts w:ascii="Arial" w:hAnsi="Arial" w:cs="Arial"/>
          <w:bCs/>
          <w:color w:val="000000" w:themeColor="text1"/>
          <w:sz w:val="22"/>
          <w:szCs w:val="22"/>
        </w:rPr>
        <w:t>uded a</w:t>
      </w:r>
      <w:r w:rsidR="00EC4C3F" w:rsidRPr="006112E3">
        <w:rPr>
          <w:rFonts w:ascii="Arial" w:hAnsi="Arial" w:cs="Arial"/>
          <w:bCs/>
          <w:color w:val="000000" w:themeColor="text1"/>
          <w:sz w:val="22"/>
          <w:szCs w:val="22"/>
        </w:rPr>
        <w:t xml:space="preserve">ll </w:t>
      </w:r>
      <w:r w:rsidR="009F2D3C" w:rsidRPr="006112E3">
        <w:rPr>
          <w:rFonts w:ascii="Arial" w:hAnsi="Arial" w:cs="Arial"/>
          <w:bCs/>
          <w:color w:val="000000" w:themeColor="text1"/>
          <w:sz w:val="22"/>
          <w:szCs w:val="22"/>
        </w:rPr>
        <w:t>patients &gt;</w:t>
      </w:r>
      <w:r w:rsidR="00123943" w:rsidRPr="006112E3">
        <w:rPr>
          <w:rFonts w:ascii="Arial" w:hAnsi="Arial" w:cs="Arial"/>
          <w:bCs/>
          <w:color w:val="000000" w:themeColor="text1"/>
          <w:sz w:val="22"/>
          <w:szCs w:val="22"/>
        </w:rPr>
        <w:t xml:space="preserve">11 years of age </w:t>
      </w:r>
      <w:r w:rsidR="00B943B9" w:rsidRPr="006112E3">
        <w:rPr>
          <w:rFonts w:ascii="Arial" w:hAnsi="Arial" w:cs="Arial"/>
          <w:bCs/>
          <w:color w:val="000000" w:themeColor="text1"/>
          <w:sz w:val="22"/>
          <w:szCs w:val="22"/>
        </w:rPr>
        <w:t xml:space="preserve">who received care for </w:t>
      </w:r>
      <w:r w:rsidR="00C57A59" w:rsidRPr="006112E3">
        <w:rPr>
          <w:rFonts w:ascii="Arial" w:hAnsi="Arial" w:cs="Arial"/>
          <w:bCs/>
          <w:color w:val="000000" w:themeColor="text1"/>
          <w:sz w:val="22"/>
          <w:szCs w:val="22"/>
        </w:rPr>
        <w:t>acute injuries or had a surgical procedure during the study period.</w:t>
      </w:r>
      <w:r w:rsidR="00C32538" w:rsidRPr="006112E3">
        <w:rPr>
          <w:rFonts w:ascii="Arial" w:hAnsi="Arial" w:cs="Arial"/>
          <w:bCs/>
          <w:color w:val="000000" w:themeColor="text1"/>
          <w:sz w:val="22"/>
          <w:szCs w:val="22"/>
        </w:rPr>
        <w:t xml:space="preserve"> Acute injuries were identified using </w:t>
      </w:r>
      <w:r w:rsidR="00AE01B5">
        <w:rPr>
          <w:rFonts w:ascii="Arial" w:hAnsi="Arial" w:cs="Arial"/>
          <w:bCs/>
          <w:color w:val="000000" w:themeColor="text1"/>
          <w:sz w:val="22"/>
          <w:szCs w:val="22"/>
        </w:rPr>
        <w:t>I</w:t>
      </w:r>
      <w:r w:rsidR="00C32538" w:rsidRPr="006112E3">
        <w:rPr>
          <w:rFonts w:ascii="Arial" w:hAnsi="Arial" w:cs="Arial"/>
          <w:bCs/>
          <w:color w:val="000000" w:themeColor="text1"/>
          <w:sz w:val="22"/>
          <w:szCs w:val="22"/>
        </w:rPr>
        <w:t xml:space="preserve">nternational </w:t>
      </w:r>
      <w:r w:rsidR="00AE01B5">
        <w:rPr>
          <w:rFonts w:ascii="Arial" w:hAnsi="Arial" w:cs="Arial"/>
          <w:bCs/>
          <w:color w:val="000000" w:themeColor="text1"/>
          <w:sz w:val="22"/>
          <w:szCs w:val="22"/>
        </w:rPr>
        <w:t>C</w:t>
      </w:r>
      <w:r w:rsidR="00C32538" w:rsidRPr="006112E3">
        <w:rPr>
          <w:rFonts w:ascii="Arial" w:hAnsi="Arial" w:cs="Arial"/>
          <w:bCs/>
          <w:color w:val="000000" w:themeColor="text1"/>
          <w:sz w:val="22"/>
          <w:szCs w:val="22"/>
        </w:rPr>
        <w:t xml:space="preserve">lassification of </w:t>
      </w:r>
      <w:r w:rsidR="00AE01B5">
        <w:rPr>
          <w:rFonts w:ascii="Arial" w:hAnsi="Arial" w:cs="Arial"/>
          <w:bCs/>
          <w:color w:val="000000" w:themeColor="text1"/>
          <w:sz w:val="22"/>
          <w:szCs w:val="22"/>
        </w:rPr>
        <w:t>D</w:t>
      </w:r>
      <w:r w:rsidR="00C32538" w:rsidRPr="006112E3">
        <w:rPr>
          <w:rFonts w:ascii="Arial" w:hAnsi="Arial" w:cs="Arial"/>
          <w:bCs/>
          <w:color w:val="000000" w:themeColor="text1"/>
          <w:sz w:val="22"/>
          <w:szCs w:val="22"/>
        </w:rPr>
        <w:t>isease</w:t>
      </w:r>
      <w:r w:rsidR="00AE01B5">
        <w:rPr>
          <w:rFonts w:ascii="Arial" w:hAnsi="Arial" w:cs="Arial"/>
          <w:bCs/>
          <w:color w:val="000000" w:themeColor="text1"/>
          <w:sz w:val="22"/>
          <w:szCs w:val="22"/>
        </w:rPr>
        <w:t>s, 9</w:t>
      </w:r>
      <w:r w:rsidR="00AE01B5" w:rsidRPr="00C1253F">
        <w:rPr>
          <w:rFonts w:ascii="Arial" w:hAnsi="Arial" w:cs="Arial"/>
          <w:bCs/>
          <w:color w:val="000000" w:themeColor="text1"/>
          <w:sz w:val="22"/>
          <w:szCs w:val="22"/>
          <w:vertAlign w:val="superscript"/>
        </w:rPr>
        <w:t>th</w:t>
      </w:r>
      <w:r w:rsidR="00AE01B5">
        <w:rPr>
          <w:rFonts w:ascii="Arial" w:hAnsi="Arial" w:cs="Arial"/>
          <w:bCs/>
          <w:color w:val="000000" w:themeColor="text1"/>
          <w:sz w:val="22"/>
          <w:szCs w:val="22"/>
        </w:rPr>
        <w:t xml:space="preserve"> Revision, Clinical Modification</w:t>
      </w:r>
      <w:r w:rsidR="00C32538" w:rsidRPr="006112E3">
        <w:rPr>
          <w:rFonts w:ascii="Arial" w:hAnsi="Arial" w:cs="Arial"/>
          <w:bCs/>
          <w:color w:val="000000" w:themeColor="text1"/>
          <w:sz w:val="22"/>
          <w:szCs w:val="22"/>
        </w:rPr>
        <w:t xml:space="preserve"> </w:t>
      </w:r>
      <w:r w:rsidR="00BA4955" w:rsidRPr="006112E3">
        <w:rPr>
          <w:rFonts w:ascii="Arial" w:hAnsi="Arial" w:cs="Arial"/>
          <w:bCs/>
          <w:color w:val="000000" w:themeColor="text1"/>
          <w:sz w:val="22"/>
          <w:szCs w:val="22"/>
        </w:rPr>
        <w:t>(ICD</w:t>
      </w:r>
      <w:r w:rsidR="00AE01B5">
        <w:rPr>
          <w:rFonts w:ascii="Arial" w:hAnsi="Arial" w:cs="Arial"/>
          <w:bCs/>
          <w:color w:val="000000" w:themeColor="text1"/>
          <w:sz w:val="22"/>
          <w:szCs w:val="22"/>
        </w:rPr>
        <w:t>-9-</w:t>
      </w:r>
      <w:r w:rsidR="000C7A33">
        <w:rPr>
          <w:rFonts w:ascii="Arial" w:hAnsi="Arial" w:cs="Arial"/>
          <w:bCs/>
          <w:color w:val="000000" w:themeColor="text1"/>
          <w:sz w:val="22"/>
          <w:szCs w:val="22"/>
        </w:rPr>
        <w:t>CM</w:t>
      </w:r>
      <w:r w:rsidR="00BA4955" w:rsidRPr="006112E3">
        <w:rPr>
          <w:rFonts w:ascii="Arial" w:hAnsi="Arial" w:cs="Arial"/>
          <w:bCs/>
          <w:color w:val="000000" w:themeColor="text1"/>
          <w:sz w:val="22"/>
          <w:szCs w:val="22"/>
        </w:rPr>
        <w:t>) and 10</w:t>
      </w:r>
      <w:r w:rsidR="00AE01B5" w:rsidRPr="00C1253F">
        <w:rPr>
          <w:rFonts w:ascii="Arial" w:hAnsi="Arial" w:cs="Arial"/>
          <w:bCs/>
          <w:color w:val="000000" w:themeColor="text1"/>
          <w:sz w:val="22"/>
          <w:szCs w:val="22"/>
          <w:vertAlign w:val="superscript"/>
        </w:rPr>
        <w:t>th</w:t>
      </w:r>
      <w:r w:rsidR="00AE01B5">
        <w:rPr>
          <w:rFonts w:ascii="Arial" w:hAnsi="Arial" w:cs="Arial"/>
          <w:bCs/>
          <w:color w:val="000000" w:themeColor="text1"/>
          <w:sz w:val="22"/>
          <w:szCs w:val="22"/>
        </w:rPr>
        <w:t xml:space="preserve"> Revision</w:t>
      </w:r>
      <w:r w:rsidR="00195D82">
        <w:rPr>
          <w:rFonts w:ascii="Arial" w:hAnsi="Arial" w:cs="Arial"/>
          <w:bCs/>
          <w:color w:val="000000" w:themeColor="text1"/>
          <w:sz w:val="22"/>
          <w:szCs w:val="22"/>
        </w:rPr>
        <w:t xml:space="preserve"> (ICD-10-CM)</w:t>
      </w:r>
      <w:r w:rsidR="00BA4955" w:rsidRPr="006112E3">
        <w:rPr>
          <w:rFonts w:ascii="Arial" w:hAnsi="Arial" w:cs="Arial"/>
          <w:bCs/>
          <w:color w:val="000000" w:themeColor="text1"/>
          <w:sz w:val="22"/>
          <w:szCs w:val="22"/>
        </w:rPr>
        <w:t xml:space="preserve"> codes</w:t>
      </w:r>
      <w:r w:rsidR="00EE360D" w:rsidRPr="006112E3">
        <w:rPr>
          <w:rFonts w:ascii="Arial" w:hAnsi="Arial" w:cs="Arial"/>
          <w:bCs/>
          <w:color w:val="000000" w:themeColor="text1"/>
          <w:sz w:val="22"/>
          <w:szCs w:val="22"/>
        </w:rPr>
        <w:t xml:space="preserve">, while surgical procedures were identified using </w:t>
      </w:r>
      <w:r w:rsidR="00195D82">
        <w:rPr>
          <w:rFonts w:ascii="Arial" w:hAnsi="Arial" w:cs="Arial"/>
          <w:bCs/>
          <w:color w:val="000000" w:themeColor="text1"/>
          <w:sz w:val="22"/>
          <w:szCs w:val="22"/>
        </w:rPr>
        <w:t>Current P</w:t>
      </w:r>
      <w:r w:rsidR="00E511E2" w:rsidRPr="006112E3">
        <w:rPr>
          <w:rFonts w:ascii="Arial" w:hAnsi="Arial" w:cs="Arial"/>
          <w:bCs/>
          <w:color w:val="000000" w:themeColor="text1"/>
          <w:sz w:val="22"/>
          <w:szCs w:val="22"/>
        </w:rPr>
        <w:t xml:space="preserve">rocedural </w:t>
      </w:r>
      <w:r w:rsidR="00195D82">
        <w:rPr>
          <w:rFonts w:ascii="Arial" w:hAnsi="Arial" w:cs="Arial"/>
          <w:bCs/>
          <w:color w:val="000000" w:themeColor="text1"/>
          <w:sz w:val="22"/>
          <w:szCs w:val="22"/>
        </w:rPr>
        <w:t>T</w:t>
      </w:r>
      <w:r w:rsidR="00E511E2" w:rsidRPr="006112E3">
        <w:rPr>
          <w:rFonts w:ascii="Arial" w:hAnsi="Arial" w:cs="Arial"/>
          <w:bCs/>
          <w:color w:val="000000" w:themeColor="text1"/>
          <w:sz w:val="22"/>
          <w:szCs w:val="22"/>
        </w:rPr>
        <w:t>erminology (CPT) codes</w:t>
      </w:r>
      <w:r w:rsidR="00BA4955" w:rsidRPr="006112E3">
        <w:rPr>
          <w:rFonts w:ascii="Arial" w:hAnsi="Arial" w:cs="Arial"/>
          <w:bCs/>
          <w:color w:val="000000" w:themeColor="text1"/>
          <w:sz w:val="22"/>
          <w:szCs w:val="22"/>
        </w:rPr>
        <w:t xml:space="preserve"> (</w:t>
      </w:r>
      <w:r w:rsidR="00D8331E" w:rsidRPr="006112E3">
        <w:rPr>
          <w:rFonts w:ascii="Arial" w:hAnsi="Arial" w:cs="Arial"/>
          <w:bCs/>
          <w:color w:val="000000" w:themeColor="text1"/>
          <w:sz w:val="22"/>
          <w:szCs w:val="22"/>
        </w:rPr>
        <w:t xml:space="preserve">see </w:t>
      </w:r>
      <w:r w:rsidR="00195D82">
        <w:rPr>
          <w:rFonts w:ascii="Arial" w:hAnsi="Arial" w:cs="Arial"/>
          <w:b/>
          <w:color w:val="000000" w:themeColor="text1"/>
          <w:sz w:val="22"/>
          <w:szCs w:val="22"/>
        </w:rPr>
        <w:t>S</w:t>
      </w:r>
      <w:r w:rsidR="00D8331E" w:rsidRPr="00E71A97">
        <w:rPr>
          <w:rFonts w:ascii="Arial" w:hAnsi="Arial" w:cs="Arial"/>
          <w:b/>
          <w:color w:val="000000" w:themeColor="text1"/>
          <w:sz w:val="22"/>
          <w:szCs w:val="22"/>
        </w:rPr>
        <w:t xml:space="preserve">upplementary </w:t>
      </w:r>
      <w:r w:rsidR="00195D82">
        <w:rPr>
          <w:rFonts w:ascii="Arial" w:hAnsi="Arial" w:cs="Arial"/>
          <w:b/>
          <w:color w:val="000000" w:themeColor="text1"/>
          <w:sz w:val="22"/>
          <w:szCs w:val="22"/>
        </w:rPr>
        <w:t>T</w:t>
      </w:r>
      <w:r w:rsidR="00D8331E" w:rsidRPr="00E71A97">
        <w:rPr>
          <w:rFonts w:ascii="Arial" w:hAnsi="Arial" w:cs="Arial"/>
          <w:b/>
          <w:color w:val="000000" w:themeColor="text1"/>
          <w:sz w:val="22"/>
          <w:szCs w:val="22"/>
        </w:rPr>
        <w:t>able</w:t>
      </w:r>
      <w:r w:rsidR="00195D82">
        <w:rPr>
          <w:rFonts w:ascii="Arial" w:hAnsi="Arial" w:cs="Arial"/>
          <w:b/>
          <w:color w:val="000000" w:themeColor="text1"/>
          <w:sz w:val="22"/>
          <w:szCs w:val="22"/>
        </w:rPr>
        <w:t>s</w:t>
      </w:r>
      <w:r w:rsidR="002770CD" w:rsidRPr="00E71A97">
        <w:rPr>
          <w:rFonts w:ascii="Arial" w:hAnsi="Arial" w:cs="Arial"/>
          <w:b/>
          <w:color w:val="000000" w:themeColor="text1"/>
          <w:sz w:val="22"/>
          <w:szCs w:val="22"/>
        </w:rPr>
        <w:t xml:space="preserve"> 1 &amp; 2</w:t>
      </w:r>
      <w:r w:rsidR="00EE360D" w:rsidRPr="006112E3">
        <w:rPr>
          <w:rFonts w:ascii="Arial" w:hAnsi="Arial" w:cs="Arial"/>
          <w:bCs/>
          <w:color w:val="000000" w:themeColor="text1"/>
          <w:sz w:val="22"/>
          <w:szCs w:val="22"/>
        </w:rPr>
        <w:t>)</w:t>
      </w:r>
      <w:r w:rsidR="00E511E2" w:rsidRPr="006112E3">
        <w:rPr>
          <w:rFonts w:ascii="Arial" w:hAnsi="Arial" w:cs="Arial"/>
          <w:bCs/>
          <w:color w:val="000000" w:themeColor="text1"/>
          <w:sz w:val="22"/>
          <w:szCs w:val="22"/>
        </w:rPr>
        <w:t xml:space="preserve">. </w:t>
      </w:r>
      <w:r w:rsidR="00D84F21">
        <w:rPr>
          <w:rFonts w:ascii="Arial" w:hAnsi="Arial" w:cs="Arial"/>
          <w:bCs/>
          <w:color w:val="000000" w:themeColor="text1"/>
          <w:sz w:val="22"/>
          <w:szCs w:val="22"/>
        </w:rPr>
        <w:t>We included</w:t>
      </w:r>
      <w:r w:rsidR="00EA5F02">
        <w:rPr>
          <w:rFonts w:ascii="Arial" w:hAnsi="Arial" w:cs="Arial"/>
          <w:bCs/>
          <w:color w:val="000000" w:themeColor="text1"/>
          <w:sz w:val="22"/>
          <w:szCs w:val="22"/>
        </w:rPr>
        <w:t xml:space="preserve"> acute injuries and surgeries </w:t>
      </w:r>
      <w:r w:rsidR="00D84F21">
        <w:rPr>
          <w:rFonts w:ascii="Arial" w:hAnsi="Arial" w:cs="Arial"/>
          <w:bCs/>
          <w:color w:val="000000" w:themeColor="text1"/>
          <w:sz w:val="22"/>
          <w:szCs w:val="22"/>
        </w:rPr>
        <w:t xml:space="preserve">that </w:t>
      </w:r>
      <w:r w:rsidR="00EA5F02">
        <w:rPr>
          <w:rFonts w:ascii="Arial" w:hAnsi="Arial" w:cs="Arial"/>
          <w:bCs/>
          <w:color w:val="000000" w:themeColor="text1"/>
          <w:sz w:val="22"/>
          <w:szCs w:val="22"/>
        </w:rPr>
        <w:t xml:space="preserve">were </w:t>
      </w:r>
      <w:r w:rsidR="00D84F21">
        <w:rPr>
          <w:rFonts w:ascii="Arial" w:hAnsi="Arial" w:cs="Arial"/>
          <w:bCs/>
          <w:color w:val="000000" w:themeColor="text1"/>
          <w:sz w:val="22"/>
          <w:szCs w:val="22"/>
        </w:rPr>
        <w:t>treated</w:t>
      </w:r>
      <w:r w:rsidR="00EA5F02">
        <w:rPr>
          <w:rFonts w:ascii="Arial" w:hAnsi="Arial" w:cs="Arial"/>
          <w:bCs/>
          <w:color w:val="000000" w:themeColor="text1"/>
          <w:sz w:val="22"/>
          <w:szCs w:val="22"/>
        </w:rPr>
        <w:t xml:space="preserve"> in </w:t>
      </w:r>
      <w:r w:rsidR="00D84F21">
        <w:rPr>
          <w:rFonts w:ascii="Arial" w:hAnsi="Arial" w:cs="Arial"/>
          <w:bCs/>
          <w:color w:val="000000" w:themeColor="text1"/>
          <w:sz w:val="22"/>
          <w:szCs w:val="22"/>
        </w:rPr>
        <w:t>any setting, including outpatient, inpatient, emergency, or other specialized settings.</w:t>
      </w:r>
      <w:r w:rsidR="004A55EF">
        <w:rPr>
          <w:rFonts w:ascii="Arial" w:hAnsi="Arial" w:cs="Arial"/>
          <w:bCs/>
          <w:color w:val="000000" w:themeColor="text1"/>
          <w:sz w:val="22"/>
          <w:szCs w:val="22"/>
        </w:rPr>
        <w:t xml:space="preserve"> </w:t>
      </w:r>
      <w:r w:rsidR="00DF3504">
        <w:rPr>
          <w:rFonts w:ascii="Arial" w:hAnsi="Arial" w:cs="Arial"/>
          <w:bCs/>
          <w:color w:val="000000" w:themeColor="text1"/>
          <w:sz w:val="22"/>
          <w:szCs w:val="22"/>
        </w:rPr>
        <w:t xml:space="preserve">Patients that had </w:t>
      </w:r>
      <w:r w:rsidR="00DF3504" w:rsidRPr="006112E3">
        <w:rPr>
          <w:rFonts w:ascii="Arial" w:hAnsi="Arial" w:cs="Arial"/>
          <w:bCs/>
          <w:color w:val="000000" w:themeColor="text1"/>
          <w:sz w:val="22"/>
          <w:szCs w:val="22"/>
        </w:rPr>
        <w:t xml:space="preserve">both </w:t>
      </w:r>
      <w:r w:rsidR="00DF3504">
        <w:rPr>
          <w:rFonts w:ascii="Arial" w:hAnsi="Arial" w:cs="Arial"/>
          <w:bCs/>
          <w:color w:val="000000" w:themeColor="text1"/>
          <w:sz w:val="22"/>
          <w:szCs w:val="22"/>
        </w:rPr>
        <w:t xml:space="preserve">acute </w:t>
      </w:r>
      <w:r w:rsidR="00DF3504" w:rsidRPr="006112E3">
        <w:rPr>
          <w:rFonts w:ascii="Arial" w:hAnsi="Arial" w:cs="Arial"/>
          <w:bCs/>
          <w:color w:val="000000" w:themeColor="text1"/>
          <w:sz w:val="22"/>
          <w:szCs w:val="22"/>
        </w:rPr>
        <w:t>injury and surg</w:t>
      </w:r>
      <w:r w:rsidR="00DF3504">
        <w:rPr>
          <w:rFonts w:ascii="Arial" w:hAnsi="Arial" w:cs="Arial"/>
          <w:bCs/>
          <w:color w:val="000000" w:themeColor="text1"/>
          <w:sz w:val="22"/>
          <w:szCs w:val="22"/>
        </w:rPr>
        <w:t>ical procedures were categorized as surgical pain patients</w:t>
      </w:r>
      <w:r w:rsidR="00DF3504" w:rsidRPr="006112E3">
        <w:rPr>
          <w:rFonts w:ascii="Arial" w:hAnsi="Arial" w:cs="Arial"/>
          <w:bCs/>
          <w:color w:val="000000" w:themeColor="text1"/>
          <w:sz w:val="22"/>
          <w:szCs w:val="22"/>
        </w:rPr>
        <w:t>.</w:t>
      </w:r>
      <w:r w:rsidR="00DF3504">
        <w:rPr>
          <w:rFonts w:ascii="Arial" w:hAnsi="Arial" w:cs="Arial"/>
          <w:bCs/>
          <w:color w:val="000000" w:themeColor="text1"/>
          <w:sz w:val="22"/>
          <w:szCs w:val="22"/>
        </w:rPr>
        <w:t xml:space="preserve"> </w:t>
      </w:r>
      <w:r w:rsidR="004A55EF">
        <w:rPr>
          <w:rFonts w:ascii="Arial" w:hAnsi="Arial" w:cs="Arial"/>
          <w:bCs/>
          <w:color w:val="000000" w:themeColor="text1"/>
          <w:sz w:val="22"/>
          <w:szCs w:val="22"/>
        </w:rPr>
        <w:t>EHR data</w:t>
      </w:r>
      <w:r w:rsidR="004A55EF" w:rsidRPr="006112E3">
        <w:rPr>
          <w:rFonts w:ascii="Arial" w:hAnsi="Arial" w:cs="Arial"/>
          <w:bCs/>
          <w:color w:val="000000" w:themeColor="text1"/>
          <w:sz w:val="22"/>
          <w:szCs w:val="22"/>
        </w:rPr>
        <w:t xml:space="preserve"> </w:t>
      </w:r>
      <w:r w:rsidR="004A55EF">
        <w:rPr>
          <w:rFonts w:ascii="Arial" w:hAnsi="Arial" w:cs="Arial"/>
          <w:bCs/>
          <w:color w:val="000000" w:themeColor="text1"/>
          <w:sz w:val="22"/>
          <w:szCs w:val="22"/>
        </w:rPr>
        <w:t xml:space="preserve">was linked </w:t>
      </w:r>
      <w:r w:rsidR="004A55EF" w:rsidRPr="006112E3">
        <w:rPr>
          <w:rFonts w:ascii="Arial" w:hAnsi="Arial" w:cs="Arial"/>
          <w:bCs/>
          <w:color w:val="000000" w:themeColor="text1"/>
          <w:sz w:val="22"/>
          <w:szCs w:val="22"/>
        </w:rPr>
        <w:t>with the NC</w:t>
      </w:r>
      <w:r w:rsidR="004A55EF">
        <w:rPr>
          <w:rFonts w:ascii="Arial" w:hAnsi="Arial" w:cs="Arial"/>
          <w:bCs/>
          <w:color w:val="000000" w:themeColor="text1"/>
          <w:sz w:val="22"/>
          <w:szCs w:val="22"/>
        </w:rPr>
        <w:t xml:space="preserve"> C</w:t>
      </w:r>
      <w:r w:rsidR="004A55EF" w:rsidRPr="006112E3">
        <w:rPr>
          <w:rFonts w:ascii="Arial" w:hAnsi="Arial" w:cs="Arial"/>
          <w:bCs/>
          <w:color w:val="000000" w:themeColor="text1"/>
          <w:sz w:val="22"/>
          <w:szCs w:val="22"/>
        </w:rPr>
        <w:t xml:space="preserve">ontrolled </w:t>
      </w:r>
      <w:r w:rsidR="004A55EF">
        <w:rPr>
          <w:rFonts w:ascii="Arial" w:hAnsi="Arial" w:cs="Arial"/>
          <w:bCs/>
          <w:color w:val="000000" w:themeColor="text1"/>
          <w:sz w:val="22"/>
          <w:szCs w:val="22"/>
        </w:rPr>
        <w:t>S</w:t>
      </w:r>
      <w:r w:rsidR="004A55EF" w:rsidRPr="006112E3">
        <w:rPr>
          <w:rFonts w:ascii="Arial" w:hAnsi="Arial" w:cs="Arial"/>
          <w:bCs/>
          <w:color w:val="000000" w:themeColor="text1"/>
          <w:sz w:val="22"/>
          <w:szCs w:val="22"/>
        </w:rPr>
        <w:t xml:space="preserve">ubstance </w:t>
      </w:r>
      <w:r w:rsidR="004A55EF">
        <w:rPr>
          <w:rFonts w:ascii="Arial" w:hAnsi="Arial" w:cs="Arial"/>
          <w:bCs/>
          <w:color w:val="000000" w:themeColor="text1"/>
          <w:sz w:val="22"/>
          <w:szCs w:val="22"/>
        </w:rPr>
        <w:t>R</w:t>
      </w:r>
      <w:r w:rsidR="004A55EF" w:rsidRPr="006112E3">
        <w:rPr>
          <w:rFonts w:ascii="Arial" w:hAnsi="Arial" w:cs="Arial"/>
          <w:bCs/>
          <w:color w:val="000000" w:themeColor="text1"/>
          <w:sz w:val="22"/>
          <w:szCs w:val="22"/>
        </w:rPr>
        <w:t xml:space="preserve">eporting </w:t>
      </w:r>
      <w:r w:rsidR="004A55EF">
        <w:rPr>
          <w:rFonts w:ascii="Arial" w:hAnsi="Arial" w:cs="Arial"/>
          <w:bCs/>
          <w:color w:val="000000" w:themeColor="text1"/>
          <w:sz w:val="22"/>
          <w:szCs w:val="22"/>
        </w:rPr>
        <w:t>S</w:t>
      </w:r>
      <w:r w:rsidR="004A55EF" w:rsidRPr="006112E3">
        <w:rPr>
          <w:rFonts w:ascii="Arial" w:hAnsi="Arial" w:cs="Arial"/>
          <w:bCs/>
          <w:color w:val="000000" w:themeColor="text1"/>
          <w:sz w:val="22"/>
          <w:szCs w:val="22"/>
        </w:rPr>
        <w:t>ystem</w:t>
      </w:r>
      <w:r w:rsidR="004A55EF">
        <w:rPr>
          <w:rFonts w:ascii="Arial" w:hAnsi="Arial" w:cs="Arial"/>
          <w:bCs/>
          <w:color w:val="000000" w:themeColor="text1"/>
          <w:sz w:val="22"/>
          <w:szCs w:val="22"/>
        </w:rPr>
        <w:t xml:space="preserve"> (CSRS), the state’s</w:t>
      </w:r>
      <w:r w:rsidR="004A55EF" w:rsidRPr="006112E3">
        <w:rPr>
          <w:rFonts w:ascii="Arial" w:hAnsi="Arial" w:cs="Arial"/>
          <w:bCs/>
          <w:color w:val="000000" w:themeColor="text1"/>
          <w:sz w:val="22"/>
          <w:szCs w:val="22"/>
        </w:rPr>
        <w:t xml:space="preserve"> prescription monitoring program</w:t>
      </w:r>
      <w:r w:rsidR="004A55EF">
        <w:rPr>
          <w:rFonts w:ascii="Arial" w:hAnsi="Arial" w:cs="Arial"/>
          <w:bCs/>
          <w:color w:val="000000" w:themeColor="text1"/>
          <w:sz w:val="22"/>
          <w:szCs w:val="22"/>
        </w:rPr>
        <w:t>,</w:t>
      </w:r>
      <w:r w:rsidR="004A55EF" w:rsidRPr="006112E3">
        <w:rPr>
          <w:rFonts w:ascii="Arial" w:hAnsi="Arial" w:cs="Arial"/>
          <w:bCs/>
          <w:color w:val="000000" w:themeColor="text1"/>
          <w:sz w:val="22"/>
          <w:szCs w:val="22"/>
        </w:rPr>
        <w:t xml:space="preserve"> using an encrypted hashing algorithm based on </w:t>
      </w:r>
      <w:r w:rsidR="004A55EF">
        <w:rPr>
          <w:rFonts w:ascii="Arial" w:hAnsi="Arial" w:cs="Arial"/>
          <w:bCs/>
          <w:color w:val="000000" w:themeColor="text1"/>
          <w:sz w:val="22"/>
          <w:szCs w:val="22"/>
        </w:rPr>
        <w:t xml:space="preserve">patients’ </w:t>
      </w:r>
      <w:r w:rsidR="004A55EF" w:rsidRPr="006112E3">
        <w:rPr>
          <w:rFonts w:ascii="Arial" w:hAnsi="Arial" w:cs="Arial"/>
          <w:bCs/>
          <w:color w:val="000000" w:themeColor="text1"/>
          <w:sz w:val="22"/>
          <w:szCs w:val="22"/>
        </w:rPr>
        <w:t xml:space="preserve">first name (first three characters), last name (first eight characters), sex, date of birth, date of prescription, and provider </w:t>
      </w:r>
      <w:r w:rsidR="004A55EF">
        <w:rPr>
          <w:rFonts w:ascii="Arial" w:hAnsi="Arial" w:cs="Arial"/>
          <w:bCs/>
          <w:color w:val="000000" w:themeColor="text1"/>
          <w:sz w:val="22"/>
          <w:szCs w:val="22"/>
        </w:rPr>
        <w:t>drug enforcement administration (</w:t>
      </w:r>
      <w:r w:rsidR="004A55EF" w:rsidRPr="006112E3">
        <w:rPr>
          <w:rFonts w:ascii="Arial" w:hAnsi="Arial" w:cs="Arial"/>
          <w:bCs/>
          <w:color w:val="000000" w:themeColor="text1"/>
          <w:sz w:val="22"/>
          <w:szCs w:val="22"/>
        </w:rPr>
        <w:t>DEA</w:t>
      </w:r>
      <w:r w:rsidR="004A55EF">
        <w:rPr>
          <w:rFonts w:ascii="Arial" w:hAnsi="Arial" w:cs="Arial"/>
          <w:bCs/>
          <w:color w:val="000000" w:themeColor="text1"/>
          <w:sz w:val="22"/>
          <w:szCs w:val="22"/>
        </w:rPr>
        <w:t>) license</w:t>
      </w:r>
      <w:r w:rsidR="004A55EF" w:rsidRPr="006112E3">
        <w:rPr>
          <w:rFonts w:ascii="Arial" w:hAnsi="Arial" w:cs="Arial"/>
          <w:bCs/>
          <w:color w:val="000000" w:themeColor="text1"/>
          <w:sz w:val="22"/>
          <w:szCs w:val="22"/>
        </w:rPr>
        <w:t xml:space="preserve"> number.</w:t>
      </w:r>
      <w:r w:rsidR="001B40DF">
        <w:rPr>
          <w:rFonts w:ascii="Arial" w:hAnsi="Arial" w:cs="Arial"/>
          <w:bCs/>
          <w:color w:val="000000" w:themeColor="text1"/>
          <w:sz w:val="22"/>
          <w:szCs w:val="22"/>
        </w:rPr>
        <w:fldChar w:fldCharType="begin"/>
      </w:r>
      <w:r w:rsidR="001B40DF">
        <w:rPr>
          <w:rFonts w:ascii="Arial" w:hAnsi="Arial" w:cs="Arial"/>
          <w:bCs/>
          <w:color w:val="000000" w:themeColor="text1"/>
          <w:sz w:val="22"/>
          <w:szCs w:val="22"/>
        </w:rPr>
        <w:instrText xml:space="preserve"> ADDIN ZOTERO_ITEM CSL_CITATION {"citationID":"MhEsY5Zd","properties":{"formattedCitation":"\\super 27\\nosupersub{}","plainCitation":"27","noteIndex":0},"citationItems":[{"id":15584,"uris":["http://zotero.org/users/5919053/items/XC3Q7Q7G"],"itemData":{"id":15584,"type":"software","abstract":"Deidentifying All Records for Encrypted Linkages","event-place":"Chapel Hill, North Carolina, USA","genre":"SAS","note":"original-date: 2019-09-18T13:53:32Z","publisher":"NC TraCS Informatics and Data Science (IDSci)","publisher-place":"Chapel Hill, North Carolina, USA","source":"GitHub","title":"DAREL","title-short":"Deidentifying All Records for Encrypted Linkages","URL":"https://github.com/NCTraCSIDSci/darel","author":[{"family":"University of North Carolina at Chapel Hill","given":""}],"accessed":{"date-parts":[["2023",8,15]]},"issued":{"date-parts":[["2020",7,22]]}}}],"schema":"https://github.com/citation-style-language/schema/raw/master/csl-citation.json"} </w:instrText>
      </w:r>
      <w:r w:rsidR="001B40DF">
        <w:rPr>
          <w:rFonts w:ascii="Arial" w:hAnsi="Arial" w:cs="Arial"/>
          <w:bCs/>
          <w:color w:val="000000" w:themeColor="text1"/>
          <w:sz w:val="22"/>
          <w:szCs w:val="22"/>
        </w:rPr>
        <w:fldChar w:fldCharType="separate"/>
      </w:r>
      <w:r w:rsidR="001B40DF" w:rsidRPr="001B40DF">
        <w:rPr>
          <w:rFonts w:ascii="Arial" w:hAnsi="Arial" w:cs="Arial"/>
          <w:color w:val="000000"/>
          <w:sz w:val="22"/>
          <w:vertAlign w:val="superscript"/>
        </w:rPr>
        <w:t>27</w:t>
      </w:r>
      <w:r w:rsidR="001B40DF">
        <w:rPr>
          <w:rFonts w:ascii="Arial" w:hAnsi="Arial" w:cs="Arial"/>
          <w:bCs/>
          <w:color w:val="000000" w:themeColor="text1"/>
          <w:sz w:val="22"/>
          <w:szCs w:val="22"/>
        </w:rPr>
        <w:fldChar w:fldCharType="end"/>
      </w:r>
      <w:r w:rsidR="004A55EF" w:rsidRPr="006112E3">
        <w:rPr>
          <w:rFonts w:ascii="Arial" w:hAnsi="Arial" w:cs="Arial"/>
          <w:bCs/>
          <w:color w:val="000000" w:themeColor="text1"/>
          <w:sz w:val="22"/>
          <w:szCs w:val="22"/>
        </w:rPr>
        <w:t xml:space="preserve"> </w:t>
      </w:r>
    </w:p>
    <w:p w14:paraId="7E72F930" w14:textId="04B501A6" w:rsidR="00004526" w:rsidRPr="006112E3" w:rsidRDefault="00163FA6" w:rsidP="007F50D5">
      <w:pPr>
        <w:ind w:firstLine="720"/>
        <w:rPr>
          <w:rFonts w:ascii="Arial" w:hAnsi="Arial" w:cs="Arial"/>
          <w:bCs/>
          <w:color w:val="000000" w:themeColor="text1"/>
          <w:sz w:val="22"/>
          <w:szCs w:val="22"/>
        </w:rPr>
      </w:pPr>
      <w:r w:rsidRPr="006112E3">
        <w:rPr>
          <w:rFonts w:ascii="Arial" w:hAnsi="Arial" w:cs="Arial"/>
          <w:bCs/>
          <w:color w:val="000000" w:themeColor="text1"/>
          <w:sz w:val="22"/>
          <w:szCs w:val="22"/>
        </w:rPr>
        <w:t xml:space="preserve">From the </w:t>
      </w:r>
      <w:r w:rsidR="00703C4D">
        <w:rPr>
          <w:rFonts w:ascii="Arial" w:hAnsi="Arial" w:cs="Arial"/>
          <w:bCs/>
          <w:color w:val="000000" w:themeColor="text1"/>
          <w:sz w:val="22"/>
          <w:szCs w:val="22"/>
        </w:rPr>
        <w:t>study sample</w:t>
      </w:r>
      <w:r w:rsidRPr="006112E3">
        <w:rPr>
          <w:rFonts w:ascii="Arial" w:hAnsi="Arial" w:cs="Arial"/>
          <w:bCs/>
          <w:color w:val="000000" w:themeColor="text1"/>
          <w:sz w:val="22"/>
          <w:szCs w:val="22"/>
        </w:rPr>
        <w:t xml:space="preserve">, we identified </w:t>
      </w:r>
      <w:r w:rsidR="008E3258" w:rsidRPr="006112E3">
        <w:rPr>
          <w:rFonts w:ascii="Arial" w:hAnsi="Arial" w:cs="Arial"/>
          <w:bCs/>
          <w:color w:val="000000" w:themeColor="text1"/>
          <w:sz w:val="22"/>
          <w:szCs w:val="22"/>
        </w:rPr>
        <w:t>patients who received a</w:t>
      </w:r>
      <w:r w:rsidR="00DD2BDF" w:rsidRPr="006112E3">
        <w:rPr>
          <w:rFonts w:ascii="Arial" w:hAnsi="Arial" w:cs="Arial"/>
          <w:bCs/>
          <w:color w:val="000000" w:themeColor="text1"/>
          <w:sz w:val="22"/>
          <w:szCs w:val="22"/>
        </w:rPr>
        <w:t>n outpatient</w:t>
      </w:r>
      <w:r w:rsidR="00B460AA" w:rsidRPr="006112E3">
        <w:rPr>
          <w:rFonts w:ascii="Arial" w:hAnsi="Arial" w:cs="Arial"/>
          <w:bCs/>
          <w:color w:val="000000" w:themeColor="text1"/>
          <w:sz w:val="22"/>
          <w:szCs w:val="22"/>
        </w:rPr>
        <w:t xml:space="preserve"> prescription opioid </w:t>
      </w:r>
      <w:r w:rsidR="000F59AD">
        <w:rPr>
          <w:rFonts w:ascii="Arial" w:hAnsi="Arial" w:cs="Arial"/>
          <w:bCs/>
          <w:color w:val="000000" w:themeColor="text1"/>
          <w:sz w:val="22"/>
          <w:szCs w:val="22"/>
        </w:rPr>
        <w:t xml:space="preserve">analgesic temporally proximal to a treated </w:t>
      </w:r>
      <w:r w:rsidR="00B460AA" w:rsidRPr="006112E3">
        <w:rPr>
          <w:rFonts w:ascii="Arial" w:hAnsi="Arial" w:cs="Arial"/>
          <w:bCs/>
          <w:color w:val="000000" w:themeColor="text1"/>
          <w:sz w:val="22"/>
          <w:szCs w:val="22"/>
        </w:rPr>
        <w:t xml:space="preserve">injury or </w:t>
      </w:r>
      <w:r w:rsidR="00C1253F">
        <w:rPr>
          <w:rFonts w:ascii="Arial" w:hAnsi="Arial" w:cs="Arial"/>
          <w:bCs/>
          <w:color w:val="000000" w:themeColor="text1"/>
          <w:sz w:val="22"/>
          <w:szCs w:val="22"/>
        </w:rPr>
        <w:t xml:space="preserve">a </w:t>
      </w:r>
      <w:r w:rsidR="00B460AA" w:rsidRPr="006112E3">
        <w:rPr>
          <w:rFonts w:ascii="Arial" w:hAnsi="Arial" w:cs="Arial"/>
          <w:bCs/>
          <w:color w:val="000000" w:themeColor="text1"/>
          <w:sz w:val="22"/>
          <w:szCs w:val="22"/>
        </w:rPr>
        <w:t>surg</w:t>
      </w:r>
      <w:r w:rsidR="00C1253F">
        <w:rPr>
          <w:rFonts w:ascii="Arial" w:hAnsi="Arial" w:cs="Arial"/>
          <w:bCs/>
          <w:color w:val="000000" w:themeColor="text1"/>
          <w:sz w:val="22"/>
          <w:szCs w:val="22"/>
        </w:rPr>
        <w:t>ical procedure</w:t>
      </w:r>
      <w:r w:rsidR="00B460AA" w:rsidRPr="006112E3">
        <w:rPr>
          <w:rFonts w:ascii="Arial" w:hAnsi="Arial" w:cs="Arial"/>
          <w:bCs/>
          <w:color w:val="000000" w:themeColor="text1"/>
          <w:sz w:val="22"/>
          <w:szCs w:val="22"/>
        </w:rPr>
        <w:t xml:space="preserve">. </w:t>
      </w:r>
      <w:r w:rsidR="006052B5" w:rsidRPr="006112E3">
        <w:rPr>
          <w:rFonts w:ascii="Arial" w:hAnsi="Arial" w:cs="Arial"/>
          <w:bCs/>
          <w:color w:val="000000" w:themeColor="text1"/>
          <w:sz w:val="22"/>
          <w:szCs w:val="22"/>
        </w:rPr>
        <w:t xml:space="preserve">An </w:t>
      </w:r>
      <w:r w:rsidR="004B7C68">
        <w:rPr>
          <w:rFonts w:ascii="Arial" w:hAnsi="Arial" w:cs="Arial"/>
          <w:bCs/>
          <w:color w:val="000000" w:themeColor="text1"/>
          <w:sz w:val="22"/>
          <w:szCs w:val="22"/>
        </w:rPr>
        <w:t xml:space="preserve">index </w:t>
      </w:r>
      <w:r w:rsidR="006052B5" w:rsidRPr="006112E3">
        <w:rPr>
          <w:rFonts w:ascii="Arial" w:hAnsi="Arial" w:cs="Arial"/>
          <w:bCs/>
          <w:color w:val="000000" w:themeColor="text1"/>
          <w:sz w:val="22"/>
          <w:szCs w:val="22"/>
        </w:rPr>
        <w:t xml:space="preserve">outpatient </w:t>
      </w:r>
      <w:r w:rsidR="00614CA6">
        <w:rPr>
          <w:rFonts w:ascii="Arial" w:hAnsi="Arial" w:cs="Arial"/>
          <w:bCs/>
          <w:color w:val="000000" w:themeColor="text1"/>
          <w:sz w:val="22"/>
          <w:szCs w:val="22"/>
        </w:rPr>
        <w:t xml:space="preserve">opioid </w:t>
      </w:r>
      <w:r w:rsidR="006052B5" w:rsidRPr="006112E3">
        <w:rPr>
          <w:rFonts w:ascii="Arial" w:hAnsi="Arial" w:cs="Arial"/>
          <w:bCs/>
          <w:color w:val="000000" w:themeColor="text1"/>
          <w:sz w:val="22"/>
          <w:szCs w:val="22"/>
        </w:rPr>
        <w:t xml:space="preserve">prescription for </w:t>
      </w:r>
      <w:r w:rsidR="00BE4FD1" w:rsidRPr="006112E3">
        <w:rPr>
          <w:rFonts w:ascii="Arial" w:hAnsi="Arial" w:cs="Arial"/>
          <w:bCs/>
          <w:color w:val="000000" w:themeColor="text1"/>
          <w:sz w:val="22"/>
          <w:szCs w:val="22"/>
        </w:rPr>
        <w:t xml:space="preserve">a surgical procedure </w:t>
      </w:r>
      <w:r w:rsidR="006052B5" w:rsidRPr="006112E3">
        <w:rPr>
          <w:rFonts w:ascii="Arial" w:hAnsi="Arial" w:cs="Arial"/>
          <w:bCs/>
          <w:color w:val="000000" w:themeColor="text1"/>
          <w:sz w:val="22"/>
          <w:szCs w:val="22"/>
        </w:rPr>
        <w:t xml:space="preserve">was </w:t>
      </w:r>
      <w:r w:rsidR="00EF1803">
        <w:rPr>
          <w:rFonts w:ascii="Arial" w:hAnsi="Arial" w:cs="Arial"/>
          <w:bCs/>
          <w:color w:val="000000" w:themeColor="text1"/>
          <w:sz w:val="22"/>
          <w:szCs w:val="22"/>
        </w:rPr>
        <w:t>defined</w:t>
      </w:r>
      <w:r w:rsidR="00EF1803" w:rsidRPr="006112E3">
        <w:rPr>
          <w:rFonts w:ascii="Arial" w:hAnsi="Arial" w:cs="Arial"/>
          <w:bCs/>
          <w:color w:val="000000" w:themeColor="text1"/>
          <w:sz w:val="22"/>
          <w:szCs w:val="22"/>
        </w:rPr>
        <w:t xml:space="preserve"> </w:t>
      </w:r>
      <w:r w:rsidR="004B7C68">
        <w:rPr>
          <w:rFonts w:ascii="Arial" w:hAnsi="Arial" w:cs="Arial"/>
          <w:bCs/>
          <w:color w:val="000000" w:themeColor="text1"/>
          <w:sz w:val="22"/>
          <w:szCs w:val="22"/>
        </w:rPr>
        <w:t xml:space="preserve">as the first opioid prescription </w:t>
      </w:r>
      <w:r w:rsidR="0075704A">
        <w:rPr>
          <w:rFonts w:ascii="Arial" w:hAnsi="Arial" w:cs="Arial"/>
          <w:bCs/>
          <w:color w:val="000000" w:themeColor="text1"/>
          <w:sz w:val="22"/>
          <w:szCs w:val="22"/>
        </w:rPr>
        <w:t>re</w:t>
      </w:r>
      <w:r w:rsidR="006052B5" w:rsidRPr="006112E3">
        <w:rPr>
          <w:rFonts w:ascii="Arial" w:hAnsi="Arial" w:cs="Arial"/>
          <w:bCs/>
          <w:color w:val="000000" w:themeColor="text1"/>
          <w:sz w:val="22"/>
          <w:szCs w:val="22"/>
        </w:rPr>
        <w:t xml:space="preserve">ceived between </w:t>
      </w:r>
      <w:r w:rsidR="006C388B" w:rsidRPr="006112E3">
        <w:rPr>
          <w:rFonts w:ascii="Arial" w:hAnsi="Arial" w:cs="Arial"/>
          <w:bCs/>
          <w:color w:val="000000" w:themeColor="text1"/>
          <w:sz w:val="22"/>
          <w:szCs w:val="22"/>
        </w:rPr>
        <w:t xml:space="preserve">15 days </w:t>
      </w:r>
      <w:r w:rsidR="0075704A">
        <w:rPr>
          <w:rFonts w:ascii="Arial" w:hAnsi="Arial" w:cs="Arial"/>
          <w:bCs/>
          <w:color w:val="000000" w:themeColor="text1"/>
          <w:sz w:val="22"/>
          <w:szCs w:val="22"/>
        </w:rPr>
        <w:t xml:space="preserve">prior to and 45 days </w:t>
      </w:r>
      <w:r w:rsidR="006C388B" w:rsidRPr="006112E3">
        <w:rPr>
          <w:rFonts w:ascii="Arial" w:hAnsi="Arial" w:cs="Arial"/>
          <w:bCs/>
          <w:color w:val="000000" w:themeColor="text1"/>
          <w:sz w:val="22"/>
          <w:szCs w:val="22"/>
        </w:rPr>
        <w:t xml:space="preserve">after </w:t>
      </w:r>
      <w:r w:rsidR="0075704A">
        <w:rPr>
          <w:rFonts w:ascii="Arial" w:hAnsi="Arial" w:cs="Arial"/>
          <w:bCs/>
          <w:color w:val="000000" w:themeColor="text1"/>
          <w:sz w:val="22"/>
          <w:szCs w:val="22"/>
        </w:rPr>
        <w:t>the</w:t>
      </w:r>
      <w:r w:rsidR="006C388B" w:rsidRPr="006112E3">
        <w:rPr>
          <w:rFonts w:ascii="Arial" w:hAnsi="Arial" w:cs="Arial"/>
          <w:bCs/>
          <w:color w:val="000000" w:themeColor="text1"/>
          <w:sz w:val="22"/>
          <w:szCs w:val="22"/>
        </w:rPr>
        <w:t xml:space="preserve"> surgery. </w:t>
      </w:r>
      <w:r w:rsidR="00331951">
        <w:rPr>
          <w:rFonts w:ascii="Arial" w:hAnsi="Arial" w:cs="Arial"/>
          <w:bCs/>
          <w:color w:val="000000" w:themeColor="text1"/>
          <w:sz w:val="22"/>
          <w:szCs w:val="22"/>
        </w:rPr>
        <w:t>A</w:t>
      </w:r>
      <w:r w:rsidR="006C388B" w:rsidRPr="006112E3">
        <w:rPr>
          <w:rFonts w:ascii="Arial" w:hAnsi="Arial" w:cs="Arial"/>
          <w:bCs/>
          <w:color w:val="000000" w:themeColor="text1"/>
          <w:sz w:val="22"/>
          <w:szCs w:val="22"/>
        </w:rPr>
        <w:t xml:space="preserve">n </w:t>
      </w:r>
      <w:r w:rsidR="004B7C68">
        <w:rPr>
          <w:rFonts w:ascii="Arial" w:hAnsi="Arial" w:cs="Arial"/>
          <w:bCs/>
          <w:color w:val="000000" w:themeColor="text1"/>
          <w:sz w:val="22"/>
          <w:szCs w:val="22"/>
        </w:rPr>
        <w:t xml:space="preserve">index </w:t>
      </w:r>
      <w:r w:rsidR="006C388B" w:rsidRPr="006112E3">
        <w:rPr>
          <w:rFonts w:ascii="Arial" w:hAnsi="Arial" w:cs="Arial"/>
          <w:bCs/>
          <w:color w:val="000000" w:themeColor="text1"/>
          <w:sz w:val="22"/>
          <w:szCs w:val="22"/>
        </w:rPr>
        <w:t xml:space="preserve">outpatient </w:t>
      </w:r>
      <w:r w:rsidR="000D003D">
        <w:rPr>
          <w:rFonts w:ascii="Arial" w:hAnsi="Arial" w:cs="Arial"/>
          <w:bCs/>
          <w:color w:val="000000" w:themeColor="text1"/>
          <w:sz w:val="22"/>
          <w:szCs w:val="22"/>
        </w:rPr>
        <w:t xml:space="preserve">opioid </w:t>
      </w:r>
      <w:r w:rsidR="00BE4FD1" w:rsidRPr="006112E3">
        <w:rPr>
          <w:rFonts w:ascii="Arial" w:hAnsi="Arial" w:cs="Arial"/>
          <w:bCs/>
          <w:color w:val="000000" w:themeColor="text1"/>
          <w:sz w:val="22"/>
          <w:szCs w:val="22"/>
        </w:rPr>
        <w:t xml:space="preserve">prescription associated with an injury was </w:t>
      </w:r>
      <w:r w:rsidR="00CA1577" w:rsidRPr="006112E3">
        <w:rPr>
          <w:rFonts w:ascii="Arial" w:hAnsi="Arial" w:cs="Arial"/>
          <w:bCs/>
          <w:color w:val="000000" w:themeColor="text1"/>
          <w:sz w:val="22"/>
          <w:szCs w:val="22"/>
        </w:rPr>
        <w:t xml:space="preserve">identified as </w:t>
      </w:r>
      <w:r w:rsidR="004B7C68">
        <w:rPr>
          <w:rFonts w:ascii="Arial" w:hAnsi="Arial" w:cs="Arial"/>
          <w:bCs/>
          <w:color w:val="000000" w:themeColor="text1"/>
          <w:sz w:val="22"/>
          <w:szCs w:val="22"/>
        </w:rPr>
        <w:t>the first opioid prescription</w:t>
      </w:r>
      <w:r w:rsidR="00CA1577" w:rsidRPr="006112E3">
        <w:rPr>
          <w:rFonts w:ascii="Arial" w:hAnsi="Arial" w:cs="Arial"/>
          <w:bCs/>
          <w:color w:val="000000" w:themeColor="text1"/>
          <w:sz w:val="22"/>
          <w:szCs w:val="22"/>
        </w:rPr>
        <w:t xml:space="preserve"> received </w:t>
      </w:r>
      <w:r w:rsidR="00F104C5" w:rsidRPr="006112E3">
        <w:rPr>
          <w:rFonts w:ascii="Arial" w:hAnsi="Arial" w:cs="Arial"/>
          <w:bCs/>
          <w:color w:val="000000" w:themeColor="text1"/>
          <w:sz w:val="22"/>
          <w:szCs w:val="22"/>
        </w:rPr>
        <w:t xml:space="preserve">between the date of injury </w:t>
      </w:r>
      <w:r w:rsidR="0075704A">
        <w:rPr>
          <w:rFonts w:ascii="Arial" w:hAnsi="Arial" w:cs="Arial"/>
          <w:bCs/>
          <w:color w:val="000000" w:themeColor="text1"/>
          <w:sz w:val="22"/>
          <w:szCs w:val="22"/>
        </w:rPr>
        <w:t>and</w:t>
      </w:r>
      <w:r w:rsidR="000E739B" w:rsidRPr="006112E3">
        <w:rPr>
          <w:rFonts w:ascii="Arial" w:hAnsi="Arial" w:cs="Arial"/>
          <w:bCs/>
          <w:color w:val="000000" w:themeColor="text1"/>
          <w:sz w:val="22"/>
          <w:szCs w:val="22"/>
        </w:rPr>
        <w:t xml:space="preserve"> 45 </w:t>
      </w:r>
      <w:r w:rsidR="0075704A">
        <w:rPr>
          <w:rFonts w:ascii="Arial" w:hAnsi="Arial" w:cs="Arial"/>
          <w:bCs/>
          <w:color w:val="000000" w:themeColor="text1"/>
          <w:sz w:val="22"/>
          <w:szCs w:val="22"/>
        </w:rPr>
        <w:t xml:space="preserve">days </w:t>
      </w:r>
      <w:r w:rsidR="000E739B" w:rsidRPr="006112E3">
        <w:rPr>
          <w:rFonts w:ascii="Arial" w:hAnsi="Arial" w:cs="Arial"/>
          <w:bCs/>
          <w:color w:val="000000" w:themeColor="text1"/>
          <w:sz w:val="22"/>
          <w:szCs w:val="22"/>
        </w:rPr>
        <w:t>after</w:t>
      </w:r>
      <w:r w:rsidR="0075704A">
        <w:rPr>
          <w:rFonts w:ascii="Arial" w:hAnsi="Arial" w:cs="Arial"/>
          <w:bCs/>
          <w:color w:val="000000" w:themeColor="text1"/>
          <w:sz w:val="22"/>
          <w:szCs w:val="22"/>
        </w:rPr>
        <w:t xml:space="preserve"> the injury.</w:t>
      </w:r>
      <w:r w:rsidR="000E739B" w:rsidRPr="006112E3">
        <w:rPr>
          <w:rFonts w:ascii="Arial" w:hAnsi="Arial" w:cs="Arial"/>
          <w:bCs/>
          <w:color w:val="000000" w:themeColor="text1"/>
          <w:sz w:val="22"/>
          <w:szCs w:val="22"/>
        </w:rPr>
        <w:t xml:space="preserve"> </w:t>
      </w:r>
      <w:r w:rsidR="004B7C68">
        <w:rPr>
          <w:rFonts w:ascii="Arial" w:hAnsi="Arial" w:cs="Arial"/>
          <w:bCs/>
          <w:color w:val="000000" w:themeColor="text1"/>
          <w:sz w:val="22"/>
          <w:szCs w:val="22"/>
        </w:rPr>
        <w:t>A</w:t>
      </w:r>
      <w:r w:rsidR="00AF5EAB">
        <w:rPr>
          <w:rFonts w:ascii="Arial" w:hAnsi="Arial" w:cs="Arial"/>
          <w:bCs/>
          <w:color w:val="000000" w:themeColor="text1"/>
          <w:sz w:val="22"/>
          <w:szCs w:val="22"/>
        </w:rPr>
        <w:t xml:space="preserve"> </w:t>
      </w:r>
      <w:r w:rsidR="00422D15" w:rsidRPr="006112E3">
        <w:rPr>
          <w:rFonts w:ascii="Arial" w:hAnsi="Arial" w:cs="Arial"/>
          <w:bCs/>
          <w:color w:val="000000" w:themeColor="text1"/>
          <w:sz w:val="22"/>
          <w:szCs w:val="22"/>
        </w:rPr>
        <w:t xml:space="preserve">subsequent </w:t>
      </w:r>
      <w:r w:rsidR="008F3778" w:rsidRPr="006112E3">
        <w:rPr>
          <w:rFonts w:ascii="Arial" w:hAnsi="Arial" w:cs="Arial"/>
          <w:bCs/>
          <w:color w:val="000000" w:themeColor="text1"/>
          <w:sz w:val="22"/>
          <w:szCs w:val="22"/>
        </w:rPr>
        <w:t>opioid prescription</w:t>
      </w:r>
      <w:r w:rsidR="00AF5EAB">
        <w:rPr>
          <w:rFonts w:ascii="Arial" w:hAnsi="Arial" w:cs="Arial"/>
          <w:bCs/>
          <w:color w:val="000000" w:themeColor="text1"/>
          <w:sz w:val="22"/>
          <w:szCs w:val="22"/>
        </w:rPr>
        <w:t xml:space="preserve"> </w:t>
      </w:r>
      <w:r w:rsidR="004B7C68">
        <w:rPr>
          <w:rFonts w:ascii="Arial" w:hAnsi="Arial" w:cs="Arial"/>
          <w:bCs/>
          <w:color w:val="000000" w:themeColor="text1"/>
          <w:sz w:val="22"/>
          <w:szCs w:val="22"/>
        </w:rPr>
        <w:t xml:space="preserve">was defined as </w:t>
      </w:r>
      <w:r w:rsidR="00AF5EAB">
        <w:rPr>
          <w:rFonts w:ascii="Arial" w:hAnsi="Arial" w:cs="Arial"/>
          <w:bCs/>
          <w:color w:val="000000" w:themeColor="text1"/>
          <w:sz w:val="22"/>
          <w:szCs w:val="22"/>
        </w:rPr>
        <w:t>a</w:t>
      </w:r>
      <w:r w:rsidR="004B7C68">
        <w:rPr>
          <w:rFonts w:ascii="Arial" w:hAnsi="Arial" w:cs="Arial"/>
          <w:bCs/>
          <w:color w:val="000000" w:themeColor="text1"/>
          <w:sz w:val="22"/>
          <w:szCs w:val="22"/>
        </w:rPr>
        <w:t>ny</w:t>
      </w:r>
      <w:r w:rsidR="00AF5EAB">
        <w:rPr>
          <w:rFonts w:ascii="Arial" w:hAnsi="Arial" w:cs="Arial"/>
          <w:bCs/>
          <w:color w:val="000000" w:themeColor="text1"/>
          <w:sz w:val="22"/>
          <w:szCs w:val="22"/>
        </w:rPr>
        <w:t xml:space="preserve"> additional opioid prescriptions after the index prescription</w:t>
      </w:r>
      <w:r w:rsidR="004B7C68">
        <w:rPr>
          <w:rFonts w:ascii="Arial" w:hAnsi="Arial" w:cs="Arial"/>
          <w:bCs/>
          <w:color w:val="000000" w:themeColor="text1"/>
          <w:sz w:val="22"/>
          <w:szCs w:val="22"/>
        </w:rPr>
        <w:t xml:space="preserve"> which could be during or beyond the 45 days from the injury or surgery event unless</w:t>
      </w:r>
      <w:r w:rsidR="00AF5EAB">
        <w:rPr>
          <w:rFonts w:ascii="Arial" w:hAnsi="Arial" w:cs="Arial"/>
          <w:bCs/>
          <w:color w:val="000000" w:themeColor="text1"/>
          <w:sz w:val="22"/>
          <w:szCs w:val="22"/>
        </w:rPr>
        <w:t xml:space="preserve"> it was 90 days after the last day of the </w:t>
      </w:r>
      <w:r w:rsidR="0075704A">
        <w:rPr>
          <w:rFonts w:ascii="Arial" w:hAnsi="Arial" w:cs="Arial"/>
          <w:bCs/>
          <w:color w:val="000000" w:themeColor="text1"/>
          <w:sz w:val="22"/>
          <w:szCs w:val="22"/>
        </w:rPr>
        <w:t>previous</w:t>
      </w:r>
      <w:r w:rsidR="00AF5EAB">
        <w:rPr>
          <w:rFonts w:ascii="Arial" w:hAnsi="Arial" w:cs="Arial"/>
          <w:bCs/>
          <w:color w:val="000000" w:themeColor="text1"/>
          <w:sz w:val="22"/>
          <w:szCs w:val="22"/>
        </w:rPr>
        <w:t xml:space="preserve"> index or subsequent prescription</w:t>
      </w:r>
      <w:r w:rsidR="00363E88" w:rsidRPr="006112E3">
        <w:rPr>
          <w:rFonts w:ascii="Arial" w:hAnsi="Arial" w:cs="Arial"/>
          <w:bCs/>
          <w:color w:val="000000" w:themeColor="text1"/>
          <w:sz w:val="22"/>
          <w:szCs w:val="22"/>
        </w:rPr>
        <w:t>.</w:t>
      </w:r>
      <w:r w:rsidR="008B1E30" w:rsidRPr="006112E3">
        <w:rPr>
          <w:rFonts w:ascii="Arial" w:hAnsi="Arial" w:cs="Arial"/>
          <w:bCs/>
          <w:color w:val="000000" w:themeColor="text1"/>
          <w:sz w:val="22"/>
          <w:szCs w:val="22"/>
        </w:rPr>
        <w:t xml:space="preserve"> </w:t>
      </w:r>
      <w:r w:rsidR="00422D15" w:rsidRPr="006112E3">
        <w:rPr>
          <w:rFonts w:ascii="Arial" w:hAnsi="Arial" w:cs="Arial"/>
          <w:bCs/>
          <w:color w:val="000000" w:themeColor="text1"/>
          <w:sz w:val="22"/>
          <w:szCs w:val="22"/>
        </w:rPr>
        <w:t xml:space="preserve">A </w:t>
      </w:r>
      <w:r w:rsidR="008B1E30" w:rsidRPr="006112E3">
        <w:rPr>
          <w:rFonts w:ascii="Arial" w:hAnsi="Arial" w:cs="Arial"/>
          <w:bCs/>
          <w:color w:val="000000" w:themeColor="text1"/>
          <w:sz w:val="22"/>
          <w:szCs w:val="22"/>
        </w:rPr>
        <w:t xml:space="preserve">new index prescription for a </w:t>
      </w:r>
      <w:r w:rsidR="00777B0A" w:rsidRPr="006112E3">
        <w:rPr>
          <w:rFonts w:ascii="Arial" w:hAnsi="Arial" w:cs="Arial"/>
          <w:bCs/>
          <w:color w:val="000000" w:themeColor="text1"/>
          <w:sz w:val="22"/>
          <w:szCs w:val="22"/>
        </w:rPr>
        <w:t xml:space="preserve">different injury or surgery event had to be at least 90 days </w:t>
      </w:r>
      <w:r w:rsidR="00AF5EAB">
        <w:rPr>
          <w:rFonts w:ascii="Arial" w:hAnsi="Arial" w:cs="Arial"/>
          <w:bCs/>
          <w:color w:val="000000" w:themeColor="text1"/>
          <w:sz w:val="22"/>
          <w:szCs w:val="22"/>
        </w:rPr>
        <w:t xml:space="preserve">apart from the last day </w:t>
      </w:r>
      <w:r w:rsidR="00777B0A" w:rsidRPr="006112E3">
        <w:rPr>
          <w:rFonts w:ascii="Arial" w:hAnsi="Arial" w:cs="Arial"/>
          <w:bCs/>
          <w:color w:val="000000" w:themeColor="text1"/>
          <w:sz w:val="22"/>
          <w:szCs w:val="22"/>
        </w:rPr>
        <w:t xml:space="preserve">from </w:t>
      </w:r>
      <w:r w:rsidR="002F7A34" w:rsidRPr="006112E3">
        <w:rPr>
          <w:rFonts w:ascii="Arial" w:hAnsi="Arial" w:cs="Arial"/>
          <w:bCs/>
          <w:color w:val="000000" w:themeColor="text1"/>
          <w:sz w:val="22"/>
          <w:szCs w:val="22"/>
        </w:rPr>
        <w:t xml:space="preserve">the </w:t>
      </w:r>
      <w:r w:rsidR="0075704A">
        <w:rPr>
          <w:rFonts w:ascii="Arial" w:hAnsi="Arial" w:cs="Arial"/>
          <w:bCs/>
          <w:color w:val="000000" w:themeColor="text1"/>
          <w:sz w:val="22"/>
          <w:szCs w:val="22"/>
        </w:rPr>
        <w:t>previous</w:t>
      </w:r>
      <w:r w:rsidR="002F7A34" w:rsidRPr="006112E3">
        <w:rPr>
          <w:rFonts w:ascii="Arial" w:hAnsi="Arial" w:cs="Arial"/>
          <w:bCs/>
          <w:color w:val="000000" w:themeColor="text1"/>
          <w:sz w:val="22"/>
          <w:szCs w:val="22"/>
        </w:rPr>
        <w:t xml:space="preserve"> </w:t>
      </w:r>
      <w:r w:rsidR="00BD7B6F">
        <w:rPr>
          <w:rFonts w:ascii="Arial" w:hAnsi="Arial" w:cs="Arial"/>
          <w:bCs/>
          <w:color w:val="000000" w:themeColor="text1"/>
          <w:sz w:val="22"/>
          <w:szCs w:val="22"/>
        </w:rPr>
        <w:t xml:space="preserve">index or </w:t>
      </w:r>
      <w:r w:rsidR="002F7A34" w:rsidRPr="006112E3">
        <w:rPr>
          <w:rFonts w:ascii="Arial" w:hAnsi="Arial" w:cs="Arial"/>
          <w:bCs/>
          <w:color w:val="000000" w:themeColor="text1"/>
          <w:sz w:val="22"/>
          <w:szCs w:val="22"/>
        </w:rPr>
        <w:t>subsequent opioid prescription</w:t>
      </w:r>
      <w:r w:rsidR="00833FDF" w:rsidRPr="006112E3">
        <w:rPr>
          <w:rFonts w:ascii="Arial" w:hAnsi="Arial" w:cs="Arial"/>
          <w:bCs/>
          <w:color w:val="000000" w:themeColor="text1"/>
          <w:sz w:val="22"/>
          <w:szCs w:val="22"/>
        </w:rPr>
        <w:t>.</w:t>
      </w:r>
    </w:p>
    <w:p w14:paraId="2C885678" w14:textId="77777777" w:rsidR="00D124D8" w:rsidRPr="006112E3" w:rsidRDefault="00D124D8" w:rsidP="00AF5EAB">
      <w:pPr>
        <w:rPr>
          <w:rFonts w:ascii="Arial" w:hAnsi="Arial" w:cs="Arial"/>
          <w:bCs/>
          <w:color w:val="000000" w:themeColor="text1"/>
          <w:sz w:val="22"/>
          <w:szCs w:val="22"/>
        </w:rPr>
      </w:pPr>
    </w:p>
    <w:p w14:paraId="38E1B043" w14:textId="77777777" w:rsidR="006258D5" w:rsidRDefault="0061494C" w:rsidP="0022661A">
      <w:pPr>
        <w:rPr>
          <w:rFonts w:ascii="Arial" w:hAnsi="Arial" w:cs="Arial"/>
          <w:bCs/>
          <w:color w:val="000000" w:themeColor="text1"/>
          <w:sz w:val="22"/>
          <w:szCs w:val="22"/>
        </w:rPr>
      </w:pPr>
      <w:r w:rsidRPr="006112E3">
        <w:rPr>
          <w:rFonts w:ascii="Arial" w:hAnsi="Arial" w:cs="Arial"/>
          <w:b/>
          <w:bCs/>
          <w:color w:val="000000" w:themeColor="text1"/>
          <w:sz w:val="22"/>
          <w:szCs w:val="22"/>
        </w:rPr>
        <w:lastRenderedPageBreak/>
        <w:t>Outcomes</w:t>
      </w:r>
    </w:p>
    <w:p w14:paraId="7EAAAF81" w14:textId="1472411D" w:rsidR="00462833" w:rsidRPr="006112E3" w:rsidRDefault="008F181F" w:rsidP="0022661A">
      <w:pPr>
        <w:rPr>
          <w:rFonts w:ascii="Arial" w:hAnsi="Arial" w:cs="Arial"/>
          <w:bCs/>
          <w:color w:val="000000" w:themeColor="text1"/>
          <w:sz w:val="22"/>
          <w:szCs w:val="22"/>
        </w:rPr>
      </w:pPr>
      <w:r w:rsidRPr="006112E3">
        <w:rPr>
          <w:rFonts w:ascii="Arial" w:hAnsi="Arial" w:cs="Arial"/>
          <w:bCs/>
          <w:color w:val="000000" w:themeColor="text1"/>
          <w:sz w:val="22"/>
          <w:szCs w:val="22"/>
        </w:rPr>
        <w:t>We examined</w:t>
      </w:r>
      <w:r w:rsidR="00AF5EAB">
        <w:rPr>
          <w:rFonts w:ascii="Arial" w:hAnsi="Arial" w:cs="Arial"/>
          <w:bCs/>
          <w:color w:val="000000" w:themeColor="text1"/>
          <w:sz w:val="22"/>
          <w:szCs w:val="22"/>
        </w:rPr>
        <w:t xml:space="preserve"> the following </w:t>
      </w:r>
      <w:r w:rsidR="004D0D9E" w:rsidRPr="006112E3">
        <w:rPr>
          <w:rFonts w:ascii="Arial" w:hAnsi="Arial" w:cs="Arial"/>
          <w:bCs/>
          <w:color w:val="000000" w:themeColor="text1"/>
          <w:sz w:val="22"/>
          <w:szCs w:val="22"/>
        </w:rPr>
        <w:t>opioid prescribing and dispensing</w:t>
      </w:r>
      <w:r w:rsidR="00AF5EAB">
        <w:rPr>
          <w:rFonts w:ascii="Arial" w:hAnsi="Arial" w:cs="Arial"/>
          <w:bCs/>
          <w:color w:val="000000" w:themeColor="text1"/>
          <w:sz w:val="22"/>
          <w:szCs w:val="22"/>
        </w:rPr>
        <w:t xml:space="preserve"> outcomes</w:t>
      </w:r>
      <w:r w:rsidR="00042D2A" w:rsidRPr="006112E3">
        <w:rPr>
          <w:rFonts w:ascii="Arial" w:hAnsi="Arial" w:cs="Arial"/>
          <w:bCs/>
          <w:color w:val="000000" w:themeColor="text1"/>
          <w:sz w:val="22"/>
          <w:szCs w:val="22"/>
        </w:rPr>
        <w:t xml:space="preserve">: </w:t>
      </w:r>
      <w:r w:rsidR="006258D5">
        <w:rPr>
          <w:rFonts w:ascii="Arial" w:hAnsi="Arial" w:cs="Arial"/>
          <w:bCs/>
          <w:color w:val="000000" w:themeColor="text1"/>
          <w:sz w:val="22"/>
          <w:szCs w:val="22"/>
        </w:rPr>
        <w:t xml:space="preserve">1) </w:t>
      </w:r>
      <w:r w:rsidR="00E2452B" w:rsidRPr="006112E3">
        <w:rPr>
          <w:rFonts w:ascii="Arial" w:hAnsi="Arial" w:cs="Arial"/>
          <w:bCs/>
          <w:color w:val="000000" w:themeColor="text1"/>
          <w:sz w:val="22"/>
          <w:szCs w:val="22"/>
        </w:rPr>
        <w:t>p</w:t>
      </w:r>
      <w:r w:rsidR="00042D2A" w:rsidRPr="006112E3">
        <w:rPr>
          <w:rFonts w:ascii="Arial" w:hAnsi="Arial" w:cs="Arial"/>
          <w:bCs/>
          <w:color w:val="000000" w:themeColor="text1"/>
          <w:sz w:val="22"/>
          <w:szCs w:val="22"/>
        </w:rPr>
        <w:t>roportion of patients receiving an index opioid prescription</w:t>
      </w:r>
      <w:r w:rsidR="006258D5">
        <w:rPr>
          <w:rFonts w:ascii="Arial" w:hAnsi="Arial" w:cs="Arial"/>
          <w:bCs/>
          <w:color w:val="000000" w:themeColor="text1"/>
          <w:sz w:val="22"/>
          <w:szCs w:val="22"/>
        </w:rPr>
        <w:t>; 2)</w:t>
      </w:r>
      <w:r w:rsidR="00E2452B" w:rsidRPr="006112E3">
        <w:rPr>
          <w:rFonts w:ascii="Arial" w:hAnsi="Arial" w:cs="Arial"/>
          <w:bCs/>
          <w:color w:val="000000" w:themeColor="text1"/>
          <w:sz w:val="22"/>
          <w:szCs w:val="22"/>
        </w:rPr>
        <w:t xml:space="preserve"> rate of </w:t>
      </w:r>
      <w:r w:rsidR="00C74AE1" w:rsidRPr="006112E3">
        <w:rPr>
          <w:rFonts w:ascii="Arial" w:hAnsi="Arial" w:cs="Arial"/>
          <w:bCs/>
          <w:color w:val="000000" w:themeColor="text1"/>
          <w:sz w:val="22"/>
          <w:szCs w:val="22"/>
        </w:rPr>
        <w:t>index</w:t>
      </w:r>
      <w:r w:rsidR="00E2452B" w:rsidRPr="006112E3">
        <w:rPr>
          <w:rFonts w:ascii="Arial" w:hAnsi="Arial" w:cs="Arial"/>
          <w:bCs/>
          <w:color w:val="000000" w:themeColor="text1"/>
          <w:sz w:val="22"/>
          <w:szCs w:val="22"/>
        </w:rPr>
        <w:t xml:space="preserve"> opioid prescriptions</w:t>
      </w:r>
      <w:r w:rsidR="00C74AE1" w:rsidRPr="006112E3">
        <w:rPr>
          <w:rFonts w:ascii="Arial" w:hAnsi="Arial" w:cs="Arial"/>
          <w:bCs/>
          <w:color w:val="000000" w:themeColor="text1"/>
          <w:sz w:val="22"/>
          <w:szCs w:val="22"/>
        </w:rPr>
        <w:t xml:space="preserve"> per 100 person-months</w:t>
      </w:r>
      <w:r w:rsidR="006258D5">
        <w:rPr>
          <w:rFonts w:ascii="Arial" w:hAnsi="Arial" w:cs="Arial"/>
          <w:bCs/>
          <w:color w:val="000000" w:themeColor="text1"/>
          <w:sz w:val="22"/>
          <w:szCs w:val="22"/>
        </w:rPr>
        <w:t>; 3)</w:t>
      </w:r>
      <w:r w:rsidR="00C74AE1" w:rsidRPr="006112E3">
        <w:rPr>
          <w:rFonts w:ascii="Arial" w:hAnsi="Arial" w:cs="Arial"/>
          <w:bCs/>
          <w:color w:val="000000" w:themeColor="text1"/>
          <w:sz w:val="22"/>
          <w:szCs w:val="22"/>
        </w:rPr>
        <w:t xml:space="preserve"> rate of </w:t>
      </w:r>
      <w:r w:rsidR="00EF54CF" w:rsidRPr="006112E3">
        <w:rPr>
          <w:rFonts w:ascii="Arial" w:hAnsi="Arial" w:cs="Arial"/>
          <w:bCs/>
          <w:color w:val="000000" w:themeColor="text1"/>
          <w:sz w:val="22"/>
          <w:szCs w:val="22"/>
        </w:rPr>
        <w:t>subsequent opioid prescriptions per 100 person-months</w:t>
      </w:r>
      <w:r w:rsidR="006258D5">
        <w:rPr>
          <w:rFonts w:ascii="Arial" w:hAnsi="Arial" w:cs="Arial"/>
          <w:bCs/>
          <w:color w:val="000000" w:themeColor="text1"/>
          <w:sz w:val="22"/>
          <w:szCs w:val="22"/>
        </w:rPr>
        <w:t>; 4)</w:t>
      </w:r>
      <w:r w:rsidR="00EF54CF" w:rsidRPr="006112E3">
        <w:rPr>
          <w:rFonts w:ascii="Arial" w:hAnsi="Arial" w:cs="Arial"/>
          <w:bCs/>
          <w:color w:val="000000" w:themeColor="text1"/>
          <w:sz w:val="22"/>
          <w:szCs w:val="22"/>
        </w:rPr>
        <w:t xml:space="preserve"> </w:t>
      </w:r>
      <w:r w:rsidR="00DD5F23" w:rsidRPr="006112E3">
        <w:rPr>
          <w:rFonts w:ascii="Arial" w:hAnsi="Arial" w:cs="Arial"/>
          <w:bCs/>
          <w:color w:val="000000" w:themeColor="text1"/>
          <w:sz w:val="22"/>
          <w:szCs w:val="22"/>
        </w:rPr>
        <w:t xml:space="preserve">days’ supply for </w:t>
      </w:r>
      <w:r w:rsidR="00514E98" w:rsidRPr="006112E3">
        <w:rPr>
          <w:rFonts w:ascii="Arial" w:hAnsi="Arial" w:cs="Arial"/>
          <w:bCs/>
          <w:color w:val="000000" w:themeColor="text1"/>
          <w:sz w:val="22"/>
          <w:szCs w:val="22"/>
        </w:rPr>
        <w:t xml:space="preserve">dispensed </w:t>
      </w:r>
      <w:r w:rsidR="00DD5F23" w:rsidRPr="006112E3">
        <w:rPr>
          <w:rFonts w:ascii="Arial" w:hAnsi="Arial" w:cs="Arial"/>
          <w:bCs/>
          <w:color w:val="000000" w:themeColor="text1"/>
          <w:sz w:val="22"/>
          <w:szCs w:val="22"/>
        </w:rPr>
        <w:t>index opioid prescriptions</w:t>
      </w:r>
      <w:r w:rsidR="006258D5">
        <w:rPr>
          <w:rFonts w:ascii="Arial" w:hAnsi="Arial" w:cs="Arial"/>
          <w:bCs/>
          <w:color w:val="000000" w:themeColor="text1"/>
          <w:sz w:val="22"/>
          <w:szCs w:val="22"/>
        </w:rPr>
        <w:t>; 5)</w:t>
      </w:r>
      <w:r w:rsidR="00DD5F23" w:rsidRPr="006112E3">
        <w:rPr>
          <w:rFonts w:ascii="Arial" w:hAnsi="Arial" w:cs="Arial"/>
          <w:bCs/>
          <w:color w:val="000000" w:themeColor="text1"/>
          <w:sz w:val="22"/>
          <w:szCs w:val="22"/>
        </w:rPr>
        <w:t xml:space="preserve"> </w:t>
      </w:r>
      <w:r w:rsidR="00514E98" w:rsidRPr="006112E3">
        <w:rPr>
          <w:rFonts w:ascii="Arial" w:hAnsi="Arial" w:cs="Arial"/>
          <w:bCs/>
          <w:color w:val="000000" w:themeColor="text1"/>
          <w:sz w:val="22"/>
          <w:szCs w:val="22"/>
        </w:rPr>
        <w:t>days’ supply for dispensed subsequent opioid prescriptions</w:t>
      </w:r>
      <w:r w:rsidR="006258D5">
        <w:rPr>
          <w:rFonts w:ascii="Arial" w:hAnsi="Arial" w:cs="Arial"/>
          <w:bCs/>
          <w:color w:val="000000" w:themeColor="text1"/>
          <w:sz w:val="22"/>
          <w:szCs w:val="22"/>
        </w:rPr>
        <w:t xml:space="preserve">; 6) </w:t>
      </w:r>
      <w:r w:rsidR="00CE41CF">
        <w:rPr>
          <w:rFonts w:ascii="Arial" w:hAnsi="Arial" w:cs="Arial"/>
          <w:bCs/>
          <w:color w:val="000000" w:themeColor="text1"/>
          <w:sz w:val="22"/>
          <w:szCs w:val="22"/>
        </w:rPr>
        <w:t>daily</w:t>
      </w:r>
      <w:r w:rsidR="00514E98" w:rsidRPr="006112E3">
        <w:rPr>
          <w:rFonts w:ascii="Arial" w:hAnsi="Arial" w:cs="Arial"/>
          <w:bCs/>
          <w:color w:val="000000" w:themeColor="text1"/>
          <w:sz w:val="22"/>
          <w:szCs w:val="22"/>
        </w:rPr>
        <w:t xml:space="preserve"> morphine milligram equivalent</w:t>
      </w:r>
      <w:r w:rsidR="000F59AD">
        <w:rPr>
          <w:rFonts w:ascii="Arial" w:hAnsi="Arial" w:cs="Arial"/>
          <w:bCs/>
          <w:color w:val="000000" w:themeColor="text1"/>
          <w:sz w:val="22"/>
          <w:szCs w:val="22"/>
        </w:rPr>
        <w:t>s</w:t>
      </w:r>
      <w:r w:rsidR="00514E98" w:rsidRPr="006112E3">
        <w:rPr>
          <w:rFonts w:ascii="Arial" w:hAnsi="Arial" w:cs="Arial"/>
          <w:bCs/>
          <w:color w:val="000000" w:themeColor="text1"/>
          <w:sz w:val="22"/>
          <w:szCs w:val="22"/>
        </w:rPr>
        <w:t xml:space="preserve"> (MME) for dispensed index opioid prescriptions</w:t>
      </w:r>
      <w:r w:rsidR="006258D5">
        <w:rPr>
          <w:rFonts w:ascii="Arial" w:hAnsi="Arial" w:cs="Arial"/>
          <w:bCs/>
          <w:color w:val="000000" w:themeColor="text1"/>
          <w:sz w:val="22"/>
          <w:szCs w:val="22"/>
        </w:rPr>
        <w:t xml:space="preserve">; and 7) </w:t>
      </w:r>
      <w:r w:rsidR="00CE41CF">
        <w:rPr>
          <w:rFonts w:ascii="Arial" w:hAnsi="Arial" w:cs="Arial"/>
          <w:bCs/>
          <w:color w:val="000000" w:themeColor="text1"/>
          <w:sz w:val="22"/>
          <w:szCs w:val="22"/>
        </w:rPr>
        <w:t xml:space="preserve">daily </w:t>
      </w:r>
      <w:r w:rsidR="0076768E">
        <w:rPr>
          <w:rFonts w:ascii="Arial" w:hAnsi="Arial" w:cs="Arial"/>
          <w:bCs/>
          <w:color w:val="000000" w:themeColor="text1"/>
          <w:sz w:val="22"/>
          <w:szCs w:val="22"/>
        </w:rPr>
        <w:t>MME</w:t>
      </w:r>
      <w:r w:rsidR="000F59AD">
        <w:rPr>
          <w:rFonts w:ascii="Arial" w:hAnsi="Arial" w:cs="Arial"/>
          <w:bCs/>
          <w:color w:val="000000" w:themeColor="text1"/>
          <w:sz w:val="22"/>
          <w:szCs w:val="22"/>
        </w:rPr>
        <w:t>s</w:t>
      </w:r>
      <w:r w:rsidR="00574851" w:rsidRPr="006112E3">
        <w:rPr>
          <w:rFonts w:ascii="Arial" w:hAnsi="Arial" w:cs="Arial"/>
          <w:bCs/>
          <w:color w:val="000000" w:themeColor="text1"/>
          <w:sz w:val="22"/>
          <w:szCs w:val="22"/>
        </w:rPr>
        <w:t xml:space="preserve"> for dispensed subsequent opioid prescriptions</w:t>
      </w:r>
      <w:r w:rsidR="00B01162">
        <w:rPr>
          <w:rFonts w:ascii="Arial" w:hAnsi="Arial" w:cs="Arial"/>
          <w:bCs/>
          <w:color w:val="000000" w:themeColor="text1"/>
          <w:sz w:val="22"/>
          <w:szCs w:val="22"/>
        </w:rPr>
        <w:t xml:space="preserve">. </w:t>
      </w:r>
      <w:r w:rsidR="00CE41CF">
        <w:rPr>
          <w:rFonts w:ascii="Arial" w:hAnsi="Arial" w:cs="Arial"/>
          <w:bCs/>
          <w:color w:val="000000" w:themeColor="text1"/>
          <w:sz w:val="22"/>
          <w:szCs w:val="22"/>
        </w:rPr>
        <w:t xml:space="preserve">All outcomes were </w:t>
      </w:r>
      <w:r w:rsidR="0075704A">
        <w:rPr>
          <w:rFonts w:ascii="Arial" w:hAnsi="Arial" w:cs="Arial"/>
          <w:bCs/>
          <w:color w:val="000000" w:themeColor="text1"/>
          <w:sz w:val="22"/>
          <w:szCs w:val="22"/>
        </w:rPr>
        <w:t>stratified by injury or surgery pain.</w:t>
      </w:r>
    </w:p>
    <w:p w14:paraId="565BB57C" w14:textId="5B73CFC8" w:rsidR="00BB0B9D" w:rsidRPr="006112E3" w:rsidRDefault="00462833" w:rsidP="0022661A">
      <w:pPr>
        <w:rPr>
          <w:rFonts w:ascii="Arial" w:hAnsi="Arial" w:cs="Arial"/>
          <w:bCs/>
          <w:color w:val="000000" w:themeColor="text1"/>
          <w:sz w:val="22"/>
          <w:szCs w:val="22"/>
        </w:rPr>
      </w:pPr>
      <w:r w:rsidRPr="006112E3">
        <w:rPr>
          <w:rFonts w:ascii="Arial" w:hAnsi="Arial" w:cs="Arial"/>
          <w:bCs/>
          <w:color w:val="000000" w:themeColor="text1"/>
          <w:sz w:val="22"/>
          <w:szCs w:val="22"/>
        </w:rPr>
        <w:tab/>
      </w:r>
      <w:r w:rsidR="0061494C" w:rsidRPr="006112E3">
        <w:rPr>
          <w:rFonts w:ascii="Arial" w:hAnsi="Arial" w:cs="Arial"/>
          <w:bCs/>
          <w:color w:val="000000" w:themeColor="text1"/>
          <w:sz w:val="22"/>
          <w:szCs w:val="22"/>
        </w:rPr>
        <w:t xml:space="preserve">The </w:t>
      </w:r>
      <w:r w:rsidR="00B766C9" w:rsidRPr="006112E3">
        <w:rPr>
          <w:rFonts w:ascii="Arial" w:hAnsi="Arial" w:cs="Arial"/>
          <w:bCs/>
          <w:color w:val="000000" w:themeColor="text1"/>
          <w:sz w:val="22"/>
          <w:szCs w:val="22"/>
        </w:rPr>
        <w:t xml:space="preserve">proportion of </w:t>
      </w:r>
      <w:r w:rsidR="00CB5606">
        <w:rPr>
          <w:rFonts w:ascii="Arial" w:hAnsi="Arial" w:cs="Arial"/>
          <w:bCs/>
          <w:color w:val="000000" w:themeColor="text1"/>
          <w:sz w:val="22"/>
          <w:szCs w:val="22"/>
        </w:rPr>
        <w:t xml:space="preserve">patients receiving an </w:t>
      </w:r>
      <w:r w:rsidR="006C6042">
        <w:rPr>
          <w:rFonts w:ascii="Arial" w:hAnsi="Arial" w:cs="Arial"/>
          <w:bCs/>
          <w:color w:val="000000" w:themeColor="text1"/>
          <w:sz w:val="22"/>
          <w:szCs w:val="22"/>
        </w:rPr>
        <w:t>index</w:t>
      </w:r>
      <w:r w:rsidR="00B766C9" w:rsidRPr="006112E3">
        <w:rPr>
          <w:rFonts w:ascii="Arial" w:hAnsi="Arial" w:cs="Arial"/>
          <w:bCs/>
          <w:color w:val="000000" w:themeColor="text1"/>
          <w:sz w:val="22"/>
          <w:szCs w:val="22"/>
        </w:rPr>
        <w:t xml:space="preserve"> opioid prescription</w:t>
      </w:r>
      <w:r w:rsidR="00CA5120">
        <w:rPr>
          <w:rFonts w:ascii="Arial" w:hAnsi="Arial" w:cs="Arial"/>
          <w:bCs/>
          <w:color w:val="000000" w:themeColor="text1"/>
          <w:sz w:val="22"/>
          <w:szCs w:val="22"/>
        </w:rPr>
        <w:t xml:space="preserve"> and</w:t>
      </w:r>
      <w:r w:rsidR="00B766C9" w:rsidRPr="006112E3">
        <w:rPr>
          <w:rFonts w:ascii="Arial" w:hAnsi="Arial" w:cs="Arial"/>
          <w:bCs/>
          <w:color w:val="000000" w:themeColor="text1"/>
          <w:sz w:val="22"/>
          <w:szCs w:val="22"/>
        </w:rPr>
        <w:t xml:space="preserve"> </w:t>
      </w:r>
      <w:r w:rsidR="00CB5606">
        <w:rPr>
          <w:rFonts w:ascii="Arial" w:hAnsi="Arial" w:cs="Arial"/>
          <w:bCs/>
          <w:color w:val="000000" w:themeColor="text1"/>
          <w:sz w:val="22"/>
          <w:szCs w:val="22"/>
        </w:rPr>
        <w:t xml:space="preserve">rates of </w:t>
      </w:r>
      <w:r w:rsidR="006C6042">
        <w:rPr>
          <w:rFonts w:ascii="Arial" w:hAnsi="Arial" w:cs="Arial"/>
          <w:bCs/>
          <w:color w:val="000000" w:themeColor="text1"/>
          <w:sz w:val="22"/>
          <w:szCs w:val="22"/>
        </w:rPr>
        <w:t>index</w:t>
      </w:r>
      <w:r w:rsidR="00924F3D" w:rsidRPr="006112E3">
        <w:rPr>
          <w:rFonts w:ascii="Arial" w:hAnsi="Arial" w:cs="Arial"/>
          <w:bCs/>
          <w:color w:val="000000" w:themeColor="text1"/>
          <w:sz w:val="22"/>
          <w:szCs w:val="22"/>
        </w:rPr>
        <w:t xml:space="preserve"> and </w:t>
      </w:r>
      <w:r w:rsidR="006C6042">
        <w:rPr>
          <w:rFonts w:ascii="Arial" w:hAnsi="Arial" w:cs="Arial"/>
          <w:bCs/>
          <w:color w:val="000000" w:themeColor="text1"/>
          <w:sz w:val="22"/>
          <w:szCs w:val="22"/>
        </w:rPr>
        <w:t xml:space="preserve">subsequent </w:t>
      </w:r>
      <w:r w:rsidR="00924F3D" w:rsidRPr="006112E3">
        <w:rPr>
          <w:rFonts w:ascii="Arial" w:hAnsi="Arial" w:cs="Arial"/>
          <w:bCs/>
          <w:color w:val="000000" w:themeColor="text1"/>
          <w:sz w:val="22"/>
          <w:szCs w:val="22"/>
        </w:rPr>
        <w:t xml:space="preserve">monthly </w:t>
      </w:r>
      <w:r w:rsidR="006C6042">
        <w:rPr>
          <w:rFonts w:ascii="Arial" w:hAnsi="Arial" w:cs="Arial"/>
          <w:bCs/>
          <w:color w:val="000000" w:themeColor="text1"/>
          <w:sz w:val="22"/>
          <w:szCs w:val="22"/>
        </w:rPr>
        <w:t xml:space="preserve">opioid </w:t>
      </w:r>
      <w:r w:rsidR="00CB5606" w:rsidRPr="006112E3">
        <w:rPr>
          <w:rFonts w:ascii="Arial" w:hAnsi="Arial" w:cs="Arial"/>
          <w:bCs/>
          <w:color w:val="000000" w:themeColor="text1"/>
          <w:sz w:val="22"/>
          <w:szCs w:val="22"/>
        </w:rPr>
        <w:t>prescri</w:t>
      </w:r>
      <w:r w:rsidR="00CB5606">
        <w:rPr>
          <w:rFonts w:ascii="Arial" w:hAnsi="Arial" w:cs="Arial"/>
          <w:bCs/>
          <w:color w:val="000000" w:themeColor="text1"/>
          <w:sz w:val="22"/>
          <w:szCs w:val="22"/>
        </w:rPr>
        <w:t>ptions</w:t>
      </w:r>
      <w:r w:rsidR="00CB5606" w:rsidRPr="006112E3">
        <w:rPr>
          <w:rFonts w:ascii="Arial" w:hAnsi="Arial" w:cs="Arial"/>
          <w:bCs/>
          <w:color w:val="000000" w:themeColor="text1"/>
          <w:sz w:val="22"/>
          <w:szCs w:val="22"/>
        </w:rPr>
        <w:t xml:space="preserve"> </w:t>
      </w:r>
      <w:r w:rsidR="0061494C" w:rsidRPr="006112E3">
        <w:rPr>
          <w:rFonts w:ascii="Arial" w:hAnsi="Arial" w:cs="Arial"/>
          <w:bCs/>
          <w:color w:val="000000" w:themeColor="text1"/>
          <w:sz w:val="22"/>
          <w:szCs w:val="22"/>
        </w:rPr>
        <w:t>were examined</w:t>
      </w:r>
      <w:r w:rsidRPr="006112E3">
        <w:rPr>
          <w:rFonts w:ascii="Arial" w:hAnsi="Arial" w:cs="Arial"/>
          <w:bCs/>
          <w:color w:val="000000" w:themeColor="text1"/>
          <w:sz w:val="22"/>
          <w:szCs w:val="22"/>
        </w:rPr>
        <w:t xml:space="preserve"> </w:t>
      </w:r>
      <w:r w:rsidR="001B6C5B">
        <w:rPr>
          <w:rFonts w:ascii="Arial" w:hAnsi="Arial" w:cs="Arial"/>
          <w:bCs/>
          <w:color w:val="000000" w:themeColor="text1"/>
          <w:sz w:val="22"/>
          <w:szCs w:val="22"/>
        </w:rPr>
        <w:t xml:space="preserve">using </w:t>
      </w:r>
      <w:r w:rsidR="007F28D6">
        <w:rPr>
          <w:rFonts w:ascii="Arial" w:hAnsi="Arial" w:cs="Arial"/>
          <w:bCs/>
          <w:color w:val="000000" w:themeColor="text1"/>
          <w:sz w:val="22"/>
          <w:szCs w:val="22"/>
        </w:rPr>
        <w:t>EHR data</w:t>
      </w:r>
      <w:r w:rsidR="00630842" w:rsidRPr="006112E3">
        <w:rPr>
          <w:rFonts w:ascii="Arial" w:hAnsi="Arial" w:cs="Arial"/>
          <w:bCs/>
          <w:color w:val="000000" w:themeColor="text1"/>
          <w:sz w:val="22"/>
          <w:szCs w:val="22"/>
        </w:rPr>
        <w:t xml:space="preserve">. </w:t>
      </w:r>
      <w:r w:rsidR="003D15F2" w:rsidRPr="006112E3">
        <w:rPr>
          <w:rFonts w:ascii="Arial" w:hAnsi="Arial" w:cs="Arial"/>
          <w:bCs/>
          <w:color w:val="000000" w:themeColor="text1"/>
          <w:sz w:val="22"/>
          <w:szCs w:val="22"/>
        </w:rPr>
        <w:t>The denominator</w:t>
      </w:r>
      <w:r w:rsidR="00916B29">
        <w:rPr>
          <w:rFonts w:ascii="Arial" w:hAnsi="Arial" w:cs="Arial"/>
          <w:bCs/>
          <w:color w:val="000000" w:themeColor="text1"/>
          <w:sz w:val="22"/>
          <w:szCs w:val="22"/>
        </w:rPr>
        <w:t>s</w:t>
      </w:r>
      <w:r w:rsidR="003D15F2" w:rsidRPr="006112E3">
        <w:rPr>
          <w:rFonts w:ascii="Arial" w:hAnsi="Arial" w:cs="Arial"/>
          <w:bCs/>
          <w:color w:val="000000" w:themeColor="text1"/>
          <w:sz w:val="22"/>
          <w:szCs w:val="22"/>
        </w:rPr>
        <w:t xml:space="preserve"> for these outcomes were the </w:t>
      </w:r>
      <w:r w:rsidR="006C6042">
        <w:rPr>
          <w:rFonts w:ascii="Arial" w:hAnsi="Arial" w:cs="Arial"/>
          <w:bCs/>
          <w:color w:val="000000" w:themeColor="text1"/>
          <w:sz w:val="22"/>
          <w:szCs w:val="22"/>
        </w:rPr>
        <w:t xml:space="preserve">monthly </w:t>
      </w:r>
      <w:r w:rsidR="003D15F2" w:rsidRPr="006112E3">
        <w:rPr>
          <w:rFonts w:ascii="Arial" w:hAnsi="Arial" w:cs="Arial"/>
          <w:bCs/>
          <w:color w:val="000000" w:themeColor="text1"/>
          <w:sz w:val="22"/>
          <w:szCs w:val="22"/>
        </w:rPr>
        <w:t xml:space="preserve">number of </w:t>
      </w:r>
      <w:r w:rsidR="00BF7CD9">
        <w:rPr>
          <w:rFonts w:ascii="Arial" w:hAnsi="Arial" w:cs="Arial"/>
          <w:bCs/>
          <w:color w:val="000000" w:themeColor="text1"/>
          <w:sz w:val="22"/>
          <w:szCs w:val="22"/>
        </w:rPr>
        <w:t xml:space="preserve">patients diagnosed with </w:t>
      </w:r>
      <w:r w:rsidR="006C6042">
        <w:rPr>
          <w:rFonts w:ascii="Arial" w:hAnsi="Arial" w:cs="Arial"/>
          <w:bCs/>
          <w:color w:val="000000" w:themeColor="text1"/>
          <w:sz w:val="22"/>
          <w:szCs w:val="22"/>
        </w:rPr>
        <w:t>injury</w:t>
      </w:r>
      <w:r w:rsidR="00062FDA" w:rsidRPr="006112E3">
        <w:rPr>
          <w:rFonts w:ascii="Arial" w:hAnsi="Arial" w:cs="Arial"/>
          <w:bCs/>
          <w:color w:val="000000" w:themeColor="text1"/>
          <w:sz w:val="22"/>
          <w:szCs w:val="22"/>
        </w:rPr>
        <w:t xml:space="preserve"> and </w:t>
      </w:r>
      <w:r w:rsidR="006C6042">
        <w:rPr>
          <w:rFonts w:ascii="Arial" w:hAnsi="Arial" w:cs="Arial"/>
          <w:bCs/>
          <w:color w:val="000000" w:themeColor="text1"/>
          <w:sz w:val="22"/>
          <w:szCs w:val="22"/>
        </w:rPr>
        <w:t>surgery</w:t>
      </w:r>
      <w:r w:rsidR="00062FDA" w:rsidRPr="006112E3">
        <w:rPr>
          <w:rFonts w:ascii="Arial" w:hAnsi="Arial" w:cs="Arial"/>
          <w:bCs/>
          <w:color w:val="000000" w:themeColor="text1"/>
          <w:sz w:val="22"/>
          <w:szCs w:val="22"/>
        </w:rPr>
        <w:t xml:space="preserve"> pain at the two healthcare systems</w:t>
      </w:r>
      <w:r w:rsidR="000C5B82" w:rsidRPr="006112E3">
        <w:rPr>
          <w:rFonts w:ascii="Arial" w:hAnsi="Arial" w:cs="Arial"/>
          <w:bCs/>
          <w:color w:val="000000" w:themeColor="text1"/>
          <w:sz w:val="22"/>
          <w:szCs w:val="22"/>
        </w:rPr>
        <w:t xml:space="preserve">, representing the population </w:t>
      </w:r>
      <w:r w:rsidR="00BF7CD9">
        <w:rPr>
          <w:rFonts w:ascii="Arial" w:hAnsi="Arial" w:cs="Arial"/>
          <w:bCs/>
          <w:color w:val="000000" w:themeColor="text1"/>
          <w:sz w:val="22"/>
          <w:szCs w:val="22"/>
        </w:rPr>
        <w:t>“</w:t>
      </w:r>
      <w:r w:rsidR="000C5B82" w:rsidRPr="006112E3">
        <w:rPr>
          <w:rFonts w:ascii="Arial" w:hAnsi="Arial" w:cs="Arial"/>
          <w:bCs/>
          <w:color w:val="000000" w:themeColor="text1"/>
          <w:sz w:val="22"/>
          <w:szCs w:val="22"/>
        </w:rPr>
        <w:t>at</w:t>
      </w:r>
      <w:r w:rsidR="00032310">
        <w:rPr>
          <w:rFonts w:ascii="Arial" w:hAnsi="Arial" w:cs="Arial"/>
          <w:bCs/>
          <w:color w:val="000000" w:themeColor="text1"/>
          <w:sz w:val="22"/>
          <w:szCs w:val="22"/>
        </w:rPr>
        <w:t xml:space="preserve"> </w:t>
      </w:r>
      <w:r w:rsidR="000C5B82" w:rsidRPr="006112E3">
        <w:rPr>
          <w:rFonts w:ascii="Arial" w:hAnsi="Arial" w:cs="Arial"/>
          <w:bCs/>
          <w:color w:val="000000" w:themeColor="text1"/>
          <w:sz w:val="22"/>
          <w:szCs w:val="22"/>
        </w:rPr>
        <w:t>risk</w:t>
      </w:r>
      <w:r w:rsidR="00BF7CD9">
        <w:rPr>
          <w:rFonts w:ascii="Arial" w:hAnsi="Arial" w:cs="Arial"/>
          <w:bCs/>
          <w:color w:val="000000" w:themeColor="text1"/>
          <w:sz w:val="22"/>
          <w:szCs w:val="22"/>
        </w:rPr>
        <w:t>”</w:t>
      </w:r>
      <w:r w:rsidR="000C5B82" w:rsidRPr="006112E3">
        <w:rPr>
          <w:rFonts w:ascii="Arial" w:hAnsi="Arial" w:cs="Arial"/>
          <w:bCs/>
          <w:color w:val="000000" w:themeColor="text1"/>
          <w:sz w:val="22"/>
          <w:szCs w:val="22"/>
        </w:rPr>
        <w:t xml:space="preserve"> of receiving an opioid prescription</w:t>
      </w:r>
      <w:r w:rsidR="00062FDA" w:rsidRPr="006112E3">
        <w:rPr>
          <w:rFonts w:ascii="Arial" w:hAnsi="Arial" w:cs="Arial"/>
          <w:bCs/>
          <w:color w:val="000000" w:themeColor="text1"/>
          <w:sz w:val="22"/>
          <w:szCs w:val="22"/>
        </w:rPr>
        <w:t xml:space="preserve">. </w:t>
      </w:r>
      <w:r w:rsidR="00937BED">
        <w:rPr>
          <w:rFonts w:ascii="Arial" w:hAnsi="Arial" w:cs="Arial"/>
          <w:bCs/>
          <w:color w:val="000000" w:themeColor="text1"/>
          <w:sz w:val="22"/>
          <w:szCs w:val="22"/>
        </w:rPr>
        <w:t>Monthly</w:t>
      </w:r>
      <w:r w:rsidR="00BA328A" w:rsidRPr="006112E3">
        <w:rPr>
          <w:rFonts w:ascii="Arial" w:hAnsi="Arial" w:cs="Arial"/>
          <w:bCs/>
          <w:color w:val="000000" w:themeColor="text1"/>
          <w:sz w:val="22"/>
          <w:szCs w:val="22"/>
        </w:rPr>
        <w:t xml:space="preserve"> rates</w:t>
      </w:r>
      <w:r w:rsidR="0022119C" w:rsidRPr="006112E3">
        <w:rPr>
          <w:rFonts w:ascii="Arial" w:hAnsi="Arial" w:cs="Arial"/>
          <w:bCs/>
          <w:color w:val="000000" w:themeColor="text1"/>
          <w:sz w:val="22"/>
          <w:szCs w:val="22"/>
        </w:rPr>
        <w:t xml:space="preserve"> </w:t>
      </w:r>
      <w:r w:rsidR="006C6042">
        <w:rPr>
          <w:rFonts w:ascii="Arial" w:hAnsi="Arial" w:cs="Arial"/>
          <w:bCs/>
          <w:color w:val="000000" w:themeColor="text1"/>
          <w:sz w:val="22"/>
          <w:szCs w:val="22"/>
        </w:rPr>
        <w:t>per 100 person-months (PM)</w:t>
      </w:r>
      <w:r w:rsidR="00703C4D">
        <w:rPr>
          <w:rFonts w:ascii="Arial" w:hAnsi="Arial" w:cs="Arial"/>
          <w:bCs/>
          <w:color w:val="000000" w:themeColor="text1"/>
          <w:sz w:val="22"/>
          <w:szCs w:val="22"/>
        </w:rPr>
        <w:t xml:space="preserve"> </w:t>
      </w:r>
      <w:r w:rsidR="00937BED">
        <w:rPr>
          <w:rFonts w:ascii="Arial" w:hAnsi="Arial" w:cs="Arial"/>
          <w:bCs/>
          <w:color w:val="000000" w:themeColor="text1"/>
          <w:sz w:val="22"/>
          <w:szCs w:val="22"/>
        </w:rPr>
        <w:t xml:space="preserve">were calculated </w:t>
      </w:r>
      <w:r w:rsidR="0022119C" w:rsidRPr="006112E3">
        <w:rPr>
          <w:rFonts w:ascii="Arial" w:hAnsi="Arial" w:cs="Arial"/>
          <w:bCs/>
          <w:color w:val="000000" w:themeColor="text1"/>
          <w:sz w:val="22"/>
          <w:szCs w:val="22"/>
        </w:rPr>
        <w:t xml:space="preserve">from April 2014 to December 2019 to create a time series with 69 time </w:t>
      </w:r>
      <w:r w:rsidR="00BB0B9D" w:rsidRPr="006112E3">
        <w:rPr>
          <w:rFonts w:ascii="Arial" w:hAnsi="Arial" w:cs="Arial"/>
          <w:bCs/>
          <w:color w:val="000000" w:themeColor="text1"/>
          <w:sz w:val="22"/>
          <w:szCs w:val="22"/>
        </w:rPr>
        <w:t>points.</w:t>
      </w:r>
      <w:r w:rsidR="00D96BBC">
        <w:rPr>
          <w:rFonts w:ascii="Arial" w:hAnsi="Arial" w:cs="Arial"/>
          <w:bCs/>
          <w:color w:val="000000" w:themeColor="text1"/>
          <w:sz w:val="22"/>
          <w:szCs w:val="22"/>
        </w:rPr>
        <w:t xml:space="preserve"> </w:t>
      </w:r>
    </w:p>
    <w:p w14:paraId="385A5DE1" w14:textId="718AA01A" w:rsidR="0061494C" w:rsidRPr="006112E3" w:rsidRDefault="00630842" w:rsidP="002D1D74">
      <w:pPr>
        <w:ind w:firstLine="720"/>
        <w:rPr>
          <w:rFonts w:ascii="Arial" w:hAnsi="Arial" w:cs="Arial"/>
          <w:bCs/>
          <w:color w:val="000000" w:themeColor="text1"/>
          <w:sz w:val="22"/>
          <w:szCs w:val="22"/>
        </w:rPr>
      </w:pPr>
      <w:r w:rsidRPr="006112E3">
        <w:rPr>
          <w:rFonts w:ascii="Arial" w:hAnsi="Arial" w:cs="Arial"/>
          <w:bCs/>
          <w:color w:val="000000" w:themeColor="text1"/>
          <w:sz w:val="22"/>
          <w:szCs w:val="22"/>
        </w:rPr>
        <w:t>The days</w:t>
      </w:r>
      <w:r w:rsidR="00BB0B9D" w:rsidRPr="006112E3">
        <w:rPr>
          <w:rFonts w:ascii="Arial" w:hAnsi="Arial" w:cs="Arial"/>
          <w:bCs/>
          <w:color w:val="000000" w:themeColor="text1"/>
          <w:sz w:val="22"/>
          <w:szCs w:val="22"/>
        </w:rPr>
        <w:t xml:space="preserve">’ supply and MME </w:t>
      </w:r>
      <w:r w:rsidR="007F0D18">
        <w:rPr>
          <w:rFonts w:ascii="Arial" w:hAnsi="Arial" w:cs="Arial"/>
          <w:bCs/>
          <w:color w:val="000000" w:themeColor="text1"/>
          <w:sz w:val="22"/>
          <w:szCs w:val="22"/>
        </w:rPr>
        <w:t>outcomes</w:t>
      </w:r>
      <w:r w:rsidR="007F0D18" w:rsidRPr="006112E3">
        <w:rPr>
          <w:rFonts w:ascii="Arial" w:hAnsi="Arial" w:cs="Arial"/>
          <w:bCs/>
          <w:color w:val="000000" w:themeColor="text1"/>
          <w:sz w:val="22"/>
          <w:szCs w:val="22"/>
        </w:rPr>
        <w:t xml:space="preserve"> </w:t>
      </w:r>
      <w:r w:rsidR="00BB0B9D" w:rsidRPr="006112E3">
        <w:rPr>
          <w:rFonts w:ascii="Arial" w:hAnsi="Arial" w:cs="Arial"/>
          <w:bCs/>
          <w:color w:val="000000" w:themeColor="text1"/>
          <w:sz w:val="22"/>
          <w:szCs w:val="22"/>
        </w:rPr>
        <w:t>were examined</w:t>
      </w:r>
      <w:r w:rsidR="006A7062" w:rsidRPr="006112E3">
        <w:rPr>
          <w:rFonts w:ascii="Arial" w:hAnsi="Arial" w:cs="Arial"/>
          <w:bCs/>
          <w:color w:val="000000" w:themeColor="text1"/>
          <w:sz w:val="22"/>
          <w:szCs w:val="22"/>
        </w:rPr>
        <w:t xml:space="preserve"> for the prescriptions that </w:t>
      </w:r>
      <w:r w:rsidR="00B54F8A">
        <w:rPr>
          <w:rFonts w:ascii="Arial" w:hAnsi="Arial" w:cs="Arial"/>
          <w:bCs/>
          <w:color w:val="000000" w:themeColor="text1"/>
          <w:sz w:val="22"/>
          <w:szCs w:val="22"/>
        </w:rPr>
        <w:t xml:space="preserve">were </w:t>
      </w:r>
      <w:r w:rsidR="006A7062" w:rsidRPr="006112E3">
        <w:rPr>
          <w:rFonts w:ascii="Arial" w:hAnsi="Arial" w:cs="Arial"/>
          <w:bCs/>
          <w:color w:val="000000" w:themeColor="text1"/>
          <w:sz w:val="22"/>
          <w:szCs w:val="22"/>
        </w:rPr>
        <w:t xml:space="preserve">linked with the </w:t>
      </w:r>
      <w:r w:rsidR="00D96BBC">
        <w:rPr>
          <w:rFonts w:ascii="Arial" w:hAnsi="Arial" w:cs="Arial"/>
          <w:bCs/>
          <w:color w:val="000000" w:themeColor="text1"/>
          <w:sz w:val="22"/>
          <w:szCs w:val="22"/>
        </w:rPr>
        <w:t xml:space="preserve">NC </w:t>
      </w:r>
      <w:r w:rsidR="006A7062" w:rsidRPr="006112E3">
        <w:rPr>
          <w:rFonts w:ascii="Arial" w:hAnsi="Arial" w:cs="Arial"/>
          <w:bCs/>
          <w:color w:val="000000" w:themeColor="text1"/>
          <w:sz w:val="22"/>
          <w:szCs w:val="22"/>
        </w:rPr>
        <w:t xml:space="preserve">CSRS data representing </w:t>
      </w:r>
      <w:r w:rsidR="00FB5480" w:rsidRPr="006112E3">
        <w:rPr>
          <w:rFonts w:ascii="Arial" w:hAnsi="Arial" w:cs="Arial"/>
          <w:bCs/>
          <w:color w:val="000000" w:themeColor="text1"/>
          <w:sz w:val="22"/>
          <w:szCs w:val="22"/>
        </w:rPr>
        <w:t>dispensed prescriptions</w:t>
      </w:r>
      <w:r w:rsidR="00CC683D" w:rsidRPr="006112E3">
        <w:rPr>
          <w:rFonts w:ascii="Arial" w:hAnsi="Arial" w:cs="Arial"/>
          <w:bCs/>
          <w:color w:val="000000" w:themeColor="text1"/>
          <w:sz w:val="22"/>
          <w:szCs w:val="22"/>
        </w:rPr>
        <w:t xml:space="preserve"> only</w:t>
      </w:r>
      <w:r w:rsidR="00FB5480" w:rsidRPr="006112E3">
        <w:rPr>
          <w:rFonts w:ascii="Arial" w:hAnsi="Arial" w:cs="Arial"/>
          <w:bCs/>
          <w:color w:val="000000" w:themeColor="text1"/>
          <w:sz w:val="22"/>
          <w:szCs w:val="22"/>
        </w:rPr>
        <w:t>.</w:t>
      </w:r>
      <w:r w:rsidR="00D620D3">
        <w:rPr>
          <w:rFonts w:ascii="Arial" w:hAnsi="Arial" w:cs="Arial"/>
          <w:bCs/>
          <w:color w:val="000000" w:themeColor="text1"/>
          <w:sz w:val="22"/>
          <w:szCs w:val="22"/>
        </w:rPr>
        <w:t xml:space="preserve"> Daily MME were calculated by dividing the total MME dispensed in a prescription </w:t>
      </w:r>
      <w:r w:rsidR="009E1C01">
        <w:rPr>
          <w:rFonts w:ascii="Arial" w:hAnsi="Arial" w:cs="Arial"/>
          <w:bCs/>
          <w:color w:val="000000" w:themeColor="text1"/>
          <w:sz w:val="22"/>
          <w:szCs w:val="22"/>
        </w:rPr>
        <w:t>by the</w:t>
      </w:r>
      <w:r w:rsidR="00D620D3">
        <w:rPr>
          <w:rFonts w:ascii="Arial" w:hAnsi="Arial" w:cs="Arial"/>
          <w:bCs/>
          <w:color w:val="000000" w:themeColor="text1"/>
          <w:sz w:val="22"/>
          <w:szCs w:val="22"/>
        </w:rPr>
        <w:t xml:space="preserve"> days’ supply</w:t>
      </w:r>
      <w:r w:rsidR="00037AEC">
        <w:rPr>
          <w:rFonts w:ascii="Arial" w:hAnsi="Arial" w:cs="Arial"/>
          <w:bCs/>
          <w:color w:val="000000" w:themeColor="text1"/>
          <w:sz w:val="22"/>
          <w:szCs w:val="22"/>
        </w:rPr>
        <w:t>.</w:t>
      </w:r>
      <w:r w:rsidR="001B40DF">
        <w:rPr>
          <w:rFonts w:ascii="Arial" w:hAnsi="Arial" w:cs="Arial"/>
          <w:bCs/>
          <w:color w:val="000000" w:themeColor="text1"/>
          <w:sz w:val="22"/>
          <w:szCs w:val="22"/>
        </w:rPr>
        <w:fldChar w:fldCharType="begin"/>
      </w:r>
      <w:r w:rsidR="001B40DF">
        <w:rPr>
          <w:rFonts w:ascii="Arial" w:hAnsi="Arial" w:cs="Arial"/>
          <w:bCs/>
          <w:color w:val="000000" w:themeColor="text1"/>
          <w:sz w:val="22"/>
          <w:szCs w:val="22"/>
        </w:rPr>
        <w:instrText xml:space="preserve"> ADDIN ZOTERO_ITEM CSL_CITATION {"citationID":"AVoCx5L9","properties":{"formattedCitation":"\\super 28\\nosupersub{}","plainCitation":"28","noteIndex":0},"citationItems":[{"id":15519,"uris":["http://zotero.org/users/5919053/items/A5J3TN3L"],"itemData":{"id":15519,"type":"article-journal","abstract":"Objective: \n\nMorphine-standardized doses are used in clinical practice and research to account for molecular potency. Ninety milligrams of morphine equivalents (MME) per day are considered a “high dose” risk threshold in guidelines, laws, and by payers. Although ubiquitously cited, the “CDC definition” of daily MME lacks a clearly defined denominator. Our objective was to assess denominator-dependency on “high dose” classification across competing definitions.\n\nMethods:\n\nTo identify definitional variants, we reviewed literature and electronic prescribing tools, yielding 4 unique definitions. Using Prescription Drug Monitoring Programs data (July to September 2018), we conducted a population-based cohort study of 3,916,461 patients receiving outpatient opioid analgesics in California (CA) and Florida (FL). The binary outcome was whether patients were deemed “high dose” (&gt;90 MME/d) compared across 4 definitions. We calculated I2 for heterogeneity attributable to the definition.\n\nResults:\n\nAmong 9,436,640 prescriptions, 42% overlapped, which led denominator definitions to impact daily MME values. Across definitions, average daily MME varied 3-fold (range: 17 to 52 [CA] and 23 to 65 mg [FL]). Across definitions, prevalence of “high dose” individuals ranged 5.9% to 14.2% (FL) and 3.5% to 10.3% (CA). Definitional variation alone would impact a hypothetical surveillance study trying to establish how much more “high dose” prescribing was present in FL than CA: from 39% to 84% more. Meta-analyses revealed strong heterogeneity (I2 range: 86% to 99%). In sensitivity analysis, including unit interval 90.0 to 90.9 increased “high dose” population fraction by 15%.\n\nDiscussion:\n\nWhile 90 MME may have cautionary mnemonic benefits, without harmonization of calculation, its utility is limited. Comparison between studies using daily MME requires explicit attention to definitional variation.","container-title":"The Clinical Journal of Pain","ISSN":"0749-8047","issue":"8","title":"Inches, Centimeters, and Yards: Overlooked Definition Choices Inhibit Interpretation of Morphine Equivalence","URL":"https://journals.lww.com/clinicalpain/Fulltext/2021/08000/Inches,_Centimeters,_and_Yards__Overlooked.1.aspx","volume":"37","author":[{"family":"Dasgupta","given":"Nabarun"},{"family":"Wang","given":"Yanning"},{"family":"Bae","given":"Jungjun"},{"family":"Kinlaw","given":"Alan C."},{"family":"Chidgey","given":"Brooke A."},{"family":"Cooper","given":"Toska"},{"family":"Delcher","given":"Chris"}],"issued":{"date-parts":[["2021"]]}}}],"schema":"https://github.com/citation-style-language/schema/raw/master/csl-citation.json"} </w:instrText>
      </w:r>
      <w:r w:rsidR="001B40DF">
        <w:rPr>
          <w:rFonts w:ascii="Arial" w:hAnsi="Arial" w:cs="Arial"/>
          <w:bCs/>
          <w:color w:val="000000" w:themeColor="text1"/>
          <w:sz w:val="22"/>
          <w:szCs w:val="22"/>
        </w:rPr>
        <w:fldChar w:fldCharType="separate"/>
      </w:r>
      <w:r w:rsidR="001B40DF" w:rsidRPr="001B40DF">
        <w:rPr>
          <w:rFonts w:ascii="Arial" w:hAnsi="Arial" w:cs="Arial"/>
          <w:color w:val="000000"/>
          <w:sz w:val="22"/>
          <w:vertAlign w:val="superscript"/>
        </w:rPr>
        <w:t>28</w:t>
      </w:r>
      <w:r w:rsidR="001B40DF">
        <w:rPr>
          <w:rFonts w:ascii="Arial" w:hAnsi="Arial" w:cs="Arial"/>
          <w:bCs/>
          <w:color w:val="000000" w:themeColor="text1"/>
          <w:sz w:val="22"/>
          <w:szCs w:val="22"/>
        </w:rPr>
        <w:fldChar w:fldCharType="end"/>
      </w:r>
      <w:r w:rsidR="00037AEC">
        <w:rPr>
          <w:rFonts w:ascii="Arial" w:hAnsi="Arial" w:cs="Arial"/>
          <w:bCs/>
          <w:color w:val="000000" w:themeColor="text1"/>
          <w:sz w:val="22"/>
          <w:szCs w:val="22"/>
        </w:rPr>
        <w:t xml:space="preserve"> </w:t>
      </w:r>
      <w:r w:rsidR="0075704A">
        <w:rPr>
          <w:rFonts w:ascii="Arial" w:hAnsi="Arial" w:cs="Arial"/>
          <w:bCs/>
          <w:color w:val="000000" w:themeColor="text1"/>
          <w:sz w:val="22"/>
          <w:szCs w:val="22"/>
        </w:rPr>
        <w:t>W</w:t>
      </w:r>
      <w:r w:rsidR="00374B2D">
        <w:rPr>
          <w:rFonts w:ascii="Arial" w:hAnsi="Arial" w:cs="Arial"/>
          <w:bCs/>
          <w:color w:val="000000" w:themeColor="text1"/>
          <w:sz w:val="22"/>
          <w:szCs w:val="22"/>
        </w:rPr>
        <w:t xml:space="preserve">e summed </w:t>
      </w:r>
      <w:r w:rsidR="001023C6">
        <w:rPr>
          <w:rFonts w:ascii="Arial" w:hAnsi="Arial" w:cs="Arial"/>
          <w:bCs/>
          <w:color w:val="000000" w:themeColor="text1"/>
          <w:sz w:val="22"/>
          <w:szCs w:val="22"/>
        </w:rPr>
        <w:t xml:space="preserve">MME </w:t>
      </w:r>
      <w:r w:rsidR="001C26CD">
        <w:rPr>
          <w:rFonts w:ascii="Arial" w:hAnsi="Arial" w:cs="Arial"/>
          <w:bCs/>
          <w:color w:val="000000" w:themeColor="text1"/>
          <w:sz w:val="22"/>
          <w:szCs w:val="22"/>
        </w:rPr>
        <w:t>across</w:t>
      </w:r>
      <w:r w:rsidR="001023C6">
        <w:rPr>
          <w:rFonts w:ascii="Arial" w:hAnsi="Arial" w:cs="Arial"/>
          <w:bCs/>
          <w:color w:val="000000" w:themeColor="text1"/>
          <w:sz w:val="22"/>
          <w:szCs w:val="22"/>
        </w:rPr>
        <w:t xml:space="preserve"> </w:t>
      </w:r>
      <w:r w:rsidR="001C26CD">
        <w:rPr>
          <w:rFonts w:ascii="Arial" w:hAnsi="Arial" w:cs="Arial"/>
          <w:bCs/>
          <w:color w:val="000000" w:themeColor="text1"/>
          <w:sz w:val="22"/>
          <w:szCs w:val="22"/>
        </w:rPr>
        <w:t xml:space="preserve">overlapping </w:t>
      </w:r>
      <w:r w:rsidR="001023C6">
        <w:rPr>
          <w:rFonts w:ascii="Arial" w:hAnsi="Arial" w:cs="Arial"/>
          <w:bCs/>
          <w:color w:val="000000" w:themeColor="text1"/>
          <w:sz w:val="22"/>
          <w:szCs w:val="22"/>
        </w:rPr>
        <w:t xml:space="preserve">prescriptions </w:t>
      </w:r>
      <w:r w:rsidR="00374B2D">
        <w:rPr>
          <w:rFonts w:ascii="Arial" w:hAnsi="Arial" w:cs="Arial"/>
          <w:bCs/>
          <w:color w:val="000000" w:themeColor="text1"/>
          <w:sz w:val="22"/>
          <w:szCs w:val="22"/>
        </w:rPr>
        <w:t xml:space="preserve">during the </w:t>
      </w:r>
      <w:r w:rsidR="001C26CD">
        <w:rPr>
          <w:rFonts w:ascii="Arial" w:hAnsi="Arial" w:cs="Arial"/>
          <w:bCs/>
          <w:color w:val="000000" w:themeColor="text1"/>
          <w:sz w:val="22"/>
          <w:szCs w:val="22"/>
        </w:rPr>
        <w:t xml:space="preserve">period of </w:t>
      </w:r>
      <w:r w:rsidR="00374B2D">
        <w:rPr>
          <w:rFonts w:ascii="Arial" w:hAnsi="Arial" w:cs="Arial"/>
          <w:bCs/>
          <w:color w:val="000000" w:themeColor="text1"/>
          <w:sz w:val="22"/>
          <w:szCs w:val="22"/>
        </w:rPr>
        <w:t>overlap</w:t>
      </w:r>
      <w:r w:rsidR="00D620D3">
        <w:rPr>
          <w:rFonts w:ascii="Arial" w:hAnsi="Arial" w:cs="Arial"/>
          <w:bCs/>
          <w:color w:val="000000" w:themeColor="text1"/>
          <w:sz w:val="22"/>
          <w:szCs w:val="22"/>
        </w:rPr>
        <w:t xml:space="preserve">. </w:t>
      </w:r>
      <w:r w:rsidR="00A7273C">
        <w:rPr>
          <w:rFonts w:ascii="Arial" w:hAnsi="Arial" w:cs="Arial"/>
          <w:bCs/>
          <w:color w:val="000000" w:themeColor="text1"/>
          <w:sz w:val="22"/>
          <w:szCs w:val="22"/>
        </w:rPr>
        <w:t xml:space="preserve">The prescription days’ supply and daily MME were averaged over </w:t>
      </w:r>
      <w:r w:rsidR="00031E16">
        <w:rPr>
          <w:rFonts w:ascii="Arial" w:hAnsi="Arial" w:cs="Arial"/>
          <w:bCs/>
          <w:color w:val="000000" w:themeColor="text1"/>
          <w:sz w:val="22"/>
          <w:szCs w:val="22"/>
        </w:rPr>
        <w:t xml:space="preserve">the number of days with any supply during a </w:t>
      </w:r>
      <w:r w:rsidR="00FF36CF">
        <w:rPr>
          <w:rFonts w:ascii="Arial" w:hAnsi="Arial" w:cs="Arial"/>
          <w:bCs/>
          <w:color w:val="000000" w:themeColor="text1"/>
          <w:sz w:val="22"/>
          <w:szCs w:val="22"/>
        </w:rPr>
        <w:t>calendar month t</w:t>
      </w:r>
      <w:r w:rsidR="00127E99" w:rsidRPr="006112E3">
        <w:rPr>
          <w:rFonts w:ascii="Arial" w:hAnsi="Arial" w:cs="Arial"/>
          <w:bCs/>
          <w:color w:val="000000" w:themeColor="text1"/>
          <w:sz w:val="22"/>
          <w:szCs w:val="22"/>
        </w:rPr>
        <w:t xml:space="preserve">o </w:t>
      </w:r>
      <w:r w:rsidR="00D85F70" w:rsidRPr="006112E3">
        <w:rPr>
          <w:rFonts w:ascii="Arial" w:hAnsi="Arial" w:cs="Arial"/>
          <w:bCs/>
          <w:color w:val="000000" w:themeColor="text1"/>
          <w:sz w:val="22"/>
          <w:szCs w:val="22"/>
        </w:rPr>
        <w:t>creat</w:t>
      </w:r>
      <w:r w:rsidR="00127E99" w:rsidRPr="006112E3">
        <w:rPr>
          <w:rFonts w:ascii="Arial" w:hAnsi="Arial" w:cs="Arial"/>
          <w:bCs/>
          <w:color w:val="000000" w:themeColor="text1"/>
          <w:sz w:val="22"/>
          <w:szCs w:val="22"/>
        </w:rPr>
        <w:t>e</w:t>
      </w:r>
      <w:r w:rsidR="00D85F70" w:rsidRPr="006112E3">
        <w:rPr>
          <w:rFonts w:ascii="Arial" w:hAnsi="Arial" w:cs="Arial"/>
          <w:bCs/>
          <w:color w:val="000000" w:themeColor="text1"/>
          <w:sz w:val="22"/>
          <w:szCs w:val="22"/>
        </w:rPr>
        <w:t xml:space="preserve"> outcome time-series</w:t>
      </w:r>
      <w:r w:rsidR="00127E99" w:rsidRPr="006112E3">
        <w:rPr>
          <w:rFonts w:ascii="Arial" w:hAnsi="Arial" w:cs="Arial"/>
          <w:bCs/>
          <w:color w:val="000000" w:themeColor="text1"/>
          <w:sz w:val="22"/>
          <w:szCs w:val="22"/>
        </w:rPr>
        <w:t xml:space="preserve"> for dispensed opioids</w:t>
      </w:r>
      <w:r w:rsidR="0061494C" w:rsidRPr="006112E3">
        <w:rPr>
          <w:rFonts w:ascii="Arial" w:hAnsi="Arial" w:cs="Arial"/>
          <w:bCs/>
          <w:color w:val="000000" w:themeColor="text1"/>
          <w:sz w:val="22"/>
          <w:szCs w:val="22"/>
        </w:rPr>
        <w:t>.</w:t>
      </w:r>
      <w:r w:rsidR="00F43463">
        <w:rPr>
          <w:rFonts w:ascii="Arial" w:hAnsi="Arial" w:cs="Arial"/>
          <w:bCs/>
          <w:color w:val="000000" w:themeColor="text1"/>
          <w:sz w:val="22"/>
          <w:szCs w:val="22"/>
        </w:rPr>
        <w:t xml:space="preserve"> </w:t>
      </w:r>
    </w:p>
    <w:p w14:paraId="2AF05A3C" w14:textId="12043981" w:rsidR="00BA328A" w:rsidRPr="006112E3" w:rsidRDefault="00BA328A" w:rsidP="00F768D7">
      <w:pPr>
        <w:rPr>
          <w:rFonts w:ascii="Arial" w:hAnsi="Arial" w:cs="Arial"/>
          <w:b/>
          <w:bCs/>
          <w:color w:val="000000" w:themeColor="text1"/>
          <w:sz w:val="22"/>
          <w:szCs w:val="22"/>
        </w:rPr>
      </w:pPr>
    </w:p>
    <w:p w14:paraId="7DD0431F" w14:textId="0D1E62A8" w:rsidR="0061494C" w:rsidRPr="006112E3" w:rsidRDefault="0061494C" w:rsidP="00F768D7">
      <w:pPr>
        <w:rPr>
          <w:rFonts w:ascii="Arial" w:hAnsi="Arial" w:cs="Arial"/>
          <w:b/>
          <w:bCs/>
          <w:color w:val="000000" w:themeColor="text1"/>
          <w:sz w:val="22"/>
          <w:szCs w:val="22"/>
        </w:rPr>
      </w:pPr>
      <w:r w:rsidRPr="006112E3">
        <w:rPr>
          <w:rFonts w:ascii="Arial" w:hAnsi="Arial" w:cs="Arial"/>
          <w:b/>
          <w:bCs/>
          <w:color w:val="000000" w:themeColor="text1"/>
          <w:sz w:val="22"/>
          <w:szCs w:val="22"/>
        </w:rPr>
        <w:t>Exposures</w:t>
      </w:r>
      <w:r w:rsidR="00943E05">
        <w:rPr>
          <w:rFonts w:ascii="Arial" w:hAnsi="Arial" w:cs="Arial"/>
          <w:b/>
          <w:bCs/>
          <w:color w:val="000000" w:themeColor="text1"/>
          <w:sz w:val="22"/>
          <w:szCs w:val="22"/>
        </w:rPr>
        <w:t xml:space="preserve"> (policy interventions)</w:t>
      </w:r>
    </w:p>
    <w:p w14:paraId="2AD4EAB2" w14:textId="28B73FA8" w:rsidR="00D462BE" w:rsidRPr="007B18AA" w:rsidRDefault="007F0D18" w:rsidP="007B18AA">
      <w:pPr>
        <w:ind w:firstLine="720"/>
        <w:rPr>
          <w:rFonts w:ascii="Arial" w:hAnsi="Arial" w:cs="Arial"/>
          <w:bCs/>
          <w:color w:val="000000" w:themeColor="text1"/>
          <w:sz w:val="22"/>
          <w:szCs w:val="22"/>
        </w:rPr>
      </w:pPr>
      <w:r>
        <w:rPr>
          <w:rFonts w:ascii="Arial" w:hAnsi="Arial" w:cs="Arial"/>
          <w:bCs/>
          <w:color w:val="000000" w:themeColor="text1"/>
          <w:sz w:val="22"/>
          <w:szCs w:val="22"/>
        </w:rPr>
        <w:t xml:space="preserve">We </w:t>
      </w:r>
      <w:r w:rsidR="00B4029C" w:rsidRPr="006112E3">
        <w:rPr>
          <w:rFonts w:ascii="Arial" w:hAnsi="Arial" w:cs="Arial"/>
          <w:bCs/>
          <w:color w:val="000000" w:themeColor="text1"/>
          <w:sz w:val="22"/>
          <w:szCs w:val="22"/>
        </w:rPr>
        <w:t>assess</w:t>
      </w:r>
      <w:r>
        <w:rPr>
          <w:rFonts w:ascii="Arial" w:hAnsi="Arial" w:cs="Arial"/>
          <w:bCs/>
          <w:color w:val="000000" w:themeColor="text1"/>
          <w:sz w:val="22"/>
          <w:szCs w:val="22"/>
        </w:rPr>
        <w:t>ed</w:t>
      </w:r>
      <w:r w:rsidR="00B4029C" w:rsidRPr="006112E3">
        <w:rPr>
          <w:rFonts w:ascii="Arial" w:hAnsi="Arial" w:cs="Arial"/>
          <w:bCs/>
          <w:color w:val="000000" w:themeColor="text1"/>
          <w:sz w:val="22"/>
          <w:szCs w:val="22"/>
        </w:rPr>
        <w:t xml:space="preserve"> the </w:t>
      </w:r>
      <w:r w:rsidR="0075704A">
        <w:rPr>
          <w:rFonts w:ascii="Arial" w:hAnsi="Arial" w:cs="Arial"/>
          <w:bCs/>
          <w:color w:val="000000" w:themeColor="text1"/>
          <w:sz w:val="22"/>
          <w:szCs w:val="22"/>
        </w:rPr>
        <w:t>impact</w:t>
      </w:r>
      <w:r w:rsidR="00B4029C" w:rsidRPr="006112E3">
        <w:rPr>
          <w:rFonts w:ascii="Arial" w:hAnsi="Arial" w:cs="Arial"/>
          <w:bCs/>
          <w:color w:val="000000" w:themeColor="text1"/>
          <w:sz w:val="22"/>
          <w:szCs w:val="22"/>
        </w:rPr>
        <w:t xml:space="preserve"> of two </w:t>
      </w:r>
      <w:r>
        <w:rPr>
          <w:rFonts w:ascii="Arial" w:hAnsi="Arial" w:cs="Arial"/>
          <w:bCs/>
          <w:color w:val="000000" w:themeColor="text1"/>
          <w:sz w:val="22"/>
          <w:szCs w:val="22"/>
        </w:rPr>
        <w:t xml:space="preserve">NC </w:t>
      </w:r>
      <w:r w:rsidR="006C6042">
        <w:rPr>
          <w:rFonts w:ascii="Arial" w:hAnsi="Arial" w:cs="Arial"/>
          <w:bCs/>
          <w:color w:val="000000" w:themeColor="text1"/>
          <w:sz w:val="22"/>
          <w:szCs w:val="22"/>
        </w:rPr>
        <w:t>polic</w:t>
      </w:r>
      <w:r w:rsidR="0075704A">
        <w:rPr>
          <w:rFonts w:ascii="Arial" w:hAnsi="Arial" w:cs="Arial"/>
          <w:bCs/>
          <w:color w:val="000000" w:themeColor="text1"/>
          <w:sz w:val="22"/>
          <w:szCs w:val="22"/>
        </w:rPr>
        <w:t xml:space="preserve">ies, </w:t>
      </w:r>
      <w:r w:rsidR="00CB1206">
        <w:rPr>
          <w:rFonts w:ascii="Arial" w:hAnsi="Arial" w:cs="Arial"/>
          <w:bCs/>
          <w:color w:val="000000" w:themeColor="text1"/>
          <w:sz w:val="22"/>
          <w:szCs w:val="22"/>
        </w:rPr>
        <w:t xml:space="preserve">SOPI </w:t>
      </w:r>
      <w:r w:rsidR="00B4029C" w:rsidRPr="006112E3">
        <w:rPr>
          <w:rFonts w:ascii="Arial" w:hAnsi="Arial" w:cs="Arial"/>
          <w:bCs/>
          <w:color w:val="000000" w:themeColor="text1"/>
          <w:sz w:val="22"/>
          <w:szCs w:val="22"/>
        </w:rPr>
        <w:t xml:space="preserve">and </w:t>
      </w:r>
      <w:r w:rsidR="0075704A">
        <w:rPr>
          <w:rFonts w:ascii="Arial" w:hAnsi="Arial" w:cs="Arial"/>
          <w:bCs/>
          <w:color w:val="000000" w:themeColor="text1"/>
          <w:sz w:val="22"/>
          <w:szCs w:val="22"/>
        </w:rPr>
        <w:t xml:space="preserve">the </w:t>
      </w:r>
      <w:r w:rsidR="000E6B30">
        <w:rPr>
          <w:rFonts w:ascii="Arial" w:hAnsi="Arial" w:cs="Arial"/>
          <w:bCs/>
          <w:color w:val="000000" w:themeColor="text1"/>
          <w:sz w:val="22"/>
          <w:szCs w:val="22"/>
        </w:rPr>
        <w:t>STOP Act</w:t>
      </w:r>
      <w:r w:rsidR="00B4029C" w:rsidRPr="006112E3">
        <w:rPr>
          <w:rFonts w:ascii="Arial" w:hAnsi="Arial" w:cs="Arial"/>
          <w:bCs/>
          <w:color w:val="000000" w:themeColor="text1"/>
          <w:sz w:val="22"/>
          <w:szCs w:val="22"/>
        </w:rPr>
        <w:t>. SOPI</w:t>
      </w:r>
      <w:r w:rsidR="00836871">
        <w:rPr>
          <w:rFonts w:ascii="Arial" w:hAnsi="Arial" w:cs="Arial"/>
          <w:bCs/>
          <w:color w:val="000000" w:themeColor="text1"/>
          <w:sz w:val="22"/>
          <w:szCs w:val="22"/>
        </w:rPr>
        <w:t xml:space="preserve"> was announced in April 2016 and </w:t>
      </w:r>
      <w:r w:rsidR="00B4029C">
        <w:rPr>
          <w:rFonts w:ascii="Arial" w:hAnsi="Arial" w:cs="Arial"/>
          <w:bCs/>
          <w:color w:val="000000" w:themeColor="text1"/>
          <w:sz w:val="22"/>
          <w:szCs w:val="22"/>
        </w:rPr>
        <w:t>launched</w:t>
      </w:r>
      <w:r w:rsidR="00B4029C" w:rsidRPr="006112E3">
        <w:rPr>
          <w:rFonts w:ascii="Arial" w:hAnsi="Arial" w:cs="Arial"/>
          <w:bCs/>
          <w:color w:val="000000" w:themeColor="text1"/>
          <w:sz w:val="22"/>
          <w:szCs w:val="22"/>
        </w:rPr>
        <w:t xml:space="preserve"> in May 2016. This </w:t>
      </w:r>
      <w:r w:rsidR="00B4029C">
        <w:rPr>
          <w:rFonts w:ascii="Arial" w:hAnsi="Arial" w:cs="Arial"/>
          <w:bCs/>
          <w:color w:val="000000" w:themeColor="text1"/>
          <w:sz w:val="22"/>
          <w:szCs w:val="22"/>
        </w:rPr>
        <w:t>action</w:t>
      </w:r>
      <w:r w:rsidR="00B4029C" w:rsidRPr="006112E3">
        <w:rPr>
          <w:rFonts w:ascii="Arial" w:hAnsi="Arial" w:cs="Arial"/>
          <w:bCs/>
          <w:color w:val="000000" w:themeColor="text1"/>
          <w:sz w:val="22"/>
          <w:szCs w:val="22"/>
        </w:rPr>
        <w:t xml:space="preserve"> sent letters to </w:t>
      </w:r>
      <w:r w:rsidR="006C6042">
        <w:rPr>
          <w:rFonts w:ascii="Arial" w:hAnsi="Arial" w:cs="Arial"/>
          <w:bCs/>
          <w:color w:val="000000" w:themeColor="text1"/>
          <w:sz w:val="22"/>
          <w:szCs w:val="22"/>
        </w:rPr>
        <w:t xml:space="preserve">all </w:t>
      </w:r>
      <w:r w:rsidR="00BF7CD9">
        <w:rPr>
          <w:rFonts w:ascii="Arial" w:hAnsi="Arial" w:cs="Arial"/>
          <w:bCs/>
          <w:color w:val="000000" w:themeColor="text1"/>
          <w:sz w:val="22"/>
          <w:szCs w:val="22"/>
        </w:rPr>
        <w:t xml:space="preserve">licensed </w:t>
      </w:r>
      <w:r w:rsidR="0075704A">
        <w:rPr>
          <w:rFonts w:ascii="Arial" w:hAnsi="Arial" w:cs="Arial"/>
          <w:bCs/>
          <w:color w:val="000000" w:themeColor="text1"/>
          <w:sz w:val="22"/>
          <w:szCs w:val="22"/>
        </w:rPr>
        <w:t>N</w:t>
      </w:r>
      <w:r w:rsidR="006C6042">
        <w:rPr>
          <w:rFonts w:ascii="Arial" w:hAnsi="Arial" w:cs="Arial"/>
          <w:bCs/>
          <w:color w:val="000000" w:themeColor="text1"/>
          <w:sz w:val="22"/>
          <w:szCs w:val="22"/>
        </w:rPr>
        <w:t xml:space="preserve">C </w:t>
      </w:r>
      <w:r w:rsidR="0075704A">
        <w:rPr>
          <w:rFonts w:ascii="Arial" w:hAnsi="Arial" w:cs="Arial"/>
          <w:bCs/>
          <w:color w:val="000000" w:themeColor="text1"/>
          <w:sz w:val="22"/>
          <w:szCs w:val="22"/>
        </w:rPr>
        <w:t xml:space="preserve">clinicians </w:t>
      </w:r>
      <w:r w:rsidR="001F10DF">
        <w:rPr>
          <w:rFonts w:ascii="Arial" w:hAnsi="Arial" w:cs="Arial"/>
          <w:bCs/>
          <w:color w:val="000000" w:themeColor="text1"/>
          <w:sz w:val="22"/>
          <w:szCs w:val="22"/>
        </w:rPr>
        <w:t xml:space="preserve">informing them of the </w:t>
      </w:r>
      <w:r w:rsidR="0075704A">
        <w:rPr>
          <w:rFonts w:ascii="Arial" w:hAnsi="Arial" w:cs="Arial"/>
          <w:bCs/>
          <w:color w:val="000000" w:themeColor="text1"/>
          <w:sz w:val="22"/>
          <w:szCs w:val="22"/>
        </w:rPr>
        <w:t xml:space="preserve">initiative to </w:t>
      </w:r>
      <w:r w:rsidR="00BF7CD9">
        <w:rPr>
          <w:rFonts w:ascii="Arial" w:hAnsi="Arial" w:cs="Arial"/>
          <w:bCs/>
          <w:color w:val="000000" w:themeColor="text1"/>
          <w:sz w:val="22"/>
          <w:szCs w:val="22"/>
        </w:rPr>
        <w:t xml:space="preserve">proactively </w:t>
      </w:r>
      <w:r w:rsidR="006C6042">
        <w:rPr>
          <w:rFonts w:ascii="Arial" w:hAnsi="Arial" w:cs="Arial"/>
          <w:bCs/>
          <w:color w:val="000000" w:themeColor="text1"/>
          <w:sz w:val="22"/>
          <w:szCs w:val="22"/>
        </w:rPr>
        <w:t xml:space="preserve">investigate those </w:t>
      </w:r>
      <w:r w:rsidR="00B4029C" w:rsidRPr="006112E3">
        <w:rPr>
          <w:rFonts w:ascii="Arial" w:hAnsi="Arial" w:cs="Arial"/>
          <w:bCs/>
          <w:color w:val="000000" w:themeColor="text1"/>
          <w:sz w:val="22"/>
          <w:szCs w:val="22"/>
        </w:rPr>
        <w:t>who prescribe</w:t>
      </w:r>
      <w:r w:rsidR="006C6042">
        <w:rPr>
          <w:rFonts w:ascii="Arial" w:hAnsi="Arial" w:cs="Arial"/>
          <w:bCs/>
          <w:color w:val="000000" w:themeColor="text1"/>
          <w:sz w:val="22"/>
          <w:szCs w:val="22"/>
        </w:rPr>
        <w:t>d</w:t>
      </w:r>
      <w:r w:rsidR="00B4029C" w:rsidRPr="006112E3">
        <w:rPr>
          <w:rFonts w:ascii="Arial" w:hAnsi="Arial" w:cs="Arial"/>
          <w:bCs/>
          <w:color w:val="000000" w:themeColor="text1"/>
          <w:sz w:val="22"/>
          <w:szCs w:val="22"/>
        </w:rPr>
        <w:t xml:space="preserve"> high doses</w:t>
      </w:r>
      <w:r w:rsidR="00016C4E">
        <w:rPr>
          <w:rFonts w:ascii="Arial" w:hAnsi="Arial" w:cs="Arial"/>
          <w:bCs/>
          <w:color w:val="000000" w:themeColor="text1"/>
          <w:sz w:val="22"/>
          <w:szCs w:val="22"/>
        </w:rPr>
        <w:t xml:space="preserve"> and high volume</w:t>
      </w:r>
      <w:r w:rsidR="00B4029C" w:rsidRPr="006112E3">
        <w:rPr>
          <w:rFonts w:ascii="Arial" w:hAnsi="Arial" w:cs="Arial"/>
          <w:bCs/>
          <w:color w:val="000000" w:themeColor="text1"/>
          <w:sz w:val="22"/>
          <w:szCs w:val="22"/>
        </w:rPr>
        <w:t xml:space="preserve"> of opioids to </w:t>
      </w:r>
      <w:r w:rsidR="00026D4C">
        <w:rPr>
          <w:rFonts w:ascii="Arial" w:hAnsi="Arial" w:cs="Arial"/>
          <w:bCs/>
          <w:color w:val="000000" w:themeColor="text1"/>
          <w:sz w:val="22"/>
          <w:szCs w:val="22"/>
        </w:rPr>
        <w:t xml:space="preserve">the </w:t>
      </w:r>
      <w:r w:rsidR="006C6042">
        <w:rPr>
          <w:rFonts w:ascii="Arial" w:hAnsi="Arial" w:cs="Arial"/>
          <w:bCs/>
          <w:color w:val="000000" w:themeColor="text1"/>
          <w:sz w:val="22"/>
          <w:szCs w:val="22"/>
        </w:rPr>
        <w:t>majority</w:t>
      </w:r>
      <w:r w:rsidR="00B4029C">
        <w:rPr>
          <w:rFonts w:ascii="Arial" w:hAnsi="Arial" w:cs="Arial"/>
          <w:bCs/>
          <w:color w:val="000000" w:themeColor="text1"/>
          <w:sz w:val="22"/>
          <w:szCs w:val="22"/>
        </w:rPr>
        <w:t xml:space="preserve"> of their</w:t>
      </w:r>
      <w:r w:rsidR="00B4029C" w:rsidRPr="006112E3">
        <w:rPr>
          <w:rFonts w:ascii="Arial" w:hAnsi="Arial" w:cs="Arial"/>
          <w:bCs/>
          <w:color w:val="000000" w:themeColor="text1"/>
          <w:sz w:val="22"/>
          <w:szCs w:val="22"/>
        </w:rPr>
        <w:t xml:space="preserve"> patients</w:t>
      </w:r>
      <w:r w:rsidR="0075704A">
        <w:rPr>
          <w:rFonts w:ascii="Arial" w:hAnsi="Arial" w:cs="Arial"/>
          <w:bCs/>
          <w:color w:val="000000" w:themeColor="text1"/>
          <w:sz w:val="22"/>
          <w:szCs w:val="22"/>
        </w:rPr>
        <w:t>,</w:t>
      </w:r>
      <w:r w:rsidR="00B4029C" w:rsidRPr="006112E3">
        <w:rPr>
          <w:rFonts w:ascii="Arial" w:hAnsi="Arial" w:cs="Arial"/>
          <w:bCs/>
          <w:color w:val="000000" w:themeColor="text1"/>
          <w:sz w:val="22"/>
          <w:szCs w:val="22"/>
        </w:rPr>
        <w:t xml:space="preserve"> or who had </w:t>
      </w:r>
      <w:r w:rsidR="00B4029C">
        <w:rPr>
          <w:rFonts w:ascii="Arial" w:hAnsi="Arial" w:cs="Arial"/>
          <w:bCs/>
          <w:color w:val="000000" w:themeColor="text1"/>
          <w:sz w:val="22"/>
          <w:szCs w:val="22"/>
        </w:rPr>
        <w:t>two or more</w:t>
      </w:r>
      <w:r w:rsidR="00B4029C" w:rsidRPr="006112E3">
        <w:rPr>
          <w:rFonts w:ascii="Arial" w:hAnsi="Arial" w:cs="Arial"/>
          <w:bCs/>
          <w:color w:val="000000" w:themeColor="text1"/>
          <w:sz w:val="22"/>
          <w:szCs w:val="22"/>
        </w:rPr>
        <w:t xml:space="preserve"> patients </w:t>
      </w:r>
      <w:r w:rsidR="00B4029C">
        <w:rPr>
          <w:rFonts w:ascii="Arial" w:hAnsi="Arial" w:cs="Arial"/>
          <w:bCs/>
          <w:color w:val="000000" w:themeColor="text1"/>
          <w:sz w:val="22"/>
          <w:szCs w:val="22"/>
        </w:rPr>
        <w:t>die</w:t>
      </w:r>
      <w:r w:rsidR="00B4029C" w:rsidRPr="006112E3">
        <w:rPr>
          <w:rFonts w:ascii="Arial" w:hAnsi="Arial" w:cs="Arial"/>
          <w:bCs/>
          <w:color w:val="000000" w:themeColor="text1"/>
          <w:sz w:val="22"/>
          <w:szCs w:val="22"/>
        </w:rPr>
        <w:t xml:space="preserve"> from </w:t>
      </w:r>
      <w:r w:rsidR="00A972DC">
        <w:rPr>
          <w:rFonts w:ascii="Arial" w:hAnsi="Arial" w:cs="Arial"/>
          <w:bCs/>
          <w:color w:val="000000" w:themeColor="text1"/>
          <w:sz w:val="22"/>
          <w:szCs w:val="22"/>
        </w:rPr>
        <w:t xml:space="preserve">an </w:t>
      </w:r>
      <w:r w:rsidR="00B4029C" w:rsidRPr="006112E3">
        <w:rPr>
          <w:rFonts w:ascii="Arial" w:hAnsi="Arial" w:cs="Arial"/>
          <w:bCs/>
          <w:color w:val="000000" w:themeColor="text1"/>
          <w:sz w:val="22"/>
          <w:szCs w:val="22"/>
        </w:rPr>
        <w:t>opioid overdose.</w:t>
      </w:r>
      <w:r w:rsidR="00B4029C" w:rsidRPr="006112E3">
        <w:rPr>
          <w:rFonts w:ascii="Arial" w:hAnsi="Arial" w:cs="Arial"/>
          <w:bCs/>
          <w:color w:val="000000" w:themeColor="text1"/>
          <w:sz w:val="22"/>
          <w:szCs w:val="22"/>
        </w:rPr>
        <w:fldChar w:fldCharType="begin"/>
      </w:r>
      <w:r w:rsidR="001B40DF">
        <w:rPr>
          <w:rFonts w:ascii="Arial" w:hAnsi="Arial" w:cs="Arial"/>
          <w:bCs/>
          <w:color w:val="000000" w:themeColor="text1"/>
          <w:sz w:val="22"/>
          <w:szCs w:val="22"/>
        </w:rPr>
        <w:instrText xml:space="preserve"> ADDIN ZOTERO_ITEM CSL_CITATION {"citationID":"q1pE2BcS","properties":{"formattedCitation":"\\super 29\\nosupersub{}","plainCitation":"29","noteIndex":0},"citationItems":[{"id":13648,"uris":["http://zotero.org/users/5919053/items/9EE59MSR"],"itemData":{"id":13648,"type":"webpage","title":"Annual Reports","URL":"https://www.ncmedboard.org/about-the-board/annual-reports","accessed":{"date-parts":[["2022",4,11]]}}}],"schema":"https://github.com/citation-style-language/schema/raw/master/csl-citation.json"} </w:instrText>
      </w:r>
      <w:r w:rsidR="00B4029C" w:rsidRPr="006112E3">
        <w:rPr>
          <w:rFonts w:ascii="Arial" w:hAnsi="Arial" w:cs="Arial"/>
          <w:bCs/>
          <w:color w:val="000000" w:themeColor="text1"/>
          <w:sz w:val="22"/>
          <w:szCs w:val="22"/>
        </w:rPr>
        <w:fldChar w:fldCharType="separate"/>
      </w:r>
      <w:r w:rsidR="001B40DF" w:rsidRPr="001B40DF">
        <w:rPr>
          <w:rFonts w:ascii="Arial" w:hAnsi="Arial" w:cs="Arial"/>
          <w:color w:val="000000"/>
          <w:sz w:val="22"/>
          <w:vertAlign w:val="superscript"/>
        </w:rPr>
        <w:t>29</w:t>
      </w:r>
      <w:r w:rsidR="00B4029C" w:rsidRPr="006112E3">
        <w:rPr>
          <w:rFonts w:ascii="Arial" w:hAnsi="Arial" w:cs="Arial"/>
          <w:bCs/>
          <w:color w:val="000000" w:themeColor="text1"/>
          <w:sz w:val="22"/>
          <w:szCs w:val="22"/>
        </w:rPr>
        <w:fldChar w:fldCharType="end"/>
      </w:r>
      <w:r w:rsidR="00B4029C" w:rsidRPr="006112E3">
        <w:rPr>
          <w:rFonts w:ascii="Arial" w:hAnsi="Arial" w:cs="Arial"/>
          <w:bCs/>
          <w:color w:val="000000" w:themeColor="text1"/>
          <w:sz w:val="22"/>
          <w:szCs w:val="22"/>
        </w:rPr>
        <w:t xml:space="preserve"> </w:t>
      </w:r>
      <w:r w:rsidR="00B4029C">
        <w:rPr>
          <w:rFonts w:ascii="Arial" w:hAnsi="Arial" w:cs="Arial"/>
          <w:bCs/>
          <w:color w:val="000000" w:themeColor="text1"/>
          <w:sz w:val="22"/>
          <w:szCs w:val="22"/>
        </w:rPr>
        <w:t>In Ju</w:t>
      </w:r>
      <w:r w:rsidR="006C6042">
        <w:rPr>
          <w:rFonts w:ascii="Arial" w:hAnsi="Arial" w:cs="Arial"/>
          <w:bCs/>
          <w:color w:val="000000" w:themeColor="text1"/>
          <w:sz w:val="22"/>
          <w:szCs w:val="22"/>
        </w:rPr>
        <w:t>ly</w:t>
      </w:r>
      <w:r w:rsidR="00B4029C">
        <w:rPr>
          <w:rFonts w:ascii="Arial" w:hAnsi="Arial" w:cs="Arial"/>
          <w:bCs/>
          <w:color w:val="000000" w:themeColor="text1"/>
          <w:sz w:val="22"/>
          <w:szCs w:val="22"/>
        </w:rPr>
        <w:t xml:space="preserve"> 2017</w:t>
      </w:r>
      <w:r w:rsidR="00B4029C" w:rsidRPr="006112E3">
        <w:rPr>
          <w:rFonts w:ascii="Arial" w:hAnsi="Arial" w:cs="Arial"/>
          <w:bCs/>
          <w:color w:val="000000" w:themeColor="text1"/>
          <w:sz w:val="22"/>
          <w:szCs w:val="22"/>
        </w:rPr>
        <w:t xml:space="preserve">, the </w:t>
      </w:r>
      <w:r w:rsidR="000E6B30">
        <w:rPr>
          <w:rFonts w:ascii="Arial" w:hAnsi="Arial" w:cs="Arial"/>
          <w:bCs/>
          <w:color w:val="000000" w:themeColor="text1"/>
          <w:sz w:val="22"/>
          <w:szCs w:val="22"/>
        </w:rPr>
        <w:t>STOP Act</w:t>
      </w:r>
      <w:r w:rsidR="00B4029C" w:rsidRPr="006112E3">
        <w:rPr>
          <w:rFonts w:ascii="Arial" w:hAnsi="Arial" w:cs="Arial"/>
          <w:bCs/>
          <w:color w:val="000000" w:themeColor="text1"/>
          <w:sz w:val="22"/>
          <w:szCs w:val="22"/>
        </w:rPr>
        <w:t xml:space="preserve"> </w:t>
      </w:r>
      <w:r w:rsidR="006C6042">
        <w:rPr>
          <w:rFonts w:ascii="Arial" w:hAnsi="Arial" w:cs="Arial"/>
          <w:bCs/>
          <w:color w:val="000000" w:themeColor="text1"/>
          <w:sz w:val="22"/>
          <w:szCs w:val="22"/>
        </w:rPr>
        <w:t>was implemented</w:t>
      </w:r>
      <w:r w:rsidR="00682920">
        <w:rPr>
          <w:rFonts w:ascii="Arial" w:hAnsi="Arial" w:cs="Arial"/>
          <w:bCs/>
          <w:color w:val="000000" w:themeColor="text1"/>
          <w:sz w:val="22"/>
          <w:szCs w:val="22"/>
        </w:rPr>
        <w:t xml:space="preserve">. It </w:t>
      </w:r>
      <w:r w:rsidR="00B4029C">
        <w:rPr>
          <w:rFonts w:ascii="Arial" w:hAnsi="Arial" w:cs="Arial"/>
          <w:bCs/>
          <w:color w:val="000000" w:themeColor="text1"/>
          <w:sz w:val="22"/>
          <w:szCs w:val="22"/>
        </w:rPr>
        <w:t>require</w:t>
      </w:r>
      <w:r w:rsidR="00682920">
        <w:rPr>
          <w:rFonts w:ascii="Arial" w:hAnsi="Arial" w:cs="Arial"/>
          <w:bCs/>
          <w:color w:val="000000" w:themeColor="text1"/>
          <w:sz w:val="22"/>
          <w:szCs w:val="22"/>
        </w:rPr>
        <w:t>d</w:t>
      </w:r>
      <w:r w:rsidR="00B4029C">
        <w:rPr>
          <w:rFonts w:ascii="Arial" w:hAnsi="Arial" w:cs="Arial"/>
          <w:bCs/>
          <w:color w:val="000000" w:themeColor="text1"/>
          <w:sz w:val="22"/>
          <w:szCs w:val="22"/>
        </w:rPr>
        <w:t xml:space="preserve"> </w:t>
      </w:r>
      <w:r w:rsidR="00682920">
        <w:rPr>
          <w:rFonts w:ascii="Arial" w:hAnsi="Arial" w:cs="Arial"/>
          <w:bCs/>
          <w:color w:val="000000" w:themeColor="text1"/>
          <w:sz w:val="22"/>
          <w:szCs w:val="22"/>
        </w:rPr>
        <w:t xml:space="preserve">1) a license physician to </w:t>
      </w:r>
      <w:r w:rsidR="00B4029C">
        <w:rPr>
          <w:rFonts w:ascii="Arial" w:hAnsi="Arial" w:cs="Arial"/>
          <w:bCs/>
          <w:color w:val="000000" w:themeColor="text1"/>
          <w:sz w:val="22"/>
          <w:szCs w:val="22"/>
        </w:rPr>
        <w:t xml:space="preserve">review </w:t>
      </w:r>
      <w:r w:rsidR="00B4029C" w:rsidRPr="006112E3">
        <w:rPr>
          <w:rFonts w:ascii="Arial" w:hAnsi="Arial" w:cs="Arial"/>
          <w:bCs/>
          <w:color w:val="000000" w:themeColor="text1"/>
          <w:sz w:val="22"/>
          <w:szCs w:val="22"/>
        </w:rPr>
        <w:t xml:space="preserve">opioid prescriptions prescribed by physician assistants and nurse practitioners </w:t>
      </w:r>
      <w:r w:rsidR="00682920">
        <w:rPr>
          <w:rFonts w:ascii="Arial" w:hAnsi="Arial" w:cs="Arial"/>
          <w:bCs/>
          <w:color w:val="000000" w:themeColor="text1"/>
          <w:sz w:val="22"/>
          <w:szCs w:val="22"/>
        </w:rPr>
        <w:t>(</w:t>
      </w:r>
      <w:r w:rsidR="00B4029C">
        <w:rPr>
          <w:rFonts w:ascii="Arial" w:hAnsi="Arial" w:cs="Arial"/>
          <w:bCs/>
          <w:color w:val="000000" w:themeColor="text1"/>
          <w:sz w:val="22"/>
          <w:szCs w:val="22"/>
        </w:rPr>
        <w:t>beginning</w:t>
      </w:r>
      <w:r w:rsidR="00B4029C" w:rsidRPr="006112E3">
        <w:rPr>
          <w:rFonts w:ascii="Arial" w:hAnsi="Arial" w:cs="Arial"/>
          <w:bCs/>
          <w:color w:val="000000" w:themeColor="text1"/>
          <w:sz w:val="22"/>
          <w:szCs w:val="22"/>
        </w:rPr>
        <w:t xml:space="preserve"> July 1</w:t>
      </w:r>
      <w:r w:rsidR="00F735FD" w:rsidRPr="001B6C5B">
        <w:rPr>
          <w:rFonts w:ascii="Arial" w:hAnsi="Arial" w:cs="Arial"/>
          <w:bCs/>
          <w:color w:val="000000" w:themeColor="text1"/>
          <w:sz w:val="22"/>
          <w:szCs w:val="22"/>
        </w:rPr>
        <w:t>,</w:t>
      </w:r>
      <w:r w:rsidR="00B4029C" w:rsidRPr="006112E3">
        <w:rPr>
          <w:rFonts w:ascii="Arial" w:hAnsi="Arial" w:cs="Arial"/>
          <w:bCs/>
          <w:color w:val="000000" w:themeColor="text1"/>
          <w:sz w:val="22"/>
          <w:szCs w:val="22"/>
        </w:rPr>
        <w:t xml:space="preserve"> 2017</w:t>
      </w:r>
      <w:proofErr w:type="gramStart"/>
      <w:r w:rsidR="00682920">
        <w:rPr>
          <w:rFonts w:ascii="Arial" w:hAnsi="Arial" w:cs="Arial"/>
          <w:bCs/>
          <w:color w:val="000000" w:themeColor="text1"/>
          <w:sz w:val="22"/>
          <w:szCs w:val="22"/>
        </w:rPr>
        <w:t>)</w:t>
      </w:r>
      <w:r w:rsidR="00A61522">
        <w:rPr>
          <w:rFonts w:ascii="Arial" w:hAnsi="Arial" w:cs="Arial"/>
          <w:bCs/>
          <w:color w:val="000000" w:themeColor="text1"/>
          <w:sz w:val="22"/>
          <w:szCs w:val="22"/>
        </w:rPr>
        <w:t xml:space="preserve">, </w:t>
      </w:r>
      <w:r w:rsidR="00B4029C" w:rsidRPr="006112E3">
        <w:rPr>
          <w:rFonts w:ascii="Arial" w:hAnsi="Arial" w:cs="Arial"/>
          <w:bCs/>
          <w:color w:val="000000" w:themeColor="text1"/>
          <w:sz w:val="22"/>
          <w:szCs w:val="22"/>
        </w:rPr>
        <w:t xml:space="preserve"> </w:t>
      </w:r>
      <w:r w:rsidR="00682920">
        <w:rPr>
          <w:rFonts w:ascii="Arial" w:hAnsi="Arial" w:cs="Arial"/>
          <w:bCs/>
          <w:color w:val="000000" w:themeColor="text1"/>
          <w:sz w:val="22"/>
          <w:szCs w:val="22"/>
        </w:rPr>
        <w:t>2</w:t>
      </w:r>
      <w:proofErr w:type="gramEnd"/>
      <w:r w:rsidR="00682920">
        <w:rPr>
          <w:rFonts w:ascii="Arial" w:hAnsi="Arial" w:cs="Arial"/>
          <w:bCs/>
          <w:color w:val="000000" w:themeColor="text1"/>
          <w:sz w:val="22"/>
          <w:szCs w:val="22"/>
        </w:rPr>
        <w:t xml:space="preserve">) </w:t>
      </w:r>
      <w:r w:rsidR="00B4029C">
        <w:rPr>
          <w:rFonts w:ascii="Arial" w:hAnsi="Arial" w:cs="Arial"/>
          <w:bCs/>
          <w:color w:val="000000" w:themeColor="text1"/>
          <w:sz w:val="22"/>
          <w:szCs w:val="22"/>
        </w:rPr>
        <w:t>restrict</w:t>
      </w:r>
      <w:r w:rsidR="00682920">
        <w:rPr>
          <w:rFonts w:ascii="Arial" w:hAnsi="Arial" w:cs="Arial"/>
          <w:bCs/>
          <w:color w:val="000000" w:themeColor="text1"/>
          <w:sz w:val="22"/>
          <w:szCs w:val="22"/>
        </w:rPr>
        <w:t>ing</w:t>
      </w:r>
      <w:r w:rsidR="00B4029C" w:rsidRPr="006112E3">
        <w:rPr>
          <w:rFonts w:ascii="Arial" w:hAnsi="Arial" w:cs="Arial"/>
          <w:bCs/>
          <w:color w:val="000000" w:themeColor="text1"/>
          <w:sz w:val="22"/>
          <w:szCs w:val="22"/>
        </w:rPr>
        <w:t xml:space="preserve"> the maximum days’ supply of an initial </w:t>
      </w:r>
      <w:r w:rsidR="00B4029C" w:rsidRPr="00687F9A">
        <w:rPr>
          <w:rFonts w:ascii="Arial" w:hAnsi="Arial" w:cs="Arial"/>
          <w:bCs/>
          <w:color w:val="000000" w:themeColor="text1"/>
          <w:sz w:val="22"/>
          <w:szCs w:val="22"/>
        </w:rPr>
        <w:t>prescription for acute (five days) or post-surgical (seven days) pain</w:t>
      </w:r>
      <w:r w:rsidR="00682920">
        <w:rPr>
          <w:rFonts w:ascii="Arial" w:hAnsi="Arial" w:cs="Arial"/>
          <w:bCs/>
          <w:color w:val="000000" w:themeColor="text1"/>
          <w:sz w:val="22"/>
          <w:szCs w:val="22"/>
        </w:rPr>
        <w:t xml:space="preserve"> (</w:t>
      </w:r>
      <w:r w:rsidR="00B4029C" w:rsidRPr="00687F9A">
        <w:rPr>
          <w:rFonts w:ascii="Arial" w:hAnsi="Arial" w:cs="Arial"/>
          <w:bCs/>
          <w:color w:val="000000" w:themeColor="text1"/>
          <w:sz w:val="22"/>
          <w:szCs w:val="22"/>
        </w:rPr>
        <w:t>starting January 1, 2018</w:t>
      </w:r>
      <w:r w:rsidR="00682920">
        <w:rPr>
          <w:rFonts w:ascii="Arial" w:hAnsi="Arial" w:cs="Arial"/>
          <w:bCs/>
          <w:color w:val="000000" w:themeColor="text1"/>
          <w:sz w:val="22"/>
          <w:szCs w:val="22"/>
        </w:rPr>
        <w:t xml:space="preserve">), and 3) </w:t>
      </w:r>
      <w:r w:rsidR="00682920" w:rsidRPr="00687F9A">
        <w:rPr>
          <w:rFonts w:ascii="Arial" w:hAnsi="Arial" w:cs="Arial"/>
          <w:bCs/>
          <w:color w:val="000000" w:themeColor="text1"/>
          <w:sz w:val="22"/>
          <w:szCs w:val="22"/>
        </w:rPr>
        <w:t>p</w:t>
      </w:r>
      <w:r w:rsidR="00682920">
        <w:rPr>
          <w:rFonts w:ascii="Arial" w:hAnsi="Arial" w:cs="Arial"/>
          <w:bCs/>
          <w:color w:val="000000" w:themeColor="text1"/>
          <w:sz w:val="22"/>
          <w:szCs w:val="22"/>
        </w:rPr>
        <w:t>rescribers</w:t>
      </w:r>
      <w:r w:rsidR="00682920" w:rsidRPr="00687F9A">
        <w:rPr>
          <w:rFonts w:ascii="Arial" w:hAnsi="Arial" w:cs="Arial"/>
          <w:bCs/>
          <w:color w:val="000000" w:themeColor="text1"/>
          <w:sz w:val="22"/>
          <w:szCs w:val="22"/>
        </w:rPr>
        <w:t xml:space="preserve"> to review the CSRS before prescribing a schedule II or III opioid or narcotic medication</w:t>
      </w:r>
      <w:r w:rsidR="001F10DF">
        <w:rPr>
          <w:rFonts w:ascii="Arial" w:hAnsi="Arial" w:cs="Arial"/>
          <w:bCs/>
          <w:color w:val="000000" w:themeColor="text1"/>
          <w:sz w:val="22"/>
          <w:szCs w:val="22"/>
        </w:rPr>
        <w:t xml:space="preserve">. The third mandate was not </w:t>
      </w:r>
      <w:r w:rsidR="00836871">
        <w:rPr>
          <w:rFonts w:ascii="Arial" w:hAnsi="Arial" w:cs="Arial"/>
          <w:bCs/>
          <w:color w:val="000000" w:themeColor="text1"/>
          <w:sz w:val="22"/>
          <w:szCs w:val="22"/>
        </w:rPr>
        <w:t>enforced</w:t>
      </w:r>
      <w:r w:rsidR="001F10DF">
        <w:rPr>
          <w:rFonts w:ascii="Arial" w:hAnsi="Arial" w:cs="Arial"/>
          <w:bCs/>
          <w:color w:val="000000" w:themeColor="text1"/>
          <w:sz w:val="22"/>
          <w:szCs w:val="22"/>
        </w:rPr>
        <w:t xml:space="preserve"> during the study period</w:t>
      </w:r>
      <w:r w:rsidR="00B4029C" w:rsidRPr="00687F9A">
        <w:rPr>
          <w:rFonts w:ascii="Arial" w:hAnsi="Arial" w:cs="Arial"/>
          <w:bCs/>
          <w:color w:val="000000" w:themeColor="text1"/>
          <w:sz w:val="22"/>
          <w:szCs w:val="22"/>
        </w:rPr>
        <w:t>.</w:t>
      </w:r>
      <w:r w:rsidR="00B4029C" w:rsidRPr="006112E3">
        <w:rPr>
          <w:rFonts w:ascii="Arial" w:hAnsi="Arial" w:cs="Arial"/>
          <w:bCs/>
          <w:color w:val="000000" w:themeColor="text1"/>
          <w:sz w:val="22"/>
          <w:szCs w:val="22"/>
        </w:rPr>
        <w:t xml:space="preserve"> </w:t>
      </w:r>
      <w:r w:rsidR="00836871">
        <w:rPr>
          <w:rFonts w:ascii="Arial" w:hAnsi="Arial" w:cs="Arial"/>
          <w:bCs/>
          <w:color w:val="000000" w:themeColor="text1"/>
          <w:sz w:val="22"/>
          <w:szCs w:val="22"/>
        </w:rPr>
        <w:t xml:space="preserve">We used January 2018 as the first month for </w:t>
      </w:r>
      <w:r w:rsidR="000E6B30">
        <w:rPr>
          <w:rFonts w:ascii="Arial" w:hAnsi="Arial" w:cs="Arial"/>
          <w:bCs/>
          <w:color w:val="000000" w:themeColor="text1"/>
          <w:sz w:val="22"/>
          <w:szCs w:val="22"/>
        </w:rPr>
        <w:t>STOP Act</w:t>
      </w:r>
      <w:r w:rsidR="00836871">
        <w:rPr>
          <w:rFonts w:ascii="Arial" w:hAnsi="Arial" w:cs="Arial"/>
          <w:bCs/>
          <w:color w:val="000000" w:themeColor="text1"/>
          <w:sz w:val="22"/>
          <w:szCs w:val="22"/>
        </w:rPr>
        <w:t xml:space="preserve"> intervention.</w:t>
      </w:r>
    </w:p>
    <w:p w14:paraId="159F7761" w14:textId="79D1B39F" w:rsidR="0061494C" w:rsidRPr="006112E3" w:rsidRDefault="0061494C" w:rsidP="00FB061F">
      <w:pPr>
        <w:ind w:firstLine="720"/>
        <w:rPr>
          <w:rFonts w:ascii="Arial" w:hAnsi="Arial" w:cs="Arial"/>
          <w:bCs/>
          <w:color w:val="000000" w:themeColor="text1"/>
          <w:sz w:val="22"/>
          <w:szCs w:val="22"/>
        </w:rPr>
      </w:pPr>
    </w:p>
    <w:p w14:paraId="222D98CE" w14:textId="18195B79" w:rsidR="005D35E7" w:rsidRPr="006112E3" w:rsidRDefault="005D35E7" w:rsidP="005D35E7">
      <w:pPr>
        <w:rPr>
          <w:rFonts w:ascii="Arial" w:hAnsi="Arial" w:cs="Arial"/>
          <w:b/>
          <w:bCs/>
          <w:color w:val="000000" w:themeColor="text1"/>
          <w:sz w:val="22"/>
          <w:szCs w:val="22"/>
        </w:rPr>
      </w:pPr>
      <w:r w:rsidRPr="006112E3">
        <w:rPr>
          <w:rFonts w:ascii="Arial" w:hAnsi="Arial" w:cs="Arial"/>
          <w:b/>
          <w:bCs/>
          <w:color w:val="000000" w:themeColor="text1"/>
          <w:sz w:val="22"/>
          <w:szCs w:val="22"/>
        </w:rPr>
        <w:t xml:space="preserve">Control </w:t>
      </w:r>
    </w:p>
    <w:p w14:paraId="1E1D6B8F" w14:textId="0A8D9DAF" w:rsidR="00B4029C" w:rsidRDefault="00B4029C" w:rsidP="00B4029C">
      <w:pPr>
        <w:ind w:firstLine="720"/>
        <w:rPr>
          <w:rFonts w:ascii="Arial" w:hAnsi="Arial" w:cs="Arial"/>
          <w:bCs/>
          <w:color w:val="000000" w:themeColor="text1"/>
          <w:sz w:val="22"/>
          <w:szCs w:val="22"/>
        </w:rPr>
      </w:pPr>
      <w:r w:rsidRPr="006112E3">
        <w:rPr>
          <w:rFonts w:ascii="Arial" w:hAnsi="Arial" w:cs="Arial"/>
          <w:bCs/>
          <w:color w:val="000000" w:themeColor="text1"/>
          <w:sz w:val="22"/>
          <w:szCs w:val="22"/>
        </w:rPr>
        <w:t xml:space="preserve">Benzodiazepine prescriptions among </w:t>
      </w:r>
      <w:r w:rsidR="0021289D">
        <w:rPr>
          <w:rFonts w:ascii="Arial" w:hAnsi="Arial" w:cs="Arial"/>
          <w:bCs/>
          <w:color w:val="000000" w:themeColor="text1"/>
          <w:sz w:val="22"/>
          <w:szCs w:val="22"/>
        </w:rPr>
        <w:t xml:space="preserve">the </w:t>
      </w:r>
      <w:r w:rsidRPr="006112E3">
        <w:rPr>
          <w:rFonts w:ascii="Arial" w:hAnsi="Arial" w:cs="Arial"/>
          <w:bCs/>
          <w:color w:val="000000" w:themeColor="text1"/>
          <w:sz w:val="22"/>
          <w:szCs w:val="22"/>
        </w:rPr>
        <w:t>pain patient</w:t>
      </w:r>
      <w:r w:rsidR="00682920">
        <w:rPr>
          <w:rFonts w:ascii="Arial" w:hAnsi="Arial" w:cs="Arial"/>
          <w:bCs/>
          <w:color w:val="000000" w:themeColor="text1"/>
          <w:sz w:val="22"/>
          <w:szCs w:val="22"/>
        </w:rPr>
        <w:t>s</w:t>
      </w:r>
      <w:r w:rsidRPr="006112E3">
        <w:rPr>
          <w:rFonts w:ascii="Arial" w:hAnsi="Arial" w:cs="Arial"/>
          <w:bCs/>
          <w:color w:val="000000" w:themeColor="text1"/>
          <w:sz w:val="22"/>
          <w:szCs w:val="22"/>
        </w:rPr>
        <w:t xml:space="preserve"> from April 2014 through December 2019 were utilized as a control. </w:t>
      </w:r>
      <w:r w:rsidR="00D93947">
        <w:rPr>
          <w:rFonts w:ascii="Arial" w:hAnsi="Arial" w:cs="Arial"/>
          <w:bCs/>
          <w:color w:val="000000" w:themeColor="text1"/>
          <w:sz w:val="22"/>
          <w:szCs w:val="22"/>
        </w:rPr>
        <w:t>Because</w:t>
      </w:r>
      <w:r w:rsidR="00A51101">
        <w:rPr>
          <w:rFonts w:ascii="Arial" w:hAnsi="Arial" w:cs="Arial"/>
          <w:bCs/>
          <w:color w:val="000000" w:themeColor="text1"/>
          <w:sz w:val="22"/>
          <w:szCs w:val="22"/>
        </w:rPr>
        <w:t xml:space="preserve"> the 2016 CDC guidelines advised extreme caution when co-prescribing</w:t>
      </w:r>
      <w:r w:rsidR="00640FB8">
        <w:rPr>
          <w:rFonts w:ascii="Arial" w:hAnsi="Arial" w:cs="Arial"/>
          <w:bCs/>
          <w:color w:val="000000" w:themeColor="text1"/>
          <w:sz w:val="22"/>
          <w:szCs w:val="22"/>
        </w:rPr>
        <w:t xml:space="preserve"> </w:t>
      </w:r>
      <w:r w:rsidR="00A51101">
        <w:rPr>
          <w:rFonts w:ascii="Arial" w:hAnsi="Arial" w:cs="Arial"/>
          <w:bCs/>
          <w:color w:val="000000" w:themeColor="text1"/>
          <w:sz w:val="22"/>
          <w:szCs w:val="22"/>
        </w:rPr>
        <w:t xml:space="preserve">opioids and benzodiazepines, changes in </w:t>
      </w:r>
      <w:r w:rsidR="00BA645E">
        <w:rPr>
          <w:rFonts w:ascii="Arial" w:hAnsi="Arial" w:cs="Arial"/>
          <w:bCs/>
          <w:color w:val="000000" w:themeColor="text1"/>
          <w:sz w:val="22"/>
          <w:szCs w:val="22"/>
        </w:rPr>
        <w:t>benzodiazepine prescribing could address confounding</w:t>
      </w:r>
      <w:r w:rsidR="00284C60">
        <w:rPr>
          <w:rFonts w:ascii="Arial" w:hAnsi="Arial" w:cs="Arial"/>
          <w:bCs/>
          <w:color w:val="000000" w:themeColor="text1"/>
          <w:sz w:val="22"/>
          <w:szCs w:val="22"/>
        </w:rPr>
        <w:t xml:space="preserve"> bias</w:t>
      </w:r>
      <w:r w:rsidR="00BA645E">
        <w:rPr>
          <w:rFonts w:ascii="Arial" w:hAnsi="Arial" w:cs="Arial"/>
          <w:bCs/>
          <w:color w:val="000000" w:themeColor="text1"/>
          <w:sz w:val="22"/>
          <w:szCs w:val="22"/>
        </w:rPr>
        <w:t xml:space="preserve"> due to other policy interventions like the CDC guidelines. </w:t>
      </w:r>
      <w:r w:rsidRPr="006112E3">
        <w:rPr>
          <w:rFonts w:ascii="Arial" w:hAnsi="Arial" w:cs="Arial"/>
          <w:bCs/>
          <w:color w:val="000000" w:themeColor="text1"/>
          <w:sz w:val="22"/>
          <w:szCs w:val="22"/>
        </w:rPr>
        <w:t xml:space="preserve">The proportion of </w:t>
      </w:r>
      <w:r w:rsidR="00011DC5">
        <w:rPr>
          <w:rFonts w:ascii="Arial" w:hAnsi="Arial" w:cs="Arial"/>
          <w:bCs/>
          <w:color w:val="000000" w:themeColor="text1"/>
          <w:sz w:val="22"/>
          <w:szCs w:val="22"/>
        </w:rPr>
        <w:t>index</w:t>
      </w:r>
      <w:r w:rsidRPr="006112E3">
        <w:rPr>
          <w:rFonts w:ascii="Arial" w:hAnsi="Arial" w:cs="Arial"/>
          <w:bCs/>
          <w:color w:val="000000" w:themeColor="text1"/>
          <w:sz w:val="22"/>
          <w:szCs w:val="22"/>
        </w:rPr>
        <w:t xml:space="preserve"> benzodiazepine prescriptions and </w:t>
      </w:r>
      <w:r w:rsidR="00011DC5">
        <w:rPr>
          <w:rFonts w:ascii="Arial" w:hAnsi="Arial" w:cs="Arial"/>
          <w:bCs/>
          <w:color w:val="000000" w:themeColor="text1"/>
          <w:sz w:val="22"/>
          <w:szCs w:val="22"/>
        </w:rPr>
        <w:t xml:space="preserve">index </w:t>
      </w:r>
      <w:r w:rsidRPr="006112E3">
        <w:rPr>
          <w:rFonts w:ascii="Arial" w:hAnsi="Arial" w:cs="Arial"/>
          <w:bCs/>
          <w:color w:val="000000" w:themeColor="text1"/>
          <w:sz w:val="22"/>
          <w:szCs w:val="22"/>
        </w:rPr>
        <w:t xml:space="preserve">monthly prescription rates were calculated </w:t>
      </w:r>
      <w:r>
        <w:rPr>
          <w:rFonts w:ascii="Arial" w:hAnsi="Arial" w:cs="Arial"/>
          <w:bCs/>
          <w:color w:val="000000" w:themeColor="text1"/>
          <w:sz w:val="22"/>
          <w:szCs w:val="22"/>
        </w:rPr>
        <w:t>in the same manner as the</w:t>
      </w:r>
      <w:r w:rsidRPr="006112E3">
        <w:rPr>
          <w:rFonts w:ascii="Arial" w:hAnsi="Arial" w:cs="Arial"/>
          <w:bCs/>
          <w:color w:val="000000" w:themeColor="text1"/>
          <w:sz w:val="22"/>
          <w:szCs w:val="22"/>
        </w:rPr>
        <w:t xml:space="preserve"> opioid prescribing outcomes. The resulting </w:t>
      </w:r>
      <w:r w:rsidR="00682920">
        <w:rPr>
          <w:rFonts w:ascii="Arial" w:hAnsi="Arial" w:cs="Arial"/>
          <w:bCs/>
          <w:color w:val="000000" w:themeColor="text1"/>
          <w:sz w:val="22"/>
          <w:szCs w:val="22"/>
        </w:rPr>
        <w:t xml:space="preserve">benzodiazepine prescribing </w:t>
      </w:r>
      <w:r w:rsidRPr="006112E3">
        <w:rPr>
          <w:rFonts w:ascii="Arial" w:hAnsi="Arial" w:cs="Arial"/>
          <w:bCs/>
          <w:color w:val="000000" w:themeColor="text1"/>
          <w:sz w:val="22"/>
          <w:szCs w:val="22"/>
        </w:rPr>
        <w:t>time-series were used as a control.</w:t>
      </w:r>
    </w:p>
    <w:p w14:paraId="70A6F777" w14:textId="77777777" w:rsidR="007B18AA" w:rsidRDefault="007B18AA" w:rsidP="007B18AA">
      <w:pPr>
        <w:rPr>
          <w:rFonts w:ascii="Arial" w:hAnsi="Arial" w:cs="Arial"/>
          <w:bCs/>
          <w:color w:val="000000" w:themeColor="text1"/>
          <w:sz w:val="22"/>
          <w:szCs w:val="22"/>
        </w:rPr>
      </w:pPr>
    </w:p>
    <w:p w14:paraId="3EE5F47D" w14:textId="5FCE339A" w:rsidR="007B18AA" w:rsidRDefault="002C09F6" w:rsidP="007B18AA">
      <w:pPr>
        <w:rPr>
          <w:rFonts w:ascii="Arial" w:hAnsi="Arial" w:cs="Arial"/>
          <w:b/>
          <w:color w:val="000000" w:themeColor="text1"/>
          <w:sz w:val="22"/>
          <w:szCs w:val="22"/>
        </w:rPr>
      </w:pPr>
      <w:r>
        <w:rPr>
          <w:rFonts w:ascii="Arial" w:hAnsi="Arial" w:cs="Arial"/>
          <w:b/>
          <w:color w:val="000000" w:themeColor="text1"/>
          <w:sz w:val="22"/>
          <w:szCs w:val="22"/>
        </w:rPr>
        <w:t>Covariates</w:t>
      </w:r>
      <w:r w:rsidR="007B18AA">
        <w:rPr>
          <w:rFonts w:ascii="Arial" w:hAnsi="Arial" w:cs="Arial"/>
          <w:b/>
          <w:color w:val="000000" w:themeColor="text1"/>
          <w:sz w:val="22"/>
          <w:szCs w:val="22"/>
        </w:rPr>
        <w:t>:</w:t>
      </w:r>
    </w:p>
    <w:p w14:paraId="0B562E39" w14:textId="7587D6E0" w:rsidR="007B18AA" w:rsidRPr="007B18AA" w:rsidRDefault="007B18AA" w:rsidP="007B18AA">
      <w:pPr>
        <w:rPr>
          <w:rFonts w:ascii="Arial" w:hAnsi="Arial" w:cs="Arial"/>
          <w:bCs/>
          <w:color w:val="000000" w:themeColor="text1"/>
          <w:sz w:val="22"/>
          <w:szCs w:val="22"/>
        </w:rPr>
      </w:pPr>
      <w:r>
        <w:rPr>
          <w:rFonts w:ascii="Arial" w:hAnsi="Arial" w:cs="Arial"/>
          <w:bCs/>
          <w:color w:val="000000" w:themeColor="text1"/>
          <w:sz w:val="22"/>
          <w:szCs w:val="22"/>
        </w:rPr>
        <w:tab/>
      </w:r>
      <w:r w:rsidR="00682920">
        <w:rPr>
          <w:rFonts w:ascii="Arial" w:hAnsi="Arial" w:cs="Arial"/>
          <w:bCs/>
          <w:color w:val="000000" w:themeColor="text1"/>
          <w:sz w:val="22"/>
          <w:szCs w:val="22"/>
        </w:rPr>
        <w:t xml:space="preserve">Self-reported race was categorized as American native, Asian, black, and white. Self-reported ethnicity was classified as Hispanic or non-Hispanic of any race. Due to small sample resulting in unstable time series, multiracial groups were excluded. </w:t>
      </w:r>
      <w:r>
        <w:rPr>
          <w:rFonts w:ascii="Arial" w:hAnsi="Arial" w:cs="Arial"/>
          <w:bCs/>
          <w:color w:val="000000" w:themeColor="text1"/>
          <w:sz w:val="22"/>
          <w:szCs w:val="22"/>
        </w:rPr>
        <w:t xml:space="preserve">Continuous age from EHR data was categorized as </w:t>
      </w:r>
      <w:r w:rsidR="009739D3">
        <w:rPr>
          <w:rFonts w:ascii="Arial" w:hAnsi="Arial" w:cs="Arial"/>
          <w:bCs/>
          <w:color w:val="000000" w:themeColor="text1"/>
          <w:sz w:val="22"/>
          <w:szCs w:val="22"/>
        </w:rPr>
        <w:t>&lt;36, 36-65, and &gt;65 years of age. Sex was categorized as male or female.</w:t>
      </w:r>
    </w:p>
    <w:p w14:paraId="5DB0D929" w14:textId="77777777" w:rsidR="005B186C" w:rsidRDefault="005B186C" w:rsidP="00B4029C">
      <w:pPr>
        <w:rPr>
          <w:rFonts w:ascii="Arial" w:hAnsi="Arial" w:cs="Arial"/>
          <w:b/>
          <w:bCs/>
          <w:color w:val="000000" w:themeColor="text1"/>
          <w:sz w:val="22"/>
          <w:szCs w:val="22"/>
        </w:rPr>
      </w:pPr>
    </w:p>
    <w:p w14:paraId="249CA6E5" w14:textId="1103E690" w:rsidR="00B4029C" w:rsidRDefault="0061494C" w:rsidP="00B4029C">
      <w:pPr>
        <w:rPr>
          <w:rFonts w:ascii="Arial" w:hAnsi="Arial" w:cs="Arial"/>
          <w:b/>
          <w:bCs/>
          <w:color w:val="000000" w:themeColor="text1"/>
          <w:sz w:val="22"/>
          <w:szCs w:val="22"/>
        </w:rPr>
      </w:pPr>
      <w:r w:rsidRPr="006112E3">
        <w:rPr>
          <w:rFonts w:ascii="Arial" w:hAnsi="Arial" w:cs="Arial"/>
          <w:b/>
          <w:bCs/>
          <w:color w:val="000000" w:themeColor="text1"/>
          <w:sz w:val="22"/>
          <w:szCs w:val="22"/>
        </w:rPr>
        <w:t>Statistical Analyses</w:t>
      </w:r>
    </w:p>
    <w:p w14:paraId="18EACA1D" w14:textId="3D46FECD" w:rsidR="00D50EFF" w:rsidRPr="006112E3" w:rsidRDefault="00B4029C" w:rsidP="00D50EFF">
      <w:pPr>
        <w:ind w:firstLine="720"/>
        <w:rPr>
          <w:rFonts w:ascii="Arial" w:hAnsi="Arial" w:cs="Arial"/>
          <w:bCs/>
          <w:color w:val="000000" w:themeColor="text1"/>
          <w:sz w:val="22"/>
          <w:szCs w:val="22"/>
        </w:rPr>
      </w:pPr>
      <w:r w:rsidRPr="00B4029C">
        <w:rPr>
          <w:rFonts w:ascii="Arial" w:hAnsi="Arial" w:cs="Arial"/>
          <w:bCs/>
          <w:color w:val="000000" w:themeColor="text1"/>
          <w:sz w:val="22"/>
          <w:szCs w:val="22"/>
        </w:rPr>
        <w:t>We conducted controlled interrupted time series (CITS) analys</w:t>
      </w:r>
      <w:r w:rsidR="0021289D">
        <w:rPr>
          <w:rFonts w:ascii="Arial" w:hAnsi="Arial" w:cs="Arial"/>
          <w:bCs/>
          <w:color w:val="000000" w:themeColor="text1"/>
          <w:sz w:val="22"/>
          <w:szCs w:val="22"/>
        </w:rPr>
        <w:t>e</w:t>
      </w:r>
      <w:r w:rsidRPr="00B4029C">
        <w:rPr>
          <w:rFonts w:ascii="Arial" w:hAnsi="Arial" w:cs="Arial"/>
          <w:bCs/>
          <w:color w:val="000000" w:themeColor="text1"/>
          <w:sz w:val="22"/>
          <w:szCs w:val="22"/>
        </w:rPr>
        <w:t>s using an autoregressive integrated moving average (ARIMA) model</w:t>
      </w:r>
      <w:r w:rsidRPr="00B4029C">
        <w:rPr>
          <w:rFonts w:ascii="Arial" w:hAnsi="Arial" w:cs="Arial"/>
          <w:bCs/>
          <w:color w:val="000000" w:themeColor="text1"/>
          <w:sz w:val="22"/>
          <w:szCs w:val="22"/>
        </w:rPr>
        <w:fldChar w:fldCharType="begin"/>
      </w:r>
      <w:r w:rsidR="001B40DF">
        <w:rPr>
          <w:rFonts w:ascii="Arial" w:hAnsi="Arial" w:cs="Arial"/>
          <w:bCs/>
          <w:color w:val="000000" w:themeColor="text1"/>
          <w:sz w:val="22"/>
          <w:szCs w:val="22"/>
        </w:rPr>
        <w:instrText xml:space="preserve"> ADDIN ZOTERO_ITEM CSL_CITATION {"citationID":"FBKCiirM","properties":{"formattedCitation":"\\super 30\\nosupersub{}","plainCitation":"30","noteIndex":0},"citationItems":[{"id":13649,"uris":["http://zotero.org/users/5919053/items/L7AN2J9A"],"itemData":{"id":13649,"type":"article-journal","abstract":"Interrupted time series (ITS) analysis is a valuable study design for evaluating the effectiveness of population-level health interventions that have been implemented at a clearly defined point in time. It is increasingly being used to evaluate the effectiveness of interventions ranging from clinical therapy to national public health legislation. Whereas the design shares many properties of regression-based approaches in other epidemiological studies, there are a range of unique features of time series data that require additional methodological considerations. In this tutorial we use a worked example to demonstrate a robust approach to ITS analysis using segmented regression. We begin by describing the design and considering when ITS is an appropriate design choice. We then discuss the essential, yet often omitted, step of proposing the impact model a priori. Subsequently, we demonstrate the approach to statistical analysis including the main segmented regression model. Finally we describe the main methodological issues associated with ITS analysis: over-dispersion of time series data, autocorrelation, adjusting for seasonal trends and controlling for time-varying confounders, and we also outline some of the more complex design adaptations that can be used to strengthen the basic ITS design.","container-title":"International Journal of Epidemiology","DOI":"10.1093/ije/dyw098","ISSN":"1464-3685","issue":"1","journalAbbreviation":"Int J Epidemiol","language":"eng","note":"PMID: 27283160\nPMCID: PMC5407170","page":"348-355","source":"PubMed","title":"Interrupted time series regression for the evaluation of public health interventions: a tutorial","title-short":"Interrupted time series regression for the evaluation of public health interventions","volume":"46","author":[{"family":"Bernal","given":"James Lopez"},{"family":"Cummins","given":"Steven"},{"family":"Gasparrini","given":"Antonio"}],"issued":{"date-parts":[["2017",2,1]]}}}],"schema":"https://github.com/citation-style-language/schema/raw/master/csl-citation.json"} </w:instrText>
      </w:r>
      <w:r w:rsidRPr="00B4029C">
        <w:rPr>
          <w:rFonts w:ascii="Arial" w:hAnsi="Arial" w:cs="Arial"/>
          <w:bCs/>
          <w:color w:val="000000" w:themeColor="text1"/>
          <w:sz w:val="22"/>
          <w:szCs w:val="22"/>
        </w:rPr>
        <w:fldChar w:fldCharType="separate"/>
      </w:r>
      <w:r w:rsidR="001B40DF" w:rsidRPr="001B40DF">
        <w:rPr>
          <w:rFonts w:ascii="Arial" w:hAnsi="Arial" w:cs="Arial"/>
          <w:color w:val="000000"/>
          <w:sz w:val="22"/>
          <w:vertAlign w:val="superscript"/>
        </w:rPr>
        <w:t>30</w:t>
      </w:r>
      <w:r w:rsidRPr="00B4029C">
        <w:rPr>
          <w:rFonts w:ascii="Arial" w:hAnsi="Arial" w:cs="Arial"/>
          <w:bCs/>
          <w:color w:val="000000" w:themeColor="text1"/>
          <w:sz w:val="22"/>
          <w:szCs w:val="22"/>
        </w:rPr>
        <w:fldChar w:fldCharType="end"/>
      </w:r>
      <w:r w:rsidRPr="00B4029C">
        <w:rPr>
          <w:rFonts w:ascii="Arial" w:hAnsi="Arial" w:cs="Arial"/>
          <w:bCs/>
          <w:color w:val="000000" w:themeColor="text1"/>
          <w:sz w:val="22"/>
          <w:szCs w:val="22"/>
        </w:rPr>
        <w:t xml:space="preserve"> with two </w:t>
      </w:r>
      <w:r w:rsidR="00943E05">
        <w:rPr>
          <w:rFonts w:ascii="Arial" w:hAnsi="Arial" w:cs="Arial"/>
          <w:bCs/>
          <w:color w:val="000000" w:themeColor="text1"/>
          <w:sz w:val="22"/>
          <w:szCs w:val="22"/>
        </w:rPr>
        <w:t>policy inflection time points</w:t>
      </w:r>
      <w:r w:rsidRPr="00B4029C">
        <w:rPr>
          <w:rFonts w:ascii="Arial" w:hAnsi="Arial" w:cs="Arial"/>
          <w:bCs/>
          <w:color w:val="000000" w:themeColor="text1"/>
          <w:sz w:val="22"/>
          <w:szCs w:val="22"/>
        </w:rPr>
        <w:t xml:space="preserve"> to examine immediate and </w:t>
      </w:r>
      <w:r w:rsidR="00D233C0">
        <w:rPr>
          <w:rFonts w:ascii="Arial" w:hAnsi="Arial" w:cs="Arial"/>
          <w:bCs/>
          <w:color w:val="000000" w:themeColor="text1"/>
          <w:sz w:val="22"/>
          <w:szCs w:val="22"/>
        </w:rPr>
        <w:t>sustained</w:t>
      </w:r>
      <w:r w:rsidRPr="00B4029C">
        <w:rPr>
          <w:rFonts w:ascii="Arial" w:hAnsi="Arial" w:cs="Arial"/>
          <w:bCs/>
          <w:color w:val="000000" w:themeColor="text1"/>
          <w:sz w:val="22"/>
          <w:szCs w:val="22"/>
        </w:rPr>
        <w:t xml:space="preserve"> trend changes in index and subsequent opioid prescribing after the two policy interventions. </w:t>
      </w:r>
      <w:r w:rsidR="005F64E1" w:rsidRPr="006112E3">
        <w:rPr>
          <w:rFonts w:ascii="Arial" w:hAnsi="Arial" w:cs="Arial"/>
          <w:bCs/>
          <w:color w:val="000000" w:themeColor="text1"/>
          <w:sz w:val="22"/>
          <w:szCs w:val="22"/>
        </w:rPr>
        <w:t xml:space="preserve">We conducted </w:t>
      </w:r>
      <w:proofErr w:type="gramStart"/>
      <w:r w:rsidR="005F64E1" w:rsidRPr="006112E3">
        <w:rPr>
          <w:rFonts w:ascii="Arial" w:hAnsi="Arial" w:cs="Arial"/>
          <w:bCs/>
          <w:color w:val="000000" w:themeColor="text1"/>
          <w:sz w:val="22"/>
          <w:szCs w:val="22"/>
        </w:rPr>
        <w:t>single</w:t>
      </w:r>
      <w:r w:rsidR="00266AE1">
        <w:rPr>
          <w:rFonts w:ascii="Arial" w:hAnsi="Arial" w:cs="Arial"/>
          <w:bCs/>
          <w:color w:val="000000" w:themeColor="text1"/>
          <w:sz w:val="22"/>
          <w:szCs w:val="22"/>
        </w:rPr>
        <w:t>-</w:t>
      </w:r>
      <w:r w:rsidR="005F64E1" w:rsidRPr="006112E3">
        <w:rPr>
          <w:rFonts w:ascii="Arial" w:hAnsi="Arial" w:cs="Arial"/>
          <w:bCs/>
          <w:color w:val="000000" w:themeColor="text1"/>
          <w:sz w:val="22"/>
          <w:szCs w:val="22"/>
        </w:rPr>
        <w:t>series</w:t>
      </w:r>
      <w:proofErr w:type="gramEnd"/>
      <w:r w:rsidR="005F64E1" w:rsidRPr="006112E3">
        <w:rPr>
          <w:rFonts w:ascii="Arial" w:hAnsi="Arial" w:cs="Arial"/>
          <w:bCs/>
          <w:color w:val="000000" w:themeColor="text1"/>
          <w:sz w:val="22"/>
          <w:szCs w:val="22"/>
        </w:rPr>
        <w:t xml:space="preserve"> ITS analyses to examine polic</w:t>
      </w:r>
      <w:r w:rsidR="00D233C0">
        <w:rPr>
          <w:rFonts w:ascii="Arial" w:hAnsi="Arial" w:cs="Arial"/>
          <w:bCs/>
          <w:color w:val="000000" w:themeColor="text1"/>
          <w:sz w:val="22"/>
          <w:szCs w:val="22"/>
        </w:rPr>
        <w:t>y impact</w:t>
      </w:r>
      <w:r w:rsidR="005F64E1" w:rsidRPr="006112E3">
        <w:rPr>
          <w:rFonts w:ascii="Arial" w:hAnsi="Arial" w:cs="Arial"/>
          <w:bCs/>
          <w:color w:val="000000" w:themeColor="text1"/>
          <w:sz w:val="22"/>
          <w:szCs w:val="22"/>
        </w:rPr>
        <w:t xml:space="preserve"> on days’ supply and MME of dispensed index and subsequent opioid prescriptions. </w:t>
      </w:r>
      <w:r w:rsidR="002C09F6">
        <w:rPr>
          <w:rFonts w:ascii="Arial" w:hAnsi="Arial" w:cs="Arial"/>
          <w:bCs/>
          <w:color w:val="000000" w:themeColor="text1"/>
          <w:sz w:val="22"/>
          <w:szCs w:val="22"/>
        </w:rPr>
        <w:t xml:space="preserve">See supplementary materials for </w:t>
      </w:r>
      <w:r w:rsidR="00D50EFF">
        <w:rPr>
          <w:rFonts w:ascii="Arial" w:hAnsi="Arial" w:cs="Arial"/>
          <w:bCs/>
          <w:color w:val="000000" w:themeColor="text1"/>
          <w:sz w:val="22"/>
          <w:szCs w:val="22"/>
        </w:rPr>
        <w:t xml:space="preserve">CITS and </w:t>
      </w:r>
      <w:proofErr w:type="gramStart"/>
      <w:r w:rsidR="00D50EFF">
        <w:rPr>
          <w:rFonts w:ascii="Arial" w:hAnsi="Arial" w:cs="Arial"/>
          <w:bCs/>
          <w:color w:val="000000" w:themeColor="text1"/>
          <w:sz w:val="22"/>
          <w:szCs w:val="22"/>
        </w:rPr>
        <w:t>single</w:t>
      </w:r>
      <w:r w:rsidR="00266AE1">
        <w:rPr>
          <w:rFonts w:ascii="Arial" w:hAnsi="Arial" w:cs="Arial"/>
          <w:bCs/>
          <w:color w:val="000000" w:themeColor="text1"/>
          <w:sz w:val="22"/>
          <w:szCs w:val="22"/>
        </w:rPr>
        <w:t>-</w:t>
      </w:r>
      <w:r w:rsidR="00D50EFF">
        <w:rPr>
          <w:rFonts w:ascii="Arial" w:hAnsi="Arial" w:cs="Arial"/>
          <w:bCs/>
          <w:color w:val="000000" w:themeColor="text1"/>
          <w:sz w:val="22"/>
          <w:szCs w:val="22"/>
        </w:rPr>
        <w:t>series</w:t>
      </w:r>
      <w:proofErr w:type="gramEnd"/>
      <w:r w:rsidR="00D50EFF">
        <w:rPr>
          <w:rFonts w:ascii="Arial" w:hAnsi="Arial" w:cs="Arial"/>
          <w:bCs/>
          <w:color w:val="000000" w:themeColor="text1"/>
          <w:sz w:val="22"/>
          <w:szCs w:val="22"/>
        </w:rPr>
        <w:t xml:space="preserve"> ITS </w:t>
      </w:r>
      <w:r w:rsidR="002C09F6">
        <w:rPr>
          <w:rFonts w:ascii="Arial" w:hAnsi="Arial" w:cs="Arial"/>
          <w:bCs/>
          <w:color w:val="000000" w:themeColor="text1"/>
          <w:sz w:val="22"/>
          <w:szCs w:val="22"/>
        </w:rPr>
        <w:t>model specifications</w:t>
      </w:r>
      <w:r w:rsidR="00D50EFF">
        <w:rPr>
          <w:rFonts w:ascii="Arial" w:hAnsi="Arial" w:cs="Arial"/>
          <w:bCs/>
          <w:color w:val="000000" w:themeColor="text1"/>
          <w:sz w:val="22"/>
          <w:szCs w:val="22"/>
        </w:rPr>
        <w:t>.</w:t>
      </w:r>
    </w:p>
    <w:p w14:paraId="0A246123" w14:textId="4A1D940D" w:rsidR="005F64E1" w:rsidRPr="006112E3" w:rsidRDefault="002C09F6" w:rsidP="005F64E1">
      <w:pPr>
        <w:ind w:firstLine="720"/>
        <w:rPr>
          <w:rFonts w:ascii="Arial" w:hAnsi="Arial" w:cs="Arial"/>
          <w:bCs/>
          <w:color w:val="000000" w:themeColor="text1"/>
          <w:sz w:val="22"/>
          <w:szCs w:val="22"/>
        </w:rPr>
      </w:pPr>
      <w:r>
        <w:rPr>
          <w:rFonts w:ascii="Arial" w:hAnsi="Arial" w:cs="Arial"/>
          <w:bCs/>
          <w:color w:val="000000" w:themeColor="text1"/>
          <w:sz w:val="22"/>
          <w:szCs w:val="22"/>
        </w:rPr>
        <w:t>To examine effect measure modification of the policy impact on opioid prescribing, we stratified the analyses by race, ethnicity, age, and sex. W</w:t>
      </w:r>
      <w:r w:rsidR="003F3924">
        <w:rPr>
          <w:rFonts w:ascii="Arial" w:hAnsi="Arial" w:cs="Arial"/>
          <w:bCs/>
          <w:color w:val="000000" w:themeColor="text1"/>
          <w:sz w:val="22"/>
          <w:szCs w:val="22"/>
        </w:rPr>
        <w:t>e annualized the sustained trend change estimates by m</w:t>
      </w:r>
      <w:r w:rsidR="005F64E1">
        <w:rPr>
          <w:rFonts w:ascii="Arial" w:hAnsi="Arial" w:cs="Arial"/>
          <w:bCs/>
          <w:color w:val="000000" w:themeColor="text1"/>
          <w:sz w:val="22"/>
          <w:szCs w:val="22"/>
        </w:rPr>
        <w:t>ultipl</w:t>
      </w:r>
      <w:r w:rsidR="003F3924">
        <w:rPr>
          <w:rFonts w:ascii="Arial" w:hAnsi="Arial" w:cs="Arial"/>
          <w:bCs/>
          <w:color w:val="000000" w:themeColor="text1"/>
          <w:sz w:val="22"/>
          <w:szCs w:val="22"/>
        </w:rPr>
        <w:t xml:space="preserve">ying </w:t>
      </w:r>
      <w:r w:rsidR="00001F8D">
        <w:rPr>
          <w:rFonts w:ascii="Arial" w:hAnsi="Arial" w:cs="Arial"/>
          <w:bCs/>
          <w:color w:val="000000" w:themeColor="text1"/>
          <w:sz w:val="22"/>
          <w:szCs w:val="22"/>
        </w:rPr>
        <w:t xml:space="preserve">by </w:t>
      </w:r>
      <w:r w:rsidR="005F64E1">
        <w:rPr>
          <w:rFonts w:ascii="Arial" w:hAnsi="Arial" w:cs="Arial"/>
          <w:bCs/>
          <w:color w:val="000000" w:themeColor="text1"/>
          <w:sz w:val="22"/>
          <w:szCs w:val="22"/>
        </w:rPr>
        <w:t>12</w:t>
      </w:r>
      <w:r w:rsidR="003F3924">
        <w:rPr>
          <w:rFonts w:ascii="Arial" w:hAnsi="Arial" w:cs="Arial"/>
          <w:bCs/>
          <w:color w:val="000000" w:themeColor="text1"/>
          <w:sz w:val="22"/>
          <w:szCs w:val="22"/>
        </w:rPr>
        <w:t xml:space="preserve"> </w:t>
      </w:r>
      <w:r w:rsidR="005F64E1">
        <w:rPr>
          <w:rFonts w:ascii="Arial" w:hAnsi="Arial" w:cs="Arial"/>
          <w:bCs/>
          <w:color w:val="000000" w:themeColor="text1"/>
          <w:sz w:val="22"/>
          <w:szCs w:val="22"/>
        </w:rPr>
        <w:t>to present</w:t>
      </w:r>
      <w:r w:rsidR="005F64E1" w:rsidRPr="006112E3">
        <w:rPr>
          <w:rFonts w:ascii="Arial" w:hAnsi="Arial" w:cs="Arial"/>
          <w:bCs/>
          <w:color w:val="000000" w:themeColor="text1"/>
          <w:sz w:val="22"/>
          <w:szCs w:val="22"/>
        </w:rPr>
        <w:t xml:space="preserve"> </w:t>
      </w:r>
      <w:r w:rsidR="003F3924">
        <w:rPr>
          <w:rFonts w:ascii="Arial" w:hAnsi="Arial" w:cs="Arial"/>
          <w:bCs/>
          <w:color w:val="000000" w:themeColor="text1"/>
          <w:sz w:val="22"/>
          <w:szCs w:val="22"/>
        </w:rPr>
        <w:t xml:space="preserve">annual sustained </w:t>
      </w:r>
      <w:r>
        <w:rPr>
          <w:rFonts w:ascii="Arial" w:hAnsi="Arial" w:cs="Arial"/>
          <w:bCs/>
          <w:color w:val="000000" w:themeColor="text1"/>
          <w:sz w:val="22"/>
          <w:szCs w:val="22"/>
        </w:rPr>
        <w:t>policy effects</w:t>
      </w:r>
      <w:r w:rsidR="005F64E1" w:rsidRPr="006112E3">
        <w:rPr>
          <w:rFonts w:ascii="Arial" w:hAnsi="Arial" w:cs="Arial"/>
          <w:bCs/>
          <w:color w:val="000000" w:themeColor="text1"/>
          <w:sz w:val="22"/>
          <w:szCs w:val="22"/>
        </w:rPr>
        <w:t>.</w:t>
      </w:r>
    </w:p>
    <w:p w14:paraId="315B5432" w14:textId="77777777" w:rsidR="008A1B9B" w:rsidRDefault="008A1B9B" w:rsidP="00F768D7">
      <w:pPr>
        <w:rPr>
          <w:rFonts w:ascii="Arial" w:hAnsi="Arial" w:cs="Arial"/>
          <w:b/>
          <w:bCs/>
          <w:color w:val="000000" w:themeColor="text1"/>
          <w:sz w:val="22"/>
          <w:szCs w:val="22"/>
        </w:rPr>
      </w:pPr>
    </w:p>
    <w:p w14:paraId="02302583" w14:textId="57C811AF" w:rsidR="0061494C" w:rsidRPr="006112E3" w:rsidRDefault="0061494C" w:rsidP="00F768D7">
      <w:pPr>
        <w:rPr>
          <w:rFonts w:ascii="Arial" w:hAnsi="Arial" w:cs="Arial"/>
          <w:b/>
          <w:bCs/>
          <w:color w:val="000000" w:themeColor="text1"/>
          <w:sz w:val="22"/>
          <w:szCs w:val="22"/>
        </w:rPr>
      </w:pPr>
      <w:r w:rsidRPr="006112E3">
        <w:rPr>
          <w:rFonts w:ascii="Arial" w:hAnsi="Arial" w:cs="Arial"/>
          <w:b/>
          <w:bCs/>
          <w:color w:val="000000" w:themeColor="text1"/>
          <w:sz w:val="22"/>
          <w:szCs w:val="22"/>
        </w:rPr>
        <w:t>Compliance with Ethics Guidelines</w:t>
      </w:r>
    </w:p>
    <w:p w14:paraId="54D99E5F" w14:textId="5B5BB0DE" w:rsidR="0061494C" w:rsidRPr="006112E3" w:rsidRDefault="0061494C" w:rsidP="00943E05">
      <w:pPr>
        <w:ind w:firstLine="720"/>
        <w:rPr>
          <w:rFonts w:ascii="Arial" w:hAnsi="Arial" w:cs="Arial"/>
          <w:bCs/>
          <w:color w:val="000000" w:themeColor="text1"/>
          <w:sz w:val="22"/>
          <w:szCs w:val="22"/>
        </w:rPr>
      </w:pPr>
      <w:r w:rsidRPr="006112E3">
        <w:rPr>
          <w:rFonts w:ascii="Arial" w:hAnsi="Arial" w:cs="Arial"/>
          <w:bCs/>
          <w:color w:val="000000" w:themeColor="text1"/>
          <w:sz w:val="22"/>
          <w:szCs w:val="22"/>
        </w:rPr>
        <w:lastRenderedPageBreak/>
        <w:t>This study was approved by the Institutional Review Board</w:t>
      </w:r>
      <w:r w:rsidR="00836871">
        <w:rPr>
          <w:rFonts w:ascii="Arial" w:hAnsi="Arial" w:cs="Arial"/>
          <w:bCs/>
          <w:color w:val="000000" w:themeColor="text1"/>
          <w:sz w:val="22"/>
          <w:szCs w:val="22"/>
        </w:rPr>
        <w:t>s at the</w:t>
      </w:r>
      <w:r w:rsidRPr="006112E3">
        <w:rPr>
          <w:rFonts w:ascii="Arial" w:hAnsi="Arial" w:cs="Arial"/>
          <w:bCs/>
          <w:color w:val="000000" w:themeColor="text1"/>
          <w:sz w:val="22"/>
          <w:szCs w:val="22"/>
        </w:rPr>
        <w:t xml:space="preserve"> University of North Carolina at Chapel Hill</w:t>
      </w:r>
      <w:r w:rsidR="00836871">
        <w:rPr>
          <w:rFonts w:ascii="Arial" w:hAnsi="Arial" w:cs="Arial"/>
          <w:bCs/>
          <w:color w:val="000000" w:themeColor="text1"/>
          <w:sz w:val="22"/>
          <w:szCs w:val="22"/>
        </w:rPr>
        <w:t xml:space="preserve"> and the Duke University</w:t>
      </w:r>
      <w:r w:rsidR="00D6343B">
        <w:rPr>
          <w:rFonts w:ascii="Arial" w:hAnsi="Arial" w:cs="Arial"/>
          <w:bCs/>
          <w:color w:val="000000" w:themeColor="text1"/>
          <w:sz w:val="22"/>
          <w:szCs w:val="22"/>
        </w:rPr>
        <w:t xml:space="preserve"> Health System</w:t>
      </w:r>
      <w:r w:rsidRPr="006112E3">
        <w:rPr>
          <w:rFonts w:ascii="Arial" w:hAnsi="Arial" w:cs="Arial"/>
          <w:bCs/>
          <w:color w:val="000000" w:themeColor="text1"/>
          <w:sz w:val="22"/>
          <w:szCs w:val="22"/>
        </w:rPr>
        <w:t>.</w:t>
      </w:r>
    </w:p>
    <w:p w14:paraId="6FB2C436" w14:textId="77777777" w:rsidR="009F506A" w:rsidRPr="006112E3" w:rsidRDefault="009F506A" w:rsidP="00664223">
      <w:pPr>
        <w:spacing w:line="480" w:lineRule="auto"/>
        <w:rPr>
          <w:rFonts w:ascii="Arial" w:hAnsi="Arial" w:cs="Arial"/>
          <w:b/>
          <w:bCs/>
          <w:color w:val="000000" w:themeColor="text1"/>
          <w:sz w:val="22"/>
          <w:szCs w:val="22"/>
        </w:rPr>
      </w:pPr>
    </w:p>
    <w:p w14:paraId="4D81531E" w14:textId="77777777" w:rsidR="00E028A4" w:rsidRPr="00877270" w:rsidRDefault="00E028A4" w:rsidP="00E028A4">
      <w:pPr>
        <w:rPr>
          <w:rFonts w:ascii="Arial" w:hAnsi="Arial" w:cs="Arial"/>
          <w:bCs/>
          <w:color w:val="000000" w:themeColor="text1"/>
          <w:sz w:val="22"/>
          <w:szCs w:val="22"/>
        </w:rPr>
      </w:pPr>
      <w:r w:rsidRPr="006112E3">
        <w:rPr>
          <w:rFonts w:ascii="Arial" w:hAnsi="Arial" w:cs="Arial"/>
          <w:b/>
          <w:bCs/>
          <w:color w:val="000000" w:themeColor="text1"/>
          <w:sz w:val="22"/>
          <w:szCs w:val="22"/>
        </w:rPr>
        <w:t xml:space="preserve">Results </w:t>
      </w:r>
    </w:p>
    <w:p w14:paraId="1BE72E2C" w14:textId="1774959C" w:rsidR="002F7C08" w:rsidRDefault="00E028A4" w:rsidP="00E028A4">
      <w:pPr>
        <w:rPr>
          <w:rFonts w:ascii="Arial" w:hAnsi="Arial" w:cs="Arial"/>
          <w:color w:val="000000" w:themeColor="text1"/>
          <w:sz w:val="22"/>
          <w:szCs w:val="22"/>
        </w:rPr>
      </w:pPr>
      <w:r>
        <w:rPr>
          <w:rFonts w:ascii="Arial" w:hAnsi="Arial" w:cs="Arial"/>
          <w:color w:val="000000" w:themeColor="text1"/>
          <w:sz w:val="22"/>
          <w:szCs w:val="22"/>
        </w:rPr>
        <w:t xml:space="preserve">Between </w:t>
      </w:r>
      <w:r w:rsidRPr="006112E3">
        <w:rPr>
          <w:rFonts w:ascii="Arial" w:hAnsi="Arial" w:cs="Arial"/>
          <w:color w:val="000000" w:themeColor="text1"/>
          <w:sz w:val="22"/>
          <w:szCs w:val="22"/>
        </w:rPr>
        <w:t xml:space="preserve">April 2014 </w:t>
      </w:r>
      <w:r>
        <w:rPr>
          <w:rFonts w:ascii="Arial" w:hAnsi="Arial" w:cs="Arial"/>
          <w:color w:val="000000" w:themeColor="text1"/>
          <w:sz w:val="22"/>
          <w:szCs w:val="22"/>
        </w:rPr>
        <w:t>and</w:t>
      </w:r>
      <w:r w:rsidRPr="006112E3">
        <w:rPr>
          <w:rFonts w:ascii="Arial" w:hAnsi="Arial" w:cs="Arial"/>
          <w:color w:val="000000" w:themeColor="text1"/>
          <w:sz w:val="22"/>
          <w:szCs w:val="22"/>
        </w:rPr>
        <w:t xml:space="preserve"> December 2019, 621,997 surgical patients and 864,061 patients with acute injuries</w:t>
      </w:r>
      <w:r>
        <w:rPr>
          <w:rFonts w:ascii="Arial" w:hAnsi="Arial" w:cs="Arial"/>
          <w:color w:val="000000" w:themeColor="text1"/>
          <w:sz w:val="22"/>
          <w:szCs w:val="22"/>
        </w:rPr>
        <w:t xml:space="preserve"> </w:t>
      </w:r>
      <w:r w:rsidR="00464375">
        <w:rPr>
          <w:rFonts w:ascii="Arial" w:hAnsi="Arial" w:cs="Arial"/>
          <w:color w:val="000000" w:themeColor="text1"/>
          <w:sz w:val="22"/>
          <w:szCs w:val="22"/>
        </w:rPr>
        <w:t>received treatment</w:t>
      </w:r>
      <w:r>
        <w:rPr>
          <w:rFonts w:ascii="Arial" w:hAnsi="Arial" w:cs="Arial"/>
          <w:color w:val="000000" w:themeColor="text1"/>
          <w:sz w:val="22"/>
          <w:szCs w:val="22"/>
        </w:rPr>
        <w:t xml:space="preserve"> within</w:t>
      </w:r>
      <w:r w:rsidRPr="006112E3">
        <w:rPr>
          <w:rFonts w:ascii="Arial" w:hAnsi="Arial" w:cs="Arial"/>
          <w:color w:val="000000" w:themeColor="text1"/>
          <w:sz w:val="22"/>
          <w:szCs w:val="22"/>
        </w:rPr>
        <w:t xml:space="preserve"> two large integrated healthcare systems. </w:t>
      </w:r>
      <w:r>
        <w:rPr>
          <w:rFonts w:ascii="Arial" w:hAnsi="Arial" w:cs="Arial"/>
          <w:color w:val="000000" w:themeColor="text1"/>
          <w:sz w:val="22"/>
          <w:szCs w:val="22"/>
        </w:rPr>
        <w:t xml:space="preserve">Of </w:t>
      </w:r>
      <w:r w:rsidRPr="006112E3">
        <w:rPr>
          <w:rFonts w:ascii="Arial" w:hAnsi="Arial" w:cs="Arial"/>
          <w:color w:val="000000" w:themeColor="text1"/>
          <w:sz w:val="22"/>
          <w:szCs w:val="22"/>
        </w:rPr>
        <w:t>those, 69.4% surg</w:t>
      </w:r>
      <w:r>
        <w:rPr>
          <w:rFonts w:ascii="Arial" w:hAnsi="Arial" w:cs="Arial"/>
          <w:color w:val="000000" w:themeColor="text1"/>
          <w:sz w:val="22"/>
          <w:szCs w:val="22"/>
        </w:rPr>
        <w:t>ical</w:t>
      </w:r>
      <w:r w:rsidRPr="006112E3">
        <w:rPr>
          <w:rFonts w:ascii="Arial" w:hAnsi="Arial" w:cs="Arial"/>
          <w:color w:val="000000" w:themeColor="text1"/>
          <w:sz w:val="22"/>
          <w:szCs w:val="22"/>
        </w:rPr>
        <w:t xml:space="preserve"> patients and 19.7% </w:t>
      </w:r>
      <w:r>
        <w:rPr>
          <w:rFonts w:ascii="Arial" w:hAnsi="Arial" w:cs="Arial"/>
          <w:color w:val="000000" w:themeColor="text1"/>
          <w:sz w:val="22"/>
          <w:szCs w:val="22"/>
        </w:rPr>
        <w:t xml:space="preserve">acute </w:t>
      </w:r>
      <w:r w:rsidRPr="006112E3">
        <w:rPr>
          <w:rFonts w:ascii="Arial" w:hAnsi="Arial" w:cs="Arial"/>
          <w:color w:val="000000" w:themeColor="text1"/>
          <w:sz w:val="22"/>
          <w:szCs w:val="22"/>
        </w:rPr>
        <w:t>injury patients received an index opioid prescription for pain control (</w:t>
      </w:r>
      <w:r w:rsidRPr="00A62977">
        <w:rPr>
          <w:rFonts w:ascii="Arial" w:hAnsi="Arial" w:cs="Arial"/>
          <w:b/>
          <w:bCs/>
          <w:color w:val="000000" w:themeColor="text1"/>
          <w:sz w:val="22"/>
          <w:szCs w:val="22"/>
        </w:rPr>
        <w:t>Table 1</w:t>
      </w:r>
      <w:r w:rsidRPr="006112E3">
        <w:rPr>
          <w:rFonts w:ascii="Arial" w:hAnsi="Arial" w:cs="Arial"/>
          <w:color w:val="000000" w:themeColor="text1"/>
          <w:sz w:val="22"/>
          <w:szCs w:val="22"/>
        </w:rPr>
        <w:t xml:space="preserve">). </w:t>
      </w:r>
      <w:r w:rsidRPr="00A62977">
        <w:rPr>
          <w:rFonts w:ascii="Arial" w:hAnsi="Arial" w:cs="Arial"/>
          <w:color w:val="000000" w:themeColor="text1"/>
          <w:sz w:val="22"/>
          <w:szCs w:val="22"/>
        </w:rPr>
        <w:t>Overall prescribing proportions</w:t>
      </w:r>
      <w:r w:rsidRPr="006112E3">
        <w:rPr>
          <w:rFonts w:ascii="Arial" w:hAnsi="Arial" w:cs="Arial"/>
          <w:color w:val="000000" w:themeColor="text1"/>
          <w:sz w:val="22"/>
          <w:szCs w:val="22"/>
        </w:rPr>
        <w:t>,</w:t>
      </w:r>
      <w:r w:rsidRPr="00A62977">
        <w:rPr>
          <w:rFonts w:ascii="Arial" w:hAnsi="Arial" w:cs="Arial"/>
          <w:color w:val="000000" w:themeColor="text1"/>
          <w:sz w:val="22"/>
          <w:szCs w:val="22"/>
        </w:rPr>
        <w:t xml:space="preserve"> rates</w:t>
      </w:r>
      <w:r w:rsidRPr="006112E3">
        <w:rPr>
          <w:rFonts w:ascii="Arial" w:hAnsi="Arial" w:cs="Arial"/>
          <w:color w:val="000000" w:themeColor="text1"/>
          <w:sz w:val="22"/>
          <w:szCs w:val="22"/>
        </w:rPr>
        <w:t>, MMEs, and days’ supply</w:t>
      </w:r>
      <w:r w:rsidRPr="00A62977">
        <w:rPr>
          <w:rFonts w:ascii="Arial" w:hAnsi="Arial" w:cs="Arial"/>
          <w:color w:val="000000" w:themeColor="text1"/>
          <w:sz w:val="22"/>
          <w:szCs w:val="22"/>
        </w:rPr>
        <w:t xml:space="preserve"> by pre- and post-policy time periods</w:t>
      </w:r>
      <w:r w:rsidRPr="006112E3">
        <w:rPr>
          <w:rFonts w:ascii="Arial" w:hAnsi="Arial" w:cs="Arial"/>
          <w:color w:val="000000" w:themeColor="text1"/>
          <w:sz w:val="22"/>
          <w:szCs w:val="22"/>
        </w:rPr>
        <w:t xml:space="preserve"> are presented in </w:t>
      </w:r>
      <w:r w:rsidRPr="00A62977">
        <w:rPr>
          <w:rFonts w:ascii="Arial" w:hAnsi="Arial" w:cs="Arial"/>
          <w:b/>
          <w:bCs/>
          <w:color w:val="000000" w:themeColor="text1"/>
          <w:sz w:val="22"/>
          <w:szCs w:val="22"/>
        </w:rPr>
        <w:t xml:space="preserve">Supplemental Table </w:t>
      </w:r>
      <w:r w:rsidR="00E46AAA">
        <w:rPr>
          <w:rFonts w:ascii="Arial" w:hAnsi="Arial" w:cs="Arial"/>
          <w:b/>
          <w:bCs/>
          <w:color w:val="000000" w:themeColor="text1"/>
          <w:sz w:val="22"/>
          <w:szCs w:val="22"/>
        </w:rPr>
        <w:t>3</w:t>
      </w:r>
      <w:r w:rsidRPr="006112E3">
        <w:rPr>
          <w:rFonts w:ascii="Arial" w:hAnsi="Arial" w:cs="Arial"/>
          <w:color w:val="000000" w:themeColor="text1"/>
          <w:sz w:val="22"/>
          <w:szCs w:val="22"/>
        </w:rPr>
        <w:t>.</w:t>
      </w:r>
    </w:p>
    <w:p w14:paraId="3BCFEA80" w14:textId="77777777" w:rsidR="00E028A4" w:rsidRPr="006112E3" w:rsidRDefault="00E028A4" w:rsidP="00E028A4">
      <w:pPr>
        <w:rPr>
          <w:rFonts w:ascii="Arial" w:hAnsi="Arial" w:cs="Arial"/>
          <w:b/>
          <w:color w:val="000000" w:themeColor="text1"/>
          <w:sz w:val="22"/>
          <w:szCs w:val="22"/>
        </w:rPr>
      </w:pPr>
    </w:p>
    <w:p w14:paraId="326402C6" w14:textId="64F2DED5" w:rsidR="00E028A4" w:rsidRPr="006112E3" w:rsidRDefault="002E6F56" w:rsidP="00E028A4">
      <w:pPr>
        <w:rPr>
          <w:rFonts w:ascii="Arial" w:hAnsi="Arial" w:cs="Arial"/>
          <w:b/>
          <w:color w:val="000000" w:themeColor="text1"/>
          <w:sz w:val="22"/>
          <w:szCs w:val="22"/>
        </w:rPr>
      </w:pPr>
      <w:r>
        <w:rPr>
          <w:rFonts w:ascii="Arial" w:hAnsi="Arial" w:cs="Arial"/>
          <w:b/>
          <w:color w:val="000000" w:themeColor="text1"/>
          <w:sz w:val="22"/>
          <w:szCs w:val="22"/>
        </w:rPr>
        <w:t>Surgery pain patients</w:t>
      </w:r>
    </w:p>
    <w:p w14:paraId="41CB2A57" w14:textId="77777777" w:rsidR="00E028A4" w:rsidRPr="006112E3" w:rsidRDefault="00E028A4" w:rsidP="00E028A4">
      <w:pPr>
        <w:rPr>
          <w:rFonts w:ascii="Arial" w:hAnsi="Arial" w:cs="Arial"/>
          <w:b/>
          <w:color w:val="000000" w:themeColor="text1"/>
          <w:sz w:val="22"/>
          <w:szCs w:val="22"/>
        </w:rPr>
      </w:pPr>
      <w:r w:rsidRPr="006112E3">
        <w:rPr>
          <w:rFonts w:ascii="Arial" w:hAnsi="Arial" w:cs="Arial"/>
          <w:b/>
          <w:color w:val="000000" w:themeColor="text1"/>
          <w:sz w:val="22"/>
          <w:szCs w:val="22"/>
        </w:rPr>
        <w:t>Index opioid prescriptions and prescribing rates</w:t>
      </w:r>
    </w:p>
    <w:p w14:paraId="2A241F3A" w14:textId="3FB570FC" w:rsidR="00E028A4" w:rsidRPr="006112E3" w:rsidRDefault="00464375" w:rsidP="00E028A4">
      <w:pPr>
        <w:contextualSpacing/>
        <w:rPr>
          <w:rFonts w:ascii="Arial" w:hAnsi="Arial" w:cs="Arial"/>
          <w:bCs/>
          <w:color w:val="000000" w:themeColor="text1"/>
          <w:sz w:val="22"/>
          <w:szCs w:val="22"/>
        </w:rPr>
      </w:pPr>
      <w:r>
        <w:rPr>
          <w:rFonts w:ascii="Arial" w:hAnsi="Arial" w:cs="Arial"/>
          <w:bCs/>
          <w:color w:val="000000" w:themeColor="text1"/>
          <w:sz w:val="22"/>
          <w:szCs w:val="22"/>
        </w:rPr>
        <w:t>C</w:t>
      </w:r>
      <w:r w:rsidR="00E028A4" w:rsidRPr="006112E3">
        <w:rPr>
          <w:rFonts w:ascii="Arial" w:hAnsi="Arial" w:cs="Arial"/>
          <w:bCs/>
          <w:color w:val="000000" w:themeColor="text1"/>
          <w:sz w:val="22"/>
          <w:szCs w:val="22"/>
        </w:rPr>
        <w:t xml:space="preserve">ompared to </w:t>
      </w:r>
      <w:r>
        <w:rPr>
          <w:rFonts w:ascii="Arial" w:hAnsi="Arial" w:cs="Arial"/>
          <w:bCs/>
          <w:color w:val="000000" w:themeColor="text1"/>
          <w:sz w:val="22"/>
          <w:szCs w:val="22"/>
        </w:rPr>
        <w:t xml:space="preserve">benzodiazepine </w:t>
      </w:r>
      <w:r w:rsidR="00E028A4" w:rsidRPr="006112E3">
        <w:rPr>
          <w:rFonts w:ascii="Arial" w:hAnsi="Arial" w:cs="Arial"/>
          <w:bCs/>
          <w:color w:val="000000" w:themeColor="text1"/>
          <w:sz w:val="22"/>
          <w:szCs w:val="22"/>
        </w:rPr>
        <w:t xml:space="preserve">prescribing trends, there was </w:t>
      </w:r>
      <w:r w:rsidR="00E028A4">
        <w:rPr>
          <w:rFonts w:ascii="Arial" w:hAnsi="Arial" w:cs="Arial"/>
          <w:bCs/>
          <w:color w:val="000000" w:themeColor="text1"/>
          <w:sz w:val="22"/>
          <w:szCs w:val="22"/>
        </w:rPr>
        <w:t xml:space="preserve">an </w:t>
      </w:r>
      <w:r>
        <w:rPr>
          <w:rFonts w:ascii="Arial" w:hAnsi="Arial" w:cs="Arial"/>
          <w:bCs/>
          <w:color w:val="000000" w:themeColor="text1"/>
          <w:sz w:val="22"/>
          <w:szCs w:val="22"/>
        </w:rPr>
        <w:t xml:space="preserve">immediate </w:t>
      </w:r>
      <w:r w:rsidRPr="006112E3">
        <w:rPr>
          <w:rFonts w:ascii="Arial" w:hAnsi="Arial" w:cs="Arial"/>
          <w:bCs/>
          <w:color w:val="000000" w:themeColor="text1"/>
          <w:sz w:val="22"/>
          <w:szCs w:val="22"/>
        </w:rPr>
        <w:t xml:space="preserve">3.2% </w:t>
      </w:r>
      <w:r>
        <w:rPr>
          <w:rFonts w:ascii="Arial" w:hAnsi="Arial" w:cs="Arial"/>
          <w:bCs/>
          <w:color w:val="000000" w:themeColor="text1"/>
          <w:sz w:val="22"/>
          <w:szCs w:val="22"/>
        </w:rPr>
        <w:t xml:space="preserve">increase </w:t>
      </w:r>
      <w:r w:rsidRPr="006112E3">
        <w:rPr>
          <w:rFonts w:ascii="Arial" w:hAnsi="Arial" w:cs="Arial"/>
          <w:bCs/>
          <w:color w:val="000000" w:themeColor="text1"/>
          <w:sz w:val="22"/>
          <w:szCs w:val="22"/>
        </w:rPr>
        <w:t xml:space="preserve">(95% </w:t>
      </w:r>
      <w:r>
        <w:rPr>
          <w:rFonts w:ascii="Arial" w:hAnsi="Arial" w:cs="Arial"/>
          <w:bCs/>
          <w:color w:val="000000" w:themeColor="text1"/>
          <w:sz w:val="22"/>
          <w:szCs w:val="22"/>
        </w:rPr>
        <w:t>c</w:t>
      </w:r>
      <w:r w:rsidRPr="006112E3">
        <w:rPr>
          <w:rFonts w:ascii="Arial" w:hAnsi="Arial" w:cs="Arial"/>
          <w:bCs/>
          <w:color w:val="000000" w:themeColor="text1"/>
          <w:sz w:val="22"/>
          <w:szCs w:val="22"/>
        </w:rPr>
        <w:t xml:space="preserve">onfidence </w:t>
      </w:r>
      <w:r>
        <w:rPr>
          <w:rFonts w:ascii="Arial" w:hAnsi="Arial" w:cs="Arial"/>
          <w:bCs/>
          <w:color w:val="000000" w:themeColor="text1"/>
          <w:sz w:val="22"/>
          <w:szCs w:val="22"/>
        </w:rPr>
        <w:t>i</w:t>
      </w:r>
      <w:r w:rsidRPr="006112E3">
        <w:rPr>
          <w:rFonts w:ascii="Arial" w:hAnsi="Arial" w:cs="Arial"/>
          <w:bCs/>
          <w:color w:val="000000" w:themeColor="text1"/>
          <w:sz w:val="22"/>
          <w:szCs w:val="22"/>
        </w:rPr>
        <w:t xml:space="preserve">nterval </w:t>
      </w:r>
      <w:r>
        <w:rPr>
          <w:rFonts w:ascii="Arial" w:hAnsi="Arial" w:cs="Arial"/>
          <w:bCs/>
          <w:color w:val="000000" w:themeColor="text1"/>
          <w:sz w:val="22"/>
          <w:szCs w:val="22"/>
        </w:rPr>
        <w:t>[</w:t>
      </w:r>
      <w:r w:rsidRPr="006112E3">
        <w:rPr>
          <w:rFonts w:ascii="Arial" w:hAnsi="Arial" w:cs="Arial"/>
          <w:bCs/>
          <w:color w:val="000000" w:themeColor="text1"/>
          <w:sz w:val="22"/>
          <w:szCs w:val="22"/>
        </w:rPr>
        <w:t>CI</w:t>
      </w:r>
      <w:r>
        <w:rPr>
          <w:rFonts w:ascii="Arial" w:hAnsi="Arial" w:cs="Arial"/>
          <w:bCs/>
          <w:color w:val="000000" w:themeColor="text1"/>
          <w:sz w:val="22"/>
          <w:szCs w:val="22"/>
        </w:rPr>
        <w:t>]</w:t>
      </w:r>
      <w:r w:rsidRPr="006112E3">
        <w:rPr>
          <w:rFonts w:ascii="Arial" w:hAnsi="Arial" w:cs="Arial"/>
          <w:bCs/>
          <w:color w:val="000000" w:themeColor="text1"/>
          <w:sz w:val="22"/>
          <w:szCs w:val="22"/>
        </w:rPr>
        <w:t>: 1.4, 5.1)</w:t>
      </w:r>
      <w:r w:rsidR="00E028A4" w:rsidRPr="006112E3">
        <w:rPr>
          <w:rFonts w:ascii="Arial" w:hAnsi="Arial" w:cs="Arial"/>
          <w:bCs/>
          <w:color w:val="000000" w:themeColor="text1"/>
          <w:sz w:val="22"/>
          <w:szCs w:val="22"/>
        </w:rPr>
        <w:t xml:space="preserve"> in the proportion of </w:t>
      </w:r>
      <w:r w:rsidR="00D462BE">
        <w:rPr>
          <w:rFonts w:ascii="Arial" w:hAnsi="Arial" w:cs="Arial"/>
          <w:bCs/>
          <w:color w:val="000000" w:themeColor="text1"/>
          <w:sz w:val="22"/>
          <w:szCs w:val="22"/>
        </w:rPr>
        <w:t xml:space="preserve">patients receiving an </w:t>
      </w:r>
      <w:r w:rsidR="00E028A4" w:rsidRPr="006112E3">
        <w:rPr>
          <w:rFonts w:ascii="Arial" w:hAnsi="Arial" w:cs="Arial"/>
          <w:bCs/>
          <w:color w:val="000000" w:themeColor="text1"/>
          <w:sz w:val="22"/>
          <w:szCs w:val="22"/>
        </w:rPr>
        <w:t>index opioid prescription</w:t>
      </w:r>
      <w:r w:rsidR="00D462BE">
        <w:rPr>
          <w:rFonts w:ascii="Arial" w:hAnsi="Arial" w:cs="Arial"/>
          <w:bCs/>
          <w:color w:val="000000" w:themeColor="text1"/>
          <w:sz w:val="22"/>
          <w:szCs w:val="22"/>
        </w:rPr>
        <w:t xml:space="preserve"> in the month</w:t>
      </w:r>
      <w:r w:rsidR="00E028A4" w:rsidRPr="006112E3">
        <w:rPr>
          <w:rFonts w:ascii="Arial" w:hAnsi="Arial" w:cs="Arial"/>
          <w:bCs/>
          <w:color w:val="000000" w:themeColor="text1"/>
          <w:sz w:val="22"/>
          <w:szCs w:val="22"/>
        </w:rPr>
        <w:t xml:space="preserve"> </w:t>
      </w:r>
      <w:r>
        <w:rPr>
          <w:rFonts w:ascii="Arial" w:hAnsi="Arial" w:cs="Arial"/>
          <w:bCs/>
          <w:color w:val="000000" w:themeColor="text1"/>
          <w:sz w:val="22"/>
          <w:szCs w:val="22"/>
        </w:rPr>
        <w:t>following</w:t>
      </w:r>
      <w:r w:rsidR="00E028A4" w:rsidRPr="006112E3">
        <w:rPr>
          <w:rFonts w:ascii="Arial" w:hAnsi="Arial" w:cs="Arial"/>
          <w:bCs/>
          <w:color w:val="000000" w:themeColor="text1"/>
          <w:sz w:val="22"/>
          <w:szCs w:val="22"/>
        </w:rPr>
        <w:t xml:space="preserve"> SOPI implementation (</w:t>
      </w:r>
      <w:r w:rsidR="00E028A4" w:rsidRPr="006112E3">
        <w:rPr>
          <w:rFonts w:ascii="Arial" w:hAnsi="Arial" w:cs="Arial"/>
          <w:b/>
          <w:color w:val="000000" w:themeColor="text1"/>
          <w:sz w:val="22"/>
          <w:szCs w:val="22"/>
        </w:rPr>
        <w:t>Table 2; Figure 1A</w:t>
      </w:r>
      <w:r w:rsidR="00E028A4" w:rsidRPr="006112E3">
        <w:rPr>
          <w:rFonts w:ascii="Arial" w:hAnsi="Arial" w:cs="Arial"/>
          <w:bCs/>
          <w:color w:val="000000" w:themeColor="text1"/>
          <w:sz w:val="22"/>
          <w:szCs w:val="22"/>
        </w:rPr>
        <w:t>)</w:t>
      </w:r>
      <w:r>
        <w:rPr>
          <w:rFonts w:ascii="Arial" w:hAnsi="Arial" w:cs="Arial"/>
          <w:bCs/>
          <w:color w:val="000000" w:themeColor="text1"/>
          <w:sz w:val="22"/>
          <w:szCs w:val="22"/>
        </w:rPr>
        <w:t xml:space="preserve">, and an immediate increase of </w:t>
      </w:r>
      <w:r w:rsidRPr="006112E3">
        <w:rPr>
          <w:rFonts w:ascii="Arial" w:hAnsi="Arial" w:cs="Arial"/>
          <w:bCs/>
          <w:color w:val="000000" w:themeColor="text1"/>
          <w:sz w:val="22"/>
          <w:szCs w:val="22"/>
        </w:rPr>
        <w:t>9.2 new</w:t>
      </w:r>
      <w:r>
        <w:rPr>
          <w:rFonts w:ascii="Arial" w:hAnsi="Arial" w:cs="Arial"/>
          <w:bCs/>
          <w:color w:val="000000" w:themeColor="text1"/>
          <w:sz w:val="22"/>
          <w:szCs w:val="22"/>
        </w:rPr>
        <w:t xml:space="preserve"> opioid</w:t>
      </w:r>
      <w:r w:rsidRPr="006112E3">
        <w:rPr>
          <w:rFonts w:ascii="Arial" w:hAnsi="Arial" w:cs="Arial"/>
          <w:bCs/>
          <w:color w:val="000000" w:themeColor="text1"/>
          <w:sz w:val="22"/>
          <w:szCs w:val="22"/>
        </w:rPr>
        <w:t xml:space="preserve"> prescriptions per 100 person-months</w:t>
      </w:r>
      <w:r>
        <w:rPr>
          <w:rFonts w:ascii="Arial" w:hAnsi="Arial" w:cs="Arial"/>
          <w:bCs/>
          <w:color w:val="000000" w:themeColor="text1"/>
          <w:sz w:val="22"/>
          <w:szCs w:val="22"/>
        </w:rPr>
        <w:t xml:space="preserve"> </w:t>
      </w:r>
      <w:r w:rsidRPr="006112E3">
        <w:rPr>
          <w:rFonts w:ascii="Arial" w:hAnsi="Arial" w:cs="Arial"/>
          <w:bCs/>
          <w:color w:val="000000" w:themeColor="text1"/>
          <w:sz w:val="22"/>
          <w:szCs w:val="22"/>
        </w:rPr>
        <w:t>(95% CI: 5.2, 13.1)</w:t>
      </w:r>
      <w:r w:rsidR="00E028A4" w:rsidRPr="006112E3">
        <w:rPr>
          <w:rFonts w:ascii="Arial" w:hAnsi="Arial" w:cs="Arial"/>
          <w:bCs/>
          <w:color w:val="000000" w:themeColor="text1"/>
          <w:sz w:val="22"/>
          <w:szCs w:val="22"/>
        </w:rPr>
        <w:t>, relative to benzodiazepine prescribing rates</w:t>
      </w:r>
      <w:r>
        <w:rPr>
          <w:rFonts w:ascii="Arial" w:hAnsi="Arial" w:cs="Arial"/>
          <w:bCs/>
          <w:color w:val="000000" w:themeColor="text1"/>
          <w:sz w:val="22"/>
          <w:szCs w:val="22"/>
        </w:rPr>
        <w:t xml:space="preserve"> </w:t>
      </w:r>
      <w:r w:rsidR="00E028A4" w:rsidRPr="006112E3">
        <w:rPr>
          <w:rFonts w:ascii="Arial" w:hAnsi="Arial" w:cs="Arial"/>
          <w:bCs/>
          <w:color w:val="000000" w:themeColor="text1"/>
          <w:sz w:val="22"/>
          <w:szCs w:val="22"/>
        </w:rPr>
        <w:t>(</w:t>
      </w:r>
      <w:r w:rsidR="00E028A4" w:rsidRPr="006112E3">
        <w:rPr>
          <w:rFonts w:ascii="Arial" w:hAnsi="Arial" w:cs="Arial"/>
          <w:b/>
          <w:color w:val="000000" w:themeColor="text1"/>
          <w:sz w:val="22"/>
          <w:szCs w:val="22"/>
        </w:rPr>
        <w:t>Table 2: Figure 1B</w:t>
      </w:r>
      <w:r w:rsidR="00E028A4" w:rsidRPr="006112E3">
        <w:rPr>
          <w:rFonts w:ascii="Arial" w:hAnsi="Arial" w:cs="Arial"/>
          <w:bCs/>
          <w:color w:val="000000" w:themeColor="text1"/>
          <w:sz w:val="22"/>
          <w:szCs w:val="22"/>
        </w:rPr>
        <w:t xml:space="preserve">). </w:t>
      </w:r>
      <w:r>
        <w:rPr>
          <w:rFonts w:ascii="Arial" w:hAnsi="Arial" w:cs="Arial"/>
          <w:bCs/>
          <w:color w:val="000000" w:themeColor="text1"/>
          <w:sz w:val="22"/>
          <w:szCs w:val="22"/>
        </w:rPr>
        <w:t xml:space="preserve">Thereafter, </w:t>
      </w:r>
      <w:r w:rsidR="00E028A4" w:rsidRPr="006112E3">
        <w:rPr>
          <w:rFonts w:ascii="Arial" w:hAnsi="Arial" w:cs="Arial"/>
          <w:bCs/>
          <w:color w:val="000000" w:themeColor="text1"/>
          <w:sz w:val="22"/>
          <w:szCs w:val="22"/>
        </w:rPr>
        <w:t xml:space="preserve">the index opioid prescription proportion </w:t>
      </w:r>
      <w:r>
        <w:rPr>
          <w:rFonts w:ascii="Arial" w:hAnsi="Arial" w:cs="Arial"/>
          <w:bCs/>
          <w:color w:val="000000" w:themeColor="text1"/>
          <w:sz w:val="22"/>
          <w:szCs w:val="22"/>
        </w:rPr>
        <w:t>trend</w:t>
      </w:r>
      <w:r w:rsidR="00E028A4" w:rsidRPr="006112E3">
        <w:rPr>
          <w:rFonts w:ascii="Arial" w:hAnsi="Arial" w:cs="Arial"/>
          <w:bCs/>
          <w:color w:val="000000" w:themeColor="text1"/>
          <w:sz w:val="22"/>
          <w:szCs w:val="22"/>
        </w:rPr>
        <w:t xml:space="preserve"> decreased by -2.7</w:t>
      </w:r>
      <w:r w:rsidR="00E028A4">
        <w:rPr>
          <w:rFonts w:ascii="Arial" w:hAnsi="Arial" w:cs="Arial"/>
          <w:bCs/>
          <w:color w:val="000000" w:themeColor="text1"/>
          <w:sz w:val="22"/>
          <w:szCs w:val="22"/>
        </w:rPr>
        <w:t>%</w:t>
      </w:r>
      <w:r w:rsidR="00E028A4" w:rsidRPr="006112E3">
        <w:rPr>
          <w:rFonts w:ascii="Arial" w:hAnsi="Arial" w:cs="Arial"/>
          <w:bCs/>
          <w:color w:val="000000" w:themeColor="text1"/>
          <w:sz w:val="22"/>
          <w:szCs w:val="22"/>
        </w:rPr>
        <w:t xml:space="preserve"> (95% CI: -4.5, -0.9) per year</w:t>
      </w:r>
      <w:r>
        <w:rPr>
          <w:rFonts w:ascii="Arial" w:hAnsi="Arial" w:cs="Arial"/>
          <w:bCs/>
          <w:color w:val="000000" w:themeColor="text1"/>
          <w:sz w:val="22"/>
          <w:szCs w:val="22"/>
        </w:rPr>
        <w:t>,</w:t>
      </w:r>
      <w:r w:rsidR="00E028A4" w:rsidRPr="006112E3">
        <w:rPr>
          <w:rFonts w:ascii="Arial" w:hAnsi="Arial" w:cs="Arial"/>
          <w:bCs/>
          <w:color w:val="000000" w:themeColor="text1"/>
          <w:sz w:val="22"/>
          <w:szCs w:val="22"/>
        </w:rPr>
        <w:t xml:space="preserve"> </w:t>
      </w:r>
      <w:r>
        <w:rPr>
          <w:rFonts w:ascii="Arial" w:hAnsi="Arial" w:cs="Arial"/>
          <w:bCs/>
          <w:color w:val="000000" w:themeColor="text1"/>
          <w:sz w:val="22"/>
          <w:szCs w:val="22"/>
        </w:rPr>
        <w:t>and the</w:t>
      </w:r>
      <w:r w:rsidRPr="006112E3">
        <w:rPr>
          <w:rFonts w:ascii="Arial" w:hAnsi="Arial" w:cs="Arial"/>
          <w:bCs/>
          <w:color w:val="000000" w:themeColor="text1"/>
          <w:sz w:val="22"/>
          <w:szCs w:val="22"/>
        </w:rPr>
        <w:t xml:space="preserve"> index opioid prescribing rate trends decreased at a rate of -3.8 (95% CI: -7.5, -0.05) new prescriptions per 100 person-years </w:t>
      </w:r>
      <w:r w:rsidR="00E028A4" w:rsidRPr="006112E3">
        <w:rPr>
          <w:rFonts w:ascii="Arial" w:hAnsi="Arial" w:cs="Arial"/>
          <w:bCs/>
          <w:color w:val="000000" w:themeColor="text1"/>
          <w:sz w:val="22"/>
          <w:szCs w:val="22"/>
        </w:rPr>
        <w:t>relative to benzodiazepines</w:t>
      </w:r>
      <w:r>
        <w:rPr>
          <w:rFonts w:ascii="Arial" w:hAnsi="Arial" w:cs="Arial"/>
          <w:bCs/>
          <w:color w:val="000000" w:themeColor="text1"/>
          <w:sz w:val="22"/>
          <w:szCs w:val="22"/>
        </w:rPr>
        <w:t>, in the 25 months post-SOPI</w:t>
      </w:r>
      <w:r w:rsidR="00E028A4" w:rsidRPr="006112E3">
        <w:rPr>
          <w:rFonts w:ascii="Arial" w:hAnsi="Arial" w:cs="Arial"/>
          <w:bCs/>
          <w:color w:val="000000" w:themeColor="text1"/>
          <w:sz w:val="22"/>
          <w:szCs w:val="22"/>
        </w:rPr>
        <w:t xml:space="preserve"> (</w:t>
      </w:r>
      <w:r w:rsidR="00E028A4" w:rsidRPr="00A62977">
        <w:rPr>
          <w:rFonts w:ascii="Arial" w:hAnsi="Arial" w:cs="Arial"/>
          <w:b/>
          <w:color w:val="000000" w:themeColor="text1"/>
          <w:sz w:val="22"/>
          <w:szCs w:val="22"/>
        </w:rPr>
        <w:t>Table 2; Figure 1A</w:t>
      </w:r>
      <w:r w:rsidR="00E028A4" w:rsidRPr="006112E3">
        <w:rPr>
          <w:rFonts w:ascii="Arial" w:hAnsi="Arial" w:cs="Arial"/>
          <w:bCs/>
          <w:color w:val="000000" w:themeColor="text1"/>
          <w:sz w:val="22"/>
          <w:szCs w:val="22"/>
        </w:rPr>
        <w:t xml:space="preserve">). After the </w:t>
      </w:r>
      <w:r w:rsidR="000E6B30">
        <w:rPr>
          <w:rFonts w:ascii="Arial" w:hAnsi="Arial" w:cs="Arial"/>
          <w:bCs/>
          <w:color w:val="000000" w:themeColor="text1"/>
          <w:sz w:val="22"/>
          <w:szCs w:val="22"/>
        </w:rPr>
        <w:t>STOP Act</w:t>
      </w:r>
      <w:r w:rsidR="00E028A4" w:rsidRPr="006112E3">
        <w:rPr>
          <w:rFonts w:ascii="Arial" w:hAnsi="Arial" w:cs="Arial"/>
          <w:bCs/>
          <w:color w:val="000000" w:themeColor="text1"/>
          <w:sz w:val="22"/>
          <w:szCs w:val="22"/>
        </w:rPr>
        <w:t xml:space="preserve">, there was a </w:t>
      </w:r>
      <w:r w:rsidR="00E028A4">
        <w:rPr>
          <w:rFonts w:ascii="Arial" w:hAnsi="Arial" w:cs="Arial"/>
          <w:bCs/>
          <w:color w:val="000000" w:themeColor="text1"/>
          <w:sz w:val="22"/>
          <w:szCs w:val="22"/>
        </w:rPr>
        <w:t>notable</w:t>
      </w:r>
      <w:r w:rsidR="00E028A4" w:rsidRPr="006112E3">
        <w:rPr>
          <w:rFonts w:ascii="Arial" w:hAnsi="Arial" w:cs="Arial"/>
          <w:bCs/>
          <w:color w:val="000000" w:themeColor="text1"/>
          <w:sz w:val="22"/>
          <w:szCs w:val="22"/>
        </w:rPr>
        <w:t xml:space="preserve"> decrease </w:t>
      </w:r>
      <w:r w:rsidR="003B72F8">
        <w:rPr>
          <w:rFonts w:ascii="Arial" w:hAnsi="Arial" w:cs="Arial"/>
          <w:bCs/>
          <w:color w:val="000000" w:themeColor="text1"/>
          <w:sz w:val="22"/>
          <w:szCs w:val="22"/>
        </w:rPr>
        <w:t xml:space="preserve">of </w:t>
      </w:r>
      <w:r w:rsidR="003B72F8" w:rsidRPr="006112E3">
        <w:rPr>
          <w:rFonts w:ascii="Arial" w:hAnsi="Arial" w:cs="Arial"/>
          <w:bCs/>
          <w:color w:val="000000" w:themeColor="text1"/>
          <w:sz w:val="22"/>
          <w:szCs w:val="22"/>
        </w:rPr>
        <w:t>-4.1</w:t>
      </w:r>
      <w:r w:rsidR="003B72F8">
        <w:rPr>
          <w:rFonts w:ascii="Arial" w:hAnsi="Arial" w:cs="Arial"/>
          <w:bCs/>
          <w:color w:val="000000" w:themeColor="text1"/>
          <w:sz w:val="22"/>
          <w:szCs w:val="22"/>
        </w:rPr>
        <w:t>%</w:t>
      </w:r>
      <w:r w:rsidR="003B72F8" w:rsidRPr="006112E3">
        <w:rPr>
          <w:rFonts w:ascii="Arial" w:hAnsi="Arial" w:cs="Arial"/>
          <w:bCs/>
          <w:color w:val="000000" w:themeColor="text1"/>
          <w:sz w:val="22"/>
          <w:szCs w:val="22"/>
        </w:rPr>
        <w:t xml:space="preserve"> (95% CI: -5.9, -2.2) </w:t>
      </w:r>
      <w:r w:rsidR="003B72F8">
        <w:rPr>
          <w:rFonts w:ascii="Arial" w:hAnsi="Arial" w:cs="Arial"/>
          <w:bCs/>
          <w:color w:val="000000" w:themeColor="text1"/>
          <w:sz w:val="22"/>
          <w:szCs w:val="22"/>
        </w:rPr>
        <w:t xml:space="preserve">per year in the </w:t>
      </w:r>
      <w:r w:rsidR="00E028A4" w:rsidRPr="006112E3">
        <w:rPr>
          <w:rFonts w:ascii="Arial" w:hAnsi="Arial" w:cs="Arial"/>
          <w:bCs/>
          <w:color w:val="000000" w:themeColor="text1"/>
          <w:sz w:val="22"/>
          <w:szCs w:val="22"/>
        </w:rPr>
        <w:t>trend of patients receiving index opioid prescriptions</w:t>
      </w:r>
      <w:r w:rsidR="003B72F8">
        <w:rPr>
          <w:rFonts w:ascii="Arial" w:hAnsi="Arial" w:cs="Arial"/>
          <w:bCs/>
          <w:color w:val="000000" w:themeColor="text1"/>
          <w:sz w:val="22"/>
          <w:szCs w:val="22"/>
        </w:rPr>
        <w:t xml:space="preserve">, </w:t>
      </w:r>
      <w:r w:rsidR="00E028A4" w:rsidRPr="006112E3">
        <w:rPr>
          <w:rFonts w:ascii="Arial" w:hAnsi="Arial" w:cs="Arial"/>
          <w:bCs/>
          <w:color w:val="000000" w:themeColor="text1"/>
          <w:sz w:val="22"/>
          <w:szCs w:val="22"/>
        </w:rPr>
        <w:t>relative to benzodiazepines (</w:t>
      </w:r>
      <w:r w:rsidR="00E028A4" w:rsidRPr="006112E3">
        <w:rPr>
          <w:rFonts w:ascii="Arial" w:hAnsi="Arial" w:cs="Arial"/>
          <w:b/>
          <w:color w:val="000000" w:themeColor="text1"/>
          <w:sz w:val="22"/>
          <w:szCs w:val="22"/>
        </w:rPr>
        <w:t>Table 2</w:t>
      </w:r>
      <w:r w:rsidR="00E028A4" w:rsidRPr="006112E3">
        <w:rPr>
          <w:rFonts w:ascii="Arial" w:hAnsi="Arial" w:cs="Arial"/>
          <w:bCs/>
          <w:color w:val="000000" w:themeColor="text1"/>
          <w:sz w:val="22"/>
          <w:szCs w:val="22"/>
        </w:rPr>
        <w:t xml:space="preserve">). </w:t>
      </w:r>
    </w:p>
    <w:p w14:paraId="46CEC2D2" w14:textId="77777777" w:rsidR="00E028A4" w:rsidRPr="006112E3" w:rsidRDefault="00E028A4" w:rsidP="00E028A4">
      <w:pPr>
        <w:contextualSpacing/>
        <w:rPr>
          <w:rFonts w:ascii="Arial" w:hAnsi="Arial" w:cs="Arial"/>
          <w:bCs/>
          <w:color w:val="000000" w:themeColor="text1"/>
          <w:sz w:val="22"/>
          <w:szCs w:val="22"/>
        </w:rPr>
      </w:pPr>
    </w:p>
    <w:p w14:paraId="0514C876" w14:textId="77777777" w:rsidR="00E028A4" w:rsidRPr="006112E3" w:rsidRDefault="00E028A4" w:rsidP="00E028A4">
      <w:pPr>
        <w:contextualSpacing/>
        <w:rPr>
          <w:rFonts w:ascii="Arial" w:hAnsi="Arial" w:cs="Arial"/>
          <w:bCs/>
          <w:color w:val="000000" w:themeColor="text1"/>
          <w:sz w:val="22"/>
          <w:szCs w:val="22"/>
        </w:rPr>
      </w:pPr>
      <w:r w:rsidRPr="006112E3">
        <w:rPr>
          <w:rFonts w:ascii="Arial" w:hAnsi="Arial" w:cs="Arial"/>
          <w:b/>
          <w:color w:val="000000" w:themeColor="text1"/>
          <w:sz w:val="22"/>
          <w:szCs w:val="22"/>
        </w:rPr>
        <w:t>Subsequent opioid prescribing rates</w:t>
      </w:r>
    </w:p>
    <w:p w14:paraId="095B0600" w14:textId="069CFF06" w:rsidR="00E028A4" w:rsidRPr="006112E3" w:rsidRDefault="00E028A4" w:rsidP="00E028A4">
      <w:pPr>
        <w:contextualSpacing/>
        <w:rPr>
          <w:rFonts w:ascii="Arial" w:hAnsi="Arial" w:cs="Arial"/>
          <w:bCs/>
          <w:color w:val="000000" w:themeColor="text1"/>
          <w:sz w:val="22"/>
          <w:szCs w:val="22"/>
        </w:rPr>
      </w:pPr>
      <w:r w:rsidRPr="006112E3">
        <w:rPr>
          <w:rFonts w:ascii="Arial" w:hAnsi="Arial" w:cs="Arial"/>
          <w:bCs/>
          <w:color w:val="000000" w:themeColor="text1"/>
          <w:sz w:val="22"/>
          <w:szCs w:val="22"/>
        </w:rPr>
        <w:t>Prior to SOPI implementation, subsequent opioid prescribing rates were increasing (</w:t>
      </w:r>
      <w:r w:rsidRPr="00A62977">
        <w:rPr>
          <w:rFonts w:ascii="Arial" w:hAnsi="Arial" w:cs="Arial"/>
          <w:b/>
          <w:color w:val="000000" w:themeColor="text1"/>
          <w:sz w:val="22"/>
          <w:szCs w:val="22"/>
        </w:rPr>
        <w:t>Table 3; Figure 2A</w:t>
      </w:r>
      <w:r w:rsidRPr="006112E3">
        <w:rPr>
          <w:rFonts w:ascii="Arial" w:hAnsi="Arial" w:cs="Arial"/>
          <w:bCs/>
          <w:color w:val="000000" w:themeColor="text1"/>
          <w:sz w:val="22"/>
          <w:szCs w:val="22"/>
        </w:rPr>
        <w:t xml:space="preserve">). </w:t>
      </w:r>
      <w:r w:rsidR="003B72F8">
        <w:rPr>
          <w:rFonts w:ascii="Arial" w:hAnsi="Arial" w:cs="Arial"/>
          <w:bCs/>
          <w:color w:val="000000" w:themeColor="text1"/>
          <w:sz w:val="22"/>
          <w:szCs w:val="22"/>
        </w:rPr>
        <w:t>However</w:t>
      </w:r>
      <w:r w:rsidRPr="006112E3">
        <w:rPr>
          <w:rFonts w:ascii="Arial" w:hAnsi="Arial" w:cs="Arial"/>
          <w:bCs/>
          <w:color w:val="000000" w:themeColor="text1"/>
          <w:sz w:val="22"/>
          <w:szCs w:val="22"/>
        </w:rPr>
        <w:t xml:space="preserve">, after SOPI implementation, there was a 12.5% per year (-14.9, -10.2) </w:t>
      </w:r>
      <w:r w:rsidR="003B72F8">
        <w:rPr>
          <w:rFonts w:ascii="Arial" w:hAnsi="Arial" w:cs="Arial"/>
          <w:bCs/>
          <w:color w:val="000000" w:themeColor="text1"/>
          <w:sz w:val="22"/>
          <w:szCs w:val="22"/>
        </w:rPr>
        <w:t xml:space="preserve">sustained decline </w:t>
      </w:r>
      <w:r w:rsidRPr="006112E3">
        <w:rPr>
          <w:rFonts w:ascii="Arial" w:hAnsi="Arial" w:cs="Arial"/>
          <w:bCs/>
          <w:color w:val="000000" w:themeColor="text1"/>
          <w:sz w:val="22"/>
          <w:szCs w:val="22"/>
        </w:rPr>
        <w:t xml:space="preserve">in subsequent opioid prescribing rates. </w:t>
      </w:r>
      <w:r w:rsidR="0003282F">
        <w:rPr>
          <w:rFonts w:ascii="Arial" w:hAnsi="Arial" w:cs="Arial"/>
          <w:bCs/>
          <w:color w:val="000000" w:themeColor="text1"/>
          <w:sz w:val="22"/>
          <w:szCs w:val="22"/>
        </w:rPr>
        <w:t xml:space="preserve">Thereafter, </w:t>
      </w:r>
      <w:r w:rsidRPr="006112E3">
        <w:rPr>
          <w:rFonts w:ascii="Arial" w:hAnsi="Arial" w:cs="Arial"/>
          <w:bCs/>
          <w:color w:val="000000" w:themeColor="text1"/>
          <w:sz w:val="22"/>
          <w:szCs w:val="22"/>
        </w:rPr>
        <w:t xml:space="preserve">there was a 1.9% (-4.4%, 0.5%) decline </w:t>
      </w:r>
      <w:r w:rsidR="0003282F">
        <w:rPr>
          <w:rFonts w:ascii="Arial" w:hAnsi="Arial" w:cs="Arial"/>
          <w:bCs/>
          <w:color w:val="000000" w:themeColor="text1"/>
          <w:sz w:val="22"/>
          <w:szCs w:val="22"/>
        </w:rPr>
        <w:t>i</w:t>
      </w:r>
      <w:r w:rsidR="0003282F" w:rsidRPr="006112E3">
        <w:rPr>
          <w:rFonts w:ascii="Arial" w:hAnsi="Arial" w:cs="Arial"/>
          <w:bCs/>
          <w:color w:val="000000" w:themeColor="text1"/>
          <w:sz w:val="22"/>
          <w:szCs w:val="22"/>
        </w:rPr>
        <w:t xml:space="preserve">mmediately after the </w:t>
      </w:r>
      <w:r w:rsidR="0003282F">
        <w:rPr>
          <w:rFonts w:ascii="Arial" w:hAnsi="Arial" w:cs="Arial"/>
          <w:bCs/>
          <w:color w:val="000000" w:themeColor="text1"/>
          <w:sz w:val="22"/>
          <w:szCs w:val="22"/>
        </w:rPr>
        <w:t>STOP Act</w:t>
      </w:r>
      <w:r w:rsidR="0003282F" w:rsidRPr="006112E3">
        <w:rPr>
          <w:rFonts w:ascii="Arial" w:hAnsi="Arial" w:cs="Arial"/>
          <w:bCs/>
          <w:color w:val="000000" w:themeColor="text1"/>
          <w:sz w:val="22"/>
          <w:szCs w:val="22"/>
        </w:rPr>
        <w:t xml:space="preserve">, </w:t>
      </w:r>
      <w:r w:rsidR="0003282F">
        <w:rPr>
          <w:rFonts w:ascii="Arial" w:hAnsi="Arial" w:cs="Arial"/>
          <w:bCs/>
          <w:color w:val="000000" w:themeColor="text1"/>
          <w:sz w:val="22"/>
          <w:szCs w:val="22"/>
        </w:rPr>
        <w:t>but</w:t>
      </w:r>
      <w:r w:rsidRPr="006112E3">
        <w:rPr>
          <w:rFonts w:ascii="Arial" w:hAnsi="Arial" w:cs="Arial"/>
          <w:bCs/>
          <w:color w:val="000000" w:themeColor="text1"/>
          <w:sz w:val="22"/>
          <w:szCs w:val="22"/>
        </w:rPr>
        <w:t xml:space="preserve"> no additional trend changes.</w:t>
      </w:r>
    </w:p>
    <w:p w14:paraId="0401EB25" w14:textId="77777777" w:rsidR="00E028A4" w:rsidRPr="006112E3" w:rsidRDefault="00E028A4" w:rsidP="00E028A4">
      <w:pPr>
        <w:contextualSpacing/>
        <w:rPr>
          <w:rFonts w:ascii="Arial" w:hAnsi="Arial" w:cs="Arial"/>
          <w:bCs/>
          <w:color w:val="000000" w:themeColor="text1"/>
          <w:sz w:val="22"/>
          <w:szCs w:val="22"/>
        </w:rPr>
      </w:pPr>
    </w:p>
    <w:p w14:paraId="58A6A64F" w14:textId="63B00DFE" w:rsidR="00E028A4" w:rsidRPr="00A62977" w:rsidRDefault="00E028A4" w:rsidP="00E028A4">
      <w:pPr>
        <w:contextualSpacing/>
        <w:rPr>
          <w:rFonts w:ascii="Arial" w:hAnsi="Arial" w:cs="Arial"/>
          <w:b/>
          <w:color w:val="000000" w:themeColor="text1"/>
          <w:sz w:val="22"/>
          <w:szCs w:val="22"/>
        </w:rPr>
      </w:pPr>
      <w:r w:rsidRPr="00A62977">
        <w:rPr>
          <w:rFonts w:ascii="Arial" w:hAnsi="Arial" w:cs="Arial"/>
          <w:b/>
          <w:color w:val="000000" w:themeColor="text1"/>
          <w:sz w:val="22"/>
          <w:szCs w:val="22"/>
        </w:rPr>
        <w:t xml:space="preserve">Dispensed index and subsequent </w:t>
      </w:r>
      <w:r w:rsidR="00BD306A" w:rsidRPr="00A62977">
        <w:rPr>
          <w:rFonts w:ascii="Arial" w:hAnsi="Arial" w:cs="Arial"/>
          <w:b/>
          <w:color w:val="000000" w:themeColor="text1"/>
          <w:sz w:val="22"/>
          <w:szCs w:val="22"/>
        </w:rPr>
        <w:t>days’</w:t>
      </w:r>
      <w:r w:rsidRPr="00A62977">
        <w:rPr>
          <w:rFonts w:ascii="Arial" w:hAnsi="Arial" w:cs="Arial"/>
          <w:b/>
          <w:color w:val="000000" w:themeColor="text1"/>
          <w:sz w:val="22"/>
          <w:szCs w:val="22"/>
        </w:rPr>
        <w:t xml:space="preserve"> supply</w:t>
      </w:r>
    </w:p>
    <w:p w14:paraId="0C470390" w14:textId="15EEACBA" w:rsidR="00E028A4" w:rsidRPr="006112E3" w:rsidRDefault="00E028A4" w:rsidP="00E028A4">
      <w:pPr>
        <w:contextualSpacing/>
        <w:rPr>
          <w:rFonts w:ascii="Arial" w:hAnsi="Arial" w:cs="Arial"/>
          <w:bCs/>
          <w:color w:val="000000" w:themeColor="text1"/>
          <w:sz w:val="22"/>
          <w:szCs w:val="22"/>
        </w:rPr>
      </w:pPr>
      <w:r w:rsidRPr="006112E3">
        <w:rPr>
          <w:rFonts w:ascii="Arial" w:hAnsi="Arial" w:cs="Arial"/>
          <w:bCs/>
          <w:color w:val="000000" w:themeColor="text1"/>
          <w:sz w:val="22"/>
          <w:szCs w:val="22"/>
        </w:rPr>
        <w:t xml:space="preserve">After SOPI, there was a sustained decline of 0.77 days’ supply per year (-0.97, -0.56) </w:t>
      </w:r>
      <w:r w:rsidR="0003282F">
        <w:rPr>
          <w:rFonts w:ascii="Arial" w:hAnsi="Arial" w:cs="Arial"/>
          <w:bCs/>
          <w:color w:val="000000" w:themeColor="text1"/>
          <w:sz w:val="22"/>
          <w:szCs w:val="22"/>
        </w:rPr>
        <w:t>in dispensed index opioid prescriptions</w:t>
      </w:r>
      <w:r w:rsidR="0003282F" w:rsidRPr="006112E3">
        <w:rPr>
          <w:rFonts w:ascii="Arial" w:hAnsi="Arial" w:cs="Arial"/>
          <w:bCs/>
          <w:color w:val="000000" w:themeColor="text1"/>
          <w:sz w:val="22"/>
          <w:szCs w:val="22"/>
        </w:rPr>
        <w:t xml:space="preserve"> </w:t>
      </w:r>
      <w:r w:rsidRPr="006112E3">
        <w:rPr>
          <w:rFonts w:ascii="Arial" w:hAnsi="Arial" w:cs="Arial"/>
          <w:bCs/>
          <w:color w:val="000000" w:themeColor="text1"/>
          <w:sz w:val="22"/>
          <w:szCs w:val="22"/>
        </w:rPr>
        <w:t>(</w:t>
      </w:r>
      <w:r w:rsidRPr="00A62977">
        <w:rPr>
          <w:rFonts w:ascii="Arial" w:hAnsi="Arial" w:cs="Arial"/>
          <w:b/>
          <w:color w:val="000000" w:themeColor="text1"/>
          <w:sz w:val="22"/>
          <w:szCs w:val="22"/>
        </w:rPr>
        <w:t>Table 3; Figure 2B</w:t>
      </w:r>
      <w:r w:rsidRPr="006112E3">
        <w:rPr>
          <w:rFonts w:ascii="Arial" w:hAnsi="Arial" w:cs="Arial"/>
          <w:bCs/>
          <w:color w:val="000000" w:themeColor="text1"/>
          <w:sz w:val="22"/>
          <w:szCs w:val="22"/>
        </w:rPr>
        <w:t xml:space="preserve">). </w:t>
      </w:r>
      <w:r w:rsidR="0003282F">
        <w:rPr>
          <w:rFonts w:ascii="Arial" w:hAnsi="Arial" w:cs="Arial"/>
          <w:bCs/>
          <w:color w:val="000000" w:themeColor="text1"/>
          <w:sz w:val="22"/>
          <w:szCs w:val="22"/>
        </w:rPr>
        <w:t>Then, t</w:t>
      </w:r>
      <w:r w:rsidRPr="006112E3">
        <w:rPr>
          <w:rFonts w:ascii="Arial" w:hAnsi="Arial" w:cs="Arial"/>
          <w:bCs/>
          <w:color w:val="000000" w:themeColor="text1"/>
          <w:sz w:val="22"/>
          <w:szCs w:val="22"/>
        </w:rPr>
        <w:t>here was an immediate decrease in days’ supply of 0.70 day</w:t>
      </w:r>
      <w:r>
        <w:rPr>
          <w:rFonts w:ascii="Arial" w:hAnsi="Arial" w:cs="Arial"/>
          <w:bCs/>
          <w:color w:val="000000" w:themeColor="text1"/>
          <w:sz w:val="22"/>
          <w:szCs w:val="22"/>
        </w:rPr>
        <w:t>s</w:t>
      </w:r>
      <w:r w:rsidRPr="006112E3">
        <w:rPr>
          <w:rFonts w:ascii="Arial" w:hAnsi="Arial" w:cs="Arial"/>
          <w:bCs/>
          <w:color w:val="000000" w:themeColor="text1"/>
          <w:sz w:val="22"/>
          <w:szCs w:val="22"/>
        </w:rPr>
        <w:t xml:space="preserve"> (-0.91, -0.48)</w:t>
      </w:r>
      <w:r w:rsidR="0003282F">
        <w:rPr>
          <w:rFonts w:ascii="Arial" w:hAnsi="Arial" w:cs="Arial"/>
          <w:bCs/>
          <w:color w:val="000000" w:themeColor="text1"/>
          <w:sz w:val="22"/>
          <w:szCs w:val="22"/>
        </w:rPr>
        <w:t xml:space="preserve"> after the STOP Act</w:t>
      </w:r>
      <w:r w:rsidRPr="006112E3">
        <w:rPr>
          <w:rFonts w:ascii="Arial" w:hAnsi="Arial" w:cs="Arial"/>
          <w:bCs/>
          <w:color w:val="000000" w:themeColor="text1"/>
          <w:sz w:val="22"/>
          <w:szCs w:val="22"/>
        </w:rPr>
        <w:t>, followed by a sustained decline of 0.32 day</w:t>
      </w:r>
      <w:r>
        <w:rPr>
          <w:rFonts w:ascii="Arial" w:hAnsi="Arial" w:cs="Arial"/>
          <w:bCs/>
          <w:color w:val="000000" w:themeColor="text1"/>
          <w:sz w:val="22"/>
          <w:szCs w:val="22"/>
        </w:rPr>
        <w:t>s</w:t>
      </w:r>
      <w:r w:rsidRPr="006112E3">
        <w:rPr>
          <w:rFonts w:ascii="Arial" w:hAnsi="Arial" w:cs="Arial"/>
          <w:bCs/>
          <w:color w:val="000000" w:themeColor="text1"/>
          <w:sz w:val="22"/>
          <w:szCs w:val="22"/>
        </w:rPr>
        <w:t xml:space="preserve"> per year (-0.5, -0.1) (</w:t>
      </w:r>
      <w:r w:rsidRPr="00A62977">
        <w:rPr>
          <w:rFonts w:ascii="Arial" w:hAnsi="Arial" w:cs="Arial"/>
          <w:b/>
          <w:color w:val="000000" w:themeColor="text1"/>
          <w:sz w:val="22"/>
          <w:szCs w:val="22"/>
        </w:rPr>
        <w:t>Table 3</w:t>
      </w:r>
      <w:r w:rsidRPr="006112E3">
        <w:rPr>
          <w:rFonts w:ascii="Arial" w:hAnsi="Arial" w:cs="Arial"/>
          <w:bCs/>
          <w:color w:val="000000" w:themeColor="text1"/>
          <w:sz w:val="22"/>
          <w:szCs w:val="22"/>
        </w:rPr>
        <w:t xml:space="preserve">). </w:t>
      </w:r>
      <w:r w:rsidR="0003282F">
        <w:rPr>
          <w:rFonts w:ascii="Arial" w:hAnsi="Arial" w:cs="Arial"/>
          <w:bCs/>
          <w:color w:val="000000" w:themeColor="text1"/>
          <w:sz w:val="22"/>
          <w:szCs w:val="22"/>
        </w:rPr>
        <w:t>For subsequent opioid prescriptions days’ supply, t</w:t>
      </w:r>
      <w:r>
        <w:rPr>
          <w:rFonts w:ascii="Arial" w:hAnsi="Arial" w:cs="Arial"/>
          <w:bCs/>
          <w:color w:val="000000" w:themeColor="text1"/>
          <w:sz w:val="22"/>
          <w:szCs w:val="22"/>
        </w:rPr>
        <w:t>he</w:t>
      </w:r>
      <w:r w:rsidR="00BD306A">
        <w:rPr>
          <w:rFonts w:ascii="Arial" w:hAnsi="Arial" w:cs="Arial"/>
          <w:bCs/>
          <w:color w:val="000000" w:themeColor="text1"/>
          <w:sz w:val="22"/>
          <w:szCs w:val="22"/>
        </w:rPr>
        <w:t xml:space="preserve">re was </w:t>
      </w:r>
      <w:r w:rsidR="00826076">
        <w:rPr>
          <w:rFonts w:ascii="Arial" w:hAnsi="Arial" w:cs="Arial"/>
          <w:bCs/>
          <w:color w:val="000000" w:themeColor="text1"/>
          <w:sz w:val="22"/>
          <w:szCs w:val="22"/>
        </w:rPr>
        <w:t>a</w:t>
      </w:r>
      <w:r w:rsidRPr="006112E3">
        <w:rPr>
          <w:rFonts w:ascii="Arial" w:hAnsi="Arial" w:cs="Arial"/>
          <w:bCs/>
          <w:color w:val="000000" w:themeColor="text1"/>
          <w:sz w:val="22"/>
          <w:szCs w:val="22"/>
        </w:rPr>
        <w:t xml:space="preserve"> sustained decline </w:t>
      </w:r>
      <w:r w:rsidR="0003282F">
        <w:rPr>
          <w:rFonts w:ascii="Arial" w:hAnsi="Arial" w:cs="Arial"/>
          <w:bCs/>
          <w:color w:val="000000" w:themeColor="text1"/>
          <w:sz w:val="22"/>
          <w:szCs w:val="22"/>
        </w:rPr>
        <w:t xml:space="preserve">of </w:t>
      </w:r>
      <w:r w:rsidR="0003282F" w:rsidRPr="006112E3">
        <w:rPr>
          <w:rFonts w:ascii="Arial" w:hAnsi="Arial" w:cs="Arial"/>
          <w:bCs/>
          <w:color w:val="000000" w:themeColor="text1"/>
          <w:sz w:val="22"/>
          <w:szCs w:val="22"/>
        </w:rPr>
        <w:t>1.10 days per year (-1.34, -0.85)</w:t>
      </w:r>
      <w:r w:rsidR="0003282F">
        <w:rPr>
          <w:rFonts w:ascii="Arial" w:hAnsi="Arial" w:cs="Arial"/>
          <w:bCs/>
          <w:color w:val="000000" w:themeColor="text1"/>
          <w:sz w:val="22"/>
          <w:szCs w:val="22"/>
        </w:rPr>
        <w:t xml:space="preserve"> </w:t>
      </w:r>
      <w:r w:rsidRPr="006112E3">
        <w:rPr>
          <w:rFonts w:ascii="Arial" w:hAnsi="Arial" w:cs="Arial"/>
          <w:bCs/>
          <w:color w:val="000000" w:themeColor="text1"/>
          <w:sz w:val="22"/>
          <w:szCs w:val="22"/>
        </w:rPr>
        <w:t>post-SOPI, followed by an immediate</w:t>
      </w:r>
      <w:r w:rsidR="0003282F">
        <w:rPr>
          <w:rFonts w:ascii="Arial" w:hAnsi="Arial" w:cs="Arial"/>
          <w:bCs/>
          <w:color w:val="000000" w:themeColor="text1"/>
          <w:sz w:val="22"/>
          <w:szCs w:val="22"/>
        </w:rPr>
        <w:t xml:space="preserve"> and sustained</w:t>
      </w:r>
      <w:r w:rsidRPr="006112E3">
        <w:rPr>
          <w:rFonts w:ascii="Arial" w:hAnsi="Arial" w:cs="Arial"/>
          <w:bCs/>
          <w:color w:val="000000" w:themeColor="text1"/>
          <w:sz w:val="22"/>
          <w:szCs w:val="22"/>
        </w:rPr>
        <w:t xml:space="preserve"> decline of 0.80 day</w:t>
      </w:r>
      <w:r>
        <w:rPr>
          <w:rFonts w:ascii="Arial" w:hAnsi="Arial" w:cs="Arial"/>
          <w:bCs/>
          <w:color w:val="000000" w:themeColor="text1"/>
          <w:sz w:val="22"/>
          <w:szCs w:val="22"/>
        </w:rPr>
        <w:t>s</w:t>
      </w:r>
      <w:r w:rsidRPr="006112E3">
        <w:rPr>
          <w:rFonts w:ascii="Arial" w:hAnsi="Arial" w:cs="Arial"/>
          <w:bCs/>
          <w:color w:val="000000" w:themeColor="text1"/>
          <w:sz w:val="22"/>
          <w:szCs w:val="22"/>
        </w:rPr>
        <w:t xml:space="preserve"> (-1.10, -0.53), and 0.28 day</w:t>
      </w:r>
      <w:r>
        <w:rPr>
          <w:rFonts w:ascii="Arial" w:hAnsi="Arial" w:cs="Arial"/>
          <w:bCs/>
          <w:color w:val="000000" w:themeColor="text1"/>
          <w:sz w:val="22"/>
          <w:szCs w:val="22"/>
        </w:rPr>
        <w:t>s</w:t>
      </w:r>
      <w:r w:rsidRPr="006112E3">
        <w:rPr>
          <w:rFonts w:ascii="Arial" w:hAnsi="Arial" w:cs="Arial"/>
          <w:bCs/>
          <w:color w:val="000000" w:themeColor="text1"/>
          <w:sz w:val="22"/>
          <w:szCs w:val="22"/>
        </w:rPr>
        <w:t xml:space="preserve"> per year (-0.45, -0.02)</w:t>
      </w:r>
      <w:r w:rsidR="0003282F">
        <w:rPr>
          <w:rFonts w:ascii="Arial" w:hAnsi="Arial" w:cs="Arial"/>
          <w:bCs/>
          <w:color w:val="000000" w:themeColor="text1"/>
          <w:sz w:val="22"/>
          <w:szCs w:val="22"/>
        </w:rPr>
        <w:t xml:space="preserve">, </w:t>
      </w:r>
      <w:r w:rsidR="0003282F" w:rsidRPr="006112E3">
        <w:rPr>
          <w:rFonts w:ascii="Arial" w:hAnsi="Arial" w:cs="Arial"/>
          <w:bCs/>
          <w:color w:val="000000" w:themeColor="text1"/>
          <w:sz w:val="22"/>
          <w:szCs w:val="22"/>
        </w:rPr>
        <w:t xml:space="preserve">after </w:t>
      </w:r>
      <w:r w:rsidR="0003282F">
        <w:rPr>
          <w:rFonts w:ascii="Arial" w:hAnsi="Arial" w:cs="Arial"/>
          <w:bCs/>
          <w:color w:val="000000" w:themeColor="text1"/>
          <w:sz w:val="22"/>
          <w:szCs w:val="22"/>
        </w:rPr>
        <w:t>the STOP Act</w:t>
      </w:r>
      <w:r w:rsidRPr="006112E3">
        <w:rPr>
          <w:rFonts w:ascii="Arial" w:hAnsi="Arial" w:cs="Arial"/>
          <w:bCs/>
          <w:color w:val="000000" w:themeColor="text1"/>
          <w:sz w:val="22"/>
          <w:szCs w:val="22"/>
        </w:rPr>
        <w:t xml:space="preserve">. </w:t>
      </w:r>
    </w:p>
    <w:p w14:paraId="790C0115" w14:textId="77777777" w:rsidR="00E028A4" w:rsidRPr="006112E3" w:rsidRDefault="00E028A4" w:rsidP="00E028A4">
      <w:pPr>
        <w:contextualSpacing/>
        <w:rPr>
          <w:rFonts w:ascii="Arial" w:hAnsi="Arial" w:cs="Arial"/>
          <w:bCs/>
          <w:color w:val="000000" w:themeColor="text1"/>
          <w:sz w:val="22"/>
          <w:szCs w:val="22"/>
        </w:rPr>
      </w:pPr>
    </w:p>
    <w:p w14:paraId="5C92757E" w14:textId="3B430056" w:rsidR="00E028A4" w:rsidRPr="006112E3" w:rsidRDefault="00E028A4" w:rsidP="00E028A4">
      <w:pPr>
        <w:rPr>
          <w:rFonts w:ascii="Arial" w:hAnsi="Arial" w:cs="Arial"/>
          <w:b/>
          <w:color w:val="000000" w:themeColor="text1"/>
          <w:sz w:val="22"/>
          <w:szCs w:val="22"/>
        </w:rPr>
      </w:pPr>
      <w:r w:rsidRPr="006112E3">
        <w:rPr>
          <w:rFonts w:ascii="Arial" w:hAnsi="Arial" w:cs="Arial"/>
          <w:b/>
          <w:color w:val="000000" w:themeColor="text1"/>
          <w:sz w:val="22"/>
          <w:szCs w:val="22"/>
        </w:rPr>
        <w:t xml:space="preserve">Injury </w:t>
      </w:r>
      <w:r w:rsidR="00DA6189">
        <w:rPr>
          <w:rFonts w:ascii="Arial" w:hAnsi="Arial" w:cs="Arial"/>
          <w:b/>
          <w:color w:val="000000" w:themeColor="text1"/>
          <w:sz w:val="22"/>
          <w:szCs w:val="22"/>
        </w:rPr>
        <w:t>pain patients</w:t>
      </w:r>
    </w:p>
    <w:p w14:paraId="79B24E24" w14:textId="77777777" w:rsidR="00E028A4" w:rsidRPr="006112E3" w:rsidRDefault="00E028A4" w:rsidP="00E028A4">
      <w:pPr>
        <w:rPr>
          <w:rFonts w:ascii="Arial" w:hAnsi="Arial" w:cs="Arial"/>
          <w:b/>
          <w:color w:val="000000" w:themeColor="text1"/>
          <w:sz w:val="22"/>
          <w:szCs w:val="22"/>
        </w:rPr>
      </w:pPr>
      <w:r w:rsidRPr="006112E3">
        <w:rPr>
          <w:rFonts w:ascii="Arial" w:hAnsi="Arial" w:cs="Arial"/>
          <w:b/>
          <w:color w:val="000000" w:themeColor="text1"/>
          <w:sz w:val="22"/>
          <w:szCs w:val="22"/>
        </w:rPr>
        <w:t>Index opioid prescriptions and prescribing rates</w:t>
      </w:r>
    </w:p>
    <w:p w14:paraId="486CC672" w14:textId="2879307E" w:rsidR="00E028A4" w:rsidRPr="006112E3" w:rsidRDefault="00E028A4" w:rsidP="00E028A4">
      <w:pPr>
        <w:contextualSpacing/>
        <w:rPr>
          <w:rFonts w:ascii="Arial" w:hAnsi="Arial" w:cs="Arial"/>
          <w:bCs/>
          <w:color w:val="000000" w:themeColor="text1"/>
          <w:sz w:val="22"/>
          <w:szCs w:val="22"/>
        </w:rPr>
      </w:pPr>
      <w:r w:rsidRPr="006112E3">
        <w:rPr>
          <w:rFonts w:ascii="Arial" w:hAnsi="Arial" w:cs="Arial"/>
          <w:bCs/>
          <w:color w:val="000000" w:themeColor="text1"/>
          <w:sz w:val="22"/>
          <w:szCs w:val="22"/>
        </w:rPr>
        <w:t xml:space="preserve">Overall, the proportion of patients receiving index opioid prescriptions and the index opioid prescription rate among injury patients </w:t>
      </w:r>
      <w:r w:rsidR="000E6B30">
        <w:rPr>
          <w:rFonts w:ascii="Arial" w:hAnsi="Arial" w:cs="Arial"/>
          <w:bCs/>
          <w:color w:val="000000" w:themeColor="text1"/>
          <w:sz w:val="22"/>
          <w:szCs w:val="22"/>
        </w:rPr>
        <w:t>had a decreasing trend t</w:t>
      </w:r>
      <w:r w:rsidRPr="006112E3">
        <w:rPr>
          <w:rFonts w:ascii="Arial" w:hAnsi="Arial" w:cs="Arial"/>
          <w:bCs/>
          <w:color w:val="000000" w:themeColor="text1"/>
          <w:sz w:val="22"/>
          <w:szCs w:val="22"/>
        </w:rPr>
        <w:t xml:space="preserve">hroughout the study period. </w:t>
      </w:r>
      <w:r w:rsidR="00826076">
        <w:rPr>
          <w:rFonts w:ascii="Arial" w:hAnsi="Arial" w:cs="Arial"/>
          <w:bCs/>
          <w:color w:val="000000" w:themeColor="text1"/>
          <w:sz w:val="22"/>
          <w:szCs w:val="22"/>
        </w:rPr>
        <w:t>C</w:t>
      </w:r>
      <w:r w:rsidRPr="006112E3">
        <w:rPr>
          <w:rFonts w:ascii="Arial" w:hAnsi="Arial" w:cs="Arial"/>
          <w:bCs/>
          <w:color w:val="000000" w:themeColor="text1"/>
          <w:sz w:val="22"/>
          <w:szCs w:val="22"/>
        </w:rPr>
        <w:t xml:space="preserve">ompared to </w:t>
      </w:r>
      <w:r w:rsidR="00341DCB">
        <w:rPr>
          <w:rFonts w:ascii="Arial" w:hAnsi="Arial" w:cs="Arial"/>
          <w:bCs/>
          <w:color w:val="000000" w:themeColor="text1"/>
          <w:sz w:val="22"/>
          <w:szCs w:val="22"/>
        </w:rPr>
        <w:t xml:space="preserve">benzodiazepine </w:t>
      </w:r>
      <w:r w:rsidRPr="006112E3">
        <w:rPr>
          <w:rFonts w:ascii="Arial" w:hAnsi="Arial" w:cs="Arial"/>
          <w:bCs/>
          <w:color w:val="000000" w:themeColor="text1"/>
          <w:sz w:val="22"/>
          <w:szCs w:val="22"/>
        </w:rPr>
        <w:t xml:space="preserve">prescribing trends, there was </w:t>
      </w:r>
      <w:r w:rsidR="00341DCB">
        <w:rPr>
          <w:rFonts w:ascii="Arial" w:hAnsi="Arial" w:cs="Arial"/>
          <w:bCs/>
          <w:color w:val="000000" w:themeColor="text1"/>
          <w:sz w:val="22"/>
          <w:szCs w:val="22"/>
        </w:rPr>
        <w:t xml:space="preserve">an immediate </w:t>
      </w:r>
      <w:r w:rsidR="00341DCB" w:rsidRPr="006112E3">
        <w:rPr>
          <w:rFonts w:ascii="Arial" w:hAnsi="Arial" w:cs="Arial"/>
          <w:bCs/>
          <w:color w:val="000000" w:themeColor="text1"/>
          <w:sz w:val="22"/>
          <w:szCs w:val="22"/>
        </w:rPr>
        <w:t>2.1% new prescriptions (1.3, 2.9)</w:t>
      </w:r>
      <w:r w:rsidRPr="006112E3">
        <w:rPr>
          <w:rFonts w:ascii="Arial" w:hAnsi="Arial" w:cs="Arial"/>
          <w:bCs/>
          <w:color w:val="000000" w:themeColor="text1"/>
          <w:sz w:val="22"/>
          <w:szCs w:val="22"/>
        </w:rPr>
        <w:t xml:space="preserve"> increase in the proportion of index opioid prescriptions (</w:t>
      </w:r>
      <w:r w:rsidRPr="006112E3">
        <w:rPr>
          <w:rFonts w:ascii="Arial" w:hAnsi="Arial" w:cs="Arial"/>
          <w:b/>
          <w:color w:val="000000" w:themeColor="text1"/>
          <w:sz w:val="22"/>
          <w:szCs w:val="22"/>
        </w:rPr>
        <w:t>Table 2; Figure 1A</w:t>
      </w:r>
      <w:r w:rsidRPr="006112E3">
        <w:rPr>
          <w:rFonts w:ascii="Arial" w:hAnsi="Arial" w:cs="Arial"/>
          <w:bCs/>
          <w:color w:val="000000" w:themeColor="text1"/>
          <w:sz w:val="22"/>
          <w:szCs w:val="22"/>
        </w:rPr>
        <w:t>)</w:t>
      </w:r>
      <w:r w:rsidR="00341DCB">
        <w:rPr>
          <w:rFonts w:ascii="Arial" w:hAnsi="Arial" w:cs="Arial"/>
          <w:bCs/>
          <w:color w:val="000000" w:themeColor="text1"/>
          <w:sz w:val="22"/>
          <w:szCs w:val="22"/>
        </w:rPr>
        <w:t xml:space="preserve">, and an immediate increase of </w:t>
      </w:r>
      <w:r w:rsidR="00341DCB" w:rsidRPr="006112E3">
        <w:rPr>
          <w:rFonts w:ascii="Arial" w:hAnsi="Arial" w:cs="Arial"/>
          <w:bCs/>
          <w:color w:val="000000" w:themeColor="text1"/>
          <w:sz w:val="22"/>
          <w:szCs w:val="22"/>
        </w:rPr>
        <w:t>2.7 new prescriptions per 100 person-months (1.4, 3.9)</w:t>
      </w:r>
      <w:r w:rsidR="00341DCB">
        <w:rPr>
          <w:rFonts w:ascii="Arial" w:hAnsi="Arial" w:cs="Arial"/>
          <w:bCs/>
          <w:color w:val="000000" w:themeColor="text1"/>
          <w:sz w:val="22"/>
          <w:szCs w:val="22"/>
        </w:rPr>
        <w:t xml:space="preserve"> after SOPI </w:t>
      </w:r>
      <w:r w:rsidRPr="006112E3">
        <w:rPr>
          <w:rFonts w:ascii="Arial" w:hAnsi="Arial" w:cs="Arial"/>
          <w:bCs/>
          <w:color w:val="000000" w:themeColor="text1"/>
          <w:sz w:val="22"/>
          <w:szCs w:val="22"/>
        </w:rPr>
        <w:t>(</w:t>
      </w:r>
      <w:r w:rsidRPr="006112E3">
        <w:rPr>
          <w:rFonts w:ascii="Arial" w:hAnsi="Arial" w:cs="Arial"/>
          <w:b/>
          <w:color w:val="000000" w:themeColor="text1"/>
          <w:sz w:val="22"/>
          <w:szCs w:val="22"/>
        </w:rPr>
        <w:t>Table 2: Figure 1B</w:t>
      </w:r>
      <w:r w:rsidRPr="006112E3">
        <w:rPr>
          <w:rFonts w:ascii="Arial" w:hAnsi="Arial" w:cs="Arial"/>
          <w:bCs/>
          <w:color w:val="000000" w:themeColor="text1"/>
          <w:sz w:val="22"/>
          <w:szCs w:val="22"/>
        </w:rPr>
        <w:t xml:space="preserve">). </w:t>
      </w:r>
      <w:r w:rsidR="00341DCB">
        <w:rPr>
          <w:rFonts w:ascii="Arial" w:hAnsi="Arial" w:cs="Arial"/>
          <w:bCs/>
          <w:color w:val="000000" w:themeColor="text1"/>
          <w:sz w:val="22"/>
          <w:szCs w:val="22"/>
        </w:rPr>
        <w:t xml:space="preserve">Thereafter, there were </w:t>
      </w:r>
      <w:r w:rsidRPr="006112E3">
        <w:rPr>
          <w:rFonts w:ascii="Arial" w:hAnsi="Arial" w:cs="Arial"/>
          <w:bCs/>
          <w:color w:val="000000" w:themeColor="text1"/>
          <w:sz w:val="22"/>
          <w:szCs w:val="22"/>
        </w:rPr>
        <w:t xml:space="preserve">minimal relative trend changes in both </w:t>
      </w:r>
      <w:r>
        <w:rPr>
          <w:rFonts w:ascii="Arial" w:hAnsi="Arial" w:cs="Arial"/>
          <w:bCs/>
          <w:color w:val="000000" w:themeColor="text1"/>
          <w:sz w:val="22"/>
          <w:szCs w:val="22"/>
        </w:rPr>
        <w:t xml:space="preserve">the </w:t>
      </w:r>
      <w:r w:rsidRPr="006112E3">
        <w:rPr>
          <w:rFonts w:ascii="Arial" w:hAnsi="Arial" w:cs="Arial"/>
          <w:bCs/>
          <w:color w:val="000000" w:themeColor="text1"/>
          <w:sz w:val="22"/>
          <w:szCs w:val="22"/>
        </w:rPr>
        <w:t xml:space="preserve">proportion of patients receiving index prescriptions and the index prescribing rate. After the </w:t>
      </w:r>
      <w:r w:rsidR="000E6B30">
        <w:rPr>
          <w:rFonts w:ascii="Arial" w:hAnsi="Arial" w:cs="Arial"/>
          <w:bCs/>
          <w:color w:val="000000" w:themeColor="text1"/>
          <w:sz w:val="22"/>
          <w:szCs w:val="22"/>
        </w:rPr>
        <w:t>STOP Act</w:t>
      </w:r>
      <w:r w:rsidR="00D03C5B">
        <w:rPr>
          <w:rFonts w:ascii="Arial" w:hAnsi="Arial" w:cs="Arial"/>
          <w:bCs/>
          <w:color w:val="000000" w:themeColor="text1"/>
          <w:sz w:val="22"/>
          <w:szCs w:val="22"/>
        </w:rPr>
        <w:t>,</w:t>
      </w:r>
      <w:r w:rsidRPr="006112E3">
        <w:rPr>
          <w:rFonts w:ascii="Arial" w:hAnsi="Arial" w:cs="Arial"/>
          <w:bCs/>
          <w:color w:val="000000" w:themeColor="text1"/>
          <w:sz w:val="22"/>
          <w:szCs w:val="22"/>
        </w:rPr>
        <w:t xml:space="preserve"> the declining trend </w:t>
      </w:r>
      <w:r w:rsidR="004C3DB2">
        <w:rPr>
          <w:rFonts w:ascii="Arial" w:hAnsi="Arial" w:cs="Arial"/>
          <w:bCs/>
          <w:color w:val="000000" w:themeColor="text1"/>
          <w:sz w:val="22"/>
          <w:szCs w:val="22"/>
        </w:rPr>
        <w:t>in</w:t>
      </w:r>
      <w:r w:rsidRPr="006112E3">
        <w:rPr>
          <w:rFonts w:ascii="Arial" w:hAnsi="Arial" w:cs="Arial"/>
          <w:bCs/>
          <w:color w:val="000000" w:themeColor="text1"/>
          <w:sz w:val="22"/>
          <w:szCs w:val="22"/>
        </w:rPr>
        <w:t xml:space="preserve"> the proportion of patients receiving an index opioid prescription and index opioid prescribing rates slowed but continued to decline (</w:t>
      </w:r>
      <w:r w:rsidRPr="006112E3">
        <w:rPr>
          <w:rFonts w:ascii="Arial" w:hAnsi="Arial" w:cs="Arial"/>
          <w:b/>
          <w:color w:val="000000" w:themeColor="text1"/>
          <w:sz w:val="22"/>
          <w:szCs w:val="22"/>
        </w:rPr>
        <w:t>Table 2; Figure 1</w:t>
      </w:r>
      <w:r w:rsidRPr="006112E3">
        <w:rPr>
          <w:rFonts w:ascii="Arial" w:hAnsi="Arial" w:cs="Arial"/>
          <w:bCs/>
          <w:color w:val="000000" w:themeColor="text1"/>
          <w:sz w:val="22"/>
          <w:szCs w:val="22"/>
        </w:rPr>
        <w:t>).</w:t>
      </w:r>
    </w:p>
    <w:p w14:paraId="1005D790" w14:textId="77777777" w:rsidR="00E028A4" w:rsidRPr="006112E3" w:rsidRDefault="00E028A4" w:rsidP="00E028A4">
      <w:pPr>
        <w:contextualSpacing/>
        <w:rPr>
          <w:rFonts w:ascii="Arial" w:hAnsi="Arial" w:cs="Arial"/>
          <w:bCs/>
          <w:color w:val="000000" w:themeColor="text1"/>
          <w:sz w:val="22"/>
          <w:szCs w:val="22"/>
        </w:rPr>
      </w:pPr>
    </w:p>
    <w:p w14:paraId="4B2B621D" w14:textId="77777777" w:rsidR="00E028A4" w:rsidRPr="006112E3" w:rsidRDefault="00E028A4" w:rsidP="00E028A4">
      <w:pPr>
        <w:contextualSpacing/>
        <w:rPr>
          <w:rFonts w:ascii="Arial" w:hAnsi="Arial" w:cs="Arial"/>
          <w:bCs/>
          <w:color w:val="000000" w:themeColor="text1"/>
          <w:sz w:val="22"/>
          <w:szCs w:val="22"/>
        </w:rPr>
      </w:pPr>
      <w:r w:rsidRPr="006112E3">
        <w:rPr>
          <w:rFonts w:ascii="Arial" w:hAnsi="Arial" w:cs="Arial"/>
          <w:b/>
          <w:color w:val="000000" w:themeColor="text1"/>
          <w:sz w:val="22"/>
          <w:szCs w:val="22"/>
        </w:rPr>
        <w:t>Subsequent opioid prescribing rates</w:t>
      </w:r>
    </w:p>
    <w:p w14:paraId="5A5FD238" w14:textId="5613053A" w:rsidR="00E028A4" w:rsidRPr="006112E3" w:rsidRDefault="00DF55A1" w:rsidP="00E028A4">
      <w:pPr>
        <w:contextualSpacing/>
        <w:rPr>
          <w:rFonts w:ascii="Arial" w:hAnsi="Arial" w:cs="Arial"/>
          <w:bCs/>
          <w:color w:val="000000" w:themeColor="text1"/>
          <w:sz w:val="22"/>
          <w:szCs w:val="22"/>
        </w:rPr>
      </w:pPr>
      <w:r>
        <w:rPr>
          <w:rFonts w:ascii="Arial" w:hAnsi="Arial" w:cs="Arial"/>
          <w:bCs/>
          <w:color w:val="000000" w:themeColor="text1"/>
          <w:sz w:val="22"/>
          <w:szCs w:val="22"/>
        </w:rPr>
        <w:t>Before</w:t>
      </w:r>
      <w:r w:rsidR="00E028A4" w:rsidRPr="006112E3">
        <w:rPr>
          <w:rFonts w:ascii="Arial" w:hAnsi="Arial" w:cs="Arial"/>
          <w:bCs/>
          <w:color w:val="000000" w:themeColor="text1"/>
          <w:sz w:val="22"/>
          <w:szCs w:val="22"/>
        </w:rPr>
        <w:t xml:space="preserve"> SOPI, subsequent opioid prescribing rates were increasing (</w:t>
      </w:r>
      <w:r w:rsidR="00E028A4" w:rsidRPr="00A62977">
        <w:rPr>
          <w:rFonts w:ascii="Arial" w:hAnsi="Arial" w:cs="Arial"/>
          <w:b/>
          <w:color w:val="000000" w:themeColor="text1"/>
          <w:sz w:val="22"/>
          <w:szCs w:val="22"/>
        </w:rPr>
        <w:t>Table 3; Figure 2A</w:t>
      </w:r>
      <w:r w:rsidR="00E028A4" w:rsidRPr="006112E3">
        <w:rPr>
          <w:rFonts w:ascii="Arial" w:hAnsi="Arial" w:cs="Arial"/>
          <w:bCs/>
          <w:color w:val="000000" w:themeColor="text1"/>
          <w:sz w:val="22"/>
          <w:szCs w:val="22"/>
        </w:rPr>
        <w:t xml:space="preserve">). </w:t>
      </w:r>
      <w:r w:rsidR="00CC3C91">
        <w:rPr>
          <w:rFonts w:ascii="Arial" w:hAnsi="Arial" w:cs="Arial"/>
          <w:bCs/>
          <w:color w:val="000000" w:themeColor="text1"/>
          <w:sz w:val="22"/>
          <w:szCs w:val="22"/>
        </w:rPr>
        <w:t>A</w:t>
      </w:r>
      <w:r w:rsidR="00E028A4" w:rsidRPr="006112E3">
        <w:rPr>
          <w:rFonts w:ascii="Arial" w:hAnsi="Arial" w:cs="Arial"/>
          <w:bCs/>
          <w:color w:val="000000" w:themeColor="text1"/>
          <w:sz w:val="22"/>
          <w:szCs w:val="22"/>
        </w:rPr>
        <w:t>fter SOPI, there was a</w:t>
      </w:r>
      <w:r>
        <w:rPr>
          <w:rFonts w:ascii="Arial" w:hAnsi="Arial" w:cs="Arial"/>
          <w:bCs/>
          <w:color w:val="000000" w:themeColor="text1"/>
          <w:sz w:val="22"/>
          <w:szCs w:val="22"/>
        </w:rPr>
        <w:t xml:space="preserve"> </w:t>
      </w:r>
      <w:r w:rsidRPr="006112E3">
        <w:rPr>
          <w:rFonts w:ascii="Arial" w:hAnsi="Arial" w:cs="Arial"/>
          <w:bCs/>
          <w:color w:val="000000" w:themeColor="text1"/>
          <w:sz w:val="22"/>
          <w:szCs w:val="22"/>
        </w:rPr>
        <w:t>0.89% (-1.74, -0.03)</w:t>
      </w:r>
      <w:r w:rsidR="00E028A4" w:rsidRPr="006112E3">
        <w:rPr>
          <w:rFonts w:ascii="Arial" w:hAnsi="Arial" w:cs="Arial"/>
          <w:bCs/>
          <w:color w:val="000000" w:themeColor="text1"/>
          <w:sz w:val="22"/>
          <w:szCs w:val="22"/>
        </w:rPr>
        <w:t xml:space="preserve"> immediate decline, followed by a </w:t>
      </w:r>
      <w:r w:rsidRPr="006112E3">
        <w:rPr>
          <w:rFonts w:ascii="Arial" w:hAnsi="Arial" w:cs="Arial"/>
          <w:bCs/>
          <w:color w:val="000000" w:themeColor="text1"/>
          <w:sz w:val="22"/>
          <w:szCs w:val="22"/>
        </w:rPr>
        <w:t>1.0% per year (-1.8, -0.2)</w:t>
      </w:r>
      <w:r>
        <w:rPr>
          <w:rFonts w:ascii="Arial" w:hAnsi="Arial" w:cs="Arial"/>
          <w:bCs/>
          <w:color w:val="000000" w:themeColor="text1"/>
          <w:sz w:val="22"/>
          <w:szCs w:val="22"/>
        </w:rPr>
        <w:t xml:space="preserve"> </w:t>
      </w:r>
      <w:r w:rsidR="00E028A4" w:rsidRPr="006112E3">
        <w:rPr>
          <w:rFonts w:ascii="Arial" w:hAnsi="Arial" w:cs="Arial"/>
          <w:bCs/>
          <w:color w:val="000000" w:themeColor="text1"/>
          <w:sz w:val="22"/>
          <w:szCs w:val="22"/>
        </w:rPr>
        <w:t>sustained decline</w:t>
      </w:r>
      <w:r>
        <w:rPr>
          <w:rFonts w:ascii="Arial" w:hAnsi="Arial" w:cs="Arial"/>
          <w:bCs/>
          <w:color w:val="000000" w:themeColor="text1"/>
          <w:sz w:val="22"/>
          <w:szCs w:val="22"/>
        </w:rPr>
        <w:t>.</w:t>
      </w:r>
      <w:r w:rsidR="00E028A4" w:rsidRPr="006112E3">
        <w:rPr>
          <w:rFonts w:ascii="Arial" w:hAnsi="Arial" w:cs="Arial"/>
          <w:bCs/>
          <w:color w:val="000000" w:themeColor="text1"/>
          <w:sz w:val="22"/>
          <w:szCs w:val="22"/>
        </w:rPr>
        <w:t xml:space="preserve"> </w:t>
      </w:r>
      <w:r w:rsidR="00CC3C91">
        <w:rPr>
          <w:rFonts w:ascii="Arial" w:hAnsi="Arial" w:cs="Arial"/>
          <w:bCs/>
          <w:color w:val="000000" w:themeColor="text1"/>
          <w:sz w:val="22"/>
          <w:szCs w:val="22"/>
        </w:rPr>
        <w:t>A</w:t>
      </w:r>
      <w:r w:rsidR="00E028A4" w:rsidRPr="006112E3">
        <w:rPr>
          <w:rFonts w:ascii="Arial" w:hAnsi="Arial" w:cs="Arial"/>
          <w:bCs/>
          <w:color w:val="000000" w:themeColor="text1"/>
          <w:sz w:val="22"/>
          <w:szCs w:val="22"/>
        </w:rPr>
        <w:t xml:space="preserve">fter the </w:t>
      </w:r>
      <w:r w:rsidR="000E6B30">
        <w:rPr>
          <w:rFonts w:ascii="Arial" w:hAnsi="Arial" w:cs="Arial"/>
          <w:bCs/>
          <w:color w:val="000000" w:themeColor="text1"/>
          <w:sz w:val="22"/>
          <w:szCs w:val="22"/>
        </w:rPr>
        <w:t>STOP Act</w:t>
      </w:r>
      <w:r w:rsidR="00E028A4" w:rsidRPr="006112E3">
        <w:rPr>
          <w:rFonts w:ascii="Arial" w:hAnsi="Arial" w:cs="Arial"/>
          <w:bCs/>
          <w:color w:val="000000" w:themeColor="text1"/>
          <w:sz w:val="22"/>
          <w:szCs w:val="22"/>
        </w:rPr>
        <w:t xml:space="preserve">, there was a 1% (-1.8%, -0.1%) </w:t>
      </w:r>
      <w:r w:rsidR="00CC3C91">
        <w:rPr>
          <w:rFonts w:ascii="Arial" w:hAnsi="Arial" w:cs="Arial"/>
          <w:bCs/>
          <w:color w:val="000000" w:themeColor="text1"/>
          <w:sz w:val="22"/>
          <w:szCs w:val="22"/>
        </w:rPr>
        <w:t xml:space="preserve">immediate </w:t>
      </w:r>
      <w:r w:rsidR="00E028A4" w:rsidRPr="006112E3">
        <w:rPr>
          <w:rFonts w:ascii="Arial" w:hAnsi="Arial" w:cs="Arial"/>
          <w:bCs/>
          <w:color w:val="000000" w:themeColor="text1"/>
          <w:sz w:val="22"/>
          <w:szCs w:val="22"/>
        </w:rPr>
        <w:t>decline</w:t>
      </w:r>
      <w:r>
        <w:rPr>
          <w:rFonts w:ascii="Arial" w:hAnsi="Arial" w:cs="Arial"/>
          <w:bCs/>
          <w:color w:val="000000" w:themeColor="text1"/>
          <w:sz w:val="22"/>
          <w:szCs w:val="22"/>
        </w:rPr>
        <w:t xml:space="preserve">, but </w:t>
      </w:r>
      <w:r w:rsidR="00E028A4" w:rsidRPr="006112E3">
        <w:rPr>
          <w:rFonts w:ascii="Arial" w:hAnsi="Arial" w:cs="Arial"/>
          <w:bCs/>
          <w:color w:val="000000" w:themeColor="text1"/>
          <w:sz w:val="22"/>
          <w:szCs w:val="22"/>
        </w:rPr>
        <w:t>no sustained changes.</w:t>
      </w:r>
    </w:p>
    <w:p w14:paraId="29108676" w14:textId="77777777" w:rsidR="00E028A4" w:rsidRPr="006112E3" w:rsidRDefault="00E028A4" w:rsidP="00E028A4">
      <w:pPr>
        <w:contextualSpacing/>
        <w:rPr>
          <w:rFonts w:ascii="Arial" w:hAnsi="Arial" w:cs="Arial"/>
          <w:bCs/>
          <w:color w:val="000000" w:themeColor="text1"/>
          <w:sz w:val="22"/>
          <w:szCs w:val="22"/>
        </w:rPr>
      </w:pPr>
    </w:p>
    <w:p w14:paraId="7A0327B8" w14:textId="77777777" w:rsidR="00E028A4" w:rsidRPr="006112E3" w:rsidRDefault="00E028A4" w:rsidP="00E028A4">
      <w:pPr>
        <w:contextualSpacing/>
        <w:rPr>
          <w:rFonts w:ascii="Arial" w:hAnsi="Arial" w:cs="Arial"/>
          <w:b/>
          <w:color w:val="000000" w:themeColor="text1"/>
          <w:sz w:val="22"/>
          <w:szCs w:val="22"/>
        </w:rPr>
      </w:pPr>
      <w:r w:rsidRPr="006112E3">
        <w:rPr>
          <w:rFonts w:ascii="Arial" w:hAnsi="Arial" w:cs="Arial"/>
          <w:b/>
          <w:color w:val="000000" w:themeColor="text1"/>
          <w:sz w:val="22"/>
          <w:szCs w:val="22"/>
        </w:rPr>
        <w:t>Dispensed index and subsequent day’s supply</w:t>
      </w:r>
    </w:p>
    <w:p w14:paraId="6617A94A" w14:textId="0729AD39" w:rsidR="00E028A4" w:rsidRPr="006112E3" w:rsidRDefault="00DF55A1" w:rsidP="00E028A4">
      <w:pPr>
        <w:contextualSpacing/>
        <w:rPr>
          <w:rFonts w:ascii="Arial" w:hAnsi="Arial" w:cs="Arial"/>
          <w:bCs/>
          <w:color w:val="000000" w:themeColor="text1"/>
          <w:sz w:val="22"/>
          <w:szCs w:val="22"/>
        </w:rPr>
      </w:pPr>
      <w:r>
        <w:rPr>
          <w:rFonts w:ascii="Arial" w:hAnsi="Arial" w:cs="Arial"/>
          <w:bCs/>
          <w:color w:val="000000" w:themeColor="text1"/>
          <w:sz w:val="22"/>
          <w:szCs w:val="22"/>
        </w:rPr>
        <w:t>T</w:t>
      </w:r>
      <w:r w:rsidR="00E028A4" w:rsidRPr="006112E3">
        <w:rPr>
          <w:rFonts w:ascii="Arial" w:hAnsi="Arial" w:cs="Arial"/>
          <w:bCs/>
          <w:color w:val="000000" w:themeColor="text1"/>
          <w:sz w:val="22"/>
          <w:szCs w:val="22"/>
        </w:rPr>
        <w:t>he mean index days’ supply</w:t>
      </w:r>
      <w:r w:rsidR="00E028A4">
        <w:rPr>
          <w:rFonts w:ascii="Arial" w:hAnsi="Arial" w:cs="Arial"/>
          <w:bCs/>
          <w:color w:val="000000" w:themeColor="text1"/>
          <w:sz w:val="22"/>
          <w:szCs w:val="22"/>
        </w:rPr>
        <w:t xml:space="preserve"> among injury patients</w:t>
      </w:r>
      <w:r w:rsidR="00E028A4" w:rsidRPr="006112E3">
        <w:rPr>
          <w:rFonts w:ascii="Arial" w:hAnsi="Arial" w:cs="Arial"/>
          <w:bCs/>
          <w:color w:val="000000" w:themeColor="text1"/>
          <w:sz w:val="22"/>
          <w:szCs w:val="22"/>
        </w:rPr>
        <w:t xml:space="preserve"> was increasing </w:t>
      </w:r>
      <w:r>
        <w:rPr>
          <w:rFonts w:ascii="Arial" w:hAnsi="Arial" w:cs="Arial"/>
          <w:bCs/>
          <w:color w:val="000000" w:themeColor="text1"/>
          <w:sz w:val="22"/>
          <w:szCs w:val="22"/>
        </w:rPr>
        <w:t xml:space="preserve">pre-SOPI </w:t>
      </w:r>
      <w:r w:rsidR="00E028A4" w:rsidRPr="006112E3">
        <w:rPr>
          <w:rFonts w:ascii="Arial" w:hAnsi="Arial" w:cs="Arial"/>
          <w:bCs/>
          <w:color w:val="000000" w:themeColor="text1"/>
          <w:sz w:val="22"/>
          <w:szCs w:val="22"/>
        </w:rPr>
        <w:t>(</w:t>
      </w:r>
      <w:r w:rsidR="00E028A4" w:rsidRPr="00DF55A1">
        <w:rPr>
          <w:rFonts w:ascii="Arial" w:hAnsi="Arial" w:cs="Arial"/>
          <w:b/>
          <w:color w:val="000000" w:themeColor="text1"/>
          <w:sz w:val="22"/>
          <w:szCs w:val="22"/>
        </w:rPr>
        <w:t>Table 3, Figure 2B</w:t>
      </w:r>
      <w:r w:rsidR="00E028A4" w:rsidRPr="006112E3">
        <w:rPr>
          <w:rFonts w:ascii="Arial" w:hAnsi="Arial" w:cs="Arial"/>
          <w:bCs/>
          <w:color w:val="000000" w:themeColor="text1"/>
          <w:sz w:val="22"/>
          <w:szCs w:val="22"/>
        </w:rPr>
        <w:t xml:space="preserve">). After SOPI, there was a </w:t>
      </w:r>
      <w:r w:rsidRPr="006112E3">
        <w:rPr>
          <w:rFonts w:ascii="Arial" w:hAnsi="Arial" w:cs="Arial"/>
          <w:bCs/>
          <w:color w:val="000000" w:themeColor="text1"/>
          <w:sz w:val="22"/>
          <w:szCs w:val="22"/>
        </w:rPr>
        <w:t>0.54 days per year (-0.88, -0.20)</w:t>
      </w:r>
      <w:r>
        <w:rPr>
          <w:rFonts w:ascii="Arial" w:hAnsi="Arial" w:cs="Arial"/>
          <w:bCs/>
          <w:color w:val="000000" w:themeColor="text1"/>
          <w:sz w:val="22"/>
          <w:szCs w:val="22"/>
        </w:rPr>
        <w:t xml:space="preserve"> </w:t>
      </w:r>
      <w:r w:rsidR="00E028A4">
        <w:rPr>
          <w:rFonts w:ascii="Arial" w:hAnsi="Arial" w:cs="Arial"/>
          <w:bCs/>
          <w:color w:val="000000" w:themeColor="text1"/>
          <w:sz w:val="22"/>
          <w:szCs w:val="22"/>
        </w:rPr>
        <w:t>sustained</w:t>
      </w:r>
      <w:r w:rsidR="00E028A4" w:rsidRPr="006112E3">
        <w:rPr>
          <w:rFonts w:ascii="Arial" w:hAnsi="Arial" w:cs="Arial"/>
          <w:bCs/>
          <w:color w:val="000000" w:themeColor="text1"/>
          <w:sz w:val="22"/>
          <w:szCs w:val="22"/>
        </w:rPr>
        <w:t xml:space="preserve"> decline. </w:t>
      </w:r>
      <w:r>
        <w:rPr>
          <w:rFonts w:ascii="Arial" w:hAnsi="Arial" w:cs="Arial"/>
          <w:bCs/>
          <w:color w:val="000000" w:themeColor="text1"/>
          <w:sz w:val="22"/>
          <w:szCs w:val="22"/>
        </w:rPr>
        <w:t xml:space="preserve">After </w:t>
      </w:r>
      <w:r w:rsidR="00E028A4" w:rsidRPr="006112E3">
        <w:rPr>
          <w:rFonts w:ascii="Arial" w:hAnsi="Arial" w:cs="Arial"/>
          <w:bCs/>
          <w:color w:val="000000" w:themeColor="text1"/>
          <w:sz w:val="22"/>
          <w:szCs w:val="22"/>
        </w:rPr>
        <w:t xml:space="preserve">the </w:t>
      </w:r>
      <w:r w:rsidR="000E6B30">
        <w:rPr>
          <w:rFonts w:ascii="Arial" w:hAnsi="Arial" w:cs="Arial"/>
          <w:bCs/>
          <w:color w:val="000000" w:themeColor="text1"/>
          <w:sz w:val="22"/>
          <w:szCs w:val="22"/>
        </w:rPr>
        <w:t>STOP Act</w:t>
      </w:r>
      <w:r w:rsidR="00E028A4" w:rsidRPr="006112E3">
        <w:rPr>
          <w:rFonts w:ascii="Arial" w:hAnsi="Arial" w:cs="Arial"/>
          <w:bCs/>
          <w:color w:val="000000" w:themeColor="text1"/>
          <w:sz w:val="22"/>
          <w:szCs w:val="22"/>
        </w:rPr>
        <w:t>, the</w:t>
      </w:r>
      <w:r>
        <w:rPr>
          <w:rFonts w:ascii="Arial" w:hAnsi="Arial" w:cs="Arial"/>
          <w:bCs/>
          <w:color w:val="000000" w:themeColor="text1"/>
          <w:sz w:val="22"/>
          <w:szCs w:val="22"/>
        </w:rPr>
        <w:t xml:space="preserve"> index days’ </w:t>
      </w:r>
      <w:r>
        <w:rPr>
          <w:rFonts w:ascii="Arial" w:hAnsi="Arial" w:cs="Arial"/>
          <w:bCs/>
          <w:color w:val="000000" w:themeColor="text1"/>
          <w:sz w:val="22"/>
          <w:szCs w:val="22"/>
        </w:rPr>
        <w:lastRenderedPageBreak/>
        <w:t xml:space="preserve">supply </w:t>
      </w:r>
      <w:r w:rsidR="00E028A4" w:rsidRPr="006112E3">
        <w:rPr>
          <w:rFonts w:ascii="Arial" w:hAnsi="Arial" w:cs="Arial"/>
          <w:bCs/>
          <w:color w:val="000000" w:themeColor="text1"/>
          <w:sz w:val="22"/>
          <w:szCs w:val="22"/>
        </w:rPr>
        <w:t>decrease</w:t>
      </w:r>
      <w:r>
        <w:rPr>
          <w:rFonts w:ascii="Arial" w:hAnsi="Arial" w:cs="Arial"/>
          <w:bCs/>
          <w:color w:val="000000" w:themeColor="text1"/>
          <w:sz w:val="22"/>
          <w:szCs w:val="22"/>
        </w:rPr>
        <w:t>d immediately by</w:t>
      </w:r>
      <w:r w:rsidR="00E028A4" w:rsidRPr="006112E3">
        <w:rPr>
          <w:rFonts w:ascii="Arial" w:hAnsi="Arial" w:cs="Arial"/>
          <w:bCs/>
          <w:color w:val="000000" w:themeColor="text1"/>
          <w:sz w:val="22"/>
          <w:szCs w:val="22"/>
        </w:rPr>
        <w:t xml:space="preserve"> 0.71 day</w:t>
      </w:r>
      <w:r w:rsidR="00E028A4">
        <w:rPr>
          <w:rFonts w:ascii="Arial" w:hAnsi="Arial" w:cs="Arial"/>
          <w:bCs/>
          <w:color w:val="000000" w:themeColor="text1"/>
          <w:sz w:val="22"/>
          <w:szCs w:val="22"/>
        </w:rPr>
        <w:t>s</w:t>
      </w:r>
      <w:r w:rsidR="00E028A4" w:rsidRPr="006112E3">
        <w:rPr>
          <w:rFonts w:ascii="Arial" w:hAnsi="Arial" w:cs="Arial"/>
          <w:bCs/>
          <w:color w:val="000000" w:themeColor="text1"/>
          <w:sz w:val="22"/>
          <w:szCs w:val="22"/>
        </w:rPr>
        <w:t xml:space="preserve"> (-1.06, -0.36), </w:t>
      </w:r>
      <w:r>
        <w:rPr>
          <w:rFonts w:ascii="Arial" w:hAnsi="Arial" w:cs="Arial"/>
          <w:bCs/>
          <w:color w:val="000000" w:themeColor="text1"/>
          <w:sz w:val="22"/>
          <w:szCs w:val="22"/>
        </w:rPr>
        <w:t>with</w:t>
      </w:r>
      <w:r w:rsidR="00E028A4" w:rsidRPr="006112E3">
        <w:rPr>
          <w:rFonts w:ascii="Arial" w:hAnsi="Arial" w:cs="Arial"/>
          <w:bCs/>
          <w:color w:val="000000" w:themeColor="text1"/>
          <w:sz w:val="22"/>
          <w:szCs w:val="22"/>
        </w:rPr>
        <w:t xml:space="preserve"> no </w:t>
      </w:r>
      <w:r w:rsidR="00E028A4" w:rsidRPr="007719AF">
        <w:rPr>
          <w:rFonts w:ascii="Arial" w:hAnsi="Arial" w:cs="Arial"/>
          <w:bCs/>
          <w:color w:val="000000" w:themeColor="text1"/>
          <w:sz w:val="22"/>
          <w:szCs w:val="22"/>
        </w:rPr>
        <w:t>sustaine</w:t>
      </w:r>
      <w:r w:rsidR="00E028A4" w:rsidRPr="006112E3">
        <w:rPr>
          <w:rFonts w:ascii="Arial" w:hAnsi="Arial" w:cs="Arial"/>
          <w:bCs/>
          <w:color w:val="000000" w:themeColor="text1"/>
          <w:sz w:val="22"/>
          <w:szCs w:val="22"/>
        </w:rPr>
        <w:t>d changes (</w:t>
      </w:r>
      <w:r w:rsidR="00E028A4" w:rsidRPr="00A62977">
        <w:rPr>
          <w:rFonts w:ascii="Arial" w:hAnsi="Arial" w:cs="Arial"/>
          <w:b/>
          <w:color w:val="000000" w:themeColor="text1"/>
          <w:sz w:val="22"/>
          <w:szCs w:val="22"/>
        </w:rPr>
        <w:t>Table 3</w:t>
      </w:r>
      <w:r w:rsidR="00E028A4" w:rsidRPr="006112E3">
        <w:rPr>
          <w:rFonts w:ascii="Arial" w:hAnsi="Arial" w:cs="Arial"/>
          <w:bCs/>
          <w:color w:val="000000" w:themeColor="text1"/>
          <w:sz w:val="22"/>
          <w:szCs w:val="22"/>
        </w:rPr>
        <w:t xml:space="preserve">). </w:t>
      </w:r>
      <w:r>
        <w:rPr>
          <w:rFonts w:ascii="Arial" w:hAnsi="Arial" w:cs="Arial"/>
          <w:bCs/>
          <w:color w:val="000000" w:themeColor="text1"/>
          <w:sz w:val="22"/>
          <w:szCs w:val="22"/>
        </w:rPr>
        <w:t>S</w:t>
      </w:r>
      <w:r w:rsidR="00E028A4" w:rsidRPr="006112E3">
        <w:rPr>
          <w:rFonts w:ascii="Arial" w:hAnsi="Arial" w:cs="Arial"/>
          <w:bCs/>
          <w:color w:val="000000" w:themeColor="text1"/>
          <w:sz w:val="22"/>
          <w:szCs w:val="22"/>
        </w:rPr>
        <w:t>ubsequent days’ supply t</w:t>
      </w:r>
      <w:r>
        <w:rPr>
          <w:rFonts w:ascii="Arial" w:hAnsi="Arial" w:cs="Arial"/>
          <w:bCs/>
          <w:color w:val="000000" w:themeColor="text1"/>
          <w:sz w:val="22"/>
          <w:szCs w:val="22"/>
        </w:rPr>
        <w:t xml:space="preserve">rends had a sustained </w:t>
      </w:r>
      <w:proofErr w:type="gramStart"/>
      <w:r>
        <w:rPr>
          <w:rFonts w:ascii="Arial" w:hAnsi="Arial" w:cs="Arial"/>
          <w:bCs/>
          <w:color w:val="000000" w:themeColor="text1"/>
          <w:sz w:val="22"/>
          <w:szCs w:val="22"/>
        </w:rPr>
        <w:t>declined</w:t>
      </w:r>
      <w:proofErr w:type="gramEnd"/>
      <w:r>
        <w:rPr>
          <w:rFonts w:ascii="Arial" w:hAnsi="Arial" w:cs="Arial"/>
          <w:bCs/>
          <w:color w:val="000000" w:themeColor="text1"/>
          <w:sz w:val="22"/>
          <w:szCs w:val="22"/>
        </w:rPr>
        <w:t xml:space="preserve"> </w:t>
      </w:r>
      <w:r w:rsidR="00E028A4" w:rsidRPr="006112E3">
        <w:rPr>
          <w:rFonts w:ascii="Arial" w:hAnsi="Arial" w:cs="Arial"/>
          <w:bCs/>
          <w:color w:val="000000" w:themeColor="text1"/>
          <w:sz w:val="22"/>
          <w:szCs w:val="22"/>
        </w:rPr>
        <w:t xml:space="preserve">of 1.21 days per year (-2.04, -0.37) </w:t>
      </w:r>
      <w:r>
        <w:rPr>
          <w:rFonts w:ascii="Arial" w:hAnsi="Arial" w:cs="Arial"/>
          <w:bCs/>
          <w:color w:val="000000" w:themeColor="text1"/>
          <w:sz w:val="22"/>
          <w:szCs w:val="22"/>
        </w:rPr>
        <w:t xml:space="preserve">post-SOPI, </w:t>
      </w:r>
      <w:r w:rsidR="00E028A4" w:rsidRPr="006112E3">
        <w:rPr>
          <w:rFonts w:ascii="Arial" w:hAnsi="Arial" w:cs="Arial"/>
          <w:bCs/>
          <w:color w:val="000000" w:themeColor="text1"/>
          <w:sz w:val="22"/>
          <w:szCs w:val="22"/>
        </w:rPr>
        <w:t xml:space="preserve">and then additional sustained decline of 1.38 days per year (-2.23, -0.53) after the </w:t>
      </w:r>
      <w:r w:rsidR="000E6B30">
        <w:rPr>
          <w:rFonts w:ascii="Arial" w:hAnsi="Arial" w:cs="Arial"/>
          <w:bCs/>
          <w:color w:val="000000" w:themeColor="text1"/>
          <w:sz w:val="22"/>
          <w:szCs w:val="22"/>
        </w:rPr>
        <w:t>STOP Act</w:t>
      </w:r>
      <w:r w:rsidR="00E028A4" w:rsidRPr="006112E3">
        <w:rPr>
          <w:rFonts w:ascii="Arial" w:hAnsi="Arial" w:cs="Arial"/>
          <w:bCs/>
          <w:color w:val="000000" w:themeColor="text1"/>
          <w:sz w:val="22"/>
          <w:szCs w:val="22"/>
        </w:rPr>
        <w:t xml:space="preserve">. </w:t>
      </w:r>
    </w:p>
    <w:p w14:paraId="6223E282" w14:textId="77777777" w:rsidR="004B7C68" w:rsidRDefault="004B7C68" w:rsidP="00E028A4">
      <w:pPr>
        <w:contextualSpacing/>
        <w:rPr>
          <w:rFonts w:ascii="Arial" w:hAnsi="Arial" w:cs="Arial"/>
          <w:b/>
          <w:color w:val="000000" w:themeColor="text1"/>
          <w:sz w:val="22"/>
          <w:szCs w:val="22"/>
        </w:rPr>
      </w:pPr>
    </w:p>
    <w:p w14:paraId="3A90CC53" w14:textId="21AF6E36" w:rsidR="00E028A4" w:rsidRPr="004B7C68" w:rsidRDefault="00E028A4" w:rsidP="00E028A4">
      <w:pPr>
        <w:contextualSpacing/>
        <w:rPr>
          <w:rFonts w:ascii="Arial" w:hAnsi="Arial" w:cs="Arial"/>
          <w:bCs/>
          <w:color w:val="000000" w:themeColor="text1"/>
          <w:sz w:val="22"/>
          <w:szCs w:val="22"/>
        </w:rPr>
      </w:pPr>
      <w:r w:rsidRPr="006112E3">
        <w:rPr>
          <w:rFonts w:ascii="Arial" w:hAnsi="Arial" w:cs="Arial"/>
          <w:b/>
          <w:color w:val="000000" w:themeColor="text1"/>
          <w:sz w:val="22"/>
          <w:szCs w:val="22"/>
        </w:rPr>
        <w:t>Dispensed index and subsequent MME</w:t>
      </w:r>
      <w:r w:rsidR="004B7C68">
        <w:rPr>
          <w:rFonts w:ascii="Arial" w:hAnsi="Arial" w:cs="Arial"/>
          <w:b/>
          <w:color w:val="000000" w:themeColor="text1"/>
          <w:sz w:val="22"/>
          <w:szCs w:val="22"/>
        </w:rPr>
        <w:t xml:space="preserve"> </w:t>
      </w:r>
      <w:r w:rsidR="004B7C68">
        <w:rPr>
          <w:rFonts w:ascii="Arial" w:hAnsi="Arial" w:cs="Arial"/>
          <w:bCs/>
          <w:color w:val="000000" w:themeColor="text1"/>
          <w:sz w:val="22"/>
          <w:szCs w:val="22"/>
        </w:rPr>
        <w:t>results for both surgery and injury patients are presented in the supplemental materials.</w:t>
      </w:r>
    </w:p>
    <w:p w14:paraId="493CE1B0" w14:textId="77777777" w:rsidR="00E028A4" w:rsidRPr="006112E3" w:rsidRDefault="00E028A4" w:rsidP="00E028A4">
      <w:pPr>
        <w:contextualSpacing/>
        <w:rPr>
          <w:rFonts w:ascii="Arial" w:hAnsi="Arial" w:cs="Arial"/>
          <w:bCs/>
          <w:color w:val="000000" w:themeColor="text1"/>
          <w:sz w:val="22"/>
          <w:szCs w:val="22"/>
        </w:rPr>
      </w:pPr>
    </w:p>
    <w:p w14:paraId="6C653DF0" w14:textId="060E9A32" w:rsidR="00D613CE" w:rsidRDefault="00E028A4" w:rsidP="00E028A4">
      <w:pPr>
        <w:contextualSpacing/>
        <w:rPr>
          <w:rFonts w:ascii="Arial" w:hAnsi="Arial" w:cs="Arial"/>
          <w:b/>
          <w:color w:val="000000" w:themeColor="text1"/>
          <w:sz w:val="22"/>
          <w:szCs w:val="22"/>
        </w:rPr>
      </w:pPr>
      <w:r w:rsidRPr="006112E3">
        <w:rPr>
          <w:rFonts w:ascii="Arial" w:hAnsi="Arial" w:cs="Arial"/>
          <w:b/>
          <w:color w:val="000000" w:themeColor="text1"/>
          <w:sz w:val="22"/>
          <w:szCs w:val="22"/>
        </w:rPr>
        <w:t>Racial, ethnic</w:t>
      </w:r>
      <w:r w:rsidR="000E6B30">
        <w:rPr>
          <w:rFonts w:ascii="Arial" w:hAnsi="Arial" w:cs="Arial"/>
          <w:b/>
          <w:color w:val="000000" w:themeColor="text1"/>
          <w:sz w:val="22"/>
          <w:szCs w:val="22"/>
        </w:rPr>
        <w:t>ity</w:t>
      </w:r>
      <w:r w:rsidRPr="006112E3">
        <w:rPr>
          <w:rFonts w:ascii="Arial" w:hAnsi="Arial" w:cs="Arial"/>
          <w:b/>
          <w:color w:val="000000" w:themeColor="text1"/>
          <w:sz w:val="22"/>
          <w:szCs w:val="22"/>
        </w:rPr>
        <w:t xml:space="preserve">, </w:t>
      </w:r>
      <w:r w:rsidR="00D761C6">
        <w:rPr>
          <w:rFonts w:ascii="Arial" w:hAnsi="Arial" w:cs="Arial"/>
          <w:b/>
          <w:color w:val="000000" w:themeColor="text1"/>
          <w:sz w:val="22"/>
          <w:szCs w:val="22"/>
        </w:rPr>
        <w:t>age</w:t>
      </w:r>
      <w:r w:rsidRPr="006112E3">
        <w:rPr>
          <w:rFonts w:ascii="Arial" w:hAnsi="Arial" w:cs="Arial"/>
          <w:b/>
          <w:color w:val="000000" w:themeColor="text1"/>
          <w:sz w:val="22"/>
          <w:szCs w:val="22"/>
        </w:rPr>
        <w:t xml:space="preserve">, and </w:t>
      </w:r>
      <w:r w:rsidR="00D761C6">
        <w:rPr>
          <w:rFonts w:ascii="Arial" w:hAnsi="Arial" w:cs="Arial"/>
          <w:b/>
          <w:color w:val="000000" w:themeColor="text1"/>
          <w:sz w:val="22"/>
          <w:szCs w:val="22"/>
        </w:rPr>
        <w:t>sex</w:t>
      </w:r>
      <w:r w:rsidRPr="006112E3">
        <w:rPr>
          <w:rFonts w:ascii="Arial" w:hAnsi="Arial" w:cs="Arial"/>
          <w:b/>
          <w:color w:val="000000" w:themeColor="text1"/>
          <w:sz w:val="22"/>
          <w:szCs w:val="22"/>
        </w:rPr>
        <w:t>-based disparities</w:t>
      </w:r>
    </w:p>
    <w:p w14:paraId="1E22F273" w14:textId="734D05AA" w:rsidR="00E028A4" w:rsidRPr="006112E3" w:rsidRDefault="006E211C" w:rsidP="00E028A4">
      <w:pPr>
        <w:contextualSpacing/>
        <w:rPr>
          <w:rFonts w:ascii="Arial" w:hAnsi="Arial" w:cs="Arial"/>
          <w:bCs/>
          <w:color w:val="000000" w:themeColor="text1"/>
          <w:sz w:val="22"/>
          <w:szCs w:val="22"/>
        </w:rPr>
      </w:pPr>
      <w:r>
        <w:rPr>
          <w:rFonts w:ascii="Arial" w:hAnsi="Arial" w:cs="Arial"/>
          <w:bCs/>
          <w:color w:val="000000" w:themeColor="text1"/>
          <w:sz w:val="22"/>
          <w:szCs w:val="22"/>
        </w:rPr>
        <w:t xml:space="preserve">Among both surgery and injury patients, black Americans were more likely to receive an opioid </w:t>
      </w:r>
      <w:r w:rsidR="00045416">
        <w:rPr>
          <w:rFonts w:ascii="Arial" w:hAnsi="Arial" w:cs="Arial"/>
          <w:bCs/>
          <w:color w:val="000000" w:themeColor="text1"/>
          <w:sz w:val="22"/>
          <w:szCs w:val="22"/>
        </w:rPr>
        <w:t>prescription</w:t>
      </w:r>
      <w:r w:rsidR="00DF55A1">
        <w:rPr>
          <w:rFonts w:ascii="Arial" w:hAnsi="Arial" w:cs="Arial"/>
          <w:bCs/>
          <w:color w:val="000000" w:themeColor="text1"/>
          <w:sz w:val="22"/>
          <w:szCs w:val="22"/>
        </w:rPr>
        <w:t>, and more commonly from an emergency department (ED) visit,</w:t>
      </w:r>
      <w:r w:rsidR="00045416">
        <w:rPr>
          <w:rFonts w:ascii="Arial" w:hAnsi="Arial" w:cs="Arial"/>
          <w:bCs/>
          <w:color w:val="000000" w:themeColor="text1"/>
          <w:sz w:val="22"/>
          <w:szCs w:val="22"/>
        </w:rPr>
        <w:t xml:space="preserve"> compared to white, Asian, and </w:t>
      </w:r>
      <w:r w:rsidR="004C3DB2">
        <w:rPr>
          <w:rFonts w:ascii="Arial" w:hAnsi="Arial" w:cs="Arial"/>
          <w:bCs/>
          <w:color w:val="000000" w:themeColor="text1"/>
          <w:sz w:val="22"/>
          <w:szCs w:val="22"/>
        </w:rPr>
        <w:t xml:space="preserve">native </w:t>
      </w:r>
      <w:r w:rsidR="00045416">
        <w:rPr>
          <w:rFonts w:ascii="Arial" w:hAnsi="Arial" w:cs="Arial"/>
          <w:bCs/>
          <w:color w:val="000000" w:themeColor="text1"/>
          <w:sz w:val="22"/>
          <w:szCs w:val="22"/>
        </w:rPr>
        <w:t xml:space="preserve">American </w:t>
      </w:r>
      <w:r w:rsidR="003C5A4D">
        <w:rPr>
          <w:rFonts w:ascii="Arial" w:hAnsi="Arial" w:cs="Arial"/>
          <w:bCs/>
          <w:color w:val="000000" w:themeColor="text1"/>
          <w:sz w:val="22"/>
          <w:szCs w:val="22"/>
        </w:rPr>
        <w:t xml:space="preserve">patients </w:t>
      </w:r>
      <w:r w:rsidR="00DF55A1">
        <w:rPr>
          <w:rFonts w:ascii="Arial" w:hAnsi="Arial" w:cs="Arial"/>
          <w:bCs/>
          <w:color w:val="000000" w:themeColor="text1"/>
          <w:sz w:val="22"/>
          <w:szCs w:val="22"/>
        </w:rPr>
        <w:t xml:space="preserve">who commonly received their opioid prescriptions from outpatient care </w:t>
      </w:r>
      <w:r w:rsidR="003C5A4D">
        <w:rPr>
          <w:rFonts w:ascii="Arial" w:hAnsi="Arial" w:cs="Arial"/>
          <w:bCs/>
          <w:color w:val="000000" w:themeColor="text1"/>
          <w:sz w:val="22"/>
          <w:szCs w:val="22"/>
        </w:rPr>
        <w:t>(</w:t>
      </w:r>
      <w:r w:rsidR="003C5A4D" w:rsidRPr="003C5A4D">
        <w:rPr>
          <w:rFonts w:ascii="Arial" w:hAnsi="Arial" w:cs="Arial"/>
          <w:b/>
          <w:color w:val="000000" w:themeColor="text1"/>
          <w:sz w:val="22"/>
          <w:szCs w:val="22"/>
        </w:rPr>
        <w:t xml:space="preserve">Supplementary </w:t>
      </w:r>
      <w:r w:rsidR="00D76CF3">
        <w:rPr>
          <w:rFonts w:ascii="Arial" w:hAnsi="Arial" w:cs="Arial"/>
          <w:b/>
          <w:color w:val="000000" w:themeColor="text1"/>
          <w:sz w:val="22"/>
          <w:szCs w:val="22"/>
        </w:rPr>
        <w:t>Table 4</w:t>
      </w:r>
      <w:r w:rsidR="00DF55A1">
        <w:rPr>
          <w:rFonts w:ascii="Arial" w:hAnsi="Arial" w:cs="Arial"/>
          <w:b/>
          <w:color w:val="000000" w:themeColor="text1"/>
          <w:sz w:val="22"/>
          <w:szCs w:val="22"/>
        </w:rPr>
        <w:t>-5</w:t>
      </w:r>
      <w:r w:rsidR="00D76CF3">
        <w:rPr>
          <w:rFonts w:ascii="Arial" w:hAnsi="Arial" w:cs="Arial"/>
          <w:b/>
          <w:color w:val="000000" w:themeColor="text1"/>
          <w:sz w:val="22"/>
          <w:szCs w:val="22"/>
        </w:rPr>
        <w:t xml:space="preserve">, </w:t>
      </w:r>
      <w:r w:rsidR="003C01F3">
        <w:rPr>
          <w:rFonts w:ascii="Arial" w:hAnsi="Arial" w:cs="Arial"/>
          <w:b/>
          <w:color w:val="000000" w:themeColor="text1"/>
          <w:sz w:val="22"/>
          <w:szCs w:val="22"/>
        </w:rPr>
        <w:t>S</w:t>
      </w:r>
      <w:r w:rsidR="00D76CF3">
        <w:rPr>
          <w:rFonts w:ascii="Arial" w:hAnsi="Arial" w:cs="Arial"/>
          <w:b/>
          <w:color w:val="000000" w:themeColor="text1"/>
          <w:sz w:val="22"/>
          <w:szCs w:val="22"/>
        </w:rPr>
        <w:t xml:space="preserve">upplementary </w:t>
      </w:r>
      <w:r w:rsidR="003C5A4D" w:rsidRPr="003C5A4D">
        <w:rPr>
          <w:rFonts w:ascii="Arial" w:hAnsi="Arial" w:cs="Arial"/>
          <w:b/>
          <w:color w:val="000000" w:themeColor="text1"/>
          <w:sz w:val="22"/>
          <w:szCs w:val="22"/>
        </w:rPr>
        <w:t>Figures 3</w:t>
      </w:r>
      <w:r w:rsidR="003C01F3">
        <w:rPr>
          <w:rFonts w:ascii="Arial" w:hAnsi="Arial" w:cs="Arial"/>
          <w:b/>
          <w:color w:val="000000" w:themeColor="text1"/>
          <w:sz w:val="22"/>
          <w:szCs w:val="22"/>
        </w:rPr>
        <w:t>-</w:t>
      </w:r>
      <w:r w:rsidR="003C5A4D" w:rsidRPr="003C5A4D">
        <w:rPr>
          <w:rFonts w:ascii="Arial" w:hAnsi="Arial" w:cs="Arial"/>
          <w:b/>
          <w:color w:val="000000" w:themeColor="text1"/>
          <w:sz w:val="22"/>
          <w:szCs w:val="22"/>
        </w:rPr>
        <w:t>4</w:t>
      </w:r>
      <w:r w:rsidR="003C5A4D">
        <w:rPr>
          <w:rFonts w:ascii="Arial" w:hAnsi="Arial" w:cs="Arial"/>
          <w:bCs/>
          <w:color w:val="000000" w:themeColor="text1"/>
          <w:sz w:val="22"/>
          <w:szCs w:val="22"/>
        </w:rPr>
        <w:t>)</w:t>
      </w:r>
      <w:r w:rsidR="00DC10E6">
        <w:rPr>
          <w:rFonts w:ascii="Arial" w:hAnsi="Arial" w:cs="Arial"/>
          <w:bCs/>
          <w:color w:val="000000" w:themeColor="text1"/>
          <w:sz w:val="22"/>
          <w:szCs w:val="22"/>
        </w:rPr>
        <w:t>.</w:t>
      </w:r>
      <w:r w:rsidR="002A7376">
        <w:rPr>
          <w:rFonts w:ascii="Arial" w:hAnsi="Arial" w:cs="Arial"/>
          <w:bCs/>
          <w:color w:val="000000" w:themeColor="text1"/>
          <w:sz w:val="22"/>
          <w:szCs w:val="22"/>
        </w:rPr>
        <w:t xml:space="preserve"> After SOPI and the STOP Act, b</w:t>
      </w:r>
      <w:r w:rsidR="00E028A4" w:rsidRPr="006112E3">
        <w:rPr>
          <w:rFonts w:ascii="Arial" w:hAnsi="Arial" w:cs="Arial"/>
          <w:bCs/>
          <w:color w:val="000000" w:themeColor="text1"/>
          <w:sz w:val="22"/>
          <w:szCs w:val="22"/>
        </w:rPr>
        <w:t xml:space="preserve">lack </w:t>
      </w:r>
      <w:r w:rsidR="00031E16">
        <w:rPr>
          <w:rFonts w:ascii="Arial" w:hAnsi="Arial" w:cs="Arial"/>
          <w:bCs/>
          <w:color w:val="000000" w:themeColor="text1"/>
          <w:sz w:val="22"/>
          <w:szCs w:val="22"/>
        </w:rPr>
        <w:t xml:space="preserve">and native American </w:t>
      </w:r>
      <w:r w:rsidR="002A7376">
        <w:rPr>
          <w:rFonts w:ascii="Arial" w:hAnsi="Arial" w:cs="Arial"/>
          <w:bCs/>
          <w:color w:val="000000" w:themeColor="text1"/>
          <w:sz w:val="22"/>
          <w:szCs w:val="22"/>
        </w:rPr>
        <w:t>patients</w:t>
      </w:r>
      <w:r w:rsidR="00E028A4" w:rsidRPr="006112E3">
        <w:rPr>
          <w:rFonts w:ascii="Arial" w:hAnsi="Arial" w:cs="Arial"/>
          <w:bCs/>
          <w:color w:val="000000" w:themeColor="text1"/>
          <w:sz w:val="22"/>
          <w:szCs w:val="22"/>
        </w:rPr>
        <w:t xml:space="preserve"> experienced </w:t>
      </w:r>
      <w:r w:rsidR="00E028A4">
        <w:rPr>
          <w:rFonts w:ascii="Arial" w:hAnsi="Arial" w:cs="Arial"/>
          <w:bCs/>
          <w:color w:val="000000" w:themeColor="text1"/>
          <w:sz w:val="22"/>
          <w:szCs w:val="22"/>
        </w:rPr>
        <w:t xml:space="preserve">the </w:t>
      </w:r>
      <w:r w:rsidR="00E028A4" w:rsidRPr="006112E3">
        <w:rPr>
          <w:rFonts w:ascii="Arial" w:hAnsi="Arial" w:cs="Arial"/>
          <w:bCs/>
          <w:color w:val="000000" w:themeColor="text1"/>
          <w:sz w:val="22"/>
          <w:szCs w:val="22"/>
        </w:rPr>
        <w:t>greate</w:t>
      </w:r>
      <w:r w:rsidR="00E028A4">
        <w:rPr>
          <w:rFonts w:ascii="Arial" w:hAnsi="Arial" w:cs="Arial"/>
          <w:bCs/>
          <w:color w:val="000000" w:themeColor="text1"/>
          <w:sz w:val="22"/>
          <w:szCs w:val="22"/>
        </w:rPr>
        <w:t>st</w:t>
      </w:r>
      <w:r w:rsidR="00E028A4" w:rsidRPr="006112E3">
        <w:rPr>
          <w:rFonts w:ascii="Arial" w:hAnsi="Arial" w:cs="Arial"/>
          <w:bCs/>
          <w:color w:val="000000" w:themeColor="text1"/>
          <w:sz w:val="22"/>
          <w:szCs w:val="22"/>
        </w:rPr>
        <w:t xml:space="preserve"> </w:t>
      </w:r>
      <w:r w:rsidR="002A7376">
        <w:rPr>
          <w:rFonts w:ascii="Arial" w:hAnsi="Arial" w:cs="Arial"/>
          <w:bCs/>
          <w:color w:val="000000" w:themeColor="text1"/>
          <w:sz w:val="22"/>
          <w:szCs w:val="22"/>
        </w:rPr>
        <w:t>reductions</w:t>
      </w:r>
      <w:r w:rsidR="00E028A4" w:rsidRPr="006112E3">
        <w:rPr>
          <w:rFonts w:ascii="Arial" w:hAnsi="Arial" w:cs="Arial"/>
          <w:bCs/>
          <w:color w:val="000000" w:themeColor="text1"/>
          <w:sz w:val="22"/>
          <w:szCs w:val="22"/>
        </w:rPr>
        <w:t xml:space="preserve"> in </w:t>
      </w:r>
      <w:r w:rsidR="002A7376">
        <w:rPr>
          <w:rFonts w:ascii="Arial" w:hAnsi="Arial" w:cs="Arial"/>
          <w:bCs/>
          <w:color w:val="000000" w:themeColor="text1"/>
          <w:sz w:val="22"/>
          <w:szCs w:val="22"/>
        </w:rPr>
        <w:t>index and subsequent opioid prescribing</w:t>
      </w:r>
      <w:r w:rsidR="00E028A4" w:rsidRPr="006112E3">
        <w:rPr>
          <w:rFonts w:ascii="Arial" w:hAnsi="Arial" w:cs="Arial"/>
          <w:bCs/>
          <w:color w:val="000000" w:themeColor="text1"/>
          <w:sz w:val="22"/>
          <w:szCs w:val="22"/>
        </w:rPr>
        <w:t xml:space="preserve"> </w:t>
      </w:r>
      <w:r w:rsidR="002A7376">
        <w:rPr>
          <w:rFonts w:ascii="Arial" w:hAnsi="Arial" w:cs="Arial"/>
          <w:bCs/>
          <w:color w:val="000000" w:themeColor="text1"/>
          <w:sz w:val="22"/>
          <w:szCs w:val="22"/>
        </w:rPr>
        <w:t>for post-surgical pain</w:t>
      </w:r>
      <w:proofErr w:type="gramStart"/>
      <w:r w:rsidR="00E028A4" w:rsidRPr="006112E3">
        <w:rPr>
          <w:rFonts w:ascii="Arial" w:hAnsi="Arial" w:cs="Arial"/>
          <w:bCs/>
          <w:color w:val="000000" w:themeColor="text1"/>
          <w:sz w:val="22"/>
          <w:szCs w:val="22"/>
        </w:rPr>
        <w:t xml:space="preserve">, </w:t>
      </w:r>
      <w:r w:rsidR="00E028A4">
        <w:rPr>
          <w:rFonts w:ascii="Arial" w:hAnsi="Arial" w:cs="Arial"/>
          <w:bCs/>
          <w:color w:val="000000" w:themeColor="text1"/>
          <w:sz w:val="22"/>
          <w:szCs w:val="22"/>
        </w:rPr>
        <w:t>,</w:t>
      </w:r>
      <w:proofErr w:type="gramEnd"/>
      <w:r w:rsidR="00E028A4">
        <w:rPr>
          <w:rFonts w:ascii="Arial" w:hAnsi="Arial" w:cs="Arial"/>
          <w:bCs/>
          <w:color w:val="000000" w:themeColor="text1"/>
          <w:sz w:val="22"/>
          <w:szCs w:val="22"/>
        </w:rPr>
        <w:t xml:space="preserve"> w</w:t>
      </w:r>
      <w:r w:rsidR="00E028A4" w:rsidRPr="006112E3">
        <w:rPr>
          <w:rFonts w:ascii="Arial" w:hAnsi="Arial" w:cs="Arial"/>
          <w:bCs/>
          <w:color w:val="000000" w:themeColor="text1"/>
          <w:sz w:val="22"/>
          <w:szCs w:val="22"/>
        </w:rPr>
        <w:t xml:space="preserve">hile </w:t>
      </w:r>
      <w:r w:rsidR="00E67673">
        <w:rPr>
          <w:rFonts w:ascii="Arial" w:hAnsi="Arial" w:cs="Arial"/>
          <w:bCs/>
          <w:color w:val="000000" w:themeColor="text1"/>
          <w:sz w:val="22"/>
          <w:szCs w:val="22"/>
        </w:rPr>
        <w:t>w</w:t>
      </w:r>
      <w:r w:rsidR="00E028A4" w:rsidRPr="006112E3">
        <w:rPr>
          <w:rFonts w:ascii="Arial" w:hAnsi="Arial" w:cs="Arial"/>
          <w:bCs/>
          <w:color w:val="000000" w:themeColor="text1"/>
          <w:sz w:val="22"/>
          <w:szCs w:val="22"/>
        </w:rPr>
        <w:t xml:space="preserve">hite Americans </w:t>
      </w:r>
      <w:r w:rsidR="00031E16">
        <w:rPr>
          <w:rFonts w:ascii="Arial" w:hAnsi="Arial" w:cs="Arial"/>
          <w:bCs/>
          <w:color w:val="000000" w:themeColor="text1"/>
          <w:sz w:val="22"/>
          <w:szCs w:val="22"/>
        </w:rPr>
        <w:t xml:space="preserve">and Asian Americans </w:t>
      </w:r>
      <w:r w:rsidR="00E028A4" w:rsidRPr="006112E3">
        <w:rPr>
          <w:rFonts w:ascii="Arial" w:hAnsi="Arial" w:cs="Arial"/>
          <w:bCs/>
          <w:color w:val="000000" w:themeColor="text1"/>
          <w:sz w:val="22"/>
          <w:szCs w:val="22"/>
        </w:rPr>
        <w:t xml:space="preserve">experienced the </w:t>
      </w:r>
      <w:r w:rsidR="002A7376">
        <w:rPr>
          <w:rFonts w:ascii="Arial" w:hAnsi="Arial" w:cs="Arial"/>
          <w:bCs/>
          <w:color w:val="000000" w:themeColor="text1"/>
          <w:sz w:val="22"/>
          <w:szCs w:val="22"/>
        </w:rPr>
        <w:t>smallest reductions</w:t>
      </w:r>
      <w:r w:rsidR="00E028A4" w:rsidRPr="006112E3">
        <w:rPr>
          <w:rFonts w:ascii="Arial" w:hAnsi="Arial" w:cs="Arial"/>
          <w:bCs/>
          <w:color w:val="000000" w:themeColor="text1"/>
          <w:sz w:val="22"/>
          <w:szCs w:val="22"/>
        </w:rPr>
        <w:t xml:space="preserve"> (</w:t>
      </w:r>
      <w:r w:rsidR="00E028A4" w:rsidRPr="00A62977">
        <w:rPr>
          <w:rFonts w:ascii="Arial" w:hAnsi="Arial" w:cs="Arial"/>
          <w:b/>
          <w:color w:val="000000" w:themeColor="text1"/>
          <w:sz w:val="22"/>
          <w:szCs w:val="22"/>
        </w:rPr>
        <w:t>Table 4</w:t>
      </w:r>
      <w:r w:rsidR="00E028A4" w:rsidRPr="006112E3">
        <w:rPr>
          <w:rFonts w:ascii="Arial" w:hAnsi="Arial" w:cs="Arial"/>
          <w:bCs/>
          <w:color w:val="000000" w:themeColor="text1"/>
          <w:sz w:val="22"/>
          <w:szCs w:val="22"/>
        </w:rPr>
        <w:t xml:space="preserve">). For injury </w:t>
      </w:r>
      <w:r w:rsidR="002A7376">
        <w:rPr>
          <w:rFonts w:ascii="Arial" w:hAnsi="Arial" w:cs="Arial"/>
          <w:bCs/>
          <w:color w:val="000000" w:themeColor="text1"/>
          <w:sz w:val="22"/>
          <w:szCs w:val="22"/>
        </w:rPr>
        <w:t>pain</w:t>
      </w:r>
      <w:r w:rsidR="00E028A4">
        <w:rPr>
          <w:rFonts w:ascii="Arial" w:hAnsi="Arial" w:cs="Arial"/>
          <w:bCs/>
          <w:color w:val="000000" w:themeColor="text1"/>
          <w:sz w:val="22"/>
          <w:szCs w:val="22"/>
        </w:rPr>
        <w:t>,</w:t>
      </w:r>
      <w:r w:rsidR="00E028A4" w:rsidRPr="006112E3">
        <w:rPr>
          <w:rFonts w:ascii="Arial" w:hAnsi="Arial" w:cs="Arial"/>
          <w:bCs/>
          <w:color w:val="000000" w:themeColor="text1"/>
          <w:sz w:val="22"/>
          <w:szCs w:val="22"/>
        </w:rPr>
        <w:t xml:space="preserve"> the </w:t>
      </w:r>
      <w:r w:rsidR="00E028A4">
        <w:rPr>
          <w:rFonts w:ascii="Arial" w:hAnsi="Arial" w:cs="Arial"/>
          <w:bCs/>
          <w:color w:val="000000" w:themeColor="text1"/>
          <w:sz w:val="22"/>
          <w:szCs w:val="22"/>
        </w:rPr>
        <w:t xml:space="preserve">largest </w:t>
      </w:r>
      <w:r w:rsidR="002A7376">
        <w:rPr>
          <w:rFonts w:ascii="Arial" w:hAnsi="Arial" w:cs="Arial"/>
          <w:bCs/>
          <w:color w:val="000000" w:themeColor="text1"/>
          <w:sz w:val="22"/>
          <w:szCs w:val="22"/>
        </w:rPr>
        <w:t xml:space="preserve">policy-related reductions </w:t>
      </w:r>
      <w:r w:rsidR="00E028A4" w:rsidRPr="006112E3">
        <w:rPr>
          <w:rFonts w:ascii="Arial" w:hAnsi="Arial" w:cs="Arial"/>
          <w:bCs/>
          <w:color w:val="000000" w:themeColor="text1"/>
          <w:sz w:val="22"/>
          <w:szCs w:val="22"/>
        </w:rPr>
        <w:t xml:space="preserve">were experienced by </w:t>
      </w:r>
      <w:r w:rsidR="00E67673">
        <w:rPr>
          <w:rFonts w:ascii="Arial" w:hAnsi="Arial" w:cs="Arial"/>
          <w:bCs/>
          <w:color w:val="000000" w:themeColor="text1"/>
          <w:sz w:val="22"/>
          <w:szCs w:val="22"/>
        </w:rPr>
        <w:t>w</w:t>
      </w:r>
      <w:r w:rsidR="00E028A4" w:rsidRPr="006112E3">
        <w:rPr>
          <w:rFonts w:ascii="Arial" w:hAnsi="Arial" w:cs="Arial"/>
          <w:bCs/>
          <w:color w:val="000000" w:themeColor="text1"/>
          <w:sz w:val="22"/>
          <w:szCs w:val="22"/>
        </w:rPr>
        <w:t xml:space="preserve">hite </w:t>
      </w:r>
      <w:r w:rsidR="002A7376">
        <w:rPr>
          <w:rFonts w:ascii="Arial" w:hAnsi="Arial" w:cs="Arial"/>
          <w:bCs/>
          <w:color w:val="000000" w:themeColor="text1"/>
          <w:sz w:val="22"/>
          <w:szCs w:val="22"/>
        </w:rPr>
        <w:t>patients</w:t>
      </w:r>
      <w:r w:rsidR="00E028A4" w:rsidRPr="006112E3">
        <w:rPr>
          <w:rFonts w:ascii="Arial" w:hAnsi="Arial" w:cs="Arial"/>
          <w:bCs/>
          <w:color w:val="000000" w:themeColor="text1"/>
          <w:sz w:val="22"/>
          <w:szCs w:val="22"/>
        </w:rPr>
        <w:t xml:space="preserve"> </w:t>
      </w:r>
      <w:r w:rsidR="00E028A4">
        <w:rPr>
          <w:rFonts w:ascii="Arial" w:hAnsi="Arial" w:cs="Arial"/>
          <w:bCs/>
          <w:color w:val="000000" w:themeColor="text1"/>
          <w:sz w:val="22"/>
          <w:szCs w:val="22"/>
        </w:rPr>
        <w:t xml:space="preserve">relative </w:t>
      </w:r>
      <w:r w:rsidR="00E028A4" w:rsidRPr="006112E3">
        <w:rPr>
          <w:rFonts w:ascii="Arial" w:hAnsi="Arial" w:cs="Arial"/>
          <w:bCs/>
          <w:color w:val="000000" w:themeColor="text1"/>
          <w:sz w:val="22"/>
          <w:szCs w:val="22"/>
        </w:rPr>
        <w:t xml:space="preserve">to </w:t>
      </w:r>
      <w:r w:rsidR="002A7376">
        <w:rPr>
          <w:rFonts w:ascii="Arial" w:hAnsi="Arial" w:cs="Arial"/>
          <w:bCs/>
          <w:color w:val="000000" w:themeColor="text1"/>
          <w:sz w:val="22"/>
          <w:szCs w:val="22"/>
        </w:rPr>
        <w:t xml:space="preserve">all </w:t>
      </w:r>
      <w:r w:rsidR="00E028A4">
        <w:rPr>
          <w:rFonts w:ascii="Arial" w:hAnsi="Arial" w:cs="Arial"/>
          <w:bCs/>
          <w:color w:val="000000" w:themeColor="text1"/>
          <w:sz w:val="22"/>
          <w:szCs w:val="22"/>
        </w:rPr>
        <w:t>racia</w:t>
      </w:r>
      <w:r w:rsidR="002A7376">
        <w:rPr>
          <w:rFonts w:ascii="Arial" w:hAnsi="Arial" w:cs="Arial"/>
          <w:bCs/>
          <w:color w:val="000000" w:themeColor="text1"/>
          <w:sz w:val="22"/>
          <w:szCs w:val="22"/>
        </w:rPr>
        <w:t>l</w:t>
      </w:r>
      <w:r w:rsidR="00E028A4">
        <w:rPr>
          <w:rFonts w:ascii="Arial" w:hAnsi="Arial" w:cs="Arial"/>
          <w:bCs/>
          <w:color w:val="000000" w:themeColor="text1"/>
          <w:sz w:val="22"/>
          <w:szCs w:val="22"/>
        </w:rPr>
        <w:t>l</w:t>
      </w:r>
      <w:r w:rsidR="002A7376">
        <w:rPr>
          <w:rFonts w:ascii="Arial" w:hAnsi="Arial" w:cs="Arial"/>
          <w:bCs/>
          <w:color w:val="000000" w:themeColor="text1"/>
          <w:sz w:val="22"/>
          <w:szCs w:val="22"/>
        </w:rPr>
        <w:t>y minoritized</w:t>
      </w:r>
      <w:r w:rsidR="00E028A4">
        <w:rPr>
          <w:rFonts w:ascii="Arial" w:hAnsi="Arial" w:cs="Arial"/>
          <w:bCs/>
          <w:color w:val="000000" w:themeColor="text1"/>
          <w:sz w:val="22"/>
          <w:szCs w:val="22"/>
        </w:rPr>
        <w:t xml:space="preserve"> </w:t>
      </w:r>
      <w:r w:rsidR="00E028A4" w:rsidRPr="006112E3">
        <w:rPr>
          <w:rFonts w:ascii="Arial" w:hAnsi="Arial" w:cs="Arial"/>
          <w:bCs/>
          <w:color w:val="000000" w:themeColor="text1"/>
          <w:sz w:val="22"/>
          <w:szCs w:val="22"/>
        </w:rPr>
        <w:t xml:space="preserve">groups. </w:t>
      </w:r>
      <w:r w:rsidR="002A7376">
        <w:rPr>
          <w:rFonts w:ascii="Arial" w:hAnsi="Arial" w:cs="Arial"/>
          <w:bCs/>
          <w:color w:val="000000" w:themeColor="text1"/>
          <w:sz w:val="22"/>
          <w:szCs w:val="22"/>
        </w:rPr>
        <w:t>While n</w:t>
      </w:r>
      <w:r w:rsidR="00E028A4" w:rsidRPr="006112E3">
        <w:rPr>
          <w:rFonts w:ascii="Arial" w:hAnsi="Arial" w:cs="Arial"/>
          <w:bCs/>
          <w:color w:val="000000" w:themeColor="text1"/>
          <w:sz w:val="22"/>
          <w:szCs w:val="22"/>
        </w:rPr>
        <w:t xml:space="preserve">on-Hispanic </w:t>
      </w:r>
      <w:r w:rsidR="002A7376">
        <w:rPr>
          <w:rFonts w:ascii="Arial" w:hAnsi="Arial" w:cs="Arial"/>
          <w:bCs/>
          <w:color w:val="000000" w:themeColor="text1"/>
          <w:sz w:val="22"/>
          <w:szCs w:val="22"/>
        </w:rPr>
        <w:t xml:space="preserve">patients </w:t>
      </w:r>
      <w:r w:rsidR="00E028A4" w:rsidRPr="006112E3">
        <w:rPr>
          <w:rFonts w:ascii="Arial" w:hAnsi="Arial" w:cs="Arial"/>
          <w:bCs/>
          <w:color w:val="000000" w:themeColor="text1"/>
          <w:sz w:val="22"/>
          <w:szCs w:val="22"/>
        </w:rPr>
        <w:t xml:space="preserve">experienced greater </w:t>
      </w:r>
      <w:r w:rsidR="002A7376">
        <w:rPr>
          <w:rFonts w:ascii="Arial" w:hAnsi="Arial" w:cs="Arial"/>
          <w:bCs/>
          <w:color w:val="000000" w:themeColor="text1"/>
          <w:sz w:val="22"/>
          <w:szCs w:val="22"/>
        </w:rPr>
        <w:t xml:space="preserve">policy-related </w:t>
      </w:r>
      <w:r w:rsidR="00E028A4" w:rsidRPr="006112E3">
        <w:rPr>
          <w:rFonts w:ascii="Arial" w:hAnsi="Arial" w:cs="Arial"/>
          <w:bCs/>
          <w:color w:val="000000" w:themeColor="text1"/>
          <w:sz w:val="22"/>
          <w:szCs w:val="22"/>
        </w:rPr>
        <w:t xml:space="preserve">sustained decline in </w:t>
      </w:r>
      <w:r w:rsidR="003A212A">
        <w:rPr>
          <w:rFonts w:ascii="Arial" w:hAnsi="Arial" w:cs="Arial"/>
          <w:bCs/>
          <w:color w:val="000000" w:themeColor="text1"/>
          <w:sz w:val="22"/>
          <w:szCs w:val="22"/>
        </w:rPr>
        <w:t xml:space="preserve">post-surgical </w:t>
      </w:r>
      <w:r w:rsidR="00E028A4" w:rsidRPr="006112E3">
        <w:rPr>
          <w:rFonts w:ascii="Arial" w:hAnsi="Arial" w:cs="Arial"/>
          <w:bCs/>
          <w:color w:val="000000" w:themeColor="text1"/>
          <w:sz w:val="22"/>
          <w:szCs w:val="22"/>
        </w:rPr>
        <w:t xml:space="preserve">opioid prescribing, Hispanic </w:t>
      </w:r>
      <w:r w:rsidR="002A7376">
        <w:rPr>
          <w:rFonts w:ascii="Arial" w:hAnsi="Arial" w:cs="Arial"/>
          <w:bCs/>
          <w:color w:val="000000" w:themeColor="text1"/>
          <w:sz w:val="22"/>
          <w:szCs w:val="22"/>
        </w:rPr>
        <w:t xml:space="preserve">patients </w:t>
      </w:r>
      <w:r w:rsidR="00E028A4" w:rsidRPr="006112E3">
        <w:rPr>
          <w:rFonts w:ascii="Arial" w:hAnsi="Arial" w:cs="Arial"/>
          <w:bCs/>
          <w:color w:val="000000" w:themeColor="text1"/>
          <w:sz w:val="22"/>
          <w:szCs w:val="22"/>
        </w:rPr>
        <w:t xml:space="preserve">experienced </w:t>
      </w:r>
      <w:r w:rsidR="00E028A4">
        <w:rPr>
          <w:rFonts w:ascii="Arial" w:hAnsi="Arial" w:cs="Arial"/>
          <w:bCs/>
          <w:color w:val="000000" w:themeColor="text1"/>
          <w:sz w:val="22"/>
          <w:szCs w:val="22"/>
        </w:rPr>
        <w:t xml:space="preserve">a </w:t>
      </w:r>
      <w:r w:rsidR="00E028A4" w:rsidRPr="006112E3">
        <w:rPr>
          <w:rFonts w:ascii="Arial" w:hAnsi="Arial" w:cs="Arial"/>
          <w:bCs/>
          <w:color w:val="000000" w:themeColor="text1"/>
          <w:sz w:val="22"/>
          <w:szCs w:val="22"/>
        </w:rPr>
        <w:t xml:space="preserve">greater </w:t>
      </w:r>
      <w:r w:rsidR="002A7376">
        <w:rPr>
          <w:rFonts w:ascii="Arial" w:hAnsi="Arial" w:cs="Arial"/>
          <w:bCs/>
          <w:color w:val="000000" w:themeColor="text1"/>
          <w:sz w:val="22"/>
          <w:szCs w:val="22"/>
        </w:rPr>
        <w:t xml:space="preserve">policy-related </w:t>
      </w:r>
      <w:r w:rsidR="00E028A4" w:rsidRPr="006112E3">
        <w:rPr>
          <w:rFonts w:ascii="Arial" w:hAnsi="Arial" w:cs="Arial"/>
          <w:bCs/>
          <w:color w:val="000000" w:themeColor="text1"/>
          <w:sz w:val="22"/>
          <w:szCs w:val="22"/>
        </w:rPr>
        <w:t>immediate decline</w:t>
      </w:r>
      <w:r w:rsidR="002A7376">
        <w:rPr>
          <w:rFonts w:ascii="Arial" w:hAnsi="Arial" w:cs="Arial"/>
          <w:bCs/>
          <w:color w:val="000000" w:themeColor="text1"/>
          <w:sz w:val="22"/>
          <w:szCs w:val="22"/>
        </w:rPr>
        <w:t>s</w:t>
      </w:r>
      <w:r w:rsidR="00E028A4" w:rsidRPr="006112E3">
        <w:rPr>
          <w:rFonts w:ascii="Arial" w:hAnsi="Arial" w:cs="Arial"/>
          <w:bCs/>
          <w:color w:val="000000" w:themeColor="text1"/>
          <w:sz w:val="22"/>
          <w:szCs w:val="22"/>
        </w:rPr>
        <w:t xml:space="preserve"> in </w:t>
      </w:r>
      <w:r w:rsidR="003A3991">
        <w:rPr>
          <w:rFonts w:ascii="Arial" w:hAnsi="Arial" w:cs="Arial"/>
          <w:bCs/>
          <w:color w:val="000000" w:themeColor="text1"/>
          <w:sz w:val="22"/>
          <w:szCs w:val="22"/>
        </w:rPr>
        <w:t xml:space="preserve">post-surgical </w:t>
      </w:r>
      <w:r w:rsidR="00E028A4" w:rsidRPr="006112E3">
        <w:rPr>
          <w:rFonts w:ascii="Arial" w:hAnsi="Arial" w:cs="Arial"/>
          <w:bCs/>
          <w:color w:val="000000" w:themeColor="text1"/>
          <w:sz w:val="22"/>
          <w:szCs w:val="22"/>
        </w:rPr>
        <w:t>opioid prescribing</w:t>
      </w:r>
      <w:r w:rsidR="00203CA4">
        <w:rPr>
          <w:rFonts w:ascii="Arial" w:hAnsi="Arial" w:cs="Arial"/>
          <w:bCs/>
          <w:color w:val="000000" w:themeColor="text1"/>
          <w:sz w:val="22"/>
          <w:szCs w:val="22"/>
        </w:rPr>
        <w:t xml:space="preserve"> </w:t>
      </w:r>
      <w:r w:rsidR="00064AE8">
        <w:rPr>
          <w:rFonts w:ascii="Arial" w:hAnsi="Arial" w:cs="Arial"/>
          <w:bCs/>
          <w:color w:val="000000" w:themeColor="text1"/>
          <w:sz w:val="22"/>
          <w:szCs w:val="22"/>
        </w:rPr>
        <w:t>(</w:t>
      </w:r>
      <w:r w:rsidR="00064AE8" w:rsidRPr="00064AE8">
        <w:rPr>
          <w:rFonts w:ascii="Arial" w:hAnsi="Arial" w:cs="Arial"/>
          <w:b/>
          <w:color w:val="000000" w:themeColor="text1"/>
          <w:sz w:val="22"/>
          <w:szCs w:val="22"/>
        </w:rPr>
        <w:t>Supplementary Table 6</w:t>
      </w:r>
      <w:r w:rsidR="00064AE8">
        <w:rPr>
          <w:rFonts w:ascii="Arial" w:hAnsi="Arial" w:cs="Arial"/>
          <w:bCs/>
          <w:color w:val="000000" w:themeColor="text1"/>
          <w:sz w:val="22"/>
          <w:szCs w:val="22"/>
        </w:rPr>
        <w:t>)</w:t>
      </w:r>
      <w:r w:rsidR="00E028A4" w:rsidRPr="006112E3">
        <w:rPr>
          <w:rFonts w:ascii="Arial" w:hAnsi="Arial" w:cs="Arial"/>
          <w:bCs/>
          <w:color w:val="000000" w:themeColor="text1"/>
          <w:sz w:val="22"/>
          <w:szCs w:val="22"/>
        </w:rPr>
        <w:t xml:space="preserve">. </w:t>
      </w:r>
    </w:p>
    <w:p w14:paraId="3DBBDD00" w14:textId="77777777" w:rsidR="00E028A4" w:rsidRPr="006112E3" w:rsidRDefault="00E028A4" w:rsidP="00E028A4">
      <w:pPr>
        <w:contextualSpacing/>
        <w:rPr>
          <w:rFonts w:ascii="Arial" w:hAnsi="Arial" w:cs="Arial"/>
          <w:bCs/>
          <w:color w:val="000000" w:themeColor="text1"/>
          <w:sz w:val="22"/>
          <w:szCs w:val="22"/>
        </w:rPr>
      </w:pPr>
    </w:p>
    <w:p w14:paraId="250AB92D" w14:textId="0EF4C200" w:rsidR="00C953C1" w:rsidRDefault="00E028A4" w:rsidP="00E028A4">
      <w:pPr>
        <w:contextualSpacing/>
        <w:rPr>
          <w:rFonts w:ascii="Arial" w:hAnsi="Arial" w:cs="Arial"/>
          <w:bCs/>
          <w:color w:val="000000" w:themeColor="text1"/>
          <w:sz w:val="22"/>
          <w:szCs w:val="22"/>
        </w:rPr>
      </w:pPr>
      <w:r w:rsidRPr="006112E3">
        <w:rPr>
          <w:rFonts w:ascii="Arial" w:hAnsi="Arial" w:cs="Arial"/>
          <w:bCs/>
          <w:color w:val="000000" w:themeColor="text1"/>
          <w:sz w:val="22"/>
          <w:szCs w:val="22"/>
        </w:rPr>
        <w:t>After SOPI, surgical patients &gt;65 years experienced the greatest sustained decline in opioid prescribing</w:t>
      </w:r>
      <w:r>
        <w:rPr>
          <w:rFonts w:ascii="Arial" w:hAnsi="Arial" w:cs="Arial"/>
          <w:bCs/>
          <w:color w:val="000000" w:themeColor="text1"/>
          <w:sz w:val="22"/>
          <w:szCs w:val="22"/>
        </w:rPr>
        <w:t>,</w:t>
      </w:r>
      <w:r w:rsidRPr="006112E3">
        <w:rPr>
          <w:rFonts w:ascii="Arial" w:hAnsi="Arial" w:cs="Arial"/>
          <w:bCs/>
          <w:color w:val="000000" w:themeColor="text1"/>
          <w:sz w:val="22"/>
          <w:szCs w:val="22"/>
        </w:rPr>
        <w:t xml:space="preserve"> followed by the 36-65 years age group, while </w:t>
      </w:r>
      <w:r>
        <w:rPr>
          <w:rFonts w:ascii="Arial" w:hAnsi="Arial" w:cs="Arial"/>
          <w:bCs/>
          <w:color w:val="000000" w:themeColor="text1"/>
          <w:sz w:val="22"/>
          <w:szCs w:val="22"/>
        </w:rPr>
        <w:t>those</w:t>
      </w:r>
      <w:r w:rsidRPr="006112E3">
        <w:rPr>
          <w:rFonts w:ascii="Arial" w:hAnsi="Arial" w:cs="Arial"/>
          <w:bCs/>
          <w:color w:val="000000" w:themeColor="text1"/>
          <w:sz w:val="22"/>
          <w:szCs w:val="22"/>
        </w:rPr>
        <w:t xml:space="preserve"> &lt;36 years experienced sustained increases. However, after the </w:t>
      </w:r>
      <w:r w:rsidR="000E6B30">
        <w:rPr>
          <w:rFonts w:ascii="Arial" w:hAnsi="Arial" w:cs="Arial"/>
          <w:bCs/>
          <w:color w:val="000000" w:themeColor="text1"/>
          <w:sz w:val="22"/>
          <w:szCs w:val="22"/>
        </w:rPr>
        <w:t>STOP Act</w:t>
      </w:r>
      <w:r w:rsidRPr="006112E3">
        <w:rPr>
          <w:rFonts w:ascii="Arial" w:hAnsi="Arial" w:cs="Arial"/>
          <w:bCs/>
          <w:color w:val="000000" w:themeColor="text1"/>
          <w:sz w:val="22"/>
          <w:szCs w:val="22"/>
        </w:rPr>
        <w:t xml:space="preserve">, </w:t>
      </w:r>
      <w:r w:rsidR="002A7376" w:rsidRPr="006112E3">
        <w:rPr>
          <w:rFonts w:ascii="Arial" w:hAnsi="Arial" w:cs="Arial"/>
          <w:bCs/>
          <w:color w:val="000000" w:themeColor="text1"/>
          <w:sz w:val="22"/>
          <w:szCs w:val="22"/>
        </w:rPr>
        <w:t xml:space="preserve">those &lt;36 years </w:t>
      </w:r>
      <w:r w:rsidR="002A7376">
        <w:rPr>
          <w:rFonts w:ascii="Arial" w:hAnsi="Arial" w:cs="Arial"/>
          <w:bCs/>
          <w:color w:val="000000" w:themeColor="text1"/>
          <w:sz w:val="22"/>
          <w:szCs w:val="22"/>
        </w:rPr>
        <w:t xml:space="preserve">experienced </w:t>
      </w:r>
      <w:r w:rsidRPr="006112E3">
        <w:rPr>
          <w:rFonts w:ascii="Arial" w:hAnsi="Arial" w:cs="Arial"/>
          <w:bCs/>
          <w:color w:val="000000" w:themeColor="text1"/>
          <w:sz w:val="22"/>
          <w:szCs w:val="22"/>
        </w:rPr>
        <w:t xml:space="preserve">greatest declines in </w:t>
      </w:r>
      <w:r w:rsidR="002A7376">
        <w:rPr>
          <w:rFonts w:ascii="Arial" w:hAnsi="Arial" w:cs="Arial"/>
          <w:bCs/>
          <w:color w:val="000000" w:themeColor="text1"/>
          <w:sz w:val="22"/>
          <w:szCs w:val="22"/>
        </w:rPr>
        <w:t xml:space="preserve">pos-surgical </w:t>
      </w:r>
      <w:r w:rsidRPr="006112E3">
        <w:rPr>
          <w:rFonts w:ascii="Arial" w:hAnsi="Arial" w:cs="Arial"/>
          <w:bCs/>
          <w:color w:val="000000" w:themeColor="text1"/>
          <w:sz w:val="22"/>
          <w:szCs w:val="22"/>
        </w:rPr>
        <w:t>opioid prescribing</w:t>
      </w:r>
      <w:r w:rsidR="002A7376">
        <w:rPr>
          <w:rFonts w:ascii="Arial" w:hAnsi="Arial" w:cs="Arial"/>
          <w:bCs/>
          <w:color w:val="000000" w:themeColor="text1"/>
          <w:sz w:val="22"/>
          <w:szCs w:val="22"/>
        </w:rPr>
        <w:t xml:space="preserve"> </w:t>
      </w:r>
      <w:r w:rsidRPr="006112E3">
        <w:rPr>
          <w:rFonts w:ascii="Arial" w:hAnsi="Arial" w:cs="Arial"/>
          <w:bCs/>
          <w:color w:val="000000" w:themeColor="text1"/>
          <w:sz w:val="22"/>
          <w:szCs w:val="22"/>
        </w:rPr>
        <w:t>(</w:t>
      </w:r>
      <w:r w:rsidRPr="006112E3">
        <w:rPr>
          <w:rFonts w:ascii="Arial" w:hAnsi="Arial" w:cs="Arial"/>
          <w:b/>
          <w:color w:val="000000" w:themeColor="text1"/>
          <w:sz w:val="22"/>
          <w:szCs w:val="22"/>
        </w:rPr>
        <w:t xml:space="preserve">Supplementary Table </w:t>
      </w:r>
      <w:r w:rsidR="00A569F4">
        <w:rPr>
          <w:rFonts w:ascii="Arial" w:hAnsi="Arial" w:cs="Arial"/>
          <w:b/>
          <w:color w:val="000000" w:themeColor="text1"/>
          <w:sz w:val="22"/>
          <w:szCs w:val="22"/>
        </w:rPr>
        <w:t>6</w:t>
      </w:r>
      <w:r w:rsidRPr="006112E3">
        <w:rPr>
          <w:rFonts w:ascii="Arial" w:hAnsi="Arial" w:cs="Arial"/>
          <w:bCs/>
          <w:color w:val="000000" w:themeColor="text1"/>
          <w:sz w:val="22"/>
          <w:szCs w:val="22"/>
        </w:rPr>
        <w:t>). This policy and age interaction reversed for injury patients (</w:t>
      </w:r>
      <w:r w:rsidRPr="00A62977">
        <w:rPr>
          <w:rFonts w:ascii="Arial" w:hAnsi="Arial" w:cs="Arial"/>
          <w:b/>
          <w:color w:val="000000" w:themeColor="text1"/>
          <w:sz w:val="22"/>
          <w:szCs w:val="22"/>
        </w:rPr>
        <w:t xml:space="preserve">Supplementary Table </w:t>
      </w:r>
      <w:r w:rsidR="00A569F4">
        <w:rPr>
          <w:rFonts w:ascii="Arial" w:hAnsi="Arial" w:cs="Arial"/>
          <w:b/>
          <w:color w:val="000000" w:themeColor="text1"/>
          <w:sz w:val="22"/>
          <w:szCs w:val="22"/>
        </w:rPr>
        <w:t>7</w:t>
      </w:r>
      <w:r w:rsidRPr="006112E3">
        <w:rPr>
          <w:rFonts w:ascii="Arial" w:hAnsi="Arial" w:cs="Arial"/>
          <w:bCs/>
          <w:color w:val="000000" w:themeColor="text1"/>
          <w:sz w:val="22"/>
          <w:szCs w:val="22"/>
        </w:rPr>
        <w:t>).</w:t>
      </w:r>
    </w:p>
    <w:p w14:paraId="5B357C51" w14:textId="77777777" w:rsidR="00C953C1" w:rsidRDefault="00C953C1" w:rsidP="00E028A4">
      <w:pPr>
        <w:contextualSpacing/>
        <w:rPr>
          <w:rFonts w:ascii="Arial" w:hAnsi="Arial" w:cs="Arial"/>
          <w:bCs/>
          <w:color w:val="000000" w:themeColor="text1"/>
          <w:sz w:val="22"/>
          <w:szCs w:val="22"/>
        </w:rPr>
      </w:pPr>
    </w:p>
    <w:p w14:paraId="0E0DEC16" w14:textId="01829B6A" w:rsidR="00E028A4" w:rsidRPr="006112E3" w:rsidRDefault="00E028A4" w:rsidP="00E028A4">
      <w:pPr>
        <w:contextualSpacing/>
        <w:rPr>
          <w:rFonts w:ascii="Arial" w:hAnsi="Arial" w:cs="Arial"/>
          <w:bCs/>
          <w:color w:val="000000" w:themeColor="text1"/>
          <w:sz w:val="22"/>
          <w:szCs w:val="22"/>
        </w:rPr>
      </w:pPr>
      <w:r w:rsidRPr="006112E3">
        <w:rPr>
          <w:rFonts w:ascii="Arial" w:hAnsi="Arial" w:cs="Arial"/>
          <w:bCs/>
          <w:color w:val="000000" w:themeColor="text1"/>
          <w:sz w:val="22"/>
          <w:szCs w:val="22"/>
        </w:rPr>
        <w:t xml:space="preserve">Lastly, </w:t>
      </w:r>
      <w:r w:rsidR="00487885">
        <w:rPr>
          <w:rFonts w:ascii="Arial" w:hAnsi="Arial" w:cs="Arial"/>
          <w:bCs/>
          <w:color w:val="000000" w:themeColor="text1"/>
          <w:sz w:val="22"/>
          <w:szCs w:val="22"/>
        </w:rPr>
        <w:t xml:space="preserve">after STOP act, </w:t>
      </w:r>
      <w:r w:rsidRPr="006112E3">
        <w:rPr>
          <w:rFonts w:ascii="Arial" w:hAnsi="Arial" w:cs="Arial"/>
          <w:bCs/>
          <w:color w:val="000000" w:themeColor="text1"/>
          <w:sz w:val="22"/>
          <w:szCs w:val="22"/>
        </w:rPr>
        <w:t>females experienced greater decline</w:t>
      </w:r>
      <w:r>
        <w:rPr>
          <w:rFonts w:ascii="Arial" w:hAnsi="Arial" w:cs="Arial"/>
          <w:bCs/>
          <w:color w:val="000000" w:themeColor="text1"/>
          <w:sz w:val="22"/>
          <w:szCs w:val="22"/>
        </w:rPr>
        <w:t>s than males</w:t>
      </w:r>
      <w:r w:rsidRPr="006112E3">
        <w:rPr>
          <w:rFonts w:ascii="Arial" w:hAnsi="Arial" w:cs="Arial"/>
          <w:bCs/>
          <w:color w:val="000000" w:themeColor="text1"/>
          <w:sz w:val="22"/>
          <w:szCs w:val="22"/>
        </w:rPr>
        <w:t xml:space="preserve"> in receiving an index </w:t>
      </w:r>
      <w:r w:rsidR="00487885">
        <w:rPr>
          <w:rFonts w:ascii="Arial" w:hAnsi="Arial" w:cs="Arial"/>
          <w:bCs/>
          <w:color w:val="000000" w:themeColor="text1"/>
          <w:sz w:val="22"/>
          <w:szCs w:val="22"/>
        </w:rPr>
        <w:t xml:space="preserve">opioid </w:t>
      </w:r>
      <w:r w:rsidRPr="006112E3">
        <w:rPr>
          <w:rFonts w:ascii="Arial" w:hAnsi="Arial" w:cs="Arial"/>
          <w:bCs/>
          <w:color w:val="000000" w:themeColor="text1"/>
          <w:sz w:val="22"/>
          <w:szCs w:val="22"/>
        </w:rPr>
        <w:t>prescription</w:t>
      </w:r>
      <w:r w:rsidR="00487885">
        <w:rPr>
          <w:rFonts w:ascii="Arial" w:hAnsi="Arial" w:cs="Arial"/>
          <w:bCs/>
          <w:color w:val="000000" w:themeColor="text1"/>
          <w:sz w:val="22"/>
          <w:szCs w:val="22"/>
        </w:rPr>
        <w:t xml:space="preserve"> for</w:t>
      </w:r>
      <w:r w:rsidRPr="006112E3">
        <w:rPr>
          <w:rFonts w:ascii="Arial" w:hAnsi="Arial" w:cs="Arial"/>
          <w:bCs/>
          <w:color w:val="000000" w:themeColor="text1"/>
          <w:sz w:val="22"/>
          <w:szCs w:val="22"/>
        </w:rPr>
        <w:t xml:space="preserve"> both </w:t>
      </w:r>
      <w:r w:rsidR="00487885">
        <w:rPr>
          <w:rFonts w:ascii="Arial" w:hAnsi="Arial" w:cs="Arial"/>
          <w:bCs/>
          <w:color w:val="000000" w:themeColor="text1"/>
          <w:sz w:val="22"/>
          <w:szCs w:val="22"/>
        </w:rPr>
        <w:t xml:space="preserve">post-surgical </w:t>
      </w:r>
      <w:r w:rsidRPr="006112E3">
        <w:rPr>
          <w:rFonts w:ascii="Arial" w:hAnsi="Arial" w:cs="Arial"/>
          <w:bCs/>
          <w:color w:val="000000" w:themeColor="text1"/>
          <w:sz w:val="22"/>
          <w:szCs w:val="22"/>
        </w:rPr>
        <w:t xml:space="preserve">(sustained change) and injury (immediate change) </w:t>
      </w:r>
      <w:r w:rsidR="00487885">
        <w:rPr>
          <w:rFonts w:ascii="Arial" w:hAnsi="Arial" w:cs="Arial"/>
          <w:bCs/>
          <w:color w:val="000000" w:themeColor="text1"/>
          <w:sz w:val="22"/>
          <w:szCs w:val="22"/>
        </w:rPr>
        <w:t>pain</w:t>
      </w:r>
      <w:r w:rsidRPr="006112E3">
        <w:rPr>
          <w:rFonts w:ascii="Arial" w:hAnsi="Arial" w:cs="Arial"/>
          <w:bCs/>
          <w:color w:val="000000" w:themeColor="text1"/>
          <w:sz w:val="22"/>
          <w:szCs w:val="22"/>
        </w:rPr>
        <w:t>.</w:t>
      </w:r>
    </w:p>
    <w:p w14:paraId="4726C416" w14:textId="77777777" w:rsidR="00E028A4" w:rsidRPr="006112E3" w:rsidRDefault="00E028A4" w:rsidP="00E028A4">
      <w:pPr>
        <w:contextualSpacing/>
        <w:rPr>
          <w:rFonts w:ascii="Arial" w:hAnsi="Arial" w:cs="Arial"/>
          <w:b/>
          <w:bCs/>
          <w:color w:val="000000" w:themeColor="text1"/>
          <w:sz w:val="22"/>
          <w:szCs w:val="22"/>
        </w:rPr>
      </w:pPr>
      <w:r w:rsidRPr="006112E3">
        <w:rPr>
          <w:rFonts w:ascii="Arial" w:hAnsi="Arial" w:cs="Arial"/>
          <w:b/>
          <w:bCs/>
          <w:color w:val="000000" w:themeColor="text1"/>
          <w:sz w:val="22"/>
          <w:szCs w:val="22"/>
        </w:rPr>
        <w:t xml:space="preserve"> </w:t>
      </w:r>
    </w:p>
    <w:p w14:paraId="353D4D65" w14:textId="77777777" w:rsidR="00E028A4" w:rsidRPr="006112E3" w:rsidRDefault="00E028A4" w:rsidP="00E028A4">
      <w:pPr>
        <w:rPr>
          <w:rFonts w:ascii="Arial" w:hAnsi="Arial" w:cs="Arial"/>
          <w:b/>
          <w:color w:val="000000" w:themeColor="text1"/>
          <w:sz w:val="22"/>
          <w:szCs w:val="22"/>
        </w:rPr>
      </w:pPr>
      <w:r w:rsidRPr="006112E3">
        <w:rPr>
          <w:rFonts w:ascii="Arial" w:hAnsi="Arial" w:cs="Arial"/>
          <w:b/>
          <w:color w:val="000000" w:themeColor="text1"/>
          <w:sz w:val="22"/>
          <w:szCs w:val="22"/>
        </w:rPr>
        <w:t>Discussion</w:t>
      </w:r>
    </w:p>
    <w:p w14:paraId="31A1631A" w14:textId="24723049" w:rsidR="00E028A4" w:rsidRPr="00AB43EE" w:rsidRDefault="00E028A4" w:rsidP="00E028A4">
      <w:pPr>
        <w:rPr>
          <w:rFonts w:ascii="Arial" w:hAnsi="Arial" w:cs="Arial"/>
          <w:bCs/>
          <w:color w:val="000000" w:themeColor="text1"/>
          <w:sz w:val="22"/>
          <w:szCs w:val="22"/>
          <w:vertAlign w:val="superscript"/>
        </w:rPr>
      </w:pPr>
      <w:r>
        <w:rPr>
          <w:rFonts w:ascii="Arial" w:hAnsi="Arial" w:cs="Arial"/>
          <w:bCs/>
          <w:color w:val="000000" w:themeColor="text1"/>
          <w:sz w:val="22"/>
          <w:szCs w:val="22"/>
        </w:rPr>
        <w:t xml:space="preserve">We found that </w:t>
      </w:r>
      <w:r w:rsidR="00487885">
        <w:rPr>
          <w:rFonts w:ascii="Arial" w:hAnsi="Arial" w:cs="Arial"/>
          <w:color w:val="000000" w:themeColor="text1"/>
          <w:sz w:val="22"/>
          <w:szCs w:val="22"/>
        </w:rPr>
        <w:t xml:space="preserve">the </w:t>
      </w:r>
      <w:r w:rsidR="00E21E02" w:rsidRPr="006112E3">
        <w:rPr>
          <w:rFonts w:ascii="Arial" w:hAnsi="Arial" w:cs="Arial"/>
          <w:bCs/>
          <w:color w:val="000000" w:themeColor="text1"/>
          <w:sz w:val="22"/>
          <w:szCs w:val="22"/>
        </w:rPr>
        <w:t xml:space="preserve">two </w:t>
      </w:r>
      <w:r w:rsidR="00E21E02">
        <w:rPr>
          <w:rFonts w:ascii="Arial" w:hAnsi="Arial" w:cs="Arial"/>
          <w:bCs/>
          <w:color w:val="000000" w:themeColor="text1"/>
          <w:sz w:val="22"/>
          <w:szCs w:val="22"/>
        </w:rPr>
        <w:t xml:space="preserve">NC </w:t>
      </w:r>
      <w:r w:rsidR="00487885">
        <w:rPr>
          <w:rFonts w:ascii="Arial" w:hAnsi="Arial" w:cs="Arial"/>
          <w:bCs/>
          <w:color w:val="000000" w:themeColor="text1"/>
          <w:sz w:val="22"/>
          <w:szCs w:val="22"/>
        </w:rPr>
        <w:t xml:space="preserve">opioid prescribing </w:t>
      </w:r>
      <w:r w:rsidR="00E21E02" w:rsidRPr="006112E3">
        <w:rPr>
          <w:rFonts w:ascii="Arial" w:hAnsi="Arial" w:cs="Arial"/>
          <w:bCs/>
          <w:color w:val="000000" w:themeColor="text1"/>
          <w:sz w:val="22"/>
          <w:szCs w:val="22"/>
        </w:rPr>
        <w:t>policies</w:t>
      </w:r>
      <w:r w:rsidR="00E21E02">
        <w:rPr>
          <w:rFonts w:ascii="Arial" w:hAnsi="Arial" w:cs="Arial"/>
          <w:bCs/>
          <w:color w:val="000000" w:themeColor="text1"/>
          <w:sz w:val="22"/>
          <w:szCs w:val="22"/>
        </w:rPr>
        <w:t>,</w:t>
      </w:r>
      <w:r>
        <w:rPr>
          <w:rFonts w:ascii="Arial" w:hAnsi="Arial" w:cs="Arial"/>
          <w:color w:val="000000" w:themeColor="text1"/>
          <w:sz w:val="22"/>
          <w:szCs w:val="22"/>
        </w:rPr>
        <w:t xml:space="preserve"> </w:t>
      </w:r>
      <w:r w:rsidRPr="006112E3">
        <w:rPr>
          <w:rFonts w:ascii="Arial" w:hAnsi="Arial" w:cs="Arial"/>
          <w:bCs/>
          <w:color w:val="000000" w:themeColor="text1"/>
          <w:sz w:val="22"/>
          <w:szCs w:val="22"/>
        </w:rPr>
        <w:t xml:space="preserve">SOPI and </w:t>
      </w:r>
      <w:r w:rsidR="000E6B30">
        <w:rPr>
          <w:rFonts w:ascii="Arial" w:hAnsi="Arial" w:cs="Arial"/>
          <w:bCs/>
          <w:color w:val="000000" w:themeColor="text1"/>
          <w:sz w:val="22"/>
          <w:szCs w:val="22"/>
        </w:rPr>
        <w:t>STOP Act</w:t>
      </w:r>
      <w:r w:rsidR="00E21E02">
        <w:rPr>
          <w:rFonts w:ascii="Arial" w:hAnsi="Arial" w:cs="Arial"/>
          <w:bCs/>
          <w:color w:val="000000" w:themeColor="text1"/>
          <w:sz w:val="22"/>
          <w:szCs w:val="22"/>
        </w:rPr>
        <w:t>,</w:t>
      </w:r>
      <w:r>
        <w:rPr>
          <w:rFonts w:ascii="Arial" w:hAnsi="Arial" w:cs="Arial"/>
          <w:bCs/>
          <w:color w:val="000000" w:themeColor="text1"/>
          <w:sz w:val="22"/>
          <w:szCs w:val="22"/>
        </w:rPr>
        <w:t xml:space="preserve"> </w:t>
      </w:r>
      <w:r w:rsidR="00487885">
        <w:rPr>
          <w:rFonts w:ascii="Arial" w:hAnsi="Arial" w:cs="Arial"/>
          <w:bCs/>
          <w:color w:val="000000" w:themeColor="text1"/>
          <w:sz w:val="22"/>
          <w:szCs w:val="22"/>
        </w:rPr>
        <w:t>led to</w:t>
      </w:r>
      <w:r w:rsidRPr="006112E3">
        <w:rPr>
          <w:rFonts w:ascii="Arial" w:hAnsi="Arial" w:cs="Arial"/>
          <w:bCs/>
          <w:color w:val="000000" w:themeColor="text1"/>
          <w:sz w:val="22"/>
          <w:szCs w:val="22"/>
        </w:rPr>
        <w:t xml:space="preserve"> </w:t>
      </w:r>
      <w:r>
        <w:rPr>
          <w:rFonts w:ascii="Arial" w:hAnsi="Arial" w:cs="Arial"/>
          <w:bCs/>
          <w:color w:val="000000" w:themeColor="text1"/>
          <w:sz w:val="22"/>
          <w:szCs w:val="22"/>
        </w:rPr>
        <w:t>sustained declines in index and subsequent opioid prescribing rates</w:t>
      </w:r>
      <w:r w:rsidR="00E21E02">
        <w:rPr>
          <w:rFonts w:ascii="Arial" w:hAnsi="Arial" w:cs="Arial"/>
          <w:bCs/>
          <w:color w:val="000000" w:themeColor="text1"/>
          <w:sz w:val="22"/>
          <w:szCs w:val="22"/>
        </w:rPr>
        <w:t xml:space="preserve"> </w:t>
      </w:r>
      <w:r w:rsidR="00E21E02" w:rsidRPr="006112E3">
        <w:rPr>
          <w:rFonts w:ascii="Arial" w:hAnsi="Arial" w:cs="Arial"/>
          <w:bCs/>
          <w:color w:val="000000" w:themeColor="text1"/>
          <w:sz w:val="22"/>
          <w:szCs w:val="22"/>
        </w:rPr>
        <w:t xml:space="preserve">among patients </w:t>
      </w:r>
      <w:r w:rsidR="00487885">
        <w:rPr>
          <w:rFonts w:ascii="Arial" w:hAnsi="Arial" w:cs="Arial"/>
          <w:bCs/>
          <w:color w:val="000000" w:themeColor="text1"/>
          <w:sz w:val="22"/>
          <w:szCs w:val="22"/>
        </w:rPr>
        <w:t xml:space="preserve">with injury and surgery pain </w:t>
      </w:r>
      <w:r w:rsidR="00C953C1">
        <w:rPr>
          <w:rFonts w:ascii="Arial" w:hAnsi="Arial" w:cs="Arial"/>
          <w:bCs/>
          <w:color w:val="000000" w:themeColor="text1"/>
          <w:sz w:val="22"/>
          <w:szCs w:val="22"/>
        </w:rPr>
        <w:t>at two large integrated healthcare systems in NC</w:t>
      </w:r>
      <w:r w:rsidR="00487885">
        <w:rPr>
          <w:rFonts w:ascii="Arial" w:hAnsi="Arial" w:cs="Arial"/>
          <w:bCs/>
          <w:color w:val="000000" w:themeColor="text1"/>
          <w:sz w:val="22"/>
          <w:szCs w:val="22"/>
        </w:rPr>
        <w:t xml:space="preserve">. These effects may be due to policy-concordant changes in provider </w:t>
      </w:r>
      <w:r w:rsidR="00C953C1">
        <w:rPr>
          <w:rFonts w:ascii="Arial" w:hAnsi="Arial" w:cs="Arial"/>
          <w:bCs/>
          <w:color w:val="000000" w:themeColor="text1"/>
          <w:sz w:val="22"/>
          <w:szCs w:val="22"/>
        </w:rPr>
        <w:t xml:space="preserve">opioid prescribing </w:t>
      </w:r>
      <w:r w:rsidR="00487885">
        <w:rPr>
          <w:rFonts w:ascii="Arial" w:hAnsi="Arial" w:cs="Arial"/>
          <w:bCs/>
          <w:color w:val="000000" w:themeColor="text1"/>
          <w:sz w:val="22"/>
          <w:szCs w:val="22"/>
        </w:rPr>
        <w:t>practice but</w:t>
      </w:r>
      <w:r w:rsidR="00C953C1">
        <w:rPr>
          <w:rFonts w:ascii="Arial" w:hAnsi="Arial" w:cs="Arial"/>
          <w:bCs/>
          <w:color w:val="000000" w:themeColor="text1"/>
          <w:sz w:val="22"/>
          <w:szCs w:val="22"/>
        </w:rPr>
        <w:t xml:space="preserve"> </w:t>
      </w:r>
      <w:r w:rsidR="00487885">
        <w:rPr>
          <w:rFonts w:ascii="Arial" w:hAnsi="Arial" w:cs="Arial"/>
          <w:bCs/>
          <w:color w:val="000000" w:themeColor="text1"/>
          <w:sz w:val="22"/>
          <w:szCs w:val="22"/>
        </w:rPr>
        <w:t xml:space="preserve">may </w:t>
      </w:r>
      <w:r w:rsidR="00C953C1">
        <w:rPr>
          <w:rFonts w:ascii="Arial" w:hAnsi="Arial" w:cs="Arial"/>
          <w:bCs/>
          <w:color w:val="000000" w:themeColor="text1"/>
          <w:sz w:val="22"/>
          <w:szCs w:val="22"/>
        </w:rPr>
        <w:t xml:space="preserve">also </w:t>
      </w:r>
      <w:r w:rsidR="00487885">
        <w:rPr>
          <w:rFonts w:ascii="Arial" w:hAnsi="Arial" w:cs="Arial"/>
          <w:bCs/>
          <w:color w:val="000000" w:themeColor="text1"/>
          <w:sz w:val="22"/>
          <w:szCs w:val="22"/>
        </w:rPr>
        <w:t xml:space="preserve">be due to </w:t>
      </w:r>
      <w:r w:rsidR="00C953C1">
        <w:rPr>
          <w:rFonts w:ascii="Arial" w:hAnsi="Arial" w:cs="Arial"/>
          <w:bCs/>
          <w:color w:val="000000" w:themeColor="text1"/>
          <w:sz w:val="22"/>
          <w:szCs w:val="22"/>
        </w:rPr>
        <w:t xml:space="preserve">potentially chilling </w:t>
      </w:r>
      <w:r>
        <w:rPr>
          <w:rFonts w:ascii="Arial" w:hAnsi="Arial" w:cs="Arial"/>
          <w:bCs/>
          <w:color w:val="000000" w:themeColor="text1"/>
          <w:sz w:val="22"/>
          <w:szCs w:val="22"/>
        </w:rPr>
        <w:t xml:space="preserve">influence of </w:t>
      </w:r>
      <w:r w:rsidR="00C953C1">
        <w:rPr>
          <w:rFonts w:ascii="Arial" w:hAnsi="Arial" w:cs="Arial"/>
          <w:bCs/>
          <w:color w:val="000000" w:themeColor="text1"/>
          <w:sz w:val="22"/>
          <w:szCs w:val="22"/>
        </w:rPr>
        <w:t>the policies</w:t>
      </w:r>
      <w:r>
        <w:rPr>
          <w:rFonts w:ascii="Arial" w:hAnsi="Arial" w:cs="Arial"/>
          <w:bCs/>
          <w:color w:val="000000" w:themeColor="text1"/>
          <w:sz w:val="22"/>
          <w:szCs w:val="22"/>
        </w:rPr>
        <w:t>.</w:t>
      </w:r>
      <w:r w:rsidR="002B0243">
        <w:rPr>
          <w:rFonts w:ascii="Arial" w:hAnsi="Arial" w:cs="Arial"/>
          <w:bCs/>
          <w:color w:val="000000" w:themeColor="text1"/>
          <w:sz w:val="22"/>
          <w:szCs w:val="22"/>
        </w:rPr>
        <w:t xml:space="preserve"> </w:t>
      </w:r>
      <w:r w:rsidR="00487885">
        <w:rPr>
          <w:rFonts w:ascii="Arial" w:hAnsi="Arial" w:cs="Arial"/>
          <w:bCs/>
          <w:color w:val="000000" w:themeColor="text1"/>
          <w:sz w:val="22"/>
          <w:szCs w:val="22"/>
        </w:rPr>
        <w:t>W</w:t>
      </w:r>
      <w:r w:rsidRPr="006112E3">
        <w:rPr>
          <w:rFonts w:ascii="Arial" w:hAnsi="Arial" w:cs="Arial"/>
          <w:bCs/>
          <w:color w:val="000000" w:themeColor="text1"/>
          <w:sz w:val="22"/>
          <w:szCs w:val="22"/>
        </w:rPr>
        <w:t xml:space="preserve">hile the mandate to reduce days’ supply for index opioid prescriptions for surgical and injury pain </w:t>
      </w:r>
      <w:r>
        <w:rPr>
          <w:rFonts w:ascii="Arial" w:hAnsi="Arial" w:cs="Arial"/>
          <w:bCs/>
          <w:color w:val="000000" w:themeColor="text1"/>
          <w:sz w:val="22"/>
          <w:szCs w:val="22"/>
        </w:rPr>
        <w:t>was</w:t>
      </w:r>
      <w:r w:rsidRPr="006112E3">
        <w:rPr>
          <w:rFonts w:ascii="Arial" w:hAnsi="Arial" w:cs="Arial"/>
          <w:bCs/>
          <w:color w:val="000000" w:themeColor="text1"/>
          <w:sz w:val="22"/>
          <w:szCs w:val="22"/>
        </w:rPr>
        <w:t xml:space="preserve"> implemented with the </w:t>
      </w:r>
      <w:r w:rsidR="000E6B30">
        <w:rPr>
          <w:rFonts w:ascii="Arial" w:hAnsi="Arial" w:cs="Arial"/>
          <w:bCs/>
          <w:color w:val="000000" w:themeColor="text1"/>
          <w:sz w:val="22"/>
          <w:szCs w:val="22"/>
        </w:rPr>
        <w:t>STOP Act</w:t>
      </w:r>
      <w:r w:rsidRPr="006112E3">
        <w:rPr>
          <w:rFonts w:ascii="Arial" w:hAnsi="Arial" w:cs="Arial"/>
          <w:bCs/>
          <w:color w:val="000000" w:themeColor="text1"/>
          <w:sz w:val="22"/>
          <w:szCs w:val="22"/>
        </w:rPr>
        <w:t>, these changes were already occurring after SOPI</w:t>
      </w:r>
      <w:r w:rsidR="00487885">
        <w:rPr>
          <w:rFonts w:ascii="Arial" w:hAnsi="Arial" w:cs="Arial"/>
          <w:bCs/>
          <w:color w:val="000000" w:themeColor="text1"/>
          <w:sz w:val="22"/>
          <w:szCs w:val="22"/>
        </w:rPr>
        <w:t>.</w:t>
      </w:r>
      <w:r w:rsidRPr="006112E3">
        <w:rPr>
          <w:rFonts w:ascii="Arial" w:hAnsi="Arial" w:cs="Arial"/>
          <w:bCs/>
          <w:color w:val="000000" w:themeColor="text1"/>
          <w:sz w:val="22"/>
          <w:szCs w:val="22"/>
        </w:rPr>
        <w:t xml:space="preserve"> </w:t>
      </w:r>
      <w:r w:rsidR="00E21E02">
        <w:rPr>
          <w:rFonts w:ascii="Arial" w:hAnsi="Arial" w:cs="Arial"/>
          <w:bCs/>
          <w:color w:val="000000" w:themeColor="text1"/>
          <w:sz w:val="22"/>
          <w:szCs w:val="22"/>
        </w:rPr>
        <w:t>P</w:t>
      </w:r>
      <w:r w:rsidRPr="006112E3">
        <w:rPr>
          <w:rFonts w:ascii="Arial" w:hAnsi="Arial" w:cs="Arial"/>
          <w:bCs/>
          <w:color w:val="000000" w:themeColor="text1"/>
          <w:sz w:val="22"/>
          <w:szCs w:val="22"/>
        </w:rPr>
        <w:t xml:space="preserve">er the </w:t>
      </w:r>
      <w:r w:rsidR="000E6B30">
        <w:rPr>
          <w:rFonts w:ascii="Arial" w:hAnsi="Arial" w:cs="Arial"/>
          <w:bCs/>
          <w:color w:val="000000" w:themeColor="text1"/>
          <w:sz w:val="22"/>
          <w:szCs w:val="22"/>
        </w:rPr>
        <w:t>STOP Act</w:t>
      </w:r>
      <w:r w:rsidR="009B1937">
        <w:rPr>
          <w:rFonts w:ascii="Arial" w:hAnsi="Arial" w:cs="Arial"/>
          <w:bCs/>
          <w:color w:val="000000" w:themeColor="text1"/>
          <w:sz w:val="22"/>
          <w:szCs w:val="22"/>
        </w:rPr>
        <w:t>,</w:t>
      </w:r>
      <w:r w:rsidRPr="006112E3">
        <w:rPr>
          <w:rFonts w:ascii="Arial" w:hAnsi="Arial" w:cs="Arial"/>
          <w:bCs/>
          <w:color w:val="000000" w:themeColor="text1"/>
          <w:sz w:val="22"/>
          <w:szCs w:val="22"/>
        </w:rPr>
        <w:t xml:space="preserve"> the days’ supply changes were meant to impact index opioid prescriptions only</w:t>
      </w:r>
      <w:r w:rsidR="00E21E02">
        <w:rPr>
          <w:rFonts w:ascii="Arial" w:hAnsi="Arial" w:cs="Arial"/>
          <w:bCs/>
          <w:color w:val="000000" w:themeColor="text1"/>
          <w:sz w:val="22"/>
          <w:szCs w:val="22"/>
        </w:rPr>
        <w:t xml:space="preserve">; </w:t>
      </w:r>
      <w:r w:rsidRPr="006112E3">
        <w:rPr>
          <w:rFonts w:ascii="Arial" w:hAnsi="Arial" w:cs="Arial"/>
          <w:bCs/>
          <w:color w:val="000000" w:themeColor="text1"/>
          <w:sz w:val="22"/>
          <w:szCs w:val="22"/>
        </w:rPr>
        <w:t xml:space="preserve">however, there was a greater </w:t>
      </w:r>
      <w:r w:rsidR="00304300">
        <w:rPr>
          <w:rFonts w:ascii="Arial" w:hAnsi="Arial" w:cs="Arial"/>
          <w:bCs/>
          <w:color w:val="000000" w:themeColor="text1"/>
          <w:sz w:val="22"/>
          <w:szCs w:val="22"/>
        </w:rPr>
        <w:t xml:space="preserve">policy </w:t>
      </w:r>
      <w:r w:rsidRPr="006112E3">
        <w:rPr>
          <w:rFonts w:ascii="Arial" w:hAnsi="Arial" w:cs="Arial"/>
          <w:bCs/>
          <w:color w:val="000000" w:themeColor="text1"/>
          <w:sz w:val="22"/>
          <w:szCs w:val="22"/>
        </w:rPr>
        <w:t>impact</w:t>
      </w:r>
      <w:r w:rsidR="00C953C1">
        <w:rPr>
          <w:rFonts w:ascii="Arial" w:hAnsi="Arial" w:cs="Arial"/>
          <w:bCs/>
          <w:color w:val="000000" w:themeColor="text1"/>
          <w:sz w:val="22"/>
          <w:szCs w:val="22"/>
        </w:rPr>
        <w:t xml:space="preserve"> </w:t>
      </w:r>
      <w:r w:rsidRPr="006112E3">
        <w:rPr>
          <w:rFonts w:ascii="Arial" w:hAnsi="Arial" w:cs="Arial"/>
          <w:bCs/>
          <w:color w:val="000000" w:themeColor="text1"/>
          <w:sz w:val="22"/>
          <w:szCs w:val="22"/>
        </w:rPr>
        <w:t xml:space="preserve">on subsequent prescriptions </w:t>
      </w:r>
      <w:r w:rsidRPr="00212A87">
        <w:rPr>
          <w:rFonts w:ascii="Arial" w:hAnsi="Arial" w:cs="Arial"/>
          <w:bCs/>
          <w:color w:val="000000" w:themeColor="text1"/>
          <w:sz w:val="22"/>
          <w:szCs w:val="22"/>
        </w:rPr>
        <w:t>than index prescriptions for both surgical and injury pain patients.</w:t>
      </w:r>
      <w:r w:rsidR="00944D7B">
        <w:rPr>
          <w:rFonts w:ascii="Arial" w:hAnsi="Arial" w:cs="Arial"/>
          <w:bCs/>
          <w:color w:val="000000" w:themeColor="text1"/>
          <w:sz w:val="22"/>
          <w:szCs w:val="22"/>
        </w:rPr>
        <w:t xml:space="preserve"> </w:t>
      </w:r>
      <w:r w:rsidR="004B645C">
        <w:rPr>
          <w:rFonts w:ascii="Arial" w:hAnsi="Arial" w:cs="Arial"/>
          <w:bCs/>
          <w:color w:val="000000" w:themeColor="text1"/>
          <w:sz w:val="22"/>
          <w:szCs w:val="22"/>
        </w:rPr>
        <w:t>The change</w:t>
      </w:r>
      <w:r w:rsidR="00304300">
        <w:rPr>
          <w:rFonts w:ascii="Arial" w:hAnsi="Arial" w:cs="Arial"/>
          <w:bCs/>
          <w:color w:val="000000" w:themeColor="text1"/>
          <w:sz w:val="22"/>
          <w:szCs w:val="22"/>
        </w:rPr>
        <w:t>s</w:t>
      </w:r>
      <w:r w:rsidR="004B645C">
        <w:rPr>
          <w:rFonts w:ascii="Arial" w:hAnsi="Arial" w:cs="Arial"/>
          <w:bCs/>
          <w:color w:val="000000" w:themeColor="text1"/>
          <w:sz w:val="22"/>
          <w:szCs w:val="22"/>
        </w:rPr>
        <w:t xml:space="preserve"> in subsequent </w:t>
      </w:r>
      <w:r w:rsidR="00304300">
        <w:rPr>
          <w:rFonts w:ascii="Arial" w:hAnsi="Arial" w:cs="Arial"/>
          <w:bCs/>
          <w:color w:val="000000" w:themeColor="text1"/>
          <w:sz w:val="22"/>
          <w:szCs w:val="22"/>
        </w:rPr>
        <w:t xml:space="preserve">days’ supply </w:t>
      </w:r>
      <w:r w:rsidR="004B645C">
        <w:rPr>
          <w:rFonts w:ascii="Arial" w:hAnsi="Arial" w:cs="Arial"/>
          <w:bCs/>
          <w:color w:val="000000" w:themeColor="text1"/>
          <w:sz w:val="22"/>
          <w:szCs w:val="22"/>
        </w:rPr>
        <w:t xml:space="preserve">may be related to the reduction </w:t>
      </w:r>
      <w:r w:rsidR="00304300">
        <w:rPr>
          <w:rFonts w:ascii="Arial" w:hAnsi="Arial" w:cs="Arial"/>
          <w:bCs/>
          <w:color w:val="000000" w:themeColor="text1"/>
          <w:sz w:val="22"/>
          <w:szCs w:val="22"/>
        </w:rPr>
        <w:t>index</w:t>
      </w:r>
      <w:r w:rsidR="006060B1">
        <w:rPr>
          <w:rFonts w:ascii="Arial" w:hAnsi="Arial" w:cs="Arial"/>
          <w:bCs/>
          <w:color w:val="000000" w:themeColor="text1"/>
          <w:sz w:val="22"/>
          <w:szCs w:val="22"/>
        </w:rPr>
        <w:t xml:space="preserve"> </w:t>
      </w:r>
      <w:r w:rsidR="00304300">
        <w:rPr>
          <w:rFonts w:ascii="Arial" w:hAnsi="Arial" w:cs="Arial"/>
          <w:bCs/>
          <w:color w:val="000000" w:themeColor="text1"/>
          <w:sz w:val="22"/>
          <w:szCs w:val="22"/>
        </w:rPr>
        <w:t>days’ supply</w:t>
      </w:r>
      <w:r w:rsidR="00E21E02">
        <w:rPr>
          <w:rFonts w:ascii="Arial" w:hAnsi="Arial" w:cs="Arial"/>
          <w:bCs/>
          <w:color w:val="000000" w:themeColor="text1"/>
          <w:sz w:val="22"/>
          <w:szCs w:val="22"/>
        </w:rPr>
        <w:t xml:space="preserve"> as p</w:t>
      </w:r>
      <w:r w:rsidR="006060B1">
        <w:rPr>
          <w:rFonts w:ascii="Arial" w:hAnsi="Arial" w:cs="Arial"/>
          <w:bCs/>
          <w:color w:val="000000" w:themeColor="text1"/>
          <w:sz w:val="22"/>
          <w:szCs w:val="22"/>
        </w:rPr>
        <w:t>rior studies have shown that higher days’ supply of first</w:t>
      </w:r>
      <w:r w:rsidR="00E21E02">
        <w:rPr>
          <w:rFonts w:ascii="Arial" w:hAnsi="Arial" w:cs="Arial"/>
          <w:bCs/>
          <w:color w:val="000000" w:themeColor="text1"/>
          <w:sz w:val="22"/>
          <w:szCs w:val="22"/>
        </w:rPr>
        <w:t xml:space="preserve"> opioid</w:t>
      </w:r>
      <w:r w:rsidR="006060B1">
        <w:rPr>
          <w:rFonts w:ascii="Arial" w:hAnsi="Arial" w:cs="Arial"/>
          <w:bCs/>
          <w:color w:val="000000" w:themeColor="text1"/>
          <w:sz w:val="22"/>
          <w:szCs w:val="22"/>
        </w:rPr>
        <w:t xml:space="preserve"> prescriptions result in </w:t>
      </w:r>
      <w:r w:rsidR="00304300">
        <w:rPr>
          <w:rFonts w:ascii="Arial" w:hAnsi="Arial" w:cs="Arial"/>
          <w:bCs/>
          <w:color w:val="000000" w:themeColor="text1"/>
          <w:sz w:val="22"/>
          <w:szCs w:val="22"/>
        </w:rPr>
        <w:t>more</w:t>
      </w:r>
      <w:r w:rsidR="006060B1">
        <w:rPr>
          <w:rFonts w:ascii="Arial" w:hAnsi="Arial" w:cs="Arial"/>
          <w:bCs/>
          <w:color w:val="000000" w:themeColor="text1"/>
          <w:sz w:val="22"/>
          <w:szCs w:val="22"/>
        </w:rPr>
        <w:t xml:space="preserve"> subsequent prescriptions and long</w:t>
      </w:r>
      <w:r w:rsidR="007E4E41">
        <w:rPr>
          <w:rFonts w:ascii="Arial" w:hAnsi="Arial" w:cs="Arial"/>
          <w:bCs/>
          <w:color w:val="000000" w:themeColor="text1"/>
          <w:sz w:val="22"/>
          <w:szCs w:val="22"/>
        </w:rPr>
        <w:t>-</w:t>
      </w:r>
      <w:r w:rsidR="006060B1">
        <w:rPr>
          <w:rFonts w:ascii="Arial" w:hAnsi="Arial" w:cs="Arial"/>
          <w:bCs/>
          <w:color w:val="000000" w:themeColor="text1"/>
          <w:sz w:val="22"/>
          <w:szCs w:val="22"/>
        </w:rPr>
        <w:t>term use.</w:t>
      </w:r>
      <w:r w:rsidR="001B40DF">
        <w:rPr>
          <w:rFonts w:ascii="Arial" w:hAnsi="Arial" w:cs="Arial"/>
          <w:bCs/>
          <w:color w:val="000000" w:themeColor="text1"/>
          <w:sz w:val="22"/>
          <w:szCs w:val="22"/>
        </w:rPr>
        <w:fldChar w:fldCharType="begin"/>
      </w:r>
      <w:r w:rsidR="001B40DF">
        <w:rPr>
          <w:rFonts w:ascii="Arial" w:hAnsi="Arial" w:cs="Arial"/>
          <w:bCs/>
          <w:color w:val="000000" w:themeColor="text1"/>
          <w:sz w:val="22"/>
          <w:szCs w:val="22"/>
        </w:rPr>
        <w:instrText xml:space="preserve"> ADDIN ZOTERO_ITEM CSL_CITATION {"citationID":"mQ5zS8mJ","properties":{"formattedCitation":"\\super 31\\nosupersub{}","plainCitation":"31","noteIndex":0},"citationItems":[{"id":15520,"uris":["http://zotero.org/users/5919053/items/DX27AZ3G"],"itemData":{"id":15520,"type":"article-journal","abstract":"Background: \n\nIn response to concerns about opioid addiction following surgery, many states have implemented laws capping the days supplied for initial postoperative prescriptions. However, few studies have examined changes in the risk of prolonged opioid use associated with the initial amount prescribed.\n\nObjective:\n\nThe objective of this study was to estimate the risk of prolonged opioid use associated with the length of initial opioid prescribed and the potential impact of prescribing limits.\n\nResearch Design:\n\nUsing Medicare insurance claims (2007–2017), we identified opioid-naive adults undergoing surgery. Using G-computation methods with logistic regression models, we estimated the risk of prolonged opioid use (≥1 opioid prescription dispensed in 3 consecutive 30-d windows following surgery) associated with the varying initial number of days supplied. We then estimate the potential reduction in cases of prolonged opioid use associated with varying prescribing limits.\n\nResults:\n\nWe identified 1,060,596 opioid-naive surgical patients. Among the 70.0% who received an opioid for postoperative pain, 1.9% had prolonged opioid use. The risk of prolonged use increased from 0.7% (1 d supply) to 4.4% (15+ d). We estimated that a prescribing limit of 4 days would be associated with a risk reduction of 4.84 (3.59, 6.09)/1000 patients and would be associated with 2255 cases of prolonged use potentially avoided. The commonly used day supply limit of 7 would be associated with a smaller reduction in risk [absolute risk difference=2.04 (−0.17, 4.25)/1000].\n\nConclusions:\n\nThe risk of prolonged opioid use following surgery increased monotonically with increasing prescription duration. Common prescribing maximums based on days supplied may impact many patients but are associated with relatively low numbers of reduced cases of prolonged use. Any prescribing limits need to be weighed against the need for adequate pain management.","container-title":"Medical Care","ISSN":"0025-7079","issue":"1","title":"Impacts of Initial Prescription Length and Prescribing Limits on Risk of Prolonged Postsurgical Opioid Use","URL":"https://journals.lww.com/lww-medicalcare/Fulltext/2022/01000/Impacts_of_Initial_Prescription_Length_and.11.aspx","volume":"60","author":[{"family":"Young","given":"Jessica C."},{"family":"Dasgupta","given":"Nabarun"},{"family":"Chidgey","given":"Brooke A."},{"family":"Stürmer","given":"Til"},{"family":"Pate","given":"Virginia"},{"family":"Hudgens","given":"Michael"},{"family":"Jonsson Funk","given":"Michele"}],"issued":{"date-parts":[["2022"]]}}}],"schema":"https://github.com/citation-style-language/schema/raw/master/csl-citation.json"} </w:instrText>
      </w:r>
      <w:r w:rsidR="001B40DF">
        <w:rPr>
          <w:rFonts w:ascii="Arial" w:hAnsi="Arial" w:cs="Arial"/>
          <w:bCs/>
          <w:color w:val="000000" w:themeColor="text1"/>
          <w:sz w:val="22"/>
          <w:szCs w:val="22"/>
        </w:rPr>
        <w:fldChar w:fldCharType="separate"/>
      </w:r>
      <w:r w:rsidR="001B40DF" w:rsidRPr="001B40DF">
        <w:rPr>
          <w:rFonts w:ascii="Arial" w:hAnsi="Arial" w:cs="Arial"/>
          <w:color w:val="000000"/>
          <w:sz w:val="22"/>
          <w:vertAlign w:val="superscript"/>
        </w:rPr>
        <w:t>31</w:t>
      </w:r>
      <w:r w:rsidR="001B40DF">
        <w:rPr>
          <w:rFonts w:ascii="Arial" w:hAnsi="Arial" w:cs="Arial"/>
          <w:bCs/>
          <w:color w:val="000000" w:themeColor="text1"/>
          <w:sz w:val="22"/>
          <w:szCs w:val="22"/>
        </w:rPr>
        <w:fldChar w:fldCharType="end"/>
      </w:r>
      <w:r w:rsidR="009D4FD1">
        <w:rPr>
          <w:rFonts w:ascii="Arial" w:hAnsi="Arial" w:cs="Arial"/>
          <w:bCs/>
          <w:color w:val="000000" w:themeColor="text1"/>
          <w:sz w:val="22"/>
          <w:szCs w:val="22"/>
        </w:rPr>
        <w:t xml:space="preserve"> However, these changes </w:t>
      </w:r>
      <w:r w:rsidR="000A0080">
        <w:rPr>
          <w:rFonts w:ascii="Arial" w:hAnsi="Arial" w:cs="Arial"/>
          <w:bCs/>
          <w:color w:val="000000" w:themeColor="text1"/>
          <w:sz w:val="22"/>
          <w:szCs w:val="22"/>
        </w:rPr>
        <w:t xml:space="preserve">may also reflect </w:t>
      </w:r>
      <w:r w:rsidR="00AB43EE">
        <w:rPr>
          <w:rFonts w:ascii="Arial" w:hAnsi="Arial" w:cs="Arial"/>
          <w:bCs/>
          <w:color w:val="000000" w:themeColor="text1"/>
          <w:sz w:val="22"/>
          <w:szCs w:val="22"/>
        </w:rPr>
        <w:t xml:space="preserve">clinician’s </w:t>
      </w:r>
      <w:r w:rsidR="000A0080">
        <w:rPr>
          <w:rFonts w:ascii="Arial" w:hAnsi="Arial" w:cs="Arial"/>
          <w:bCs/>
          <w:color w:val="000000" w:themeColor="text1"/>
          <w:sz w:val="22"/>
          <w:szCs w:val="22"/>
        </w:rPr>
        <w:t xml:space="preserve">unwillingness to prescribe as </w:t>
      </w:r>
      <w:r w:rsidR="00AB43EE">
        <w:rPr>
          <w:rFonts w:ascii="Arial" w:hAnsi="Arial" w:cs="Arial"/>
          <w:bCs/>
          <w:color w:val="000000" w:themeColor="text1"/>
          <w:sz w:val="22"/>
          <w:szCs w:val="22"/>
        </w:rPr>
        <w:t xml:space="preserve">prior </w:t>
      </w:r>
      <w:r w:rsidR="000A0080">
        <w:rPr>
          <w:rFonts w:ascii="Arial" w:hAnsi="Arial" w:cs="Arial"/>
          <w:bCs/>
          <w:color w:val="000000" w:themeColor="text1"/>
          <w:sz w:val="22"/>
          <w:szCs w:val="22"/>
        </w:rPr>
        <w:t>quali</w:t>
      </w:r>
      <w:r w:rsidR="001F4D4D">
        <w:rPr>
          <w:rFonts w:ascii="Arial" w:hAnsi="Arial" w:cs="Arial"/>
          <w:bCs/>
          <w:color w:val="000000" w:themeColor="text1"/>
          <w:sz w:val="22"/>
          <w:szCs w:val="22"/>
        </w:rPr>
        <w:t xml:space="preserve">tative </w:t>
      </w:r>
      <w:r w:rsidR="00AC7946">
        <w:rPr>
          <w:rFonts w:ascii="Arial" w:hAnsi="Arial" w:cs="Arial"/>
          <w:bCs/>
          <w:color w:val="000000" w:themeColor="text1"/>
          <w:sz w:val="22"/>
          <w:szCs w:val="22"/>
        </w:rPr>
        <w:t>research</w:t>
      </w:r>
      <w:r w:rsidR="00AB43EE">
        <w:rPr>
          <w:rFonts w:ascii="Arial" w:hAnsi="Arial" w:cs="Arial"/>
          <w:bCs/>
          <w:color w:val="000000" w:themeColor="text1"/>
          <w:sz w:val="22"/>
          <w:szCs w:val="22"/>
        </w:rPr>
        <w:t xml:space="preserve"> suggests.</w:t>
      </w:r>
      <w:r w:rsidR="00AB43EE">
        <w:rPr>
          <w:rFonts w:ascii="Arial" w:hAnsi="Arial" w:cs="Arial"/>
          <w:bCs/>
          <w:color w:val="000000" w:themeColor="text1"/>
          <w:sz w:val="22"/>
          <w:szCs w:val="22"/>
          <w:vertAlign w:val="superscript"/>
        </w:rPr>
        <w:t>32</w:t>
      </w:r>
    </w:p>
    <w:p w14:paraId="1763B158" w14:textId="77777777" w:rsidR="00E028A4" w:rsidRPr="006112E3" w:rsidRDefault="00E028A4" w:rsidP="00E028A4">
      <w:pPr>
        <w:rPr>
          <w:rFonts w:ascii="Arial" w:hAnsi="Arial" w:cs="Arial"/>
          <w:bCs/>
          <w:color w:val="000000" w:themeColor="text1"/>
          <w:sz w:val="22"/>
          <w:szCs w:val="22"/>
        </w:rPr>
      </w:pPr>
    </w:p>
    <w:p w14:paraId="669728BA" w14:textId="6F2ADC1E" w:rsidR="00E028A4" w:rsidRPr="006112E3" w:rsidRDefault="00E028A4" w:rsidP="00E028A4">
      <w:pPr>
        <w:rPr>
          <w:rFonts w:ascii="Arial" w:hAnsi="Arial" w:cs="Arial"/>
          <w:bCs/>
          <w:color w:val="000000" w:themeColor="text1"/>
          <w:sz w:val="22"/>
          <w:szCs w:val="22"/>
        </w:rPr>
      </w:pPr>
      <w:r w:rsidRPr="004B7C68">
        <w:rPr>
          <w:rFonts w:ascii="Arial" w:hAnsi="Arial" w:cs="Arial"/>
          <w:bCs/>
          <w:color w:val="000000" w:themeColor="text1"/>
          <w:sz w:val="22"/>
          <w:szCs w:val="22"/>
        </w:rPr>
        <w:t>Our results are comparable to our prior stud</w:t>
      </w:r>
      <w:r w:rsidR="008579D7" w:rsidRPr="004B7C68">
        <w:rPr>
          <w:rFonts w:ascii="Arial" w:hAnsi="Arial" w:cs="Arial"/>
          <w:bCs/>
          <w:color w:val="000000" w:themeColor="text1"/>
          <w:sz w:val="22"/>
          <w:szCs w:val="22"/>
        </w:rPr>
        <w:t>ies</w:t>
      </w:r>
      <w:r w:rsidRPr="004B7C68">
        <w:rPr>
          <w:rFonts w:ascii="Arial" w:hAnsi="Arial" w:cs="Arial"/>
          <w:bCs/>
          <w:color w:val="000000" w:themeColor="text1"/>
          <w:sz w:val="22"/>
          <w:szCs w:val="22"/>
        </w:rPr>
        <w:t xml:space="preserve"> </w:t>
      </w:r>
      <w:r w:rsidR="009B1937" w:rsidRPr="004B7C68">
        <w:rPr>
          <w:rFonts w:ascii="Arial" w:hAnsi="Arial" w:cs="Arial"/>
          <w:bCs/>
          <w:color w:val="000000" w:themeColor="text1"/>
          <w:sz w:val="22"/>
          <w:szCs w:val="22"/>
        </w:rPr>
        <w:t xml:space="preserve">of </w:t>
      </w:r>
      <w:r w:rsidR="008579D7" w:rsidRPr="004B7C68">
        <w:rPr>
          <w:rFonts w:ascii="Arial" w:hAnsi="Arial" w:cs="Arial"/>
          <w:bCs/>
          <w:color w:val="000000" w:themeColor="text1"/>
          <w:sz w:val="22"/>
          <w:szCs w:val="22"/>
        </w:rPr>
        <w:t xml:space="preserve">privately insured </w:t>
      </w:r>
      <w:r w:rsidRPr="004B7C68">
        <w:rPr>
          <w:rFonts w:ascii="Arial" w:hAnsi="Arial" w:cs="Arial"/>
          <w:bCs/>
          <w:color w:val="000000" w:themeColor="text1"/>
          <w:sz w:val="22"/>
          <w:szCs w:val="22"/>
        </w:rPr>
        <w:t xml:space="preserve">NC </w:t>
      </w:r>
      <w:r w:rsidR="00024318" w:rsidRPr="004B7C68">
        <w:rPr>
          <w:rFonts w:ascii="Arial" w:hAnsi="Arial" w:cs="Arial"/>
          <w:bCs/>
          <w:color w:val="000000" w:themeColor="text1"/>
          <w:sz w:val="22"/>
          <w:szCs w:val="22"/>
        </w:rPr>
        <w:t>patients</w:t>
      </w:r>
      <w:r w:rsidR="009B1937" w:rsidRPr="004B7C68">
        <w:rPr>
          <w:rFonts w:ascii="Arial" w:hAnsi="Arial" w:cs="Arial"/>
          <w:bCs/>
          <w:color w:val="000000" w:themeColor="text1"/>
          <w:sz w:val="22"/>
          <w:szCs w:val="22"/>
        </w:rPr>
        <w:t>,</w:t>
      </w:r>
      <w:r w:rsidR="00024318" w:rsidRPr="004B7C68">
        <w:rPr>
          <w:rFonts w:ascii="Arial" w:hAnsi="Arial" w:cs="Arial"/>
          <w:bCs/>
          <w:color w:val="000000" w:themeColor="text1"/>
          <w:sz w:val="22"/>
          <w:szCs w:val="22"/>
        </w:rPr>
        <w:t xml:space="preserve"> </w:t>
      </w:r>
      <w:r w:rsidRPr="004B7C68">
        <w:rPr>
          <w:rFonts w:ascii="Arial" w:hAnsi="Arial" w:cs="Arial"/>
          <w:bCs/>
          <w:color w:val="000000" w:themeColor="text1"/>
          <w:sz w:val="22"/>
          <w:szCs w:val="22"/>
        </w:rPr>
        <w:t xml:space="preserve">which showed overall decreases in </w:t>
      </w:r>
      <w:r w:rsidRPr="00D7682D">
        <w:rPr>
          <w:rFonts w:ascii="Arial" w:hAnsi="Arial" w:cs="Arial"/>
          <w:bCs/>
          <w:color w:val="000000" w:themeColor="text1"/>
          <w:sz w:val="22"/>
          <w:szCs w:val="22"/>
        </w:rPr>
        <w:t>opioid prescribing</w:t>
      </w:r>
      <w:r w:rsidR="00024318" w:rsidRPr="00D7682D">
        <w:rPr>
          <w:rFonts w:ascii="Arial" w:hAnsi="Arial" w:cs="Arial"/>
          <w:bCs/>
          <w:color w:val="000000" w:themeColor="text1"/>
          <w:sz w:val="22"/>
          <w:szCs w:val="22"/>
        </w:rPr>
        <w:t xml:space="preserve"> in acute, post-surgical, and chronic pain patients</w:t>
      </w:r>
      <w:r w:rsidR="00AB6A6E">
        <w:rPr>
          <w:rFonts w:ascii="Arial" w:hAnsi="Arial" w:cs="Arial"/>
          <w:bCs/>
          <w:color w:val="000000" w:themeColor="text1"/>
          <w:sz w:val="22"/>
          <w:szCs w:val="22"/>
        </w:rPr>
        <w:t xml:space="preserve"> after </w:t>
      </w:r>
      <w:r w:rsidR="000C22D2">
        <w:rPr>
          <w:rFonts w:ascii="Arial" w:hAnsi="Arial" w:cs="Arial"/>
          <w:bCs/>
          <w:color w:val="000000" w:themeColor="text1"/>
          <w:sz w:val="22"/>
          <w:szCs w:val="22"/>
        </w:rPr>
        <w:t>SOPI and STOP Act</w:t>
      </w:r>
      <w:r w:rsidR="00024318" w:rsidRPr="00D7682D">
        <w:rPr>
          <w:rFonts w:ascii="Arial" w:hAnsi="Arial" w:cs="Arial"/>
          <w:bCs/>
          <w:color w:val="000000" w:themeColor="text1"/>
          <w:sz w:val="22"/>
          <w:szCs w:val="22"/>
        </w:rPr>
        <w:t>.</w:t>
      </w:r>
      <w:r w:rsidR="00FA0875">
        <w:rPr>
          <w:rFonts w:ascii="Arial" w:hAnsi="Arial" w:cs="Arial"/>
          <w:bCs/>
          <w:color w:val="000000" w:themeColor="text1"/>
          <w:sz w:val="22"/>
          <w:szCs w:val="22"/>
        </w:rPr>
        <w:fldChar w:fldCharType="begin"/>
      </w:r>
      <w:r w:rsidR="00FA0875">
        <w:rPr>
          <w:rFonts w:ascii="Arial" w:hAnsi="Arial" w:cs="Arial"/>
          <w:bCs/>
          <w:color w:val="000000" w:themeColor="text1"/>
          <w:sz w:val="22"/>
          <w:szCs w:val="22"/>
        </w:rPr>
        <w:instrText xml:space="preserve"> ADDIN ZOTERO_ITEM CSL_CITATION {"citationID":"kBFnq2Y5","properties":{"formattedCitation":"\\super 32,33\\nosupersub{}","plainCitation":"32,33","noteIndex":0},"citationItems":[{"id":14144,"uris":["http://zotero.org/users/5919053/items/LBGGDAYN"],"itemData":{"id":14144,"type":"article-journal","abstract":"To examine the impact of three sequential statewide policy and legislative interventions on opioid prescribing practices among privately insured individuals in North Carolina.An interrupted time series approach was used to examine level and trajectory changes of new and prevalent opioid prescription rates, days’ supply, and daily morphine milligram equivalents before and after implementation of a 1) prescription drug monitoring program, 2) state medical board initiative, and 3) legislative action. Analyses were conducted using individual-level claims data from a large private health insurance provider serving North Carolina residents, ages 18–64 years, from January 2006 to August 2018.Rates of new and prevalent prescription opioid patients were relatively unaffected by the prescription monitoring program but sharply declined in the months immediately following both medical board (−3.7 new and −19.3 prevalent patients per 10,000 person months) and legislative (−14.1 new and −26.7 prevalent patients) actions. Among all opioid prescriptions, days’ supply steadily increased on average over the study period but declined after legislative action (−1.5 days’ supply per year).The voluntary prescription drug monitoring program launched in 2010 only marginally affected opioid prescribing patterns on its own, but its redeployment as an investigative and clinical tool in multifaceted public policy approaches by the state medical board and legislature later in the decade plausibly contributed to notable declines in prescription rates and days’ supply. This study lends new emphasis to the importance of enforcement mechanisms for state and national policies seeking to reverse this critical public health crisis.","container-title":"Pain Medicine","DOI":"10.1093/pm/pnab181","ISSN":"1526-4637","issue":"12","journalAbbreviation":"Pain Medicine","page":"2931-2940","source":"Silverchair","title":"Association Between Statewide Opioid Prescribing Interventions and Opioid Prescribing Patterns in North Carolina, 2006–2018","volume":"22","author":[{"family":"Maierhofer","given":"Courtney N"},{"family":"Ranapurwala","given":"Shabbar I"},{"family":"DiPrete","given":"Bethany L"},{"family":"Fulcher","given":"Naoko"},{"family":"Ringwalt","given":"Christopher L"},{"family":"Chelminski","given":"Paul R"},{"family":"Ives","given":"Timothy J"},{"family":"Dasgupta","given":"Nabarun"},{"family":"Go","given":"Vivian F"},{"family":"Pence","given":"Brian W"}],"issued":{"date-parts":[["2021",12,1]]}}},{"id":15521,"uris":["http://zotero.org/users/5919053/items/7URGZKIA"],"itemData":{"id":15521,"type":"article-journal","abstract":"Background:","archive_location":"cdc:123200","container-title":"Drug Alcohol Depend. 242:109727","language":"English","note":"publisher: http://dx.doi.org/10.1016/j.drugalcdep.2022.109727","title":"Intended and unintended consequences: Changes in opioid prescribing practices for postsurgical, acute, and chronic pain indications following two policies in North Carolina, 2012–2018 – Controlled and single-series interrupted time series analyses","URL":"https://stacks.cdc.gov/view/cdc/123200","volume":"242","author":[{"family":"Maierhofer","given":"Courtney N."},{"family":"Ranapurwala","given":"Shabbar I."},{"family":"DiPrete","given":"Bethany L."},{"family":"Fulcher","given":"Naoko"},{"family":"Ringwalt","given":"Christopher L."},{"family":"Chelminski","given":"Paul R."},{"family":"Ives","given":"Timothy J."},{"family":"Dasgupta","given":"Nabarun"},{"family":"Go","given":"Vivian F."},{"family":"Pence","given":"Brian W."}],"issued":{"date-parts":[["2023"]],"season":"01"}}}],"schema":"https://github.com/citation-style-language/schema/raw/master/csl-citation.json"} </w:instrText>
      </w:r>
      <w:r w:rsidR="00FA0875">
        <w:rPr>
          <w:rFonts w:ascii="Arial" w:hAnsi="Arial" w:cs="Arial"/>
          <w:bCs/>
          <w:color w:val="000000" w:themeColor="text1"/>
          <w:sz w:val="22"/>
          <w:szCs w:val="22"/>
        </w:rPr>
        <w:fldChar w:fldCharType="separate"/>
      </w:r>
      <w:r w:rsidR="00FA0875" w:rsidRPr="00FA0875">
        <w:rPr>
          <w:rFonts w:ascii="Arial" w:hAnsi="Arial" w:cs="Arial"/>
          <w:color w:val="000000"/>
          <w:sz w:val="22"/>
          <w:vertAlign w:val="superscript"/>
        </w:rPr>
        <w:t>3</w:t>
      </w:r>
      <w:r w:rsidR="00AB43EE">
        <w:rPr>
          <w:rFonts w:ascii="Arial" w:hAnsi="Arial" w:cs="Arial"/>
          <w:color w:val="000000"/>
          <w:sz w:val="22"/>
          <w:vertAlign w:val="superscript"/>
        </w:rPr>
        <w:t>3</w:t>
      </w:r>
      <w:r w:rsidR="00FA0875" w:rsidRPr="00FA0875">
        <w:rPr>
          <w:rFonts w:ascii="Arial" w:hAnsi="Arial" w:cs="Arial"/>
          <w:color w:val="000000"/>
          <w:sz w:val="22"/>
          <w:vertAlign w:val="superscript"/>
        </w:rPr>
        <w:t>,3</w:t>
      </w:r>
      <w:r w:rsidR="00AB43EE">
        <w:rPr>
          <w:rFonts w:ascii="Arial" w:hAnsi="Arial" w:cs="Arial"/>
          <w:color w:val="000000"/>
          <w:sz w:val="22"/>
          <w:vertAlign w:val="superscript"/>
        </w:rPr>
        <w:t>4</w:t>
      </w:r>
      <w:r w:rsidR="00FA0875">
        <w:rPr>
          <w:rFonts w:ascii="Arial" w:hAnsi="Arial" w:cs="Arial"/>
          <w:bCs/>
          <w:color w:val="000000" w:themeColor="text1"/>
          <w:sz w:val="22"/>
          <w:szCs w:val="22"/>
        </w:rPr>
        <w:fldChar w:fldCharType="end"/>
      </w:r>
      <w:r w:rsidR="00757317" w:rsidRPr="00D7682D">
        <w:rPr>
          <w:rFonts w:ascii="Arial" w:hAnsi="Arial" w:cs="Arial"/>
          <w:bCs/>
          <w:color w:val="000000" w:themeColor="text1"/>
          <w:sz w:val="22"/>
          <w:szCs w:val="22"/>
        </w:rPr>
        <w:t xml:space="preserve"> H</w:t>
      </w:r>
      <w:r w:rsidRPr="00D7682D">
        <w:rPr>
          <w:rFonts w:ascii="Arial" w:hAnsi="Arial" w:cs="Arial"/>
          <w:bCs/>
          <w:color w:val="000000" w:themeColor="text1"/>
          <w:sz w:val="22"/>
          <w:szCs w:val="22"/>
        </w:rPr>
        <w:t xml:space="preserve">owever, </w:t>
      </w:r>
      <w:r w:rsidR="00304300">
        <w:rPr>
          <w:rFonts w:ascii="Arial" w:hAnsi="Arial" w:cs="Arial"/>
          <w:bCs/>
          <w:color w:val="000000" w:themeColor="text1"/>
          <w:sz w:val="22"/>
          <w:szCs w:val="22"/>
        </w:rPr>
        <w:t>those</w:t>
      </w:r>
      <w:r w:rsidRPr="00D7682D">
        <w:rPr>
          <w:rFonts w:ascii="Arial" w:hAnsi="Arial" w:cs="Arial"/>
          <w:bCs/>
          <w:color w:val="000000" w:themeColor="text1"/>
          <w:sz w:val="22"/>
          <w:szCs w:val="22"/>
        </w:rPr>
        <w:t xml:space="preserve"> stud</w:t>
      </w:r>
      <w:r w:rsidR="00757317" w:rsidRPr="00D7682D">
        <w:rPr>
          <w:rFonts w:ascii="Arial" w:hAnsi="Arial" w:cs="Arial"/>
          <w:bCs/>
          <w:color w:val="000000" w:themeColor="text1"/>
          <w:sz w:val="22"/>
          <w:szCs w:val="22"/>
        </w:rPr>
        <w:t xml:space="preserve">ies </w:t>
      </w:r>
      <w:r w:rsidR="00E637E3" w:rsidRPr="00D7682D">
        <w:rPr>
          <w:rFonts w:ascii="Arial" w:hAnsi="Arial" w:cs="Arial"/>
          <w:bCs/>
          <w:color w:val="000000" w:themeColor="text1"/>
          <w:sz w:val="22"/>
          <w:szCs w:val="22"/>
        </w:rPr>
        <w:t>were not generalizable to publicly insured and uninsured patients</w:t>
      </w:r>
      <w:r w:rsidR="00992301">
        <w:rPr>
          <w:rFonts w:ascii="Arial" w:hAnsi="Arial" w:cs="Arial"/>
          <w:bCs/>
          <w:color w:val="000000" w:themeColor="text1"/>
          <w:sz w:val="22"/>
          <w:szCs w:val="22"/>
        </w:rPr>
        <w:t xml:space="preserve"> nor </w:t>
      </w:r>
      <w:r w:rsidR="000C22D2">
        <w:rPr>
          <w:rFonts w:ascii="Arial" w:hAnsi="Arial" w:cs="Arial"/>
          <w:bCs/>
          <w:color w:val="000000" w:themeColor="text1"/>
          <w:sz w:val="22"/>
          <w:szCs w:val="22"/>
        </w:rPr>
        <w:t xml:space="preserve">could we previously </w:t>
      </w:r>
      <w:r w:rsidR="00F35C8B" w:rsidRPr="00D7682D">
        <w:rPr>
          <w:rFonts w:ascii="Arial" w:hAnsi="Arial" w:cs="Arial"/>
          <w:bCs/>
          <w:color w:val="000000" w:themeColor="text1"/>
          <w:sz w:val="22"/>
          <w:szCs w:val="22"/>
        </w:rPr>
        <w:t xml:space="preserve">examine </w:t>
      </w:r>
      <w:r w:rsidR="000C22D2">
        <w:rPr>
          <w:rFonts w:ascii="Arial" w:hAnsi="Arial" w:cs="Arial"/>
          <w:bCs/>
          <w:color w:val="000000" w:themeColor="text1"/>
          <w:sz w:val="22"/>
          <w:szCs w:val="22"/>
        </w:rPr>
        <w:t xml:space="preserve">policy-related </w:t>
      </w:r>
      <w:r w:rsidR="00F35C8B" w:rsidRPr="00D7682D">
        <w:rPr>
          <w:rFonts w:ascii="Arial" w:hAnsi="Arial" w:cs="Arial"/>
          <w:bCs/>
          <w:color w:val="000000" w:themeColor="text1"/>
          <w:sz w:val="22"/>
          <w:szCs w:val="22"/>
        </w:rPr>
        <w:t>dispar</w:t>
      </w:r>
      <w:r w:rsidR="000C22D2">
        <w:rPr>
          <w:rFonts w:ascii="Arial" w:hAnsi="Arial" w:cs="Arial"/>
          <w:bCs/>
          <w:color w:val="000000" w:themeColor="text1"/>
          <w:sz w:val="22"/>
          <w:szCs w:val="22"/>
        </w:rPr>
        <w:t>ate effects by race and ethnicity</w:t>
      </w:r>
      <w:r w:rsidR="00F35C8B" w:rsidRPr="00D7682D">
        <w:rPr>
          <w:rFonts w:ascii="Arial" w:hAnsi="Arial" w:cs="Arial"/>
          <w:bCs/>
          <w:color w:val="000000" w:themeColor="text1"/>
          <w:sz w:val="22"/>
          <w:szCs w:val="22"/>
        </w:rPr>
        <w:t>.</w:t>
      </w:r>
      <w:r w:rsidR="00FA0875">
        <w:rPr>
          <w:rFonts w:ascii="Arial" w:hAnsi="Arial" w:cs="Arial"/>
          <w:bCs/>
          <w:color w:val="000000" w:themeColor="text1"/>
          <w:sz w:val="22"/>
          <w:szCs w:val="22"/>
        </w:rPr>
        <w:fldChar w:fldCharType="begin"/>
      </w:r>
      <w:r w:rsidR="00FA0875">
        <w:rPr>
          <w:rFonts w:ascii="Arial" w:hAnsi="Arial" w:cs="Arial"/>
          <w:bCs/>
          <w:color w:val="000000" w:themeColor="text1"/>
          <w:sz w:val="22"/>
          <w:szCs w:val="22"/>
        </w:rPr>
        <w:instrText xml:space="preserve"> ADDIN ZOTERO_ITEM CSL_CITATION {"citationID":"ScAincSS","properties":{"formattedCitation":"\\super 32,33\\nosupersub{}","plainCitation":"32,33","noteIndex":0},"citationItems":[{"id":14144,"uris":["http://zotero.org/users/5919053/items/LBGGDAYN"],"itemData":{"id":14144,"type":"article-journal","abstract":"To examine the impact of three sequential statewide policy and legislative interventions on opioid prescribing practices among privately insured individuals in North Carolina.An interrupted time series approach was used to examine level and trajectory changes of new and prevalent opioid prescription rates, days’ supply, and daily morphine milligram equivalents before and after implementation of a 1) prescription drug monitoring program, 2) state medical board initiative, and 3) legislative action. Analyses were conducted using individual-level claims data from a large private health insurance provider serving North Carolina residents, ages 18–64 years, from January 2006 to August 2018.Rates of new and prevalent prescription opioid patients were relatively unaffected by the prescription monitoring program but sharply declined in the months immediately following both medical board (−3.7 new and −19.3 prevalent patients per 10,000 person months) and legislative (−14.1 new and −26.7 prevalent patients) actions. Among all opioid prescriptions, days’ supply steadily increased on average over the study period but declined after legislative action (−1.5 days’ supply per year).The voluntary prescription drug monitoring program launched in 2010 only marginally affected opioid prescribing patterns on its own, but its redeployment as an investigative and clinical tool in multifaceted public policy approaches by the state medical board and legislature later in the decade plausibly contributed to notable declines in prescription rates and days’ supply. This study lends new emphasis to the importance of enforcement mechanisms for state and national policies seeking to reverse this critical public health crisis.","container-title":"Pain Medicine","DOI":"10.1093/pm/pnab181","ISSN":"1526-4637","issue":"12","journalAbbreviation":"Pain Medicine","page":"2931-2940","source":"Silverchair","title":"Association Between Statewide Opioid Prescribing Interventions and Opioid Prescribing Patterns in North Carolina, 2006–2018","volume":"22","author":[{"family":"Maierhofer","given":"Courtney N"},{"family":"Ranapurwala","given":"Shabbar I"},{"family":"DiPrete","given":"Bethany L"},{"family":"Fulcher","given":"Naoko"},{"family":"Ringwalt","given":"Christopher L"},{"family":"Chelminski","given":"Paul R"},{"family":"Ives","given":"Timothy J"},{"family":"Dasgupta","given":"Nabarun"},{"family":"Go","given":"Vivian F"},{"family":"Pence","given":"Brian W"}],"issued":{"date-parts":[["2021",12,1]]}}},{"id":15521,"uris":["http://zotero.org/users/5919053/items/7URGZKIA"],"itemData":{"id":15521,"type":"article-journal","abstract":"Background:","archive_location":"cdc:123200","container-title":"Drug Alcohol Depend. 242:109727","language":"English","note":"publisher: http://dx.doi.org/10.1016/j.drugalcdep.2022.109727","title":"Intended and unintended consequences: Changes in opioid prescribing practices for postsurgical, acute, and chronic pain indications following two policies in North Carolina, 2012–2018 – Controlled and single-series interrupted time series analyses","URL":"https://stacks.cdc.gov/view/cdc/123200","volume":"242","author":[{"family":"Maierhofer","given":"Courtney N."},{"family":"Ranapurwala","given":"Shabbar I."},{"family":"DiPrete","given":"Bethany L."},{"family":"Fulcher","given":"Naoko"},{"family":"Ringwalt","given":"Christopher L."},{"family":"Chelminski","given":"Paul R."},{"family":"Ives","given":"Timothy J."},{"family":"Dasgupta","given":"Nabarun"},{"family":"Go","given":"Vivian F."},{"family":"Pence","given":"Brian W."}],"issued":{"date-parts":[["2023"]],"season":"01"}}}],"schema":"https://github.com/citation-style-language/schema/raw/master/csl-citation.json"} </w:instrText>
      </w:r>
      <w:r w:rsidR="00FA0875">
        <w:rPr>
          <w:rFonts w:ascii="Arial" w:hAnsi="Arial" w:cs="Arial"/>
          <w:bCs/>
          <w:color w:val="000000" w:themeColor="text1"/>
          <w:sz w:val="22"/>
          <w:szCs w:val="22"/>
        </w:rPr>
        <w:fldChar w:fldCharType="separate"/>
      </w:r>
      <w:r w:rsidR="00FA0875" w:rsidRPr="00FA0875">
        <w:rPr>
          <w:rFonts w:ascii="Arial" w:hAnsi="Arial" w:cs="Arial"/>
          <w:color w:val="000000"/>
          <w:sz w:val="22"/>
          <w:vertAlign w:val="superscript"/>
        </w:rPr>
        <w:t>3</w:t>
      </w:r>
      <w:r w:rsidR="00AB43EE">
        <w:rPr>
          <w:rFonts w:ascii="Arial" w:hAnsi="Arial" w:cs="Arial"/>
          <w:color w:val="000000"/>
          <w:sz w:val="22"/>
          <w:vertAlign w:val="superscript"/>
        </w:rPr>
        <w:t>3</w:t>
      </w:r>
      <w:r w:rsidR="00FA0875" w:rsidRPr="00FA0875">
        <w:rPr>
          <w:rFonts w:ascii="Arial" w:hAnsi="Arial" w:cs="Arial"/>
          <w:color w:val="000000"/>
          <w:sz w:val="22"/>
          <w:vertAlign w:val="superscript"/>
        </w:rPr>
        <w:t>,3</w:t>
      </w:r>
      <w:r w:rsidR="00AB43EE">
        <w:rPr>
          <w:rFonts w:ascii="Arial" w:hAnsi="Arial" w:cs="Arial"/>
          <w:color w:val="000000"/>
          <w:sz w:val="22"/>
          <w:vertAlign w:val="superscript"/>
        </w:rPr>
        <w:t>4</w:t>
      </w:r>
      <w:r w:rsidR="00FA0875">
        <w:rPr>
          <w:rFonts w:ascii="Arial" w:hAnsi="Arial" w:cs="Arial"/>
          <w:bCs/>
          <w:color w:val="000000" w:themeColor="text1"/>
          <w:sz w:val="22"/>
          <w:szCs w:val="22"/>
        </w:rPr>
        <w:fldChar w:fldCharType="end"/>
      </w:r>
      <w:r w:rsidR="00F35C8B" w:rsidRPr="00D7682D">
        <w:rPr>
          <w:rFonts w:ascii="Arial" w:hAnsi="Arial" w:cs="Arial"/>
          <w:bCs/>
          <w:color w:val="000000" w:themeColor="text1"/>
          <w:sz w:val="22"/>
          <w:szCs w:val="22"/>
        </w:rPr>
        <w:t xml:space="preserve"> Further</w:t>
      </w:r>
      <w:r w:rsidR="00194831">
        <w:rPr>
          <w:rFonts w:ascii="Arial" w:hAnsi="Arial" w:cs="Arial"/>
          <w:bCs/>
          <w:color w:val="000000" w:themeColor="text1"/>
          <w:sz w:val="22"/>
          <w:szCs w:val="22"/>
        </w:rPr>
        <w:t>more</w:t>
      </w:r>
      <w:r w:rsidR="00F35C8B" w:rsidRPr="00D7682D">
        <w:rPr>
          <w:rFonts w:ascii="Arial" w:hAnsi="Arial" w:cs="Arial"/>
          <w:bCs/>
          <w:color w:val="000000" w:themeColor="text1"/>
          <w:sz w:val="22"/>
          <w:szCs w:val="22"/>
        </w:rPr>
        <w:t>, th</w:t>
      </w:r>
      <w:r w:rsidR="00304300">
        <w:rPr>
          <w:rFonts w:ascii="Arial" w:hAnsi="Arial" w:cs="Arial"/>
          <w:bCs/>
          <w:color w:val="000000" w:themeColor="text1"/>
          <w:sz w:val="22"/>
          <w:szCs w:val="22"/>
        </w:rPr>
        <w:t>is</w:t>
      </w:r>
      <w:r w:rsidR="002B5D47" w:rsidRPr="00D7682D">
        <w:rPr>
          <w:rFonts w:ascii="Arial" w:hAnsi="Arial" w:cs="Arial"/>
          <w:bCs/>
          <w:color w:val="000000" w:themeColor="text1"/>
          <w:sz w:val="22"/>
          <w:szCs w:val="22"/>
        </w:rPr>
        <w:t xml:space="preserve"> study separates index </w:t>
      </w:r>
      <w:r w:rsidR="00BC4A45" w:rsidRPr="00D7682D">
        <w:rPr>
          <w:rFonts w:ascii="Arial" w:hAnsi="Arial" w:cs="Arial"/>
          <w:bCs/>
          <w:color w:val="000000" w:themeColor="text1"/>
          <w:sz w:val="22"/>
          <w:szCs w:val="22"/>
        </w:rPr>
        <w:t>and</w:t>
      </w:r>
      <w:r w:rsidR="002B5D47" w:rsidRPr="00D7682D">
        <w:rPr>
          <w:rFonts w:ascii="Arial" w:hAnsi="Arial" w:cs="Arial"/>
          <w:bCs/>
          <w:color w:val="000000" w:themeColor="text1"/>
          <w:sz w:val="22"/>
          <w:szCs w:val="22"/>
        </w:rPr>
        <w:t xml:space="preserve"> subsequent opioid prescriptions</w:t>
      </w:r>
      <w:r w:rsidR="009228CB">
        <w:rPr>
          <w:rFonts w:ascii="Arial" w:hAnsi="Arial" w:cs="Arial"/>
          <w:bCs/>
          <w:color w:val="000000" w:themeColor="text1"/>
          <w:sz w:val="22"/>
          <w:szCs w:val="22"/>
        </w:rPr>
        <w:t xml:space="preserve"> to </w:t>
      </w:r>
      <w:r w:rsidR="00BC4A45" w:rsidRPr="00D7682D">
        <w:rPr>
          <w:rFonts w:ascii="Arial" w:hAnsi="Arial" w:cs="Arial"/>
          <w:bCs/>
          <w:color w:val="000000" w:themeColor="text1"/>
          <w:sz w:val="22"/>
          <w:szCs w:val="22"/>
        </w:rPr>
        <w:t xml:space="preserve">examine </w:t>
      </w:r>
      <w:r w:rsidR="00553FC7">
        <w:rPr>
          <w:rFonts w:ascii="Arial" w:hAnsi="Arial" w:cs="Arial"/>
          <w:bCs/>
          <w:color w:val="000000" w:themeColor="text1"/>
          <w:sz w:val="22"/>
          <w:szCs w:val="22"/>
        </w:rPr>
        <w:t xml:space="preserve">potential </w:t>
      </w:r>
      <w:r w:rsidR="00BC4A45" w:rsidRPr="00D7682D">
        <w:rPr>
          <w:rFonts w:ascii="Arial" w:hAnsi="Arial" w:cs="Arial"/>
          <w:bCs/>
          <w:color w:val="000000" w:themeColor="text1"/>
          <w:sz w:val="22"/>
          <w:szCs w:val="22"/>
        </w:rPr>
        <w:t xml:space="preserve">unintended consequences </w:t>
      </w:r>
      <w:r w:rsidR="00304300">
        <w:rPr>
          <w:rFonts w:ascii="Arial" w:hAnsi="Arial" w:cs="Arial"/>
          <w:bCs/>
          <w:color w:val="000000" w:themeColor="text1"/>
          <w:sz w:val="22"/>
          <w:szCs w:val="22"/>
        </w:rPr>
        <w:t>for</w:t>
      </w:r>
      <w:r w:rsidR="00BC4A45" w:rsidRPr="00D7682D">
        <w:rPr>
          <w:rFonts w:ascii="Arial" w:hAnsi="Arial" w:cs="Arial"/>
          <w:bCs/>
          <w:color w:val="000000" w:themeColor="text1"/>
          <w:sz w:val="22"/>
          <w:szCs w:val="22"/>
        </w:rPr>
        <w:t xml:space="preserve"> patients who may need </w:t>
      </w:r>
      <w:r w:rsidR="00407C6E" w:rsidRPr="00D7682D">
        <w:rPr>
          <w:rFonts w:ascii="Arial" w:hAnsi="Arial" w:cs="Arial"/>
          <w:bCs/>
          <w:color w:val="000000" w:themeColor="text1"/>
          <w:sz w:val="22"/>
          <w:szCs w:val="22"/>
        </w:rPr>
        <w:t>additional pain management after the index prescription.</w:t>
      </w:r>
      <w:r w:rsidRPr="00D7682D">
        <w:rPr>
          <w:rFonts w:ascii="Arial" w:hAnsi="Arial" w:cs="Arial"/>
          <w:bCs/>
          <w:color w:val="000000" w:themeColor="text1"/>
          <w:sz w:val="22"/>
          <w:szCs w:val="22"/>
        </w:rPr>
        <w:t xml:space="preserve"> Th</w:t>
      </w:r>
      <w:r w:rsidR="00304300">
        <w:rPr>
          <w:rFonts w:ascii="Arial" w:hAnsi="Arial" w:cs="Arial"/>
          <w:bCs/>
          <w:color w:val="000000" w:themeColor="text1"/>
          <w:sz w:val="22"/>
          <w:szCs w:val="22"/>
        </w:rPr>
        <w:t>is</w:t>
      </w:r>
      <w:r w:rsidR="004B083C" w:rsidRPr="00D7682D">
        <w:rPr>
          <w:rFonts w:ascii="Arial" w:hAnsi="Arial" w:cs="Arial"/>
          <w:bCs/>
          <w:color w:val="000000" w:themeColor="text1"/>
          <w:sz w:val="22"/>
          <w:szCs w:val="22"/>
        </w:rPr>
        <w:t xml:space="preserve"> study also has </w:t>
      </w:r>
      <w:r w:rsidR="00407C6E" w:rsidRPr="00D7682D">
        <w:rPr>
          <w:rFonts w:ascii="Arial" w:hAnsi="Arial" w:cs="Arial"/>
          <w:bCs/>
          <w:color w:val="000000" w:themeColor="text1"/>
          <w:sz w:val="22"/>
          <w:szCs w:val="22"/>
        </w:rPr>
        <w:t xml:space="preserve">greater follow-up after the </w:t>
      </w:r>
      <w:r w:rsidR="000E6B30">
        <w:rPr>
          <w:rFonts w:ascii="Arial" w:hAnsi="Arial" w:cs="Arial"/>
          <w:bCs/>
          <w:color w:val="000000" w:themeColor="text1"/>
          <w:sz w:val="22"/>
          <w:szCs w:val="22"/>
        </w:rPr>
        <w:t>STOP Act</w:t>
      </w:r>
      <w:r w:rsidR="00304300">
        <w:rPr>
          <w:rFonts w:ascii="Arial" w:hAnsi="Arial" w:cs="Arial"/>
          <w:bCs/>
          <w:color w:val="000000" w:themeColor="text1"/>
          <w:sz w:val="22"/>
          <w:szCs w:val="22"/>
        </w:rPr>
        <w:t xml:space="preserve"> allowing a </w:t>
      </w:r>
      <w:r w:rsidR="00553FC7">
        <w:rPr>
          <w:rFonts w:ascii="Arial" w:hAnsi="Arial" w:cs="Arial"/>
          <w:bCs/>
          <w:color w:val="000000" w:themeColor="text1"/>
          <w:sz w:val="22"/>
          <w:szCs w:val="22"/>
        </w:rPr>
        <w:t xml:space="preserve">better </w:t>
      </w:r>
      <w:r w:rsidRPr="00D7682D">
        <w:rPr>
          <w:rFonts w:ascii="Arial" w:hAnsi="Arial" w:cs="Arial"/>
          <w:bCs/>
          <w:color w:val="000000" w:themeColor="text1"/>
          <w:sz w:val="22"/>
          <w:szCs w:val="22"/>
        </w:rPr>
        <w:t>examin</w:t>
      </w:r>
      <w:r w:rsidR="001A0C05" w:rsidRPr="00D7682D">
        <w:rPr>
          <w:rFonts w:ascii="Arial" w:hAnsi="Arial" w:cs="Arial"/>
          <w:bCs/>
          <w:color w:val="000000" w:themeColor="text1"/>
          <w:sz w:val="22"/>
          <w:szCs w:val="22"/>
        </w:rPr>
        <w:t>ation of</w:t>
      </w:r>
      <w:r w:rsidRPr="00D7682D">
        <w:rPr>
          <w:rFonts w:ascii="Arial" w:hAnsi="Arial" w:cs="Arial"/>
          <w:bCs/>
          <w:color w:val="000000" w:themeColor="text1"/>
          <w:sz w:val="22"/>
          <w:szCs w:val="22"/>
        </w:rPr>
        <w:t xml:space="preserve"> sustained </w:t>
      </w:r>
      <w:r w:rsidR="00553FC7">
        <w:rPr>
          <w:rFonts w:ascii="Arial" w:hAnsi="Arial" w:cs="Arial"/>
          <w:bCs/>
          <w:color w:val="000000" w:themeColor="text1"/>
          <w:sz w:val="22"/>
          <w:szCs w:val="22"/>
        </w:rPr>
        <w:t xml:space="preserve">policy </w:t>
      </w:r>
      <w:r w:rsidRPr="00D7682D">
        <w:rPr>
          <w:rFonts w:ascii="Arial" w:hAnsi="Arial" w:cs="Arial"/>
          <w:bCs/>
          <w:color w:val="000000" w:themeColor="text1"/>
          <w:sz w:val="22"/>
          <w:szCs w:val="22"/>
        </w:rPr>
        <w:t>effects.</w:t>
      </w:r>
    </w:p>
    <w:p w14:paraId="50024468" w14:textId="77777777" w:rsidR="00E028A4" w:rsidRPr="006112E3" w:rsidRDefault="00E028A4" w:rsidP="00E028A4">
      <w:pPr>
        <w:rPr>
          <w:rFonts w:ascii="Arial" w:hAnsi="Arial" w:cs="Arial"/>
          <w:bCs/>
          <w:color w:val="000000" w:themeColor="text1"/>
          <w:sz w:val="22"/>
          <w:szCs w:val="22"/>
        </w:rPr>
      </w:pPr>
    </w:p>
    <w:p w14:paraId="020725A6" w14:textId="3E4D1EA6" w:rsidR="00E028A4" w:rsidRPr="006112E3" w:rsidRDefault="00E028A4" w:rsidP="00E028A4">
      <w:pPr>
        <w:rPr>
          <w:rFonts w:ascii="Arial" w:hAnsi="Arial" w:cs="Arial"/>
          <w:bCs/>
          <w:color w:val="000000" w:themeColor="text1"/>
          <w:sz w:val="22"/>
          <w:szCs w:val="22"/>
        </w:rPr>
      </w:pPr>
      <w:r w:rsidRPr="006112E3">
        <w:rPr>
          <w:rFonts w:ascii="Arial" w:hAnsi="Arial" w:cs="Arial"/>
          <w:bCs/>
          <w:color w:val="000000" w:themeColor="text1"/>
          <w:sz w:val="22"/>
          <w:szCs w:val="22"/>
        </w:rPr>
        <w:t xml:space="preserve">While statewide policies </w:t>
      </w:r>
      <w:r w:rsidR="00304300">
        <w:rPr>
          <w:rFonts w:ascii="Arial" w:hAnsi="Arial" w:cs="Arial"/>
          <w:bCs/>
          <w:color w:val="000000" w:themeColor="text1"/>
          <w:sz w:val="22"/>
          <w:szCs w:val="22"/>
        </w:rPr>
        <w:t xml:space="preserve">to </w:t>
      </w:r>
      <w:r>
        <w:rPr>
          <w:rFonts w:ascii="Arial" w:hAnsi="Arial" w:cs="Arial"/>
          <w:bCs/>
          <w:color w:val="000000" w:themeColor="text1"/>
          <w:sz w:val="22"/>
          <w:szCs w:val="22"/>
        </w:rPr>
        <w:t>reduc</w:t>
      </w:r>
      <w:r w:rsidR="00304300">
        <w:rPr>
          <w:rFonts w:ascii="Arial" w:hAnsi="Arial" w:cs="Arial"/>
          <w:bCs/>
          <w:color w:val="000000" w:themeColor="text1"/>
          <w:sz w:val="22"/>
          <w:szCs w:val="22"/>
        </w:rPr>
        <w:t>e</w:t>
      </w:r>
      <w:r>
        <w:rPr>
          <w:rFonts w:ascii="Arial" w:hAnsi="Arial" w:cs="Arial"/>
          <w:bCs/>
          <w:color w:val="000000" w:themeColor="text1"/>
          <w:sz w:val="22"/>
          <w:szCs w:val="22"/>
        </w:rPr>
        <w:t xml:space="preserve"> </w:t>
      </w:r>
      <w:r w:rsidRPr="006112E3">
        <w:rPr>
          <w:rFonts w:ascii="Arial" w:hAnsi="Arial" w:cs="Arial"/>
          <w:bCs/>
          <w:color w:val="000000" w:themeColor="text1"/>
          <w:sz w:val="22"/>
          <w:szCs w:val="22"/>
        </w:rPr>
        <w:t>opioid prescri</w:t>
      </w:r>
      <w:r w:rsidR="00304300">
        <w:rPr>
          <w:rFonts w:ascii="Arial" w:hAnsi="Arial" w:cs="Arial"/>
          <w:bCs/>
          <w:color w:val="000000" w:themeColor="text1"/>
          <w:sz w:val="22"/>
          <w:szCs w:val="22"/>
        </w:rPr>
        <w:t>bing</w:t>
      </w:r>
      <w:r w:rsidRPr="006112E3">
        <w:rPr>
          <w:rFonts w:ascii="Arial" w:hAnsi="Arial" w:cs="Arial"/>
          <w:bCs/>
          <w:color w:val="000000" w:themeColor="text1"/>
          <w:sz w:val="22"/>
          <w:szCs w:val="22"/>
        </w:rPr>
        <w:t xml:space="preserve"> </w:t>
      </w:r>
      <w:r w:rsidR="00304300">
        <w:rPr>
          <w:rFonts w:ascii="Arial" w:hAnsi="Arial" w:cs="Arial"/>
          <w:bCs/>
          <w:color w:val="000000" w:themeColor="text1"/>
          <w:sz w:val="22"/>
          <w:szCs w:val="22"/>
        </w:rPr>
        <w:t xml:space="preserve">seem </w:t>
      </w:r>
      <w:r>
        <w:rPr>
          <w:rFonts w:ascii="Arial" w:hAnsi="Arial" w:cs="Arial"/>
          <w:bCs/>
          <w:color w:val="000000" w:themeColor="text1"/>
          <w:sz w:val="22"/>
          <w:szCs w:val="22"/>
        </w:rPr>
        <w:t xml:space="preserve">appealing to reduce opioid-related </w:t>
      </w:r>
      <w:r w:rsidR="00304300">
        <w:rPr>
          <w:rFonts w:ascii="Arial" w:hAnsi="Arial" w:cs="Arial"/>
          <w:bCs/>
          <w:color w:val="000000" w:themeColor="text1"/>
          <w:sz w:val="22"/>
          <w:szCs w:val="22"/>
        </w:rPr>
        <w:t>harms</w:t>
      </w:r>
      <w:r w:rsidRPr="006112E3">
        <w:rPr>
          <w:rFonts w:ascii="Arial" w:hAnsi="Arial" w:cs="Arial"/>
          <w:bCs/>
          <w:color w:val="000000" w:themeColor="text1"/>
          <w:sz w:val="22"/>
          <w:szCs w:val="22"/>
        </w:rPr>
        <w:t xml:space="preserve">, </w:t>
      </w:r>
      <w:r>
        <w:rPr>
          <w:rFonts w:ascii="Arial" w:hAnsi="Arial" w:cs="Arial"/>
          <w:bCs/>
          <w:color w:val="000000" w:themeColor="text1"/>
          <w:sz w:val="22"/>
          <w:szCs w:val="22"/>
        </w:rPr>
        <w:t>racial</w:t>
      </w:r>
      <w:r w:rsidR="007268BA">
        <w:rPr>
          <w:rFonts w:ascii="Arial" w:hAnsi="Arial" w:cs="Arial"/>
          <w:bCs/>
          <w:color w:val="000000" w:themeColor="text1"/>
          <w:sz w:val="22"/>
          <w:szCs w:val="22"/>
        </w:rPr>
        <w:t>ized</w:t>
      </w:r>
      <w:r>
        <w:rPr>
          <w:rFonts w:ascii="Arial" w:hAnsi="Arial" w:cs="Arial"/>
          <w:bCs/>
          <w:color w:val="000000" w:themeColor="text1"/>
          <w:sz w:val="22"/>
          <w:szCs w:val="22"/>
        </w:rPr>
        <w:t xml:space="preserve"> disparities in </w:t>
      </w:r>
      <w:r w:rsidR="00304300">
        <w:rPr>
          <w:rFonts w:ascii="Arial" w:hAnsi="Arial" w:cs="Arial"/>
          <w:bCs/>
          <w:color w:val="000000" w:themeColor="text1"/>
          <w:sz w:val="22"/>
          <w:szCs w:val="22"/>
        </w:rPr>
        <w:t>policy effects,</w:t>
      </w:r>
      <w:r>
        <w:rPr>
          <w:rFonts w:ascii="Arial" w:hAnsi="Arial" w:cs="Arial"/>
          <w:bCs/>
          <w:color w:val="000000" w:themeColor="text1"/>
          <w:sz w:val="22"/>
          <w:szCs w:val="22"/>
        </w:rPr>
        <w:t xml:space="preserve"> and thereby </w:t>
      </w:r>
      <w:r w:rsidRPr="006112E3">
        <w:rPr>
          <w:rFonts w:ascii="Arial" w:hAnsi="Arial" w:cs="Arial"/>
          <w:bCs/>
          <w:color w:val="000000" w:themeColor="text1"/>
          <w:sz w:val="22"/>
          <w:szCs w:val="22"/>
        </w:rPr>
        <w:t>pain management</w:t>
      </w:r>
      <w:r w:rsidR="00304300">
        <w:rPr>
          <w:rFonts w:ascii="Arial" w:hAnsi="Arial" w:cs="Arial"/>
          <w:bCs/>
          <w:color w:val="000000" w:themeColor="text1"/>
          <w:sz w:val="22"/>
          <w:szCs w:val="22"/>
        </w:rPr>
        <w:t>,</w:t>
      </w:r>
      <w:r>
        <w:rPr>
          <w:rFonts w:ascii="Arial" w:hAnsi="Arial" w:cs="Arial"/>
          <w:bCs/>
          <w:color w:val="000000" w:themeColor="text1"/>
          <w:sz w:val="22"/>
          <w:szCs w:val="22"/>
        </w:rPr>
        <w:t xml:space="preserve"> </w:t>
      </w:r>
      <w:r w:rsidR="00304300">
        <w:rPr>
          <w:rFonts w:ascii="Arial" w:hAnsi="Arial" w:cs="Arial"/>
          <w:bCs/>
          <w:color w:val="000000" w:themeColor="text1"/>
          <w:sz w:val="22"/>
          <w:szCs w:val="22"/>
        </w:rPr>
        <w:t>are</w:t>
      </w:r>
      <w:r>
        <w:rPr>
          <w:rFonts w:ascii="Arial" w:hAnsi="Arial" w:cs="Arial"/>
          <w:bCs/>
          <w:color w:val="000000" w:themeColor="text1"/>
          <w:sz w:val="22"/>
          <w:szCs w:val="22"/>
        </w:rPr>
        <w:t xml:space="preserve"> concerning.</w:t>
      </w:r>
      <w:r w:rsidRPr="006112E3">
        <w:rPr>
          <w:rFonts w:ascii="Arial" w:hAnsi="Arial" w:cs="Arial"/>
          <w:bCs/>
          <w:color w:val="000000" w:themeColor="text1"/>
          <w:sz w:val="22"/>
          <w:szCs w:val="22"/>
        </w:rPr>
        <w:t xml:space="preserve"> </w:t>
      </w:r>
      <w:r w:rsidR="008A6B50">
        <w:rPr>
          <w:rFonts w:ascii="Arial" w:hAnsi="Arial" w:cs="Arial"/>
          <w:bCs/>
          <w:color w:val="000000" w:themeColor="text1"/>
          <w:sz w:val="22"/>
          <w:szCs w:val="22"/>
        </w:rPr>
        <w:t>Contrary to prior research, w</w:t>
      </w:r>
      <w:r w:rsidR="00A750FE">
        <w:rPr>
          <w:rFonts w:ascii="Arial" w:hAnsi="Arial" w:cs="Arial"/>
          <w:bCs/>
          <w:color w:val="000000" w:themeColor="text1"/>
          <w:sz w:val="22"/>
          <w:szCs w:val="22"/>
        </w:rPr>
        <w:t xml:space="preserve">e found that black </w:t>
      </w:r>
      <w:r w:rsidR="002740A7">
        <w:rPr>
          <w:rFonts w:ascii="Arial" w:hAnsi="Arial" w:cs="Arial"/>
          <w:bCs/>
          <w:color w:val="000000" w:themeColor="text1"/>
          <w:sz w:val="22"/>
          <w:szCs w:val="22"/>
        </w:rPr>
        <w:t xml:space="preserve">patients with injury and surgery pain were prescribed more opioids </w:t>
      </w:r>
      <w:r w:rsidR="009228CB">
        <w:rPr>
          <w:rFonts w:ascii="Arial" w:hAnsi="Arial" w:cs="Arial"/>
          <w:bCs/>
          <w:color w:val="000000" w:themeColor="text1"/>
          <w:sz w:val="22"/>
          <w:szCs w:val="22"/>
        </w:rPr>
        <w:t>than</w:t>
      </w:r>
      <w:r w:rsidR="002740A7">
        <w:rPr>
          <w:rFonts w:ascii="Arial" w:hAnsi="Arial" w:cs="Arial"/>
          <w:bCs/>
          <w:color w:val="000000" w:themeColor="text1"/>
          <w:sz w:val="22"/>
          <w:szCs w:val="22"/>
        </w:rPr>
        <w:t xml:space="preserve"> all other racialized groups</w:t>
      </w:r>
      <w:r w:rsidR="00EE6AD7">
        <w:rPr>
          <w:rFonts w:ascii="Arial" w:hAnsi="Arial" w:cs="Arial"/>
          <w:bCs/>
          <w:color w:val="000000" w:themeColor="text1"/>
          <w:sz w:val="22"/>
          <w:szCs w:val="22"/>
        </w:rPr>
        <w:t>.</w:t>
      </w:r>
      <w:r w:rsidR="00EE6AD7">
        <w:rPr>
          <w:rFonts w:ascii="Arial" w:hAnsi="Arial" w:cs="Arial"/>
          <w:bCs/>
          <w:color w:val="000000" w:themeColor="text1"/>
          <w:sz w:val="22"/>
          <w:szCs w:val="22"/>
        </w:rPr>
        <w:fldChar w:fldCharType="begin"/>
      </w:r>
      <w:r w:rsidR="001B40DF">
        <w:rPr>
          <w:rFonts w:ascii="Arial" w:hAnsi="Arial" w:cs="Arial"/>
          <w:bCs/>
          <w:color w:val="000000" w:themeColor="text1"/>
          <w:sz w:val="22"/>
          <w:szCs w:val="22"/>
        </w:rPr>
        <w:instrText xml:space="preserve"> ADDIN ZOTERO_ITEM CSL_CITATION {"citationID":"RhVkD1P7","properties":{"formattedCitation":"\\super 23\\nosupersub{}","plainCitation":"23","noteIndex":0},"citationItems":[{"id":14097,"uris":["http://zotero.org/users/5919053/items/7XDMSXQY"],"itemData":{"id":14097,"type":"article-journal","abstract":"Importance: Substantial patient racial and ethnic differences in opioid prescribing have been documented, but how much of these differences were attributable to physicians prescribing opioids differently to patients of racial and ethnic minority groups is unknown, particularly during the first wave of the opioid epidemic when the dangers of opioid prescribing and use were not as well known.\nObjective: To examine associations of patient race and ethnicity with differences in opioid prescribing by the same primary care physician (PCP) for new low back pain episodes among older adults from 2007 to 2014.\nDesign Setting and Participants: This cross-sectional study used Medicare data of PCP office visits by Medicare beneficiaries who were 66 years or older with new low back pain.\nMain Outcomes and Measures: Prescribing of any opioid in the first year of a new low back pain episode (days 1-365) and subsequent long-term use of an opioid (prescribed for ≥180 days in days 366-730).\nResults: Among the study population of 274 771 patients (mean [SD] age, 77.1 [7.2] years; 192 105 [69.9%] women) with new low back pain, 15 285 (6%) were Asian or Pacific Islander, 16 079 (6%) were Black, 21 289 (8%) were Hispanic, and 222 118 (81%) were White, cared for by 63 494 physicians. In adjusted analysis, on average, 11.5% of the White patients (95% CI, 11.4 to 11.6) received an opioid prescription in the first year of new low back pain. The same prescribing physician was 1.5 percentage points (PP; 95% CI, -2.2 PP to -0.8 PP) less likely to prescribe an opioid if the patient was Black, 2.7 PP (95% CI, -3.5 PP to -1.8 PP) less likely if the patient was Asian or Pacific Islander, and 1.0 PP (95% CI, -1.7 PP to -0.3 PP) less likely if the patient was Hispanic. The same physician was more likely to prescribe a prescription nonsteroidal anti-inflammatory drug to a patient of a racial or ethnic minority group. White patients with new low back pain were more likely to develop subsequent long-term opioid use than patients of racial and ethnic minority groups (eg, 1.8% for White patients vs 0.5% for Hispanic patients).\nConclusions and Relevance: This cross-sectional study found that from 2007 to 2014, primary care physicians prescribed opioids for new low back pain more often to White patients than to patients of racial and ethnic minority groups. These results suggest that there may have been unequal treatment of pain by physicians when less was known about the morbidity associated with opioid use.","container-title":"JAMA health forum","DOI":"10.1001/jamahealthforum.2021.2333","ISSN":"2689-0186","issue":"9","journalAbbreviation":"JAMA Health Forum","language":"eng","note":"PMID: 35977182\nPMCID: PMC8796941","page":"e212333","source":"PubMed","title":"Association of Patient Race and Ethnicity With Differences in Opioid Prescribing by Primary Care Physicians for Older Adults With New Low Back Pain","volume":"2","author":[{"family":"Ly","given":"Dan P."}],"issued":{"date-parts":[["2021",9]]}}}],"schema":"https://github.com/citation-style-language/schema/raw/master/csl-citation.json"} </w:instrText>
      </w:r>
      <w:r w:rsidR="00EE6AD7">
        <w:rPr>
          <w:rFonts w:ascii="Arial" w:hAnsi="Arial" w:cs="Arial"/>
          <w:bCs/>
          <w:color w:val="000000" w:themeColor="text1"/>
          <w:sz w:val="22"/>
          <w:szCs w:val="22"/>
        </w:rPr>
        <w:fldChar w:fldCharType="separate"/>
      </w:r>
      <w:r w:rsidR="001B40DF" w:rsidRPr="001B40DF">
        <w:rPr>
          <w:rFonts w:ascii="Arial" w:hAnsi="Arial" w:cs="Arial"/>
          <w:color w:val="000000"/>
          <w:sz w:val="22"/>
          <w:vertAlign w:val="superscript"/>
        </w:rPr>
        <w:t>23</w:t>
      </w:r>
      <w:r w:rsidR="00EE6AD7">
        <w:rPr>
          <w:rFonts w:ascii="Arial" w:hAnsi="Arial" w:cs="Arial"/>
          <w:bCs/>
          <w:color w:val="000000" w:themeColor="text1"/>
          <w:sz w:val="22"/>
          <w:szCs w:val="22"/>
        </w:rPr>
        <w:fldChar w:fldCharType="end"/>
      </w:r>
      <w:r w:rsidR="008A6B50">
        <w:rPr>
          <w:rFonts w:ascii="Arial" w:hAnsi="Arial" w:cs="Arial"/>
          <w:bCs/>
          <w:color w:val="000000" w:themeColor="text1"/>
          <w:sz w:val="22"/>
          <w:szCs w:val="22"/>
        </w:rPr>
        <w:t xml:space="preserve"> However, most of the </w:t>
      </w:r>
      <w:r w:rsidR="002740A7">
        <w:rPr>
          <w:rFonts w:ascii="Arial" w:hAnsi="Arial" w:cs="Arial"/>
          <w:bCs/>
          <w:color w:val="000000" w:themeColor="text1"/>
          <w:sz w:val="22"/>
          <w:szCs w:val="22"/>
        </w:rPr>
        <w:t xml:space="preserve">black patients </w:t>
      </w:r>
      <w:r w:rsidR="00D27B14">
        <w:rPr>
          <w:rFonts w:ascii="Arial" w:hAnsi="Arial" w:cs="Arial"/>
          <w:bCs/>
          <w:color w:val="000000" w:themeColor="text1"/>
          <w:sz w:val="22"/>
          <w:szCs w:val="22"/>
        </w:rPr>
        <w:t>who got opioid prescriptions present</w:t>
      </w:r>
      <w:r w:rsidR="008A6B50">
        <w:rPr>
          <w:rFonts w:ascii="Arial" w:hAnsi="Arial" w:cs="Arial"/>
          <w:bCs/>
          <w:color w:val="000000" w:themeColor="text1"/>
          <w:sz w:val="22"/>
          <w:szCs w:val="22"/>
        </w:rPr>
        <w:t>ed</w:t>
      </w:r>
      <w:r w:rsidR="00D27B14">
        <w:rPr>
          <w:rFonts w:ascii="Arial" w:hAnsi="Arial" w:cs="Arial"/>
          <w:bCs/>
          <w:color w:val="000000" w:themeColor="text1"/>
          <w:sz w:val="22"/>
          <w:szCs w:val="22"/>
        </w:rPr>
        <w:t xml:space="preserve"> in </w:t>
      </w:r>
      <w:r w:rsidR="00553FC7">
        <w:rPr>
          <w:rFonts w:ascii="Arial" w:hAnsi="Arial" w:cs="Arial"/>
          <w:bCs/>
          <w:color w:val="000000" w:themeColor="text1"/>
          <w:sz w:val="22"/>
          <w:szCs w:val="22"/>
        </w:rPr>
        <w:t>ED</w:t>
      </w:r>
      <w:r w:rsidR="00DC1257">
        <w:rPr>
          <w:rFonts w:ascii="Arial" w:hAnsi="Arial" w:cs="Arial"/>
          <w:bCs/>
          <w:color w:val="000000" w:themeColor="text1"/>
          <w:sz w:val="22"/>
          <w:szCs w:val="22"/>
        </w:rPr>
        <w:t xml:space="preserve">, suggesting </w:t>
      </w:r>
      <w:r w:rsidR="00923B40">
        <w:rPr>
          <w:rFonts w:ascii="Arial" w:hAnsi="Arial" w:cs="Arial"/>
          <w:bCs/>
          <w:color w:val="000000" w:themeColor="text1"/>
          <w:sz w:val="22"/>
          <w:szCs w:val="22"/>
        </w:rPr>
        <w:t xml:space="preserve">potentially </w:t>
      </w:r>
      <w:r w:rsidR="00E80114">
        <w:rPr>
          <w:rFonts w:ascii="Arial" w:hAnsi="Arial" w:cs="Arial"/>
          <w:bCs/>
          <w:color w:val="000000" w:themeColor="text1"/>
          <w:sz w:val="22"/>
          <w:szCs w:val="22"/>
        </w:rPr>
        <w:t>higher</w:t>
      </w:r>
      <w:r w:rsidR="00DC1257">
        <w:rPr>
          <w:rFonts w:ascii="Arial" w:hAnsi="Arial" w:cs="Arial"/>
          <w:bCs/>
          <w:color w:val="000000" w:themeColor="text1"/>
          <w:sz w:val="22"/>
          <w:szCs w:val="22"/>
        </w:rPr>
        <w:t xml:space="preserve"> levels of </w:t>
      </w:r>
      <w:r w:rsidR="007B4EBD">
        <w:rPr>
          <w:rFonts w:ascii="Arial" w:hAnsi="Arial" w:cs="Arial"/>
          <w:bCs/>
          <w:color w:val="000000" w:themeColor="text1"/>
          <w:sz w:val="22"/>
          <w:szCs w:val="22"/>
        </w:rPr>
        <w:t xml:space="preserve">clinical </w:t>
      </w:r>
      <w:r w:rsidR="00DC1257">
        <w:rPr>
          <w:rFonts w:ascii="Arial" w:hAnsi="Arial" w:cs="Arial"/>
          <w:bCs/>
          <w:color w:val="000000" w:themeColor="text1"/>
          <w:sz w:val="22"/>
          <w:szCs w:val="22"/>
        </w:rPr>
        <w:t>complications</w:t>
      </w:r>
      <w:r w:rsidR="00C9229E">
        <w:rPr>
          <w:rFonts w:ascii="Arial" w:hAnsi="Arial" w:cs="Arial"/>
          <w:bCs/>
          <w:color w:val="000000" w:themeColor="text1"/>
          <w:sz w:val="22"/>
          <w:szCs w:val="22"/>
        </w:rPr>
        <w:t xml:space="preserve"> and</w:t>
      </w:r>
      <w:r w:rsidR="007B4EBD">
        <w:rPr>
          <w:rFonts w:ascii="Arial" w:hAnsi="Arial" w:cs="Arial"/>
          <w:bCs/>
          <w:color w:val="000000" w:themeColor="text1"/>
          <w:sz w:val="22"/>
          <w:szCs w:val="22"/>
        </w:rPr>
        <w:t xml:space="preserve"> pain and </w:t>
      </w:r>
      <w:r w:rsidR="00C9229E">
        <w:rPr>
          <w:rFonts w:ascii="Arial" w:hAnsi="Arial" w:cs="Arial"/>
          <w:bCs/>
          <w:color w:val="000000" w:themeColor="text1"/>
          <w:sz w:val="22"/>
          <w:szCs w:val="22"/>
        </w:rPr>
        <w:t xml:space="preserve">therefore </w:t>
      </w:r>
      <w:r w:rsidR="00031556">
        <w:rPr>
          <w:rFonts w:ascii="Arial" w:hAnsi="Arial" w:cs="Arial"/>
          <w:bCs/>
          <w:color w:val="000000" w:themeColor="text1"/>
          <w:sz w:val="22"/>
          <w:szCs w:val="22"/>
        </w:rPr>
        <w:t>more opioid prescriptions</w:t>
      </w:r>
      <w:r w:rsidR="007B4EBD">
        <w:rPr>
          <w:rFonts w:ascii="Arial" w:hAnsi="Arial" w:cs="Arial"/>
          <w:bCs/>
          <w:color w:val="000000" w:themeColor="text1"/>
          <w:sz w:val="22"/>
          <w:szCs w:val="22"/>
        </w:rPr>
        <w:t>.</w:t>
      </w:r>
      <w:r w:rsidR="00923B40">
        <w:rPr>
          <w:rFonts w:ascii="Arial" w:hAnsi="Arial" w:cs="Arial"/>
          <w:bCs/>
          <w:color w:val="000000" w:themeColor="text1"/>
          <w:sz w:val="22"/>
          <w:szCs w:val="22"/>
          <w:vertAlign w:val="superscript"/>
        </w:rPr>
        <w:t>3</w:t>
      </w:r>
      <w:r w:rsidR="00AB43EE">
        <w:rPr>
          <w:rFonts w:ascii="Arial" w:hAnsi="Arial" w:cs="Arial"/>
          <w:bCs/>
          <w:color w:val="000000" w:themeColor="text1"/>
          <w:sz w:val="22"/>
          <w:szCs w:val="22"/>
          <w:vertAlign w:val="superscript"/>
        </w:rPr>
        <w:t>5</w:t>
      </w:r>
      <w:r w:rsidR="00754361">
        <w:rPr>
          <w:rFonts w:ascii="Arial" w:hAnsi="Arial" w:cs="Arial"/>
          <w:bCs/>
          <w:color w:val="000000" w:themeColor="text1"/>
          <w:sz w:val="22"/>
          <w:szCs w:val="22"/>
        </w:rPr>
        <w:t xml:space="preserve"> Racially minoritized patients are known </w:t>
      </w:r>
      <w:r w:rsidR="008A6B50">
        <w:rPr>
          <w:rFonts w:ascii="Arial" w:hAnsi="Arial" w:cs="Arial"/>
          <w:bCs/>
          <w:color w:val="000000" w:themeColor="text1"/>
          <w:sz w:val="22"/>
          <w:szCs w:val="22"/>
        </w:rPr>
        <w:t>access</w:t>
      </w:r>
      <w:r w:rsidR="00754361">
        <w:rPr>
          <w:rFonts w:ascii="Arial" w:hAnsi="Arial" w:cs="Arial"/>
          <w:bCs/>
          <w:color w:val="000000" w:themeColor="text1"/>
          <w:sz w:val="22"/>
          <w:szCs w:val="22"/>
        </w:rPr>
        <w:t xml:space="preserve"> ED </w:t>
      </w:r>
      <w:r w:rsidR="008A6B50">
        <w:rPr>
          <w:rFonts w:ascii="Arial" w:hAnsi="Arial" w:cs="Arial"/>
          <w:bCs/>
          <w:color w:val="000000" w:themeColor="text1"/>
          <w:sz w:val="22"/>
          <w:szCs w:val="22"/>
        </w:rPr>
        <w:t>more frequently</w:t>
      </w:r>
      <w:r w:rsidR="000771D3">
        <w:rPr>
          <w:rFonts w:ascii="Arial" w:hAnsi="Arial" w:cs="Arial"/>
          <w:bCs/>
          <w:color w:val="000000" w:themeColor="text1"/>
          <w:sz w:val="22"/>
          <w:szCs w:val="22"/>
        </w:rPr>
        <w:t xml:space="preserve"> than white patients due to barriers in accessing</w:t>
      </w:r>
      <w:r w:rsidR="008A6B50">
        <w:rPr>
          <w:rFonts w:ascii="Arial" w:hAnsi="Arial" w:cs="Arial"/>
          <w:bCs/>
          <w:color w:val="000000" w:themeColor="text1"/>
          <w:sz w:val="22"/>
          <w:szCs w:val="22"/>
        </w:rPr>
        <w:t xml:space="preserve"> outpatient care, </w:t>
      </w:r>
      <w:r w:rsidR="00754361">
        <w:rPr>
          <w:rFonts w:ascii="Arial" w:hAnsi="Arial" w:cs="Arial"/>
          <w:bCs/>
          <w:color w:val="000000" w:themeColor="text1"/>
          <w:sz w:val="22"/>
          <w:szCs w:val="22"/>
        </w:rPr>
        <w:t>with greater complications</w:t>
      </w:r>
      <w:r w:rsidR="00F17F75">
        <w:rPr>
          <w:rFonts w:ascii="Arial" w:hAnsi="Arial" w:cs="Arial"/>
          <w:bCs/>
          <w:color w:val="000000" w:themeColor="text1"/>
          <w:sz w:val="22"/>
          <w:szCs w:val="22"/>
        </w:rPr>
        <w:t xml:space="preserve"> </w:t>
      </w:r>
      <w:r w:rsidR="00754361">
        <w:rPr>
          <w:rFonts w:ascii="Arial" w:hAnsi="Arial" w:cs="Arial"/>
          <w:bCs/>
          <w:color w:val="000000" w:themeColor="text1"/>
          <w:sz w:val="22"/>
          <w:szCs w:val="22"/>
        </w:rPr>
        <w:t>due to barriers to accessing primary care.</w:t>
      </w:r>
      <w:r w:rsidR="00FA0875">
        <w:rPr>
          <w:rFonts w:ascii="Arial" w:hAnsi="Arial" w:cs="Arial"/>
          <w:bCs/>
          <w:color w:val="000000" w:themeColor="text1"/>
          <w:sz w:val="22"/>
          <w:szCs w:val="22"/>
        </w:rPr>
        <w:fldChar w:fldCharType="begin"/>
      </w:r>
      <w:r w:rsidR="00FA0875">
        <w:rPr>
          <w:rFonts w:ascii="Arial" w:hAnsi="Arial" w:cs="Arial"/>
          <w:bCs/>
          <w:color w:val="000000" w:themeColor="text1"/>
          <w:sz w:val="22"/>
          <w:szCs w:val="22"/>
        </w:rPr>
        <w:instrText xml:space="preserve"> ADDIN ZOTERO_ITEM CSL_CITATION {"citationID":"LeVVoRDd","properties":{"formattedCitation":"\\super 34\\nosupersub{}","plainCitation":"34","noteIndex":0},"citationItems":[{"id":15585,"uris":["http://zotero.org/users/5919053/items/MKZRHUDI"],"itemData":{"id":15585,"type":"article-journal","abstract":"This report describes the percentage of emergency department visits among adults older than 65 with Medicaid as the primary expected source of payment.","container-title":"MMWR. Morbidity and Mortality Weekly Report","DOI":"10.15585/mmwr.mm7231a6","ISSN":"0149-21951545-861X","journalAbbreviation":"MMWR Morb Mortal Wkly Rep","language":"en-us","source":"www.cdc.gov","title":"QuickStats: Percentage of Emergency Department Visits with Medicaid as the Primary Expected Source of Payment Among Persons Aged &lt;65 Years, by Race and Ethnicity — National Hospital Ambulatory Medical Care Survey, United States, 2011–2021","title-short":"QuickStats","URL":"https://www.cdc.gov/mmwr/volumes/72/wr/mm7231a6.htm","volume":"72","author":[{"family":"CDCMMWR","given":""}],"accessed":{"date-parts":[["2023",8,15]]},"issued":{"date-parts":[["2023"]]}}}],"schema":"https://github.com/citation-style-language/schema/raw/master/csl-citation.json"} </w:instrText>
      </w:r>
      <w:r w:rsidR="00FA0875">
        <w:rPr>
          <w:rFonts w:ascii="Arial" w:hAnsi="Arial" w:cs="Arial"/>
          <w:bCs/>
          <w:color w:val="000000" w:themeColor="text1"/>
          <w:sz w:val="22"/>
          <w:szCs w:val="22"/>
        </w:rPr>
        <w:fldChar w:fldCharType="separate"/>
      </w:r>
      <w:r w:rsidR="00FA0875" w:rsidRPr="00FA0875">
        <w:rPr>
          <w:rFonts w:ascii="Arial" w:hAnsi="Arial" w:cs="Arial"/>
          <w:color w:val="000000"/>
          <w:sz w:val="22"/>
          <w:vertAlign w:val="superscript"/>
        </w:rPr>
        <w:t>3</w:t>
      </w:r>
      <w:r w:rsidR="00CA28AD">
        <w:rPr>
          <w:rFonts w:ascii="Arial" w:hAnsi="Arial" w:cs="Arial"/>
          <w:color w:val="000000"/>
          <w:sz w:val="22"/>
          <w:vertAlign w:val="superscript"/>
        </w:rPr>
        <w:t>5</w:t>
      </w:r>
      <w:r w:rsidR="00FA0875">
        <w:rPr>
          <w:rFonts w:ascii="Arial" w:hAnsi="Arial" w:cs="Arial"/>
          <w:bCs/>
          <w:color w:val="000000" w:themeColor="text1"/>
          <w:sz w:val="22"/>
          <w:szCs w:val="22"/>
        </w:rPr>
        <w:fldChar w:fldCharType="end"/>
      </w:r>
      <w:r w:rsidR="00553FC7">
        <w:rPr>
          <w:rFonts w:ascii="Arial" w:hAnsi="Arial" w:cs="Arial"/>
          <w:bCs/>
          <w:color w:val="000000" w:themeColor="text1"/>
          <w:sz w:val="22"/>
          <w:szCs w:val="22"/>
        </w:rPr>
        <w:t xml:space="preserve"> </w:t>
      </w:r>
      <w:r w:rsidR="008A6B50">
        <w:rPr>
          <w:rFonts w:ascii="Arial" w:hAnsi="Arial" w:cs="Arial"/>
          <w:bCs/>
          <w:color w:val="000000" w:themeColor="text1"/>
          <w:sz w:val="22"/>
          <w:szCs w:val="22"/>
        </w:rPr>
        <w:t>W</w:t>
      </w:r>
      <w:r w:rsidRPr="006112E3">
        <w:rPr>
          <w:rFonts w:ascii="Arial" w:hAnsi="Arial" w:cs="Arial"/>
          <w:bCs/>
          <w:color w:val="000000" w:themeColor="text1"/>
          <w:sz w:val="22"/>
          <w:szCs w:val="22"/>
        </w:rPr>
        <w:t xml:space="preserve">e found </w:t>
      </w:r>
      <w:r w:rsidR="00923B40">
        <w:rPr>
          <w:rFonts w:ascii="Arial" w:hAnsi="Arial" w:cs="Arial"/>
          <w:bCs/>
          <w:color w:val="000000" w:themeColor="text1"/>
          <w:sz w:val="22"/>
          <w:szCs w:val="22"/>
        </w:rPr>
        <w:lastRenderedPageBreak/>
        <w:t>b</w:t>
      </w:r>
      <w:r w:rsidRPr="006112E3">
        <w:rPr>
          <w:rFonts w:ascii="Arial" w:hAnsi="Arial" w:cs="Arial"/>
          <w:bCs/>
          <w:color w:val="000000" w:themeColor="text1"/>
          <w:sz w:val="22"/>
          <w:szCs w:val="22"/>
        </w:rPr>
        <w:t xml:space="preserve">lack and </w:t>
      </w:r>
      <w:r w:rsidR="009228CB">
        <w:rPr>
          <w:rFonts w:ascii="Arial" w:hAnsi="Arial" w:cs="Arial"/>
          <w:bCs/>
          <w:color w:val="000000" w:themeColor="text1"/>
          <w:sz w:val="22"/>
          <w:szCs w:val="22"/>
        </w:rPr>
        <w:t>n</w:t>
      </w:r>
      <w:r w:rsidRPr="006112E3">
        <w:rPr>
          <w:rFonts w:ascii="Arial" w:hAnsi="Arial" w:cs="Arial"/>
          <w:bCs/>
          <w:color w:val="000000" w:themeColor="text1"/>
          <w:sz w:val="22"/>
          <w:szCs w:val="22"/>
        </w:rPr>
        <w:t xml:space="preserve">ative American </w:t>
      </w:r>
      <w:r w:rsidR="008A6B50">
        <w:rPr>
          <w:rFonts w:ascii="Arial" w:hAnsi="Arial" w:cs="Arial"/>
          <w:bCs/>
          <w:color w:val="000000" w:themeColor="text1"/>
          <w:sz w:val="22"/>
          <w:szCs w:val="22"/>
        </w:rPr>
        <w:t xml:space="preserve">post-surgical </w:t>
      </w:r>
      <w:r w:rsidRPr="006112E3">
        <w:rPr>
          <w:rFonts w:ascii="Arial" w:hAnsi="Arial" w:cs="Arial"/>
          <w:bCs/>
          <w:color w:val="000000" w:themeColor="text1"/>
          <w:sz w:val="22"/>
          <w:szCs w:val="22"/>
        </w:rPr>
        <w:t xml:space="preserve">patients experienced </w:t>
      </w:r>
      <w:r>
        <w:rPr>
          <w:rFonts w:ascii="Arial" w:hAnsi="Arial" w:cs="Arial"/>
          <w:bCs/>
          <w:color w:val="000000" w:themeColor="text1"/>
          <w:sz w:val="22"/>
          <w:szCs w:val="22"/>
        </w:rPr>
        <w:t>a greater</w:t>
      </w:r>
      <w:r w:rsidRPr="006112E3">
        <w:rPr>
          <w:rFonts w:ascii="Arial" w:hAnsi="Arial" w:cs="Arial"/>
          <w:bCs/>
          <w:color w:val="000000" w:themeColor="text1"/>
          <w:sz w:val="22"/>
          <w:szCs w:val="22"/>
        </w:rPr>
        <w:t xml:space="preserve"> </w:t>
      </w:r>
      <w:r w:rsidR="008A6B50">
        <w:rPr>
          <w:rFonts w:ascii="Arial" w:hAnsi="Arial" w:cs="Arial"/>
          <w:bCs/>
          <w:color w:val="000000" w:themeColor="text1"/>
          <w:sz w:val="22"/>
          <w:szCs w:val="22"/>
        </w:rPr>
        <w:t xml:space="preserve">SOPI and STOP Act-related </w:t>
      </w:r>
      <w:r w:rsidRPr="006112E3">
        <w:rPr>
          <w:rFonts w:ascii="Arial" w:hAnsi="Arial" w:cs="Arial"/>
          <w:bCs/>
          <w:color w:val="000000" w:themeColor="text1"/>
          <w:sz w:val="22"/>
          <w:szCs w:val="22"/>
        </w:rPr>
        <w:t>reduction</w:t>
      </w:r>
      <w:r w:rsidR="008A6B50">
        <w:rPr>
          <w:rFonts w:ascii="Arial" w:hAnsi="Arial" w:cs="Arial"/>
          <w:bCs/>
          <w:color w:val="000000" w:themeColor="text1"/>
          <w:sz w:val="22"/>
          <w:szCs w:val="22"/>
        </w:rPr>
        <w:t>s</w:t>
      </w:r>
      <w:r w:rsidRPr="006112E3">
        <w:rPr>
          <w:rFonts w:ascii="Arial" w:hAnsi="Arial" w:cs="Arial"/>
          <w:bCs/>
          <w:color w:val="000000" w:themeColor="text1"/>
          <w:sz w:val="22"/>
          <w:szCs w:val="22"/>
        </w:rPr>
        <w:t xml:space="preserve"> in opioid prescribing </w:t>
      </w:r>
      <w:r w:rsidR="008A6B50">
        <w:rPr>
          <w:rFonts w:ascii="Arial" w:hAnsi="Arial" w:cs="Arial"/>
          <w:bCs/>
          <w:color w:val="000000" w:themeColor="text1"/>
          <w:sz w:val="22"/>
          <w:szCs w:val="22"/>
        </w:rPr>
        <w:t>than white patients</w:t>
      </w:r>
      <w:r w:rsidRPr="006112E3">
        <w:rPr>
          <w:rFonts w:ascii="Arial" w:hAnsi="Arial" w:cs="Arial"/>
          <w:bCs/>
          <w:color w:val="000000" w:themeColor="text1"/>
          <w:sz w:val="22"/>
          <w:szCs w:val="22"/>
        </w:rPr>
        <w:t>.</w:t>
      </w:r>
      <w:r w:rsidR="00B75C91">
        <w:rPr>
          <w:rFonts w:ascii="Arial" w:hAnsi="Arial" w:cs="Arial"/>
          <w:bCs/>
          <w:color w:val="000000" w:themeColor="text1"/>
          <w:sz w:val="22"/>
          <w:szCs w:val="22"/>
        </w:rPr>
        <w:t xml:space="preserve"> </w:t>
      </w:r>
      <w:r w:rsidR="008A6B50">
        <w:rPr>
          <w:rFonts w:ascii="Arial" w:hAnsi="Arial" w:cs="Arial"/>
          <w:bCs/>
          <w:color w:val="000000" w:themeColor="text1"/>
          <w:sz w:val="22"/>
          <w:szCs w:val="22"/>
        </w:rPr>
        <w:t>P</w:t>
      </w:r>
      <w:r w:rsidR="002E01FC">
        <w:rPr>
          <w:rFonts w:ascii="Arial" w:hAnsi="Arial" w:cs="Arial"/>
          <w:bCs/>
          <w:color w:val="000000" w:themeColor="text1"/>
          <w:sz w:val="22"/>
          <w:szCs w:val="22"/>
        </w:rPr>
        <w:t>olic</w:t>
      </w:r>
      <w:r w:rsidR="0022371D">
        <w:rPr>
          <w:rFonts w:ascii="Arial" w:hAnsi="Arial" w:cs="Arial"/>
          <w:bCs/>
          <w:color w:val="000000" w:themeColor="text1"/>
          <w:sz w:val="22"/>
          <w:szCs w:val="22"/>
        </w:rPr>
        <w:t xml:space="preserve">y modifications to </w:t>
      </w:r>
      <w:r w:rsidR="002E01FC">
        <w:rPr>
          <w:rFonts w:ascii="Arial" w:hAnsi="Arial" w:cs="Arial"/>
          <w:bCs/>
          <w:color w:val="000000" w:themeColor="text1"/>
          <w:sz w:val="22"/>
          <w:szCs w:val="22"/>
        </w:rPr>
        <w:t xml:space="preserve">ensure </w:t>
      </w:r>
      <w:r>
        <w:rPr>
          <w:rFonts w:ascii="Arial" w:hAnsi="Arial" w:cs="Arial"/>
          <w:bCs/>
          <w:color w:val="000000" w:themeColor="text1"/>
          <w:sz w:val="22"/>
          <w:szCs w:val="22"/>
        </w:rPr>
        <w:t xml:space="preserve">equitable opioid prescribing practices </w:t>
      </w:r>
      <w:r w:rsidR="0022371D">
        <w:rPr>
          <w:rFonts w:ascii="Arial" w:hAnsi="Arial" w:cs="Arial"/>
          <w:bCs/>
          <w:color w:val="000000" w:themeColor="text1"/>
          <w:sz w:val="22"/>
          <w:szCs w:val="22"/>
        </w:rPr>
        <w:t xml:space="preserve">and </w:t>
      </w:r>
      <w:r w:rsidR="00D74DC2">
        <w:rPr>
          <w:rFonts w:ascii="Arial" w:hAnsi="Arial" w:cs="Arial"/>
          <w:bCs/>
          <w:color w:val="000000" w:themeColor="text1"/>
          <w:sz w:val="22"/>
          <w:szCs w:val="22"/>
        </w:rPr>
        <w:t>mitigat</w:t>
      </w:r>
      <w:r w:rsidR="00B75C91">
        <w:rPr>
          <w:rFonts w:ascii="Arial" w:hAnsi="Arial" w:cs="Arial"/>
          <w:bCs/>
          <w:color w:val="000000" w:themeColor="text1"/>
          <w:sz w:val="22"/>
          <w:szCs w:val="22"/>
        </w:rPr>
        <w:t>ing existing</w:t>
      </w:r>
      <w:r w:rsidR="00D74DC2">
        <w:rPr>
          <w:rFonts w:ascii="Arial" w:hAnsi="Arial" w:cs="Arial"/>
          <w:bCs/>
          <w:color w:val="000000" w:themeColor="text1"/>
          <w:sz w:val="22"/>
          <w:szCs w:val="22"/>
        </w:rPr>
        <w:t xml:space="preserve"> </w:t>
      </w:r>
      <w:r>
        <w:rPr>
          <w:rFonts w:ascii="Arial" w:hAnsi="Arial" w:cs="Arial"/>
          <w:bCs/>
          <w:color w:val="000000" w:themeColor="text1"/>
          <w:sz w:val="22"/>
          <w:szCs w:val="22"/>
        </w:rPr>
        <w:t xml:space="preserve">disparities </w:t>
      </w:r>
      <w:r w:rsidR="00B75C91">
        <w:rPr>
          <w:rFonts w:ascii="Arial" w:hAnsi="Arial" w:cs="Arial"/>
          <w:bCs/>
          <w:color w:val="000000" w:themeColor="text1"/>
          <w:sz w:val="22"/>
          <w:szCs w:val="22"/>
        </w:rPr>
        <w:t>are needed</w:t>
      </w:r>
      <w:r>
        <w:rPr>
          <w:rFonts w:ascii="Arial" w:hAnsi="Arial" w:cs="Arial"/>
          <w:bCs/>
          <w:color w:val="000000" w:themeColor="text1"/>
          <w:sz w:val="22"/>
          <w:szCs w:val="22"/>
        </w:rPr>
        <w:t>.</w:t>
      </w:r>
    </w:p>
    <w:p w14:paraId="673BF8F1" w14:textId="77777777" w:rsidR="00E028A4" w:rsidRDefault="00E028A4" w:rsidP="00E028A4">
      <w:pPr>
        <w:rPr>
          <w:rFonts w:ascii="Arial" w:hAnsi="Arial" w:cs="Arial"/>
          <w:bCs/>
          <w:color w:val="000000" w:themeColor="text1"/>
          <w:sz w:val="22"/>
          <w:szCs w:val="22"/>
        </w:rPr>
      </w:pPr>
    </w:p>
    <w:p w14:paraId="02CA12C5" w14:textId="5E954E25" w:rsidR="00E028A4" w:rsidRDefault="00BD0CE4" w:rsidP="00E028A4">
      <w:pPr>
        <w:rPr>
          <w:rFonts w:ascii="Arial" w:hAnsi="Arial" w:cs="Arial"/>
          <w:bCs/>
          <w:color w:val="000000" w:themeColor="text1"/>
          <w:sz w:val="22"/>
          <w:szCs w:val="22"/>
        </w:rPr>
      </w:pPr>
      <w:r>
        <w:rPr>
          <w:rFonts w:ascii="Arial" w:hAnsi="Arial" w:cs="Arial"/>
          <w:bCs/>
          <w:color w:val="000000" w:themeColor="text1"/>
          <w:sz w:val="22"/>
          <w:szCs w:val="22"/>
        </w:rPr>
        <w:t xml:space="preserve">SOPI-related </w:t>
      </w:r>
      <w:proofErr w:type="gramStart"/>
      <w:r>
        <w:rPr>
          <w:rFonts w:ascii="Arial" w:hAnsi="Arial" w:cs="Arial"/>
          <w:bCs/>
          <w:color w:val="000000" w:themeColor="text1"/>
          <w:sz w:val="22"/>
          <w:szCs w:val="22"/>
        </w:rPr>
        <w:t>reduction</w:t>
      </w:r>
      <w:proofErr w:type="gramEnd"/>
      <w:r>
        <w:rPr>
          <w:rFonts w:ascii="Arial" w:hAnsi="Arial" w:cs="Arial"/>
          <w:bCs/>
          <w:color w:val="000000" w:themeColor="text1"/>
          <w:sz w:val="22"/>
          <w:szCs w:val="22"/>
        </w:rPr>
        <w:t xml:space="preserve"> in prescribing were greatest among </w:t>
      </w:r>
      <w:r w:rsidR="00E028A4">
        <w:rPr>
          <w:rFonts w:ascii="Arial" w:hAnsi="Arial" w:cs="Arial"/>
          <w:bCs/>
          <w:color w:val="000000" w:themeColor="text1"/>
          <w:sz w:val="22"/>
          <w:szCs w:val="22"/>
        </w:rPr>
        <w:t xml:space="preserve">65 years </w:t>
      </w:r>
      <w:r>
        <w:rPr>
          <w:rFonts w:ascii="Arial" w:hAnsi="Arial" w:cs="Arial"/>
          <w:bCs/>
          <w:color w:val="000000" w:themeColor="text1"/>
          <w:sz w:val="22"/>
          <w:szCs w:val="22"/>
        </w:rPr>
        <w:t>and older patients</w:t>
      </w:r>
      <w:r w:rsidR="00E028A4">
        <w:rPr>
          <w:rFonts w:ascii="Arial" w:hAnsi="Arial" w:cs="Arial"/>
          <w:bCs/>
          <w:color w:val="000000" w:themeColor="text1"/>
          <w:sz w:val="22"/>
          <w:szCs w:val="22"/>
        </w:rPr>
        <w:t>,</w:t>
      </w:r>
      <w:r>
        <w:rPr>
          <w:rFonts w:ascii="Arial" w:hAnsi="Arial" w:cs="Arial"/>
          <w:bCs/>
          <w:color w:val="000000" w:themeColor="text1"/>
          <w:sz w:val="22"/>
          <w:szCs w:val="22"/>
        </w:rPr>
        <w:t xml:space="preserve"> while</w:t>
      </w:r>
      <w:r w:rsidR="00E028A4">
        <w:rPr>
          <w:rFonts w:ascii="Arial" w:hAnsi="Arial" w:cs="Arial"/>
          <w:bCs/>
          <w:color w:val="000000" w:themeColor="text1"/>
          <w:sz w:val="22"/>
          <w:szCs w:val="22"/>
        </w:rPr>
        <w:t xml:space="preserve"> </w:t>
      </w:r>
      <w:r w:rsidR="000E6B30">
        <w:rPr>
          <w:rFonts w:ascii="Arial" w:hAnsi="Arial" w:cs="Arial"/>
          <w:bCs/>
          <w:color w:val="000000" w:themeColor="text1"/>
          <w:sz w:val="22"/>
          <w:szCs w:val="22"/>
        </w:rPr>
        <w:t>STOP Act</w:t>
      </w:r>
      <w:r w:rsidR="00E028A4">
        <w:rPr>
          <w:rFonts w:ascii="Arial" w:hAnsi="Arial" w:cs="Arial"/>
          <w:bCs/>
          <w:color w:val="000000" w:themeColor="text1"/>
          <w:sz w:val="22"/>
          <w:szCs w:val="22"/>
        </w:rPr>
        <w:t xml:space="preserve"> </w:t>
      </w:r>
      <w:r>
        <w:rPr>
          <w:rFonts w:ascii="Arial" w:hAnsi="Arial" w:cs="Arial"/>
          <w:bCs/>
          <w:color w:val="000000" w:themeColor="text1"/>
          <w:sz w:val="22"/>
          <w:szCs w:val="22"/>
        </w:rPr>
        <w:t>l</w:t>
      </w:r>
      <w:r w:rsidR="00E028A4">
        <w:rPr>
          <w:rFonts w:ascii="Arial" w:hAnsi="Arial" w:cs="Arial"/>
          <w:bCs/>
          <w:color w:val="000000" w:themeColor="text1"/>
          <w:sz w:val="22"/>
          <w:szCs w:val="22"/>
        </w:rPr>
        <w:t>ed</w:t>
      </w:r>
      <w:r>
        <w:rPr>
          <w:rFonts w:ascii="Arial" w:hAnsi="Arial" w:cs="Arial"/>
          <w:bCs/>
          <w:color w:val="000000" w:themeColor="text1"/>
          <w:sz w:val="22"/>
          <w:szCs w:val="22"/>
        </w:rPr>
        <w:t xml:space="preserve"> to </w:t>
      </w:r>
      <w:r w:rsidR="00E028A4">
        <w:rPr>
          <w:rFonts w:ascii="Arial" w:hAnsi="Arial" w:cs="Arial"/>
          <w:bCs/>
          <w:color w:val="000000" w:themeColor="text1"/>
          <w:sz w:val="22"/>
          <w:szCs w:val="22"/>
        </w:rPr>
        <w:t xml:space="preserve">greatest declines in those 35 years and </w:t>
      </w:r>
      <w:r>
        <w:rPr>
          <w:rFonts w:ascii="Arial" w:hAnsi="Arial" w:cs="Arial"/>
          <w:bCs/>
          <w:color w:val="000000" w:themeColor="text1"/>
          <w:sz w:val="22"/>
          <w:szCs w:val="22"/>
        </w:rPr>
        <w:t>younger</w:t>
      </w:r>
      <w:r w:rsidR="00E028A4">
        <w:rPr>
          <w:rFonts w:ascii="Arial" w:hAnsi="Arial" w:cs="Arial"/>
          <w:bCs/>
          <w:color w:val="000000" w:themeColor="text1"/>
          <w:sz w:val="22"/>
          <w:szCs w:val="22"/>
        </w:rPr>
        <w:t xml:space="preserve">. </w:t>
      </w:r>
      <w:r>
        <w:rPr>
          <w:rFonts w:ascii="Arial" w:hAnsi="Arial" w:cs="Arial"/>
          <w:bCs/>
          <w:color w:val="000000" w:themeColor="text1"/>
          <w:sz w:val="22"/>
          <w:szCs w:val="22"/>
        </w:rPr>
        <w:t>T</w:t>
      </w:r>
      <w:r w:rsidR="00E028A4">
        <w:rPr>
          <w:rFonts w:ascii="Arial" w:hAnsi="Arial" w:cs="Arial"/>
          <w:bCs/>
          <w:color w:val="000000" w:themeColor="text1"/>
          <w:sz w:val="22"/>
          <w:szCs w:val="22"/>
        </w:rPr>
        <w:t>h</w:t>
      </w:r>
      <w:r w:rsidR="00FB125C">
        <w:rPr>
          <w:rFonts w:ascii="Arial" w:hAnsi="Arial" w:cs="Arial"/>
          <w:bCs/>
          <w:color w:val="000000" w:themeColor="text1"/>
          <w:sz w:val="22"/>
          <w:szCs w:val="22"/>
        </w:rPr>
        <w:t>is</w:t>
      </w:r>
      <w:r w:rsidR="00E028A4">
        <w:rPr>
          <w:rFonts w:ascii="Arial" w:hAnsi="Arial" w:cs="Arial"/>
          <w:bCs/>
          <w:color w:val="000000" w:themeColor="text1"/>
          <w:sz w:val="22"/>
          <w:szCs w:val="22"/>
        </w:rPr>
        <w:t xml:space="preserve"> may </w:t>
      </w:r>
      <w:r w:rsidR="000771D3">
        <w:rPr>
          <w:rFonts w:ascii="Arial" w:hAnsi="Arial" w:cs="Arial"/>
          <w:bCs/>
          <w:color w:val="000000" w:themeColor="text1"/>
          <w:sz w:val="22"/>
          <w:szCs w:val="22"/>
        </w:rPr>
        <w:t>be because</w:t>
      </w:r>
      <w:r w:rsidR="00E028A4">
        <w:rPr>
          <w:rFonts w:ascii="Arial" w:hAnsi="Arial" w:cs="Arial"/>
          <w:bCs/>
          <w:color w:val="000000" w:themeColor="text1"/>
          <w:sz w:val="22"/>
          <w:szCs w:val="22"/>
        </w:rPr>
        <w:t xml:space="preserve"> pre-SOPI, </w:t>
      </w:r>
      <w:r>
        <w:rPr>
          <w:rFonts w:ascii="Arial" w:hAnsi="Arial" w:cs="Arial"/>
          <w:bCs/>
          <w:color w:val="000000" w:themeColor="text1"/>
          <w:sz w:val="22"/>
          <w:szCs w:val="22"/>
        </w:rPr>
        <w:t>t</w:t>
      </w:r>
      <w:r w:rsidR="00E028A4">
        <w:rPr>
          <w:rFonts w:ascii="Arial" w:hAnsi="Arial" w:cs="Arial"/>
          <w:bCs/>
          <w:color w:val="000000" w:themeColor="text1"/>
          <w:sz w:val="22"/>
          <w:szCs w:val="22"/>
        </w:rPr>
        <w:t xml:space="preserve">he </w:t>
      </w:r>
      <w:r>
        <w:rPr>
          <w:rFonts w:ascii="Arial" w:hAnsi="Arial" w:cs="Arial"/>
          <w:bCs/>
          <w:color w:val="000000" w:themeColor="text1"/>
          <w:sz w:val="22"/>
          <w:szCs w:val="22"/>
        </w:rPr>
        <w:t xml:space="preserve">patients &gt;65 years old received most </w:t>
      </w:r>
      <w:r w:rsidR="00E028A4">
        <w:rPr>
          <w:rFonts w:ascii="Arial" w:hAnsi="Arial" w:cs="Arial"/>
          <w:bCs/>
          <w:color w:val="000000" w:themeColor="text1"/>
          <w:sz w:val="22"/>
          <w:szCs w:val="22"/>
        </w:rPr>
        <w:t>opioid prescriptions and th</w:t>
      </w:r>
      <w:r>
        <w:rPr>
          <w:rFonts w:ascii="Arial" w:hAnsi="Arial" w:cs="Arial"/>
          <w:bCs/>
          <w:color w:val="000000" w:themeColor="text1"/>
          <w:sz w:val="22"/>
          <w:szCs w:val="22"/>
        </w:rPr>
        <w:t>erefore</w:t>
      </w:r>
      <w:r w:rsidR="00E028A4">
        <w:rPr>
          <w:rFonts w:ascii="Arial" w:hAnsi="Arial" w:cs="Arial"/>
          <w:bCs/>
          <w:color w:val="000000" w:themeColor="text1"/>
          <w:sz w:val="22"/>
          <w:szCs w:val="22"/>
        </w:rPr>
        <w:t xml:space="preserve"> </w:t>
      </w:r>
      <w:r w:rsidR="000771D3">
        <w:rPr>
          <w:rFonts w:ascii="Arial" w:hAnsi="Arial" w:cs="Arial"/>
          <w:bCs/>
          <w:color w:val="000000" w:themeColor="text1"/>
          <w:sz w:val="22"/>
          <w:szCs w:val="22"/>
        </w:rPr>
        <w:t>may have been</w:t>
      </w:r>
      <w:r w:rsidR="00E028A4">
        <w:rPr>
          <w:rFonts w:ascii="Arial" w:hAnsi="Arial" w:cs="Arial"/>
          <w:bCs/>
          <w:color w:val="000000" w:themeColor="text1"/>
          <w:sz w:val="22"/>
          <w:szCs w:val="22"/>
        </w:rPr>
        <w:t xml:space="preserve"> the first to experience cuts.</w:t>
      </w:r>
      <w:r w:rsidR="00FA0875">
        <w:rPr>
          <w:rFonts w:ascii="Arial" w:hAnsi="Arial" w:cs="Arial"/>
          <w:bCs/>
          <w:color w:val="000000" w:themeColor="text1"/>
          <w:sz w:val="22"/>
          <w:szCs w:val="22"/>
        </w:rPr>
        <w:fldChar w:fldCharType="begin"/>
      </w:r>
      <w:r w:rsidR="00FA0875">
        <w:rPr>
          <w:rFonts w:ascii="Arial" w:hAnsi="Arial" w:cs="Arial"/>
          <w:bCs/>
          <w:color w:val="000000" w:themeColor="text1"/>
          <w:sz w:val="22"/>
          <w:szCs w:val="22"/>
        </w:rPr>
        <w:instrText xml:space="preserve"> ADDIN ZOTERO_ITEM CSL_CITATION {"citationID":"3cUo5uwi","properties":{"formattedCitation":"\\super 35\\nosupersub{}","plainCitation":"35","noteIndex":0},"citationItems":[{"id":15587,"uris":["http://zotero.org/users/5919053/items/PCQUWJKQ"],"itemData":{"id":15587,"type":"thesis","abstract":"The relentless rise in drug overdose deaths in the United States underscores the urgent need to broaden the scope of the current response and prioritize approaches that address the social and structural drivers of opioid-related outcomes. As foundational work to advance our understanding of the dynamics underlying the opioid crisis, this dissertation had two aims: (1) identify upstream individual- and contextual-level social factors associated with prescription opioid use, with factors encompassing five domains (economic stability, social/community context, health care access/quality, education access/quality, neighborhood/built environment); (2) quantify the separate influences of age, period, and cohort on longitudinal trends in prescription opioid use.\nLeveraging available data from two large longitudinal cohort studies, the National Longitudinal Study of Adolescent to Adult Health (n=14,800) and the Johnston County Osteoarthritis Project (n=785), multivariable logistic regression models were used to estimate associations between social exposures and prescription opioid use among young adults (Add Health) and middle-aged to older adults (JoCoOA) across multiple study timepoints during 2001-2019. Lower individual-level educational attainment was associated with increased odds of prescription opioid use for all timepoints assessed. Poorer social support across age groups and unemployment among middle-aged to older adults were also associated with increased opioid use.\nTo characterize longitudinal trends in prescription opioid use, an age-period-cohort analysis was conducted using National Health and Nutrition Examination Survey data (1999-2018; n=63,500). Prescription opioid use increased across the lifespan, with steeper increases from young- to mid-adulthood. Period-related variation was consistent with nationwide shifts in opioid prescribing. There was no evidence of systematic cohort effects, suggesting that prescription opioid use during 1999-2018 was largely driven by age and period influences.\nThe circumstances contributing to prescription opioid use throughout the lifespan and during the overdose crisis are complex, highlighting the need for continued efforts to monitor opioid use in the context of the ever-evolving overdose crisis. This work identified educational attainment and social support as key social factors related to prescription opioid use that require our focus for further in-depth investigation and exploration of intervention approaches, such as those aimed at promoting education access and fostering social connection, which altogether may influence opioid-related outcomes.","event-place":"North Carolina, United States","genre":"Ph.D.","language":"English","license":"Database copyright ProQuest LLC; ProQuest does not claim copyright in the individual underlying works.","note":"ISBN: 9798379553173","number-of-pages":"145","publisher":"The University of North Carolina at Chapel Hill","publisher-place":"North Carolina, United States","source":"ProQuest","title":"Prescription Opioid Use: An Assessment of Social Factors and Birth Cohort Trends","title-short":"Prescription Opioid Use","URL":"https://www.proquest.com/docview/2816727307/abstract/35CDD5FC212A44E2PQ/1","author":[{"family":"Shiue","given":"Kristin Y."}],"accessed":{"date-parts":[["2023",8,15]]},"issued":{"date-parts":[["2023"]]}}}],"schema":"https://github.com/citation-style-language/schema/raw/master/csl-citation.json"} </w:instrText>
      </w:r>
      <w:r w:rsidR="00FA0875">
        <w:rPr>
          <w:rFonts w:ascii="Arial" w:hAnsi="Arial" w:cs="Arial"/>
          <w:bCs/>
          <w:color w:val="000000" w:themeColor="text1"/>
          <w:sz w:val="22"/>
          <w:szCs w:val="22"/>
        </w:rPr>
        <w:fldChar w:fldCharType="separate"/>
      </w:r>
      <w:r w:rsidR="00FA0875" w:rsidRPr="00FA0875">
        <w:rPr>
          <w:rFonts w:ascii="Arial" w:hAnsi="Arial" w:cs="Arial"/>
          <w:color w:val="000000"/>
          <w:sz w:val="22"/>
          <w:vertAlign w:val="superscript"/>
        </w:rPr>
        <w:t>3</w:t>
      </w:r>
      <w:r w:rsidR="00CA28AD">
        <w:rPr>
          <w:rFonts w:ascii="Arial" w:hAnsi="Arial" w:cs="Arial"/>
          <w:color w:val="000000"/>
          <w:sz w:val="22"/>
          <w:vertAlign w:val="superscript"/>
        </w:rPr>
        <w:t>6</w:t>
      </w:r>
      <w:r w:rsidR="00FA0875">
        <w:rPr>
          <w:rFonts w:ascii="Arial" w:hAnsi="Arial" w:cs="Arial"/>
          <w:bCs/>
          <w:color w:val="000000" w:themeColor="text1"/>
          <w:sz w:val="22"/>
          <w:szCs w:val="22"/>
        </w:rPr>
        <w:fldChar w:fldCharType="end"/>
      </w:r>
      <w:r w:rsidR="00E028A4">
        <w:rPr>
          <w:rFonts w:ascii="Arial" w:hAnsi="Arial" w:cs="Arial"/>
          <w:bCs/>
          <w:color w:val="000000" w:themeColor="text1"/>
          <w:sz w:val="22"/>
          <w:szCs w:val="22"/>
        </w:rPr>
        <w:t xml:space="preserve"> </w:t>
      </w:r>
      <w:r>
        <w:rPr>
          <w:rFonts w:ascii="Arial" w:hAnsi="Arial" w:cs="Arial"/>
          <w:bCs/>
          <w:color w:val="000000" w:themeColor="text1"/>
          <w:sz w:val="22"/>
          <w:szCs w:val="22"/>
        </w:rPr>
        <w:t xml:space="preserve"> It is </w:t>
      </w:r>
      <w:r w:rsidR="00980950">
        <w:rPr>
          <w:rFonts w:ascii="Arial" w:hAnsi="Arial" w:cs="Arial"/>
          <w:bCs/>
          <w:color w:val="000000" w:themeColor="text1"/>
          <w:sz w:val="22"/>
          <w:szCs w:val="22"/>
        </w:rPr>
        <w:t xml:space="preserve">unclear if </w:t>
      </w:r>
      <w:r>
        <w:rPr>
          <w:rFonts w:ascii="Arial" w:hAnsi="Arial" w:cs="Arial"/>
          <w:bCs/>
          <w:color w:val="000000" w:themeColor="text1"/>
          <w:sz w:val="22"/>
          <w:szCs w:val="22"/>
        </w:rPr>
        <w:t xml:space="preserve">the </w:t>
      </w:r>
      <w:r w:rsidR="00E028A4">
        <w:rPr>
          <w:rFonts w:ascii="Arial" w:hAnsi="Arial" w:cs="Arial"/>
          <w:bCs/>
          <w:color w:val="000000" w:themeColor="text1"/>
          <w:sz w:val="22"/>
          <w:szCs w:val="22"/>
        </w:rPr>
        <w:t xml:space="preserve">greater opioid prescribing </w:t>
      </w:r>
      <w:r>
        <w:rPr>
          <w:rFonts w:ascii="Arial" w:hAnsi="Arial" w:cs="Arial"/>
          <w:bCs/>
          <w:color w:val="000000" w:themeColor="text1"/>
          <w:sz w:val="22"/>
          <w:szCs w:val="22"/>
        </w:rPr>
        <w:t xml:space="preserve">reductions experienced by females </w:t>
      </w:r>
      <w:r w:rsidR="00E028A4">
        <w:rPr>
          <w:rFonts w:ascii="Arial" w:hAnsi="Arial" w:cs="Arial"/>
          <w:bCs/>
          <w:color w:val="000000" w:themeColor="text1"/>
          <w:sz w:val="22"/>
          <w:szCs w:val="22"/>
        </w:rPr>
        <w:t>compared to males represent a systemic bias or because of specific changes in certain practices like opioid prescribing during labor and other female-specific surgical procedures.</w:t>
      </w:r>
      <w:r w:rsidR="00E028A4">
        <w:rPr>
          <w:rFonts w:ascii="Arial" w:hAnsi="Arial" w:cs="Arial"/>
          <w:bCs/>
          <w:color w:val="000000" w:themeColor="text1"/>
          <w:sz w:val="22"/>
          <w:szCs w:val="22"/>
        </w:rPr>
        <w:fldChar w:fldCharType="begin"/>
      </w:r>
      <w:r w:rsidR="00FA0875">
        <w:rPr>
          <w:rFonts w:ascii="Arial" w:hAnsi="Arial" w:cs="Arial"/>
          <w:bCs/>
          <w:color w:val="000000" w:themeColor="text1"/>
          <w:sz w:val="22"/>
          <w:szCs w:val="22"/>
        </w:rPr>
        <w:instrText xml:space="preserve"> ADDIN ZOTERO_ITEM CSL_CITATION {"citationID":"g4IXC1Gf","properties":{"formattedCitation":"\\super 36\\uc0\\u8211{}38\\nosupersub{}","plainCitation":"36–38","noteIndex":0},"citationItems":[{"id":14183,"uris":["http://zotero.org/users/5919053/items/LRQUMAUG"],"itemData":{"id":14183,"type":"article-journal","abstract":"OBJECTIVE: To investigate the reasons women experience delays in the diagnosis of endometriosis and the impact of this.\nDESIGN: A qualitative interview-based study of 32 women, 28 of whom were subsequently diagnosed with endometriosis.\nSETTING: Southeast England.\nPATIENT(S): Women attending a pelvic pain clinic.\nINTERVENTION(S): Semistructured interviews.\nMAIN OUTCOME MEASURE(S): Women's reported experiences of being diagnosed with endometriosis.\nRESULT(S): Delays in the diagnosis of endometriosis occur at an individual patient level and a medical level, as both women and family doctors normalize symptoms, symptoms are suppressed through hormones, and nondiscriminatory investigations are relied upon. Women benefited from a diagnosis, because it provided a language in which to discuss their condition, offered possible management strategies to control symptoms, and provided reassurance that symptoms were not due to cancer. Diagnosis also sanctioned women's access to social support and legitimized absences from social and work obligations.\nCONCLUSION(S): Although recent guidelines for the management of chronic pelvic pain suggest that diagnostic laparoscopy may be considered a secondary investigation after the failure of therapeutic interventions, the present study highlights the importance of an early diagnosis for women who suffer at physical, emotional, and social levels when they remain undiagnosed.","container-title":"Fertility and Sterility","DOI":"10.1016/j.fertnstert.2006.04.054","ISSN":"1556-5653","issue":"5","journalAbbreviation":"Fertil Steril","language":"eng","note":"PMID: 17070183","page":"1296-1301","source":"PubMed","title":"What's the delay? A qualitative study of women's experiences of reaching a diagnosis of endometriosis","title-short":"What's the delay?","volume":"86","author":[{"family":"Ballard","given":"Karen"},{"family":"Lowton","given":"Karen"},{"family":"Wright","given":"Jeremy"}],"issued":{"date-parts":[["2006",11]]}}},{"id":14178,"uris":["http://zotero.org/users/5919053/items/YJUXNMP9"],"itemData":{"id":14178,"type":"article-journal","abstract":"OBJECTIVE: To assess sex disparities in opioid prescribing practices and patient outcomes.\nDESIGN: A retrospective cross-sectional study.\nSETTING: Thirty-three primary care clinics in an academic health system.\nPARTICIPANTS: 2,738 adults prescribed 10+ outpatient opioid prescriptions within 12 months.\nMAIN OUTCOME MEASURE(S): Patient and primary care provider (PCP) sexbased differences in clinical outcomes, opioid prescribing, and rates of adherence to guideline-concordant opioid prescribing practices.\nRESULTS: Female PCPs were more likely (p &lt; 0.001) to prescribe lower morphineequivalent daily dose (MEDD) of opioids and complete risk assessment for opioid misuse than male PCPs. PCPs did not differ by sex in adherence rates to controlled substance agreements, urine drug, depression screening, or opioid-benzodiazepine coprescribing. Female patients were more likely (all p ≤ 0.01) to be screened for opioid misuse, treated with lower MEDD, receive opioid-benzodiazepine coprescriptions, have higher pain interference, anxiety and depression diagnoses, and have an overdose diagnosis; they were less likely (all p &lt; 0.001) to report alcohol use or have an alcohol use disorder diagnosis and utilized health care at higher rates than male patients.\nCONCLUSIONS: Sex differences were found in clinician opioid-prescribing practices and adherence to opioid prescribing guidelines and patient characteristics associated with long-term opioid therapy. Strategies to identify sex-related disparities and enhance guideline-concordant opioid prescribing and monitoring could contribute to improved patient care, and clinical and safety outcomes.","container-title":"Journal of Opioid Management","DOI":"10.5055/jom.2022.0737","ISSN":"1551-7489","issue":"5","journalAbbreviation":"J Opioid Manag","language":"eng","note":"PMID: 36226783","page":"435-445","source":"PubMed","title":"Provider and patient sex disparities in opioid prescribing and patient outcomes","volume":"18","author":[{"family":"Coleman","given":"Christa"},{"family":"Lennon","given":"Robert P."},{"family":"Robinson","given":"James M."},{"family":"Tuan","given":"Wen-Jan"},{"family":"Sehgal","given":"Nalini"},{"family":"Zgierska","given":"Aleksandra E."}],"issued":{"date-parts":[["2022"]]}}},{"id":14180,"uris":["http://zotero.org/users/5919053/items/BHQM4HQV"],"itemData":{"id":14180,"type":"article-journal","abstract":"(1) Background: It is essential to focus attention on sex-specific factors which are clinically relevant in pain management, especially with regards to opioid use disorder (OUD) risk. The aim of this study was to explore potential sex-differences in chronic non-cancer pain (CNCP) outpatients. (2) Methods: An observational cross-sectional study was conducted under CNCP outpatients with long-term prescribed opioids (n = 806), wherein 137 patients had an OUD diagnosis (cases, 64% females) and 669 did not (controls, 66% females). Socio-demographic, clinical, and pharmacological outcomes were analyzed. (3) Results: Female controls presented an older age and less intensive pain therapy but higher psychotropic prescriptions and emergency department visits compared to male controls. Meanwhile, cases demonstrated a younger age, higher work disability, double morphine equivalent daily dose, and benzodiazepine use compared with controls. Here, female cases showed an 8% greater substance use disorder (OR 2.04 [1.11-3.76]) and 24% lower tramadol use, while male cases presented a 22% higher fentanyl use (OR 2.97 [1.52-5.81]) and reported the highest number of adverse drug reactions (24%, OR 2.40 [1.12-5.16]) compared with controls. (4) Conclusions: An OUD individual risk profile was evidenced with sex-differences to take into consideration to design equal prevention programs.","container-title":"Biomedicines","DOI":"10.3390/biomedicines10092302","ISSN":"2227-9059","issue":"9","journalAbbreviation":"Biomedicines","language":"eng","note":"PMID: 36140403\nPMCID: PMC9496267","page":"2302","source":"PubMed","title":"Sex-Differences in Pain and Opioid Use Disorder Management: A Cross-Sectional Real-World Study","title-short":"Sex-Differences in Pain and Opioid Use Disorder Management","volume":"10","author":[{"family":"Escorial","given":"Mónica"},{"family":"Muriel","given":"Javier"},{"family":"Margarit","given":"César"},{"family":"Agulló","given":"Laura"},{"family":"Morales","given":"Domingo"},{"family":"Peiró Peiró","given":"Ana M."}],"issued":{"date-parts":[["2022",9,16]]}}}],"schema":"https://github.com/citation-style-language/schema/raw/master/csl-citation.json"} </w:instrText>
      </w:r>
      <w:r w:rsidR="00E028A4">
        <w:rPr>
          <w:rFonts w:ascii="Arial" w:hAnsi="Arial" w:cs="Arial"/>
          <w:bCs/>
          <w:color w:val="000000" w:themeColor="text1"/>
          <w:sz w:val="22"/>
          <w:szCs w:val="22"/>
        </w:rPr>
        <w:fldChar w:fldCharType="separate"/>
      </w:r>
      <w:r w:rsidR="00FA0875" w:rsidRPr="00FA0875">
        <w:rPr>
          <w:rFonts w:ascii="Arial" w:hAnsi="Arial" w:cs="Arial"/>
          <w:color w:val="000000"/>
          <w:sz w:val="22"/>
          <w:vertAlign w:val="superscript"/>
        </w:rPr>
        <w:t>3</w:t>
      </w:r>
      <w:r w:rsidR="00CA28AD">
        <w:rPr>
          <w:rFonts w:ascii="Arial" w:hAnsi="Arial" w:cs="Arial"/>
          <w:color w:val="000000"/>
          <w:sz w:val="22"/>
          <w:vertAlign w:val="superscript"/>
        </w:rPr>
        <w:t>7</w:t>
      </w:r>
      <w:r w:rsidR="00FA0875" w:rsidRPr="00FA0875">
        <w:rPr>
          <w:rFonts w:ascii="Arial" w:hAnsi="Arial" w:cs="Arial"/>
          <w:color w:val="000000"/>
          <w:sz w:val="22"/>
          <w:vertAlign w:val="superscript"/>
        </w:rPr>
        <w:t>–3</w:t>
      </w:r>
      <w:r w:rsidR="00CA28AD">
        <w:rPr>
          <w:rFonts w:ascii="Arial" w:hAnsi="Arial" w:cs="Arial"/>
          <w:color w:val="000000"/>
          <w:sz w:val="22"/>
          <w:vertAlign w:val="superscript"/>
        </w:rPr>
        <w:t>9</w:t>
      </w:r>
      <w:r w:rsidR="00E028A4">
        <w:rPr>
          <w:rFonts w:ascii="Arial" w:hAnsi="Arial" w:cs="Arial"/>
          <w:bCs/>
          <w:color w:val="000000" w:themeColor="text1"/>
          <w:sz w:val="22"/>
          <w:szCs w:val="22"/>
        </w:rPr>
        <w:fldChar w:fldCharType="end"/>
      </w:r>
    </w:p>
    <w:p w14:paraId="44834DED" w14:textId="77777777" w:rsidR="00E028A4" w:rsidRDefault="00E028A4" w:rsidP="00E028A4">
      <w:pPr>
        <w:rPr>
          <w:rFonts w:ascii="Arial" w:hAnsi="Arial" w:cs="Arial"/>
          <w:bCs/>
          <w:color w:val="000000" w:themeColor="text1"/>
          <w:sz w:val="22"/>
          <w:szCs w:val="22"/>
        </w:rPr>
      </w:pPr>
    </w:p>
    <w:p w14:paraId="09468BC6" w14:textId="52268793" w:rsidR="00E028A4" w:rsidRPr="006112E3" w:rsidRDefault="00350F8C" w:rsidP="00E028A4">
      <w:pPr>
        <w:rPr>
          <w:rFonts w:ascii="Arial" w:hAnsi="Arial" w:cs="Arial"/>
          <w:bCs/>
          <w:color w:val="000000" w:themeColor="text1"/>
          <w:sz w:val="22"/>
          <w:szCs w:val="22"/>
        </w:rPr>
      </w:pPr>
      <w:r>
        <w:rPr>
          <w:rFonts w:ascii="Arial" w:hAnsi="Arial" w:cs="Arial"/>
          <w:bCs/>
          <w:color w:val="000000" w:themeColor="text1"/>
          <w:sz w:val="22"/>
          <w:szCs w:val="22"/>
        </w:rPr>
        <w:t xml:space="preserve">Limitations: First, </w:t>
      </w:r>
      <w:r w:rsidR="004F20C0">
        <w:rPr>
          <w:rFonts w:ascii="Arial" w:hAnsi="Arial" w:cs="Arial"/>
          <w:bCs/>
          <w:color w:val="000000" w:themeColor="text1"/>
          <w:sz w:val="22"/>
          <w:szCs w:val="22"/>
        </w:rPr>
        <w:t xml:space="preserve">our </w:t>
      </w:r>
      <w:r w:rsidR="00E028A4">
        <w:rPr>
          <w:rFonts w:ascii="Arial" w:hAnsi="Arial" w:cs="Arial"/>
          <w:bCs/>
          <w:color w:val="000000" w:themeColor="text1"/>
          <w:sz w:val="22"/>
          <w:szCs w:val="22"/>
        </w:rPr>
        <w:t xml:space="preserve">study </w:t>
      </w:r>
      <w:r w:rsidR="004F20C0">
        <w:rPr>
          <w:rFonts w:ascii="Arial" w:hAnsi="Arial" w:cs="Arial"/>
          <w:bCs/>
          <w:color w:val="000000" w:themeColor="text1"/>
          <w:sz w:val="22"/>
          <w:szCs w:val="22"/>
        </w:rPr>
        <w:t xml:space="preserve">evaluated </w:t>
      </w:r>
      <w:r w:rsidR="00BD0CE4">
        <w:rPr>
          <w:rFonts w:ascii="Arial" w:hAnsi="Arial" w:cs="Arial"/>
          <w:bCs/>
          <w:color w:val="000000" w:themeColor="text1"/>
          <w:sz w:val="22"/>
          <w:szCs w:val="22"/>
        </w:rPr>
        <w:t>NC</w:t>
      </w:r>
      <w:r>
        <w:rPr>
          <w:rFonts w:ascii="Arial" w:hAnsi="Arial" w:cs="Arial"/>
          <w:bCs/>
          <w:color w:val="000000" w:themeColor="text1"/>
          <w:sz w:val="22"/>
          <w:szCs w:val="22"/>
        </w:rPr>
        <w:t>-specific</w:t>
      </w:r>
      <w:r w:rsidR="00BD0CE4">
        <w:rPr>
          <w:rFonts w:ascii="Arial" w:hAnsi="Arial" w:cs="Arial"/>
          <w:bCs/>
          <w:color w:val="000000" w:themeColor="text1"/>
          <w:sz w:val="22"/>
          <w:szCs w:val="22"/>
        </w:rPr>
        <w:t xml:space="preserve"> </w:t>
      </w:r>
      <w:r w:rsidR="00E028A4">
        <w:rPr>
          <w:rFonts w:ascii="Arial" w:hAnsi="Arial" w:cs="Arial"/>
          <w:bCs/>
          <w:color w:val="000000" w:themeColor="text1"/>
          <w:sz w:val="22"/>
          <w:szCs w:val="22"/>
        </w:rPr>
        <w:t>policies</w:t>
      </w:r>
      <w:r>
        <w:rPr>
          <w:rFonts w:ascii="Arial" w:hAnsi="Arial" w:cs="Arial"/>
          <w:bCs/>
          <w:color w:val="000000" w:themeColor="text1"/>
          <w:sz w:val="22"/>
          <w:szCs w:val="22"/>
        </w:rPr>
        <w:t>. However</w:t>
      </w:r>
      <w:r w:rsidR="00BD0CE4">
        <w:rPr>
          <w:rFonts w:ascii="Arial" w:hAnsi="Arial" w:cs="Arial"/>
          <w:bCs/>
          <w:color w:val="000000" w:themeColor="text1"/>
          <w:sz w:val="22"/>
          <w:szCs w:val="22"/>
        </w:rPr>
        <w:t>,</w:t>
      </w:r>
      <w:r w:rsidR="004F20C0">
        <w:rPr>
          <w:rFonts w:ascii="Arial" w:hAnsi="Arial" w:cs="Arial"/>
          <w:bCs/>
          <w:color w:val="000000" w:themeColor="text1"/>
          <w:sz w:val="22"/>
          <w:szCs w:val="22"/>
        </w:rPr>
        <w:t xml:space="preserve"> our results</w:t>
      </w:r>
      <w:r>
        <w:rPr>
          <w:rFonts w:ascii="Arial" w:hAnsi="Arial" w:cs="Arial"/>
          <w:bCs/>
          <w:color w:val="000000" w:themeColor="text1"/>
          <w:sz w:val="22"/>
          <w:szCs w:val="22"/>
        </w:rPr>
        <w:t>,</w:t>
      </w:r>
      <w:r w:rsidR="00AE0BB4">
        <w:rPr>
          <w:rFonts w:ascii="Arial" w:hAnsi="Arial" w:cs="Arial"/>
          <w:bCs/>
          <w:color w:val="000000" w:themeColor="text1"/>
          <w:sz w:val="22"/>
          <w:szCs w:val="22"/>
        </w:rPr>
        <w:t xml:space="preserve"> along </w:t>
      </w:r>
      <w:r w:rsidR="004F20C0">
        <w:rPr>
          <w:rFonts w:ascii="Arial" w:hAnsi="Arial" w:cs="Arial"/>
          <w:bCs/>
          <w:color w:val="000000" w:themeColor="text1"/>
          <w:sz w:val="22"/>
          <w:szCs w:val="22"/>
        </w:rPr>
        <w:t xml:space="preserve">with </w:t>
      </w:r>
      <w:r w:rsidR="00BD0CE4">
        <w:rPr>
          <w:rFonts w:ascii="Arial" w:hAnsi="Arial" w:cs="Arial"/>
          <w:bCs/>
          <w:color w:val="000000" w:themeColor="text1"/>
          <w:sz w:val="22"/>
          <w:szCs w:val="22"/>
        </w:rPr>
        <w:t>research from</w:t>
      </w:r>
      <w:r w:rsidR="004F20C0">
        <w:rPr>
          <w:rFonts w:ascii="Arial" w:hAnsi="Arial" w:cs="Arial"/>
          <w:bCs/>
          <w:color w:val="000000" w:themeColor="text1"/>
          <w:sz w:val="22"/>
          <w:szCs w:val="22"/>
        </w:rPr>
        <w:t xml:space="preserve"> other states</w:t>
      </w:r>
      <w:r>
        <w:rPr>
          <w:rFonts w:ascii="Arial" w:hAnsi="Arial" w:cs="Arial"/>
          <w:bCs/>
          <w:color w:val="000000" w:themeColor="text1"/>
          <w:sz w:val="22"/>
          <w:szCs w:val="22"/>
        </w:rPr>
        <w:t>,</w:t>
      </w:r>
      <w:r w:rsidR="00AE0BB4">
        <w:rPr>
          <w:rFonts w:ascii="Arial" w:hAnsi="Arial" w:cs="Arial"/>
          <w:bCs/>
          <w:color w:val="000000" w:themeColor="text1"/>
          <w:sz w:val="22"/>
          <w:szCs w:val="22"/>
        </w:rPr>
        <w:t xml:space="preserve"> </w:t>
      </w:r>
      <w:r w:rsidR="00BD0CE4">
        <w:rPr>
          <w:rFonts w:ascii="Arial" w:hAnsi="Arial" w:cs="Arial"/>
          <w:bCs/>
          <w:color w:val="000000" w:themeColor="text1"/>
          <w:sz w:val="22"/>
          <w:szCs w:val="22"/>
        </w:rPr>
        <w:t>can</w:t>
      </w:r>
      <w:r w:rsidR="004F20C0">
        <w:rPr>
          <w:rFonts w:ascii="Arial" w:hAnsi="Arial" w:cs="Arial"/>
          <w:bCs/>
          <w:color w:val="000000" w:themeColor="text1"/>
          <w:sz w:val="22"/>
          <w:szCs w:val="22"/>
        </w:rPr>
        <w:t xml:space="preserve"> inform policy in </w:t>
      </w:r>
      <w:r w:rsidR="00A81E83">
        <w:rPr>
          <w:rFonts w:ascii="Arial" w:hAnsi="Arial" w:cs="Arial"/>
          <w:bCs/>
          <w:color w:val="000000" w:themeColor="text1"/>
          <w:sz w:val="22"/>
          <w:szCs w:val="22"/>
        </w:rPr>
        <w:t xml:space="preserve">jurisdictions considering similar </w:t>
      </w:r>
      <w:r w:rsidR="00BD0CE4">
        <w:rPr>
          <w:rFonts w:ascii="Arial" w:hAnsi="Arial" w:cs="Arial"/>
          <w:bCs/>
          <w:color w:val="000000" w:themeColor="text1"/>
          <w:sz w:val="22"/>
          <w:szCs w:val="22"/>
        </w:rPr>
        <w:t>policies</w:t>
      </w:r>
      <w:r w:rsidR="00A81E83">
        <w:rPr>
          <w:rFonts w:ascii="Arial" w:hAnsi="Arial" w:cs="Arial"/>
          <w:bCs/>
          <w:color w:val="000000" w:themeColor="text1"/>
          <w:sz w:val="22"/>
          <w:szCs w:val="22"/>
        </w:rPr>
        <w:t>.</w:t>
      </w:r>
      <w:r w:rsidR="00FA0875">
        <w:rPr>
          <w:rFonts w:ascii="Arial" w:hAnsi="Arial" w:cs="Arial"/>
          <w:bCs/>
          <w:color w:val="000000" w:themeColor="text1"/>
          <w:sz w:val="22"/>
          <w:szCs w:val="22"/>
        </w:rPr>
        <w:fldChar w:fldCharType="begin"/>
      </w:r>
      <w:r w:rsidR="00FA0875">
        <w:rPr>
          <w:rFonts w:ascii="Arial" w:hAnsi="Arial" w:cs="Arial"/>
          <w:bCs/>
          <w:color w:val="000000" w:themeColor="text1"/>
          <w:sz w:val="22"/>
          <w:szCs w:val="22"/>
        </w:rPr>
        <w:instrText xml:space="preserve"> ADDIN ZOTERO_ITEM CSL_CITATION {"citationID":"cn1oXTUG","properties":{"formattedCitation":"\\super 39,40\\nosupersub{}","plainCitation":"39,40","noteIndex":0},"citationItems":[{"id":15588,"uris":["http://zotero.org/users/5919053/items/6I8IW978"],"itemData":{"id":15588,"type":"article-journal","container-title":"JAMA Network Open","DOI":"10.1001/jamanetworkopen.2020.0234","ISSN":"2574-3805","issue":"2","journalAbbreviation":"JAMA Network Open","page":"e200234-e200234","title":"Changes in Opioid Use After Florida’s Restriction Law for Acute Pain Prescriptions","volume":"3","author":[{"family":"Hincapie-Castillo","given":"Juan M."},{"family":"Goodin","given":"Amie"},{"family":"Possinger","given":"Marie-Christin"},{"family":"Usmani","given":"Silken A."},{"family":"Vouri","given":"Scott Martin"}],"issued":{"date-parts":[["2020",2,28]]}}},{"id":15589,"uris":["http://zotero.org/users/5919053/items/FCHW8W33"],"itemData":{"id":15589,"type":"article-journal","abstract":"&amp;lt;h4&amp;gt;Objective&amp;lt;/h4&amp;gt;To examine whether laws limiting opioid prescribing have been associated with reductions in the incidence of persistent postoperative opioid use.&amp;lt;h4&amp;gt;Summary of background data&amp;lt;/h4&amp;gt;In an effort to address the opioid epidemic, 26 states (as of 2018) have passed laws limiting opioid prescribing for acute pain. However, it is unknown whether these laws have achieved their reduced the risk of persistent postoperative opioid use.&amp;lt;h4&amp;gt;Methods&amp;lt;/h4&amp;gt;We identified 957,639 privately insured patients undergoing one of 10 procedures between January 1, 2004 and September 30, 2018. We then estimated the association between persistent postoperative opioid use, defined as having filled ≥10 prescriptions or ≥120 days supply of opioids during postoperative days 91-365, and whether opioid prescribing limits were in effect on the day of surgery. States were classified as having: no limits, a limit of ≤7 days supply, or a limit of &amp;gt;7 days supply. The regression models adjusted for observable confounders such as patient comorbidities and also utilized a difference-in-differences approach, which relied on variation in state laws over time, to further minimize confounding.&amp;lt;h4&amp;gt;Results&amp;lt;/h4&amp;gt;The adjusted incidence of persistent postoperative opioid use was 3.5% (95%CI 3.3%-3.7%) for patients facing a limit of ≤7 days supply, compared with 3.3% (95%CI 3.3%-3.3%) for patients facing no prescribing limits ( P = 0.13 for difference compared to no prescribing limits) and 3.4%, (95%CI 3.2%-3.6%) for patients facing a limit of &amp;gt;7 days supply ( P = 0.43 for difference compared to no prescribing limits).&amp;lt;h4&amp;gt;Conclusions&amp;lt;/h4&amp;gt;Laws limiting opioid prescriptions were not associated with subsequent reductions in persistent postoperative opioid use.","archive":"PubMed","archive_location":"35129496","container-title":"Ann Surg","DOI":"10.1097/sla.0000000000005283","ISSN":"0003-4932","issue":"4","journalAbbreviation":"Ann Surg","language":"eng","page":"e759-e765","title":"Association Between State Limits on Opioid Prescribing and the Incidence of Persistent Postoperative Opioid Use Among Surgical Patients","volume":"277","author":[{"family":"Sun","given":"Eric C"},{"family":"Rishel","given":"Chris A"},{"family":"Waljee","given":"Jennifer F"},{"family":"Brummett","given":"Chad M"},{"family":"Jena","given":"Anupam B"}],"issued":{"date-parts":[["2023",4]]}}}],"schema":"https://github.com/citation-style-language/schema/raw/master/csl-citation.json"} </w:instrText>
      </w:r>
      <w:r w:rsidR="00FA0875">
        <w:rPr>
          <w:rFonts w:ascii="Arial" w:hAnsi="Arial" w:cs="Arial"/>
          <w:bCs/>
          <w:color w:val="000000" w:themeColor="text1"/>
          <w:sz w:val="22"/>
          <w:szCs w:val="22"/>
        </w:rPr>
        <w:fldChar w:fldCharType="separate"/>
      </w:r>
      <w:r w:rsidR="00CA28AD">
        <w:rPr>
          <w:rFonts w:ascii="Arial" w:hAnsi="Arial" w:cs="Arial"/>
          <w:color w:val="000000"/>
          <w:sz w:val="22"/>
          <w:vertAlign w:val="superscript"/>
        </w:rPr>
        <w:t>40</w:t>
      </w:r>
      <w:r w:rsidR="00FA0875" w:rsidRPr="00FA0875">
        <w:rPr>
          <w:rFonts w:ascii="Arial" w:hAnsi="Arial" w:cs="Arial"/>
          <w:color w:val="000000"/>
          <w:sz w:val="22"/>
          <w:vertAlign w:val="superscript"/>
        </w:rPr>
        <w:t>,4</w:t>
      </w:r>
      <w:r w:rsidR="00CA28AD">
        <w:rPr>
          <w:rFonts w:ascii="Arial" w:hAnsi="Arial" w:cs="Arial"/>
          <w:color w:val="000000"/>
          <w:sz w:val="22"/>
          <w:vertAlign w:val="superscript"/>
        </w:rPr>
        <w:t>1</w:t>
      </w:r>
      <w:r w:rsidR="00FA0875">
        <w:rPr>
          <w:rFonts w:ascii="Arial" w:hAnsi="Arial" w:cs="Arial"/>
          <w:bCs/>
          <w:color w:val="000000" w:themeColor="text1"/>
          <w:sz w:val="22"/>
          <w:szCs w:val="22"/>
        </w:rPr>
        <w:fldChar w:fldCharType="end"/>
      </w:r>
      <w:r>
        <w:rPr>
          <w:rFonts w:ascii="Arial" w:hAnsi="Arial" w:cs="Arial"/>
          <w:bCs/>
          <w:color w:val="000000" w:themeColor="text1"/>
          <w:sz w:val="22"/>
          <w:szCs w:val="22"/>
        </w:rPr>
        <w:t xml:space="preserve"> Second, t</w:t>
      </w:r>
      <w:r w:rsidR="00703103">
        <w:rPr>
          <w:rFonts w:ascii="Arial" w:hAnsi="Arial" w:cs="Arial"/>
          <w:bCs/>
          <w:color w:val="000000" w:themeColor="text1"/>
          <w:sz w:val="22"/>
          <w:szCs w:val="22"/>
        </w:rPr>
        <w:t xml:space="preserve">he two integrated healthcare systems we used do not </w:t>
      </w:r>
      <w:r w:rsidR="00932DFB">
        <w:rPr>
          <w:rFonts w:ascii="Arial" w:hAnsi="Arial" w:cs="Arial"/>
          <w:bCs/>
          <w:color w:val="000000" w:themeColor="text1"/>
          <w:sz w:val="22"/>
          <w:szCs w:val="22"/>
        </w:rPr>
        <w:t>offer healthcare to</w:t>
      </w:r>
      <w:r w:rsidR="00703103">
        <w:rPr>
          <w:rFonts w:ascii="Arial" w:hAnsi="Arial" w:cs="Arial"/>
          <w:bCs/>
          <w:color w:val="000000" w:themeColor="text1"/>
          <w:sz w:val="22"/>
          <w:szCs w:val="22"/>
        </w:rPr>
        <w:t xml:space="preserve"> </w:t>
      </w:r>
      <w:r w:rsidR="00932DFB">
        <w:rPr>
          <w:rFonts w:ascii="Arial" w:hAnsi="Arial" w:cs="Arial"/>
          <w:bCs/>
          <w:color w:val="000000" w:themeColor="text1"/>
          <w:sz w:val="22"/>
          <w:szCs w:val="22"/>
        </w:rPr>
        <w:t xml:space="preserve">all </w:t>
      </w:r>
      <w:r w:rsidR="00703103">
        <w:rPr>
          <w:rFonts w:ascii="Arial" w:hAnsi="Arial" w:cs="Arial"/>
          <w:bCs/>
          <w:color w:val="000000" w:themeColor="text1"/>
          <w:sz w:val="22"/>
          <w:szCs w:val="22"/>
        </w:rPr>
        <w:t>N</w:t>
      </w:r>
      <w:r>
        <w:rPr>
          <w:rFonts w:ascii="Arial" w:hAnsi="Arial" w:cs="Arial"/>
          <w:bCs/>
          <w:color w:val="000000" w:themeColor="text1"/>
          <w:sz w:val="22"/>
          <w:szCs w:val="22"/>
        </w:rPr>
        <w:t>C</w:t>
      </w:r>
      <w:r w:rsidR="00703103">
        <w:rPr>
          <w:rFonts w:ascii="Arial" w:hAnsi="Arial" w:cs="Arial"/>
          <w:bCs/>
          <w:color w:val="000000" w:themeColor="text1"/>
          <w:sz w:val="22"/>
          <w:szCs w:val="22"/>
        </w:rPr>
        <w:t xml:space="preserve"> </w:t>
      </w:r>
      <w:r w:rsidR="00932DFB">
        <w:rPr>
          <w:rFonts w:ascii="Arial" w:hAnsi="Arial" w:cs="Arial"/>
          <w:bCs/>
          <w:color w:val="000000" w:themeColor="text1"/>
          <w:sz w:val="22"/>
          <w:szCs w:val="22"/>
        </w:rPr>
        <w:t>residents</w:t>
      </w:r>
      <w:r w:rsidR="00E04D7C">
        <w:rPr>
          <w:rFonts w:ascii="Arial" w:hAnsi="Arial" w:cs="Arial"/>
          <w:bCs/>
          <w:color w:val="000000" w:themeColor="text1"/>
          <w:sz w:val="22"/>
          <w:szCs w:val="22"/>
        </w:rPr>
        <w:t xml:space="preserve">. </w:t>
      </w:r>
      <w:r>
        <w:rPr>
          <w:rFonts w:ascii="Arial" w:hAnsi="Arial" w:cs="Arial"/>
          <w:bCs/>
          <w:color w:val="000000" w:themeColor="text1"/>
          <w:sz w:val="22"/>
          <w:szCs w:val="22"/>
        </w:rPr>
        <w:t>However</w:t>
      </w:r>
      <w:r w:rsidR="00512E0C">
        <w:rPr>
          <w:rFonts w:ascii="Arial" w:hAnsi="Arial" w:cs="Arial"/>
          <w:bCs/>
          <w:color w:val="000000" w:themeColor="text1"/>
          <w:sz w:val="22"/>
          <w:szCs w:val="22"/>
        </w:rPr>
        <w:t>,</w:t>
      </w:r>
      <w:r w:rsidR="00E04D7C">
        <w:rPr>
          <w:rFonts w:ascii="Arial" w:hAnsi="Arial" w:cs="Arial"/>
          <w:bCs/>
          <w:color w:val="000000" w:themeColor="text1"/>
          <w:sz w:val="22"/>
          <w:szCs w:val="22"/>
        </w:rPr>
        <w:t xml:space="preserve"> </w:t>
      </w:r>
      <w:r w:rsidR="00512E0C">
        <w:rPr>
          <w:rFonts w:ascii="Arial" w:hAnsi="Arial" w:cs="Arial"/>
          <w:bCs/>
          <w:color w:val="000000" w:themeColor="text1"/>
          <w:sz w:val="22"/>
          <w:szCs w:val="22"/>
        </w:rPr>
        <w:t>both</w:t>
      </w:r>
      <w:r w:rsidR="00E04D7C">
        <w:rPr>
          <w:rFonts w:ascii="Arial" w:hAnsi="Arial" w:cs="Arial"/>
          <w:bCs/>
          <w:color w:val="000000" w:themeColor="text1"/>
          <w:sz w:val="22"/>
          <w:szCs w:val="22"/>
        </w:rPr>
        <w:t xml:space="preserve"> institutions offer care in all 100 NC counties </w:t>
      </w:r>
      <w:r w:rsidR="00E95848">
        <w:rPr>
          <w:rFonts w:ascii="Arial" w:hAnsi="Arial" w:cs="Arial"/>
          <w:bCs/>
          <w:color w:val="000000" w:themeColor="text1"/>
          <w:sz w:val="22"/>
          <w:szCs w:val="22"/>
        </w:rPr>
        <w:t xml:space="preserve">and the </w:t>
      </w:r>
      <w:r w:rsidR="007D1BB4">
        <w:rPr>
          <w:rFonts w:ascii="Arial" w:hAnsi="Arial" w:cs="Arial"/>
          <w:bCs/>
          <w:color w:val="000000" w:themeColor="text1"/>
          <w:sz w:val="22"/>
          <w:szCs w:val="22"/>
        </w:rPr>
        <w:t xml:space="preserve">EHR </w:t>
      </w:r>
      <w:r w:rsidR="00E95848">
        <w:rPr>
          <w:rFonts w:ascii="Arial" w:hAnsi="Arial" w:cs="Arial"/>
          <w:bCs/>
          <w:color w:val="000000" w:themeColor="text1"/>
          <w:sz w:val="22"/>
          <w:szCs w:val="22"/>
        </w:rPr>
        <w:t xml:space="preserve">data include </w:t>
      </w:r>
      <w:r w:rsidR="0020321C">
        <w:rPr>
          <w:rFonts w:ascii="Arial" w:hAnsi="Arial" w:cs="Arial"/>
          <w:bCs/>
          <w:color w:val="000000" w:themeColor="text1"/>
          <w:sz w:val="22"/>
          <w:szCs w:val="22"/>
        </w:rPr>
        <w:t>public, private, and uninsured patients</w:t>
      </w:r>
      <w:r>
        <w:rPr>
          <w:rFonts w:ascii="Arial" w:hAnsi="Arial" w:cs="Arial"/>
          <w:bCs/>
          <w:color w:val="000000" w:themeColor="text1"/>
          <w:sz w:val="22"/>
          <w:szCs w:val="22"/>
        </w:rPr>
        <w:t>, which offers good generalizability</w:t>
      </w:r>
      <w:r w:rsidR="0020321C">
        <w:rPr>
          <w:rFonts w:ascii="Arial" w:hAnsi="Arial" w:cs="Arial"/>
          <w:bCs/>
          <w:color w:val="000000" w:themeColor="text1"/>
          <w:sz w:val="22"/>
          <w:szCs w:val="22"/>
        </w:rPr>
        <w:t>.</w:t>
      </w:r>
      <w:r w:rsidR="00512E0C">
        <w:rPr>
          <w:rFonts w:ascii="Arial" w:hAnsi="Arial" w:cs="Arial"/>
          <w:bCs/>
          <w:color w:val="000000" w:themeColor="text1"/>
          <w:sz w:val="22"/>
          <w:szCs w:val="22"/>
        </w:rPr>
        <w:t xml:space="preserve"> </w:t>
      </w:r>
      <w:r w:rsidR="00DA7993">
        <w:rPr>
          <w:rFonts w:ascii="Arial" w:hAnsi="Arial" w:cs="Arial"/>
          <w:bCs/>
          <w:color w:val="000000" w:themeColor="text1"/>
          <w:sz w:val="22"/>
          <w:szCs w:val="22"/>
        </w:rPr>
        <w:t>Finally, although o</w:t>
      </w:r>
      <w:r w:rsidR="00AE7538">
        <w:rPr>
          <w:rFonts w:ascii="Arial" w:hAnsi="Arial" w:cs="Arial"/>
          <w:bCs/>
          <w:color w:val="000000" w:themeColor="text1"/>
          <w:sz w:val="22"/>
          <w:szCs w:val="22"/>
        </w:rPr>
        <w:t xml:space="preserve">ur data represents opioid prescribing </w:t>
      </w:r>
      <w:r>
        <w:rPr>
          <w:rFonts w:ascii="Arial" w:hAnsi="Arial" w:cs="Arial"/>
          <w:bCs/>
          <w:color w:val="000000" w:themeColor="text1"/>
          <w:sz w:val="22"/>
          <w:szCs w:val="22"/>
        </w:rPr>
        <w:t xml:space="preserve">and dispensing </w:t>
      </w:r>
      <w:r w:rsidR="00AE7538">
        <w:rPr>
          <w:rFonts w:ascii="Arial" w:hAnsi="Arial" w:cs="Arial"/>
          <w:bCs/>
          <w:color w:val="000000" w:themeColor="text1"/>
          <w:sz w:val="22"/>
          <w:szCs w:val="22"/>
        </w:rPr>
        <w:t xml:space="preserve">trends, this may not be the same as </w:t>
      </w:r>
      <w:r>
        <w:rPr>
          <w:rFonts w:ascii="Arial" w:hAnsi="Arial" w:cs="Arial"/>
          <w:bCs/>
          <w:color w:val="000000" w:themeColor="text1"/>
          <w:sz w:val="22"/>
          <w:szCs w:val="22"/>
        </w:rPr>
        <w:t>c</w:t>
      </w:r>
      <w:r w:rsidR="00AE7538">
        <w:rPr>
          <w:rFonts w:ascii="Arial" w:hAnsi="Arial" w:cs="Arial"/>
          <w:bCs/>
          <w:color w:val="000000" w:themeColor="text1"/>
          <w:sz w:val="22"/>
          <w:szCs w:val="22"/>
        </w:rPr>
        <w:t>onsumption</w:t>
      </w:r>
      <w:r>
        <w:rPr>
          <w:rFonts w:ascii="Arial" w:hAnsi="Arial" w:cs="Arial"/>
          <w:bCs/>
          <w:color w:val="000000" w:themeColor="text1"/>
          <w:sz w:val="22"/>
          <w:szCs w:val="22"/>
        </w:rPr>
        <w:t xml:space="preserve"> or</w:t>
      </w:r>
      <w:r w:rsidR="002713A7">
        <w:rPr>
          <w:rFonts w:ascii="Arial" w:hAnsi="Arial" w:cs="Arial"/>
          <w:bCs/>
          <w:color w:val="000000" w:themeColor="text1"/>
          <w:sz w:val="22"/>
          <w:szCs w:val="22"/>
        </w:rPr>
        <w:t xml:space="preserve"> </w:t>
      </w:r>
      <w:r w:rsidR="00E04C5F">
        <w:rPr>
          <w:rFonts w:ascii="Arial" w:hAnsi="Arial" w:cs="Arial"/>
          <w:bCs/>
          <w:color w:val="000000" w:themeColor="text1"/>
          <w:sz w:val="22"/>
          <w:szCs w:val="22"/>
        </w:rPr>
        <w:t xml:space="preserve">non-medical </w:t>
      </w:r>
      <w:r w:rsidR="00904E0A">
        <w:rPr>
          <w:rFonts w:ascii="Arial" w:hAnsi="Arial" w:cs="Arial"/>
          <w:bCs/>
          <w:color w:val="000000" w:themeColor="text1"/>
          <w:sz w:val="22"/>
          <w:szCs w:val="22"/>
        </w:rPr>
        <w:t>use of prescription opioids</w:t>
      </w:r>
      <w:r>
        <w:rPr>
          <w:rFonts w:ascii="Arial" w:hAnsi="Arial" w:cs="Arial"/>
          <w:bCs/>
          <w:color w:val="000000" w:themeColor="text1"/>
          <w:sz w:val="22"/>
          <w:szCs w:val="22"/>
        </w:rPr>
        <w:t>, which</w:t>
      </w:r>
      <w:r w:rsidR="00904E0A">
        <w:rPr>
          <w:rFonts w:ascii="Arial" w:hAnsi="Arial" w:cs="Arial"/>
          <w:bCs/>
          <w:color w:val="000000" w:themeColor="text1"/>
          <w:sz w:val="22"/>
          <w:szCs w:val="22"/>
        </w:rPr>
        <w:t xml:space="preserve"> cannot be measured in this study</w:t>
      </w:r>
      <w:r w:rsidR="00BA0D74">
        <w:rPr>
          <w:rFonts w:ascii="Arial" w:hAnsi="Arial" w:cs="Arial"/>
          <w:bCs/>
          <w:color w:val="000000" w:themeColor="text1"/>
          <w:sz w:val="22"/>
          <w:szCs w:val="22"/>
        </w:rPr>
        <w:t>.</w:t>
      </w:r>
    </w:p>
    <w:p w14:paraId="726CD51D" w14:textId="77777777" w:rsidR="00E028A4" w:rsidRDefault="00E028A4" w:rsidP="00E028A4">
      <w:pPr>
        <w:rPr>
          <w:rFonts w:ascii="Arial" w:hAnsi="Arial" w:cs="Arial"/>
          <w:bCs/>
          <w:color w:val="000000" w:themeColor="text1"/>
          <w:sz w:val="22"/>
          <w:szCs w:val="22"/>
        </w:rPr>
      </w:pPr>
    </w:p>
    <w:p w14:paraId="3D314C10" w14:textId="55D4FE9E" w:rsidR="00E655B0" w:rsidRPr="00E655B0" w:rsidRDefault="00E655B0" w:rsidP="00E028A4">
      <w:pPr>
        <w:rPr>
          <w:rFonts w:ascii="Arial" w:hAnsi="Arial" w:cs="Arial"/>
          <w:b/>
          <w:color w:val="000000" w:themeColor="text1"/>
          <w:sz w:val="22"/>
          <w:szCs w:val="22"/>
        </w:rPr>
      </w:pPr>
      <w:r w:rsidRPr="00E655B0">
        <w:rPr>
          <w:rFonts w:ascii="Arial" w:hAnsi="Arial" w:cs="Arial"/>
          <w:b/>
          <w:color w:val="000000" w:themeColor="text1"/>
          <w:sz w:val="22"/>
          <w:szCs w:val="22"/>
        </w:rPr>
        <w:t>Conclusion</w:t>
      </w:r>
      <w:r>
        <w:rPr>
          <w:rFonts w:ascii="Arial" w:hAnsi="Arial" w:cs="Arial"/>
          <w:b/>
          <w:color w:val="000000" w:themeColor="text1"/>
          <w:sz w:val="22"/>
          <w:szCs w:val="22"/>
        </w:rPr>
        <w:t>s</w:t>
      </w:r>
    </w:p>
    <w:p w14:paraId="36D5BA3B" w14:textId="0B03995E" w:rsidR="00E028A4" w:rsidRPr="006112E3" w:rsidRDefault="00E655B0" w:rsidP="00E028A4">
      <w:pPr>
        <w:rPr>
          <w:rFonts w:ascii="Arial" w:hAnsi="Arial" w:cs="Arial"/>
          <w:bCs/>
          <w:color w:val="000000" w:themeColor="text1"/>
          <w:sz w:val="22"/>
          <w:szCs w:val="22"/>
        </w:rPr>
      </w:pPr>
      <w:r>
        <w:rPr>
          <w:rFonts w:ascii="Arial" w:hAnsi="Arial" w:cs="Arial"/>
          <w:bCs/>
          <w:color w:val="000000" w:themeColor="text1"/>
          <w:sz w:val="22"/>
          <w:szCs w:val="22"/>
        </w:rPr>
        <w:t>W</w:t>
      </w:r>
      <w:r w:rsidR="00D01FF9">
        <w:rPr>
          <w:rFonts w:ascii="Arial" w:hAnsi="Arial" w:cs="Arial"/>
          <w:bCs/>
          <w:color w:val="000000" w:themeColor="text1"/>
          <w:sz w:val="22"/>
          <w:szCs w:val="22"/>
        </w:rPr>
        <w:t>e found that two NC</w:t>
      </w:r>
      <w:r w:rsidR="003C01F3">
        <w:rPr>
          <w:rFonts w:ascii="Arial" w:hAnsi="Arial" w:cs="Arial"/>
          <w:bCs/>
          <w:color w:val="000000" w:themeColor="text1"/>
          <w:sz w:val="22"/>
          <w:szCs w:val="22"/>
        </w:rPr>
        <w:t>-</w:t>
      </w:r>
      <w:r w:rsidR="00D01FF9">
        <w:rPr>
          <w:rFonts w:ascii="Arial" w:hAnsi="Arial" w:cs="Arial"/>
          <w:bCs/>
          <w:color w:val="000000" w:themeColor="text1"/>
          <w:sz w:val="22"/>
          <w:szCs w:val="22"/>
        </w:rPr>
        <w:t>based</w:t>
      </w:r>
      <w:r w:rsidR="002C5C11">
        <w:rPr>
          <w:rFonts w:ascii="Arial" w:hAnsi="Arial" w:cs="Arial"/>
          <w:bCs/>
          <w:color w:val="000000" w:themeColor="text1"/>
          <w:sz w:val="22"/>
          <w:szCs w:val="22"/>
        </w:rPr>
        <w:t xml:space="preserve"> opioid prescribing policies result</w:t>
      </w:r>
      <w:r w:rsidR="00E04C5F">
        <w:rPr>
          <w:rFonts w:ascii="Arial" w:hAnsi="Arial" w:cs="Arial"/>
          <w:bCs/>
          <w:color w:val="000000" w:themeColor="text1"/>
          <w:sz w:val="22"/>
          <w:szCs w:val="22"/>
        </w:rPr>
        <w:t>ed</w:t>
      </w:r>
      <w:r w:rsidR="002C5C11">
        <w:rPr>
          <w:rFonts w:ascii="Arial" w:hAnsi="Arial" w:cs="Arial"/>
          <w:bCs/>
          <w:color w:val="000000" w:themeColor="text1"/>
          <w:sz w:val="22"/>
          <w:szCs w:val="22"/>
        </w:rPr>
        <w:t xml:space="preserve"> in intended </w:t>
      </w:r>
      <w:r w:rsidR="00004BC3">
        <w:rPr>
          <w:rFonts w:ascii="Arial" w:hAnsi="Arial" w:cs="Arial"/>
          <w:bCs/>
          <w:color w:val="000000" w:themeColor="text1"/>
          <w:sz w:val="22"/>
          <w:szCs w:val="22"/>
        </w:rPr>
        <w:t xml:space="preserve">and unintended </w:t>
      </w:r>
      <w:r w:rsidR="002C5C11">
        <w:rPr>
          <w:rFonts w:ascii="Arial" w:hAnsi="Arial" w:cs="Arial"/>
          <w:bCs/>
          <w:color w:val="000000" w:themeColor="text1"/>
          <w:sz w:val="22"/>
          <w:szCs w:val="22"/>
        </w:rPr>
        <w:t>changes in opioid prescribing practices for acute injury and post-surgical pain patients</w:t>
      </w:r>
      <w:r w:rsidR="00F57636">
        <w:rPr>
          <w:rFonts w:ascii="Arial" w:hAnsi="Arial" w:cs="Arial"/>
          <w:bCs/>
          <w:color w:val="000000" w:themeColor="text1"/>
          <w:sz w:val="22"/>
          <w:szCs w:val="22"/>
        </w:rPr>
        <w:t>.</w:t>
      </w:r>
      <w:r w:rsidR="00AC01D9">
        <w:rPr>
          <w:rFonts w:ascii="Arial" w:hAnsi="Arial" w:cs="Arial"/>
          <w:bCs/>
          <w:color w:val="000000" w:themeColor="text1"/>
          <w:sz w:val="22"/>
          <w:szCs w:val="22"/>
        </w:rPr>
        <w:t xml:space="preserve"> T</w:t>
      </w:r>
      <w:r w:rsidR="00F57636">
        <w:rPr>
          <w:rFonts w:ascii="Arial" w:hAnsi="Arial" w:cs="Arial"/>
          <w:bCs/>
          <w:color w:val="000000" w:themeColor="text1"/>
          <w:sz w:val="22"/>
          <w:szCs w:val="22"/>
        </w:rPr>
        <w:t xml:space="preserve">here were </w:t>
      </w:r>
      <w:r w:rsidR="006153CD">
        <w:rPr>
          <w:rFonts w:ascii="Arial" w:hAnsi="Arial" w:cs="Arial"/>
          <w:bCs/>
          <w:color w:val="000000" w:themeColor="text1"/>
          <w:sz w:val="22"/>
          <w:szCs w:val="22"/>
        </w:rPr>
        <w:t xml:space="preserve">concerning </w:t>
      </w:r>
      <w:r w:rsidR="00F57636">
        <w:rPr>
          <w:rFonts w:ascii="Arial" w:hAnsi="Arial" w:cs="Arial"/>
          <w:bCs/>
          <w:color w:val="000000" w:themeColor="text1"/>
          <w:sz w:val="22"/>
          <w:szCs w:val="22"/>
        </w:rPr>
        <w:t>racial</w:t>
      </w:r>
      <w:r w:rsidR="007268BA">
        <w:rPr>
          <w:rFonts w:ascii="Arial" w:hAnsi="Arial" w:cs="Arial"/>
          <w:bCs/>
          <w:color w:val="000000" w:themeColor="text1"/>
          <w:sz w:val="22"/>
          <w:szCs w:val="22"/>
        </w:rPr>
        <w:t>ized</w:t>
      </w:r>
      <w:r w:rsidR="00F57636">
        <w:rPr>
          <w:rFonts w:ascii="Arial" w:hAnsi="Arial" w:cs="Arial"/>
          <w:bCs/>
          <w:color w:val="000000" w:themeColor="text1"/>
          <w:sz w:val="22"/>
          <w:szCs w:val="22"/>
        </w:rPr>
        <w:t xml:space="preserve"> disparities </w:t>
      </w:r>
      <w:r w:rsidR="00F15517">
        <w:rPr>
          <w:rFonts w:ascii="Arial" w:hAnsi="Arial" w:cs="Arial"/>
          <w:bCs/>
          <w:color w:val="000000" w:themeColor="text1"/>
          <w:sz w:val="22"/>
          <w:szCs w:val="22"/>
        </w:rPr>
        <w:t xml:space="preserve">in policy effects, </w:t>
      </w:r>
      <w:r w:rsidR="006153CD">
        <w:rPr>
          <w:rFonts w:ascii="Arial" w:hAnsi="Arial" w:cs="Arial"/>
          <w:bCs/>
          <w:color w:val="000000" w:themeColor="text1"/>
          <w:sz w:val="22"/>
          <w:szCs w:val="22"/>
        </w:rPr>
        <w:t>such that</w:t>
      </w:r>
      <w:r w:rsidR="0047362B">
        <w:rPr>
          <w:rFonts w:ascii="Arial" w:hAnsi="Arial" w:cs="Arial"/>
          <w:bCs/>
          <w:color w:val="000000" w:themeColor="text1"/>
          <w:sz w:val="22"/>
          <w:szCs w:val="22"/>
        </w:rPr>
        <w:t xml:space="preserve"> black, Hispanic, </w:t>
      </w:r>
      <w:r w:rsidR="007E5FDF">
        <w:rPr>
          <w:rFonts w:ascii="Arial" w:hAnsi="Arial" w:cs="Arial"/>
          <w:bCs/>
          <w:color w:val="000000" w:themeColor="text1"/>
          <w:sz w:val="22"/>
          <w:szCs w:val="22"/>
        </w:rPr>
        <w:t xml:space="preserve">and </w:t>
      </w:r>
      <w:r w:rsidR="007D1BB4">
        <w:rPr>
          <w:rFonts w:ascii="Arial" w:hAnsi="Arial" w:cs="Arial"/>
          <w:bCs/>
          <w:color w:val="000000" w:themeColor="text1"/>
          <w:sz w:val="22"/>
          <w:szCs w:val="22"/>
        </w:rPr>
        <w:t xml:space="preserve">native </w:t>
      </w:r>
      <w:r w:rsidR="00C67701">
        <w:rPr>
          <w:rFonts w:ascii="Arial" w:hAnsi="Arial" w:cs="Arial"/>
          <w:bCs/>
          <w:color w:val="000000" w:themeColor="text1"/>
          <w:sz w:val="22"/>
          <w:szCs w:val="22"/>
        </w:rPr>
        <w:t>American</w:t>
      </w:r>
      <w:r w:rsidR="00654AA9">
        <w:rPr>
          <w:rFonts w:ascii="Arial" w:hAnsi="Arial" w:cs="Arial"/>
          <w:bCs/>
          <w:color w:val="000000" w:themeColor="text1"/>
          <w:sz w:val="22"/>
          <w:szCs w:val="22"/>
        </w:rPr>
        <w:t xml:space="preserve"> </w:t>
      </w:r>
      <w:r w:rsidR="007D1BB4">
        <w:rPr>
          <w:rFonts w:ascii="Arial" w:hAnsi="Arial" w:cs="Arial"/>
          <w:bCs/>
          <w:color w:val="000000" w:themeColor="text1"/>
          <w:sz w:val="22"/>
          <w:szCs w:val="22"/>
        </w:rPr>
        <w:t>patients</w:t>
      </w:r>
      <w:r w:rsidR="00654AA9">
        <w:rPr>
          <w:rFonts w:ascii="Arial" w:hAnsi="Arial" w:cs="Arial"/>
          <w:bCs/>
          <w:color w:val="000000" w:themeColor="text1"/>
          <w:sz w:val="22"/>
          <w:szCs w:val="22"/>
        </w:rPr>
        <w:t xml:space="preserve"> experienced the greatest </w:t>
      </w:r>
      <w:r w:rsidR="00350F8C">
        <w:rPr>
          <w:rFonts w:ascii="Arial" w:hAnsi="Arial" w:cs="Arial"/>
          <w:bCs/>
          <w:color w:val="000000" w:themeColor="text1"/>
          <w:sz w:val="22"/>
          <w:szCs w:val="22"/>
        </w:rPr>
        <w:t xml:space="preserve">post-surgical </w:t>
      </w:r>
      <w:r w:rsidR="00654AA9">
        <w:rPr>
          <w:rFonts w:ascii="Arial" w:hAnsi="Arial" w:cs="Arial"/>
          <w:bCs/>
          <w:color w:val="000000" w:themeColor="text1"/>
          <w:sz w:val="22"/>
          <w:szCs w:val="22"/>
        </w:rPr>
        <w:t>opioid prescribing</w:t>
      </w:r>
      <w:r w:rsidR="00407FCC">
        <w:rPr>
          <w:rFonts w:ascii="Arial" w:hAnsi="Arial" w:cs="Arial"/>
          <w:bCs/>
          <w:color w:val="000000" w:themeColor="text1"/>
          <w:sz w:val="22"/>
          <w:szCs w:val="22"/>
        </w:rPr>
        <w:t xml:space="preserve"> </w:t>
      </w:r>
      <w:r w:rsidR="0021055E">
        <w:rPr>
          <w:rFonts w:ascii="Arial" w:hAnsi="Arial" w:cs="Arial"/>
          <w:bCs/>
          <w:color w:val="000000" w:themeColor="text1"/>
          <w:sz w:val="22"/>
          <w:szCs w:val="22"/>
        </w:rPr>
        <w:t xml:space="preserve">declines than </w:t>
      </w:r>
      <w:r w:rsidR="00407FCC">
        <w:rPr>
          <w:rFonts w:ascii="Arial" w:hAnsi="Arial" w:cs="Arial"/>
          <w:bCs/>
          <w:color w:val="000000" w:themeColor="text1"/>
          <w:sz w:val="22"/>
          <w:szCs w:val="22"/>
        </w:rPr>
        <w:t>white</w:t>
      </w:r>
      <w:r w:rsidR="0021055E">
        <w:rPr>
          <w:rFonts w:ascii="Arial" w:hAnsi="Arial" w:cs="Arial"/>
          <w:bCs/>
          <w:color w:val="000000" w:themeColor="text1"/>
          <w:sz w:val="22"/>
          <w:szCs w:val="22"/>
        </w:rPr>
        <w:t>s</w:t>
      </w:r>
      <w:r w:rsidR="007E5FDF">
        <w:rPr>
          <w:rFonts w:ascii="Arial" w:hAnsi="Arial" w:cs="Arial"/>
          <w:bCs/>
          <w:color w:val="000000" w:themeColor="text1"/>
          <w:sz w:val="22"/>
          <w:szCs w:val="22"/>
        </w:rPr>
        <w:t xml:space="preserve"> and Asian</w:t>
      </w:r>
      <w:r w:rsidR="0021055E">
        <w:rPr>
          <w:rFonts w:ascii="Arial" w:hAnsi="Arial" w:cs="Arial"/>
          <w:bCs/>
          <w:color w:val="000000" w:themeColor="text1"/>
          <w:sz w:val="22"/>
          <w:szCs w:val="22"/>
        </w:rPr>
        <w:t>s</w:t>
      </w:r>
      <w:r w:rsidR="00407FCC">
        <w:rPr>
          <w:rFonts w:ascii="Arial" w:hAnsi="Arial" w:cs="Arial"/>
          <w:bCs/>
          <w:color w:val="000000" w:themeColor="text1"/>
          <w:sz w:val="22"/>
          <w:szCs w:val="22"/>
        </w:rPr>
        <w:t xml:space="preserve">. This </w:t>
      </w:r>
      <w:r w:rsidR="00C02E59">
        <w:rPr>
          <w:rFonts w:ascii="Arial" w:hAnsi="Arial" w:cs="Arial"/>
          <w:bCs/>
          <w:color w:val="000000" w:themeColor="text1"/>
          <w:sz w:val="22"/>
          <w:szCs w:val="22"/>
        </w:rPr>
        <w:t xml:space="preserve">may reflect implicit and explicit </w:t>
      </w:r>
      <w:r w:rsidR="00CB7A36">
        <w:rPr>
          <w:rFonts w:ascii="Arial" w:hAnsi="Arial" w:cs="Arial"/>
          <w:bCs/>
          <w:color w:val="000000" w:themeColor="text1"/>
          <w:sz w:val="22"/>
          <w:szCs w:val="22"/>
        </w:rPr>
        <w:t xml:space="preserve">racialized bias in pain management </w:t>
      </w:r>
      <w:r w:rsidR="007D1BB4">
        <w:rPr>
          <w:rFonts w:ascii="Arial" w:hAnsi="Arial" w:cs="Arial"/>
          <w:bCs/>
          <w:color w:val="000000" w:themeColor="text1"/>
          <w:sz w:val="22"/>
          <w:szCs w:val="22"/>
        </w:rPr>
        <w:t xml:space="preserve">practice </w:t>
      </w:r>
      <w:r w:rsidR="007E7DCD">
        <w:rPr>
          <w:rFonts w:ascii="Arial" w:hAnsi="Arial" w:cs="Arial"/>
          <w:bCs/>
          <w:color w:val="000000" w:themeColor="text1"/>
          <w:sz w:val="22"/>
          <w:szCs w:val="22"/>
        </w:rPr>
        <w:t xml:space="preserve">driven by </w:t>
      </w:r>
      <w:r w:rsidR="00CC6957">
        <w:rPr>
          <w:rFonts w:ascii="Arial" w:hAnsi="Arial" w:cs="Arial"/>
          <w:bCs/>
          <w:color w:val="000000" w:themeColor="text1"/>
          <w:sz w:val="22"/>
          <w:szCs w:val="22"/>
        </w:rPr>
        <w:t>racial</w:t>
      </w:r>
      <w:r w:rsidR="004F51BE">
        <w:rPr>
          <w:rFonts w:ascii="Arial" w:hAnsi="Arial" w:cs="Arial"/>
          <w:bCs/>
          <w:color w:val="000000" w:themeColor="text1"/>
          <w:sz w:val="22"/>
          <w:szCs w:val="22"/>
        </w:rPr>
        <w:t xml:space="preserve"> </w:t>
      </w:r>
      <w:r w:rsidR="007E7DCD">
        <w:rPr>
          <w:rFonts w:ascii="Arial" w:hAnsi="Arial" w:cs="Arial"/>
          <w:bCs/>
          <w:color w:val="000000" w:themeColor="text1"/>
          <w:sz w:val="22"/>
          <w:szCs w:val="22"/>
        </w:rPr>
        <w:t xml:space="preserve">stereotyping rather than clinical evidence. </w:t>
      </w:r>
      <w:r w:rsidR="004F51BE">
        <w:rPr>
          <w:rFonts w:ascii="Arial" w:hAnsi="Arial" w:cs="Arial"/>
          <w:bCs/>
          <w:color w:val="000000" w:themeColor="text1"/>
          <w:sz w:val="22"/>
          <w:szCs w:val="22"/>
        </w:rPr>
        <w:t xml:space="preserve">Healthcare interventions that </w:t>
      </w:r>
      <w:r w:rsidR="00350F8C">
        <w:rPr>
          <w:rFonts w:ascii="Arial" w:hAnsi="Arial" w:cs="Arial"/>
          <w:bCs/>
          <w:color w:val="000000" w:themeColor="text1"/>
          <w:sz w:val="22"/>
          <w:szCs w:val="22"/>
        </w:rPr>
        <w:t>can</w:t>
      </w:r>
      <w:r w:rsidR="00137468">
        <w:rPr>
          <w:rFonts w:ascii="Arial" w:hAnsi="Arial" w:cs="Arial"/>
          <w:bCs/>
          <w:color w:val="000000" w:themeColor="text1"/>
          <w:sz w:val="22"/>
          <w:szCs w:val="22"/>
        </w:rPr>
        <w:t xml:space="preserve"> mitigate </w:t>
      </w:r>
      <w:r w:rsidR="00350F8C">
        <w:rPr>
          <w:rFonts w:ascii="Arial" w:hAnsi="Arial" w:cs="Arial"/>
          <w:bCs/>
          <w:color w:val="000000" w:themeColor="text1"/>
          <w:sz w:val="22"/>
          <w:szCs w:val="22"/>
        </w:rPr>
        <w:t>prescriber</w:t>
      </w:r>
      <w:r w:rsidR="00CC6957">
        <w:rPr>
          <w:rFonts w:ascii="Arial" w:hAnsi="Arial" w:cs="Arial"/>
          <w:bCs/>
          <w:color w:val="000000" w:themeColor="text1"/>
          <w:sz w:val="22"/>
          <w:szCs w:val="22"/>
        </w:rPr>
        <w:t xml:space="preserve"> biases are needed.</w:t>
      </w:r>
    </w:p>
    <w:p w14:paraId="40563BA1" w14:textId="77777777" w:rsidR="00E028A4" w:rsidRPr="006112E3" w:rsidRDefault="00E028A4" w:rsidP="00E028A4">
      <w:pPr>
        <w:spacing w:line="480" w:lineRule="auto"/>
        <w:rPr>
          <w:rFonts w:ascii="Arial" w:hAnsi="Arial" w:cs="Arial"/>
          <w:b/>
          <w:color w:val="000000" w:themeColor="text1"/>
          <w:sz w:val="22"/>
          <w:szCs w:val="22"/>
        </w:rPr>
      </w:pPr>
    </w:p>
    <w:p w14:paraId="473A734B" w14:textId="77777777" w:rsidR="00E028A4" w:rsidRDefault="00E028A4" w:rsidP="00E028A4"/>
    <w:p w14:paraId="30FF7060" w14:textId="40604B2D" w:rsidR="00A623C6" w:rsidRPr="00082FB3" w:rsidRDefault="00A623C6">
      <w:pPr>
        <w:rPr>
          <w:rFonts w:ascii="Arial" w:hAnsi="Arial" w:cs="Arial"/>
          <w:b/>
          <w:color w:val="000000" w:themeColor="text1"/>
          <w:sz w:val="22"/>
          <w:szCs w:val="22"/>
          <w:u w:val="double"/>
        </w:rPr>
      </w:pPr>
      <w:r>
        <w:rPr>
          <w:rFonts w:ascii="Arial" w:hAnsi="Arial" w:cs="Arial"/>
          <w:b/>
          <w:color w:val="000000" w:themeColor="text1"/>
          <w:sz w:val="22"/>
          <w:szCs w:val="22"/>
        </w:rPr>
        <w:br w:type="page"/>
      </w:r>
    </w:p>
    <w:p w14:paraId="5F2AC39A" w14:textId="189BEDD3" w:rsidR="004478EB" w:rsidRPr="006112E3" w:rsidRDefault="00D11F27" w:rsidP="0081473F">
      <w:pPr>
        <w:spacing w:line="480" w:lineRule="auto"/>
        <w:rPr>
          <w:rFonts w:ascii="Arial" w:hAnsi="Arial" w:cs="Arial"/>
          <w:b/>
          <w:color w:val="000000" w:themeColor="text1"/>
          <w:sz w:val="22"/>
          <w:szCs w:val="22"/>
        </w:rPr>
      </w:pPr>
      <w:r w:rsidRPr="006112E3">
        <w:rPr>
          <w:rFonts w:ascii="Arial" w:hAnsi="Arial" w:cs="Arial"/>
          <w:b/>
          <w:color w:val="000000" w:themeColor="text1"/>
          <w:sz w:val="22"/>
          <w:szCs w:val="22"/>
        </w:rPr>
        <w:lastRenderedPageBreak/>
        <w:t>References</w:t>
      </w:r>
    </w:p>
    <w:p w14:paraId="0E222F14" w14:textId="77777777" w:rsidR="00FA0875" w:rsidRPr="00FA0875" w:rsidRDefault="00D11F27" w:rsidP="00FA0875">
      <w:pPr>
        <w:pStyle w:val="Bibliography"/>
        <w:rPr>
          <w:rFonts w:ascii="Arial" w:hAnsi="Arial" w:cs="Arial"/>
          <w:color w:val="000000"/>
          <w:sz w:val="22"/>
        </w:rPr>
      </w:pPr>
      <w:r w:rsidRPr="006112E3">
        <w:rPr>
          <w:rFonts w:ascii="Arial" w:hAnsi="Arial" w:cs="Arial"/>
          <w:b/>
          <w:bCs/>
          <w:color w:val="000000" w:themeColor="text1"/>
          <w:sz w:val="22"/>
          <w:szCs w:val="22"/>
        </w:rPr>
        <w:fldChar w:fldCharType="begin"/>
      </w:r>
      <w:r w:rsidR="00E028A4">
        <w:rPr>
          <w:rFonts w:ascii="Arial" w:hAnsi="Arial" w:cs="Arial"/>
          <w:b/>
          <w:bCs/>
          <w:color w:val="000000" w:themeColor="text1"/>
          <w:sz w:val="22"/>
          <w:szCs w:val="22"/>
        </w:rPr>
        <w:instrText xml:space="preserve"> ADDIN ZOTERO_BIBL {"uncited":[],"omitted":[],"custom":[]} CSL_BIBLIOGRAPHY </w:instrText>
      </w:r>
      <w:r w:rsidRPr="006112E3">
        <w:rPr>
          <w:rFonts w:ascii="Arial" w:hAnsi="Arial" w:cs="Arial"/>
          <w:b/>
          <w:bCs/>
          <w:color w:val="000000" w:themeColor="text1"/>
          <w:sz w:val="22"/>
          <w:szCs w:val="22"/>
        </w:rPr>
        <w:fldChar w:fldCharType="separate"/>
      </w:r>
      <w:r w:rsidR="00FA0875" w:rsidRPr="00FA0875">
        <w:rPr>
          <w:rFonts w:ascii="Arial" w:hAnsi="Arial" w:cs="Arial"/>
          <w:color w:val="000000"/>
          <w:sz w:val="22"/>
        </w:rPr>
        <w:t>1.</w:t>
      </w:r>
      <w:r w:rsidR="00FA0875" w:rsidRPr="00FA0875">
        <w:rPr>
          <w:rFonts w:ascii="Arial" w:hAnsi="Arial" w:cs="Arial"/>
          <w:color w:val="000000"/>
          <w:sz w:val="22"/>
        </w:rPr>
        <w:tab/>
        <w:t>Abuse NI on D. Overdose Death Rates. National Institute on Drug Abuse. Published January 20, 2022. Accessed November 9, 2022. https://nida.nih.gov/research-topics/trends-statistics/overdose-death-rates</w:t>
      </w:r>
    </w:p>
    <w:p w14:paraId="5074C524" w14:textId="77777777"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2.</w:t>
      </w:r>
      <w:r w:rsidRPr="00FA0875">
        <w:rPr>
          <w:rFonts w:ascii="Arial" w:hAnsi="Arial" w:cs="Arial"/>
          <w:color w:val="000000"/>
          <w:sz w:val="22"/>
        </w:rPr>
        <w:tab/>
        <w:t xml:space="preserve">Dowell D, Haegerich T, Chou R. CDC Guideline for Prescribing Opioids for Chronic Pain — United States, 2016. </w:t>
      </w:r>
      <w:r w:rsidRPr="00FA0875">
        <w:rPr>
          <w:rFonts w:ascii="Arial" w:hAnsi="Arial" w:cs="Arial"/>
          <w:i/>
          <w:iCs/>
          <w:color w:val="000000"/>
          <w:sz w:val="22"/>
        </w:rPr>
        <w:t>MMWR Recomm Rep</w:t>
      </w:r>
      <w:r w:rsidRPr="00FA0875">
        <w:rPr>
          <w:rFonts w:ascii="Arial" w:hAnsi="Arial" w:cs="Arial"/>
          <w:color w:val="000000"/>
          <w:sz w:val="22"/>
        </w:rPr>
        <w:t>. 2016;65(1):1-49. doi:10.15585/mmwr.rr6501e1er</w:t>
      </w:r>
    </w:p>
    <w:p w14:paraId="2ABBDCBB" w14:textId="77777777"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3.</w:t>
      </w:r>
      <w:r w:rsidRPr="00FA0875">
        <w:rPr>
          <w:rFonts w:ascii="Arial" w:hAnsi="Arial" w:cs="Arial"/>
          <w:color w:val="000000"/>
          <w:sz w:val="22"/>
        </w:rPr>
        <w:tab/>
        <w:t xml:space="preserve">Dowell D, Ragan KR, Jones CM, Baldwin GT, Chou R. CDC Clinical Practice Guideline for Prescribing Opioids for Pain - United States, 2022. </w:t>
      </w:r>
      <w:r w:rsidRPr="00FA0875">
        <w:rPr>
          <w:rFonts w:ascii="Arial" w:hAnsi="Arial" w:cs="Arial"/>
          <w:i/>
          <w:iCs/>
          <w:color w:val="000000"/>
          <w:sz w:val="22"/>
        </w:rPr>
        <w:t>MMWR Recomm Rep Morb Mortal Wkly Rep Recomm Rep</w:t>
      </w:r>
      <w:r w:rsidRPr="00FA0875">
        <w:rPr>
          <w:rFonts w:ascii="Arial" w:hAnsi="Arial" w:cs="Arial"/>
          <w:color w:val="000000"/>
          <w:sz w:val="22"/>
        </w:rPr>
        <w:t>. 2022;71(3):1-95. doi:10.15585/mmwr.rr7103a1</w:t>
      </w:r>
    </w:p>
    <w:p w14:paraId="040FC5EF" w14:textId="77777777"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4.</w:t>
      </w:r>
      <w:r w:rsidRPr="00FA0875">
        <w:rPr>
          <w:rFonts w:ascii="Arial" w:hAnsi="Arial" w:cs="Arial"/>
          <w:color w:val="000000"/>
          <w:sz w:val="22"/>
        </w:rPr>
        <w:tab/>
        <w:t>Center for Public Health Law Research Staff. PDAPS - State Laws Limiting Prescriptions for Opioid Analgesics. PDAPS (Prescription Drug Abuse Policy System). Published December 31, 2019. Accessed July 24, 2023. https://pdaps.org/datasets/opioid-analgesics-prescribing-limits</w:t>
      </w:r>
    </w:p>
    <w:p w14:paraId="6C2906B0" w14:textId="77777777"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5.</w:t>
      </w:r>
      <w:r w:rsidRPr="00FA0875">
        <w:rPr>
          <w:rFonts w:ascii="Arial" w:hAnsi="Arial" w:cs="Arial"/>
          <w:color w:val="000000"/>
          <w:sz w:val="22"/>
        </w:rPr>
        <w:tab/>
        <w:t>North Carolina Medical Board Annual Report. Published online 2016. Accessed May 30, 2022. https://www.ncmedboard.org/images/uploads/disciplinary_reports/2016_Annual_Report1.pdf.</w:t>
      </w:r>
    </w:p>
    <w:p w14:paraId="7CF275DC" w14:textId="77777777"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6.</w:t>
      </w:r>
      <w:r w:rsidRPr="00FA0875">
        <w:rPr>
          <w:rFonts w:ascii="Arial" w:hAnsi="Arial" w:cs="Arial"/>
          <w:color w:val="000000"/>
          <w:sz w:val="22"/>
        </w:rPr>
        <w:tab/>
        <w:t xml:space="preserve">Heins SE. Prescription Opioids: A Continuing Contributor to the Epidemic. </w:t>
      </w:r>
      <w:r w:rsidRPr="00FA0875">
        <w:rPr>
          <w:rFonts w:ascii="Arial" w:hAnsi="Arial" w:cs="Arial"/>
          <w:i/>
          <w:iCs/>
          <w:color w:val="000000"/>
          <w:sz w:val="22"/>
        </w:rPr>
        <w:t>Am J Public Health</w:t>
      </w:r>
      <w:r w:rsidRPr="00FA0875">
        <w:rPr>
          <w:rFonts w:ascii="Arial" w:hAnsi="Arial" w:cs="Arial"/>
          <w:color w:val="000000"/>
          <w:sz w:val="22"/>
        </w:rPr>
        <w:t>. 2019;109(9):1166-1167. doi:10.2105/AJPH.2019.305253</w:t>
      </w:r>
    </w:p>
    <w:p w14:paraId="7CA076B9" w14:textId="77777777"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7.</w:t>
      </w:r>
      <w:r w:rsidRPr="00FA0875">
        <w:rPr>
          <w:rFonts w:ascii="Arial" w:hAnsi="Arial" w:cs="Arial"/>
          <w:color w:val="000000"/>
          <w:sz w:val="22"/>
        </w:rPr>
        <w:tab/>
        <w:t xml:space="preserve">Edlund MJ, Martin BC, Russo JE, Devries A, Braden JB, Sullivan MD. The Role of Opioid Prescription in Incident Opioid Abuse and Dependence Among Individuals with Chronic Non-Cancer Pain: The Role of Opioid Prescription. </w:t>
      </w:r>
      <w:r w:rsidRPr="00FA0875">
        <w:rPr>
          <w:rFonts w:ascii="Arial" w:hAnsi="Arial" w:cs="Arial"/>
          <w:i/>
          <w:iCs/>
          <w:color w:val="000000"/>
          <w:sz w:val="22"/>
        </w:rPr>
        <w:t>Clin J Pain</w:t>
      </w:r>
      <w:r w:rsidRPr="00FA0875">
        <w:rPr>
          <w:rFonts w:ascii="Arial" w:hAnsi="Arial" w:cs="Arial"/>
          <w:color w:val="000000"/>
          <w:sz w:val="22"/>
        </w:rPr>
        <w:t>. 2014;30(7):557-564. doi:10.1097/AJP.0000000000000021</w:t>
      </w:r>
    </w:p>
    <w:p w14:paraId="32F79683" w14:textId="77777777"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8.</w:t>
      </w:r>
      <w:r w:rsidRPr="00FA0875">
        <w:rPr>
          <w:rFonts w:ascii="Arial" w:hAnsi="Arial" w:cs="Arial"/>
          <w:color w:val="000000"/>
          <w:sz w:val="22"/>
        </w:rPr>
        <w:tab/>
        <w:t xml:space="preserve">Turner BJ, Liang Y. Drug Overdose in a Retrospective Cohort with Non-Cancer Pain Treated with Opioids, Antidepressants, and/or Sedative-Hypnotics: Interactions with Mental Health Disorders. </w:t>
      </w:r>
      <w:r w:rsidRPr="00FA0875">
        <w:rPr>
          <w:rFonts w:ascii="Arial" w:hAnsi="Arial" w:cs="Arial"/>
          <w:i/>
          <w:iCs/>
          <w:color w:val="000000"/>
          <w:sz w:val="22"/>
        </w:rPr>
        <w:t>J Gen Intern Med</w:t>
      </w:r>
      <w:r w:rsidRPr="00FA0875">
        <w:rPr>
          <w:rFonts w:ascii="Arial" w:hAnsi="Arial" w:cs="Arial"/>
          <w:color w:val="000000"/>
          <w:sz w:val="22"/>
        </w:rPr>
        <w:t>. 2015;30(8):1081-1096. doi:10.1007/s11606-015-3199-4</w:t>
      </w:r>
    </w:p>
    <w:p w14:paraId="5F55EA71" w14:textId="77777777"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9.</w:t>
      </w:r>
      <w:r w:rsidRPr="00FA0875">
        <w:rPr>
          <w:rFonts w:ascii="Arial" w:hAnsi="Arial" w:cs="Arial"/>
          <w:color w:val="000000"/>
          <w:sz w:val="22"/>
        </w:rPr>
        <w:tab/>
        <w:t xml:space="preserve">Zedler B, Xie L, Wang L, et al. Risk factors for serious prescription opioid-related toxicity or overdose among Veterans Health Administration patients. </w:t>
      </w:r>
      <w:r w:rsidRPr="00FA0875">
        <w:rPr>
          <w:rFonts w:ascii="Arial" w:hAnsi="Arial" w:cs="Arial"/>
          <w:i/>
          <w:iCs/>
          <w:color w:val="000000"/>
          <w:sz w:val="22"/>
        </w:rPr>
        <w:t>Pain Med Malden Mass</w:t>
      </w:r>
      <w:r w:rsidRPr="00FA0875">
        <w:rPr>
          <w:rFonts w:ascii="Arial" w:hAnsi="Arial" w:cs="Arial"/>
          <w:color w:val="000000"/>
          <w:sz w:val="22"/>
        </w:rPr>
        <w:t>. 2014;15(11):1911-1929. doi:10.1111/pme.12480</w:t>
      </w:r>
    </w:p>
    <w:p w14:paraId="7E0FDC7F" w14:textId="77777777"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10.</w:t>
      </w:r>
      <w:r w:rsidRPr="00FA0875">
        <w:rPr>
          <w:rFonts w:ascii="Arial" w:hAnsi="Arial" w:cs="Arial"/>
          <w:color w:val="000000"/>
          <w:sz w:val="22"/>
        </w:rPr>
        <w:tab/>
        <w:t xml:space="preserve">Bohnert ASB, Ilgen MA. Understanding Links among Opioid Use, Overdose, and Suicide. </w:t>
      </w:r>
      <w:r w:rsidRPr="00FA0875">
        <w:rPr>
          <w:rFonts w:ascii="Arial" w:hAnsi="Arial" w:cs="Arial"/>
          <w:i/>
          <w:iCs/>
          <w:color w:val="000000"/>
          <w:sz w:val="22"/>
        </w:rPr>
        <w:t>N Engl J Med</w:t>
      </w:r>
      <w:r w:rsidRPr="00FA0875">
        <w:rPr>
          <w:rFonts w:ascii="Arial" w:hAnsi="Arial" w:cs="Arial"/>
          <w:color w:val="000000"/>
          <w:sz w:val="22"/>
        </w:rPr>
        <w:t>. 2019;380(1):71-79. doi:10.1056/NEJMra1802148</w:t>
      </w:r>
    </w:p>
    <w:p w14:paraId="418AE01C" w14:textId="77777777"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11.</w:t>
      </w:r>
      <w:r w:rsidRPr="00FA0875">
        <w:rPr>
          <w:rFonts w:ascii="Arial" w:hAnsi="Arial" w:cs="Arial"/>
          <w:color w:val="000000"/>
          <w:sz w:val="22"/>
        </w:rPr>
        <w:tab/>
        <w:t xml:space="preserve">Dasgupta N, Funk MJ, Proescholdbell S, Hirsch A, Ribisl KM, Marshall S. Cohort Study of the Impact of High-Dose Opioid Analgesics on Overdose Mortality. </w:t>
      </w:r>
      <w:r w:rsidRPr="00FA0875">
        <w:rPr>
          <w:rFonts w:ascii="Arial" w:hAnsi="Arial" w:cs="Arial"/>
          <w:i/>
          <w:iCs/>
          <w:color w:val="000000"/>
          <w:sz w:val="22"/>
        </w:rPr>
        <w:t>Pain Med Malden Mass</w:t>
      </w:r>
      <w:r w:rsidRPr="00FA0875">
        <w:rPr>
          <w:rFonts w:ascii="Arial" w:hAnsi="Arial" w:cs="Arial"/>
          <w:color w:val="000000"/>
          <w:sz w:val="22"/>
        </w:rPr>
        <w:t>. 2016;17(1):85-98. doi:10.1111/pme.12907</w:t>
      </w:r>
    </w:p>
    <w:p w14:paraId="07C46246" w14:textId="77777777"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12.</w:t>
      </w:r>
      <w:r w:rsidRPr="00FA0875">
        <w:rPr>
          <w:rFonts w:ascii="Arial" w:hAnsi="Arial" w:cs="Arial"/>
          <w:color w:val="000000"/>
          <w:sz w:val="22"/>
        </w:rPr>
        <w:tab/>
        <w:t xml:space="preserve">Harbaugh CM, Nalliah RP, Hu HM, Englesbe MJ, Waljee JF, Brummett CM. Persistent Opioid Use After Wisdom Tooth Extraction. </w:t>
      </w:r>
      <w:r w:rsidRPr="00FA0875">
        <w:rPr>
          <w:rFonts w:ascii="Arial" w:hAnsi="Arial" w:cs="Arial"/>
          <w:i/>
          <w:iCs/>
          <w:color w:val="000000"/>
          <w:sz w:val="22"/>
        </w:rPr>
        <w:t>JAMA</w:t>
      </w:r>
      <w:r w:rsidRPr="00FA0875">
        <w:rPr>
          <w:rFonts w:ascii="Arial" w:hAnsi="Arial" w:cs="Arial"/>
          <w:color w:val="000000"/>
          <w:sz w:val="22"/>
        </w:rPr>
        <w:t>. 2018;320(5):504-506. doi:10.1001/jama.2018.9023</w:t>
      </w:r>
    </w:p>
    <w:p w14:paraId="13FAD194" w14:textId="77777777"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13.</w:t>
      </w:r>
      <w:r w:rsidRPr="00FA0875">
        <w:rPr>
          <w:rFonts w:ascii="Arial" w:hAnsi="Arial" w:cs="Arial"/>
          <w:color w:val="000000"/>
          <w:sz w:val="22"/>
        </w:rPr>
        <w:tab/>
        <w:t>The Strengthen Opioid Misuse Prevention (STOP) Act of 2017. Published online 2017. Accessed May 30, 2022. https://www.ncmedboard.org/images/uploads/article_images/The_STOP_Act_summary-OnLetterhead.pdf</w:t>
      </w:r>
    </w:p>
    <w:p w14:paraId="1846CC72" w14:textId="77777777"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14.</w:t>
      </w:r>
      <w:r w:rsidRPr="00FA0875">
        <w:rPr>
          <w:rFonts w:ascii="Arial" w:hAnsi="Arial" w:cs="Arial"/>
          <w:color w:val="000000"/>
          <w:sz w:val="22"/>
        </w:rPr>
        <w:tab/>
        <w:t xml:space="preserve">Dowell D, Haegerich T, Chou R. No Shortcuts to Safer Opioid Prescribing. </w:t>
      </w:r>
      <w:r w:rsidRPr="00FA0875">
        <w:rPr>
          <w:rFonts w:ascii="Arial" w:hAnsi="Arial" w:cs="Arial"/>
          <w:i/>
          <w:iCs/>
          <w:color w:val="000000"/>
          <w:sz w:val="22"/>
        </w:rPr>
        <w:t>N Engl J Med</w:t>
      </w:r>
      <w:r w:rsidRPr="00FA0875">
        <w:rPr>
          <w:rFonts w:ascii="Arial" w:hAnsi="Arial" w:cs="Arial"/>
          <w:color w:val="000000"/>
          <w:sz w:val="22"/>
        </w:rPr>
        <w:t>. 2019;380(24):2285-2287. doi:10.1056/NEJMp1904190</w:t>
      </w:r>
    </w:p>
    <w:p w14:paraId="6F1DF54C" w14:textId="77777777"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15.</w:t>
      </w:r>
      <w:r w:rsidRPr="00FA0875">
        <w:rPr>
          <w:rFonts w:ascii="Arial" w:hAnsi="Arial" w:cs="Arial"/>
          <w:color w:val="000000"/>
          <w:sz w:val="22"/>
        </w:rPr>
        <w:tab/>
        <w:t xml:space="preserve">Binswanger IA, Glanz JM, Faul M, et al. The Association between Opioid Discontinuation and Heroin Use: A Nested Case-Control Study. </w:t>
      </w:r>
      <w:r w:rsidRPr="00FA0875">
        <w:rPr>
          <w:rFonts w:ascii="Arial" w:hAnsi="Arial" w:cs="Arial"/>
          <w:i/>
          <w:iCs/>
          <w:color w:val="000000"/>
          <w:sz w:val="22"/>
        </w:rPr>
        <w:t>Drug Alcohol Depend</w:t>
      </w:r>
      <w:r w:rsidRPr="00FA0875">
        <w:rPr>
          <w:rFonts w:ascii="Arial" w:hAnsi="Arial" w:cs="Arial"/>
          <w:color w:val="000000"/>
          <w:sz w:val="22"/>
        </w:rPr>
        <w:t>. 2020;217:108248. doi:10.1016/j.drugalcdep.2020.108248</w:t>
      </w:r>
    </w:p>
    <w:p w14:paraId="6B58542D" w14:textId="77777777"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16.</w:t>
      </w:r>
      <w:r w:rsidRPr="00FA0875">
        <w:rPr>
          <w:rFonts w:ascii="Arial" w:hAnsi="Arial" w:cs="Arial"/>
          <w:color w:val="000000"/>
          <w:sz w:val="22"/>
        </w:rPr>
        <w:tab/>
        <w:t xml:space="preserve">Coffin PO, Rowe C, Oman N, et al. Illicit opioid use following changes in opioids prescribed for chronic non-cancer pain. </w:t>
      </w:r>
      <w:r w:rsidRPr="00FA0875">
        <w:rPr>
          <w:rFonts w:ascii="Arial" w:hAnsi="Arial" w:cs="Arial"/>
          <w:i/>
          <w:iCs/>
          <w:color w:val="000000"/>
          <w:sz w:val="22"/>
        </w:rPr>
        <w:t>PLOS ONE</w:t>
      </w:r>
      <w:r w:rsidRPr="00FA0875">
        <w:rPr>
          <w:rFonts w:ascii="Arial" w:hAnsi="Arial" w:cs="Arial"/>
          <w:color w:val="000000"/>
          <w:sz w:val="22"/>
        </w:rPr>
        <w:t>. 2020;15(5):e0232538. doi:10.1371/journal.pone.0232538</w:t>
      </w:r>
    </w:p>
    <w:p w14:paraId="36A22E05" w14:textId="77777777"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lastRenderedPageBreak/>
        <w:t>17.</w:t>
      </w:r>
      <w:r w:rsidRPr="00FA0875">
        <w:rPr>
          <w:rFonts w:ascii="Arial" w:hAnsi="Arial" w:cs="Arial"/>
          <w:color w:val="000000"/>
          <w:sz w:val="22"/>
        </w:rPr>
        <w:tab/>
        <w:t xml:space="preserve">Hartung DM, Johnston KA, Hallvik S, et al. Prescription Opioid Dispensing Patterns Prior to Heroin Overdose in a State Medicaid Program: a Case-Control Study. </w:t>
      </w:r>
      <w:r w:rsidRPr="00FA0875">
        <w:rPr>
          <w:rFonts w:ascii="Arial" w:hAnsi="Arial" w:cs="Arial"/>
          <w:i/>
          <w:iCs/>
          <w:color w:val="000000"/>
          <w:sz w:val="22"/>
        </w:rPr>
        <w:t>J Gen Intern Med</w:t>
      </w:r>
      <w:r w:rsidRPr="00FA0875">
        <w:rPr>
          <w:rFonts w:ascii="Arial" w:hAnsi="Arial" w:cs="Arial"/>
          <w:color w:val="000000"/>
          <w:sz w:val="22"/>
        </w:rPr>
        <w:t>. 2020;35(11):3188-3196. doi:10.1007/s11606-020-06192-4</w:t>
      </w:r>
    </w:p>
    <w:p w14:paraId="06CC5069" w14:textId="77777777"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18.</w:t>
      </w:r>
      <w:r w:rsidRPr="00FA0875">
        <w:rPr>
          <w:rFonts w:ascii="Arial" w:hAnsi="Arial" w:cs="Arial"/>
          <w:color w:val="000000"/>
          <w:sz w:val="22"/>
        </w:rPr>
        <w:tab/>
        <w:t xml:space="preserve">Muzzio K, Chandler M, Painter JT, Dragic L. Characterizing Patients after Opioid Taper in a VA Medical Center. </w:t>
      </w:r>
      <w:r w:rsidRPr="00FA0875">
        <w:rPr>
          <w:rFonts w:ascii="Arial" w:hAnsi="Arial" w:cs="Arial"/>
          <w:i/>
          <w:iCs/>
          <w:color w:val="000000"/>
          <w:sz w:val="22"/>
        </w:rPr>
        <w:t>J Pain Palliat Care Pharmacother</w:t>
      </w:r>
      <w:r w:rsidRPr="00FA0875">
        <w:rPr>
          <w:rFonts w:ascii="Arial" w:hAnsi="Arial" w:cs="Arial"/>
          <w:color w:val="000000"/>
          <w:sz w:val="22"/>
        </w:rPr>
        <w:t>. 2021;35(2):84-90. doi:10.1080/15360288.2021.1900492</w:t>
      </w:r>
    </w:p>
    <w:p w14:paraId="67357068" w14:textId="77777777"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19.</w:t>
      </w:r>
      <w:r w:rsidRPr="00FA0875">
        <w:rPr>
          <w:rFonts w:ascii="Arial" w:hAnsi="Arial" w:cs="Arial"/>
          <w:color w:val="000000"/>
          <w:sz w:val="22"/>
        </w:rPr>
        <w:tab/>
        <w:t xml:space="preserve">Perez HR, Buonora M, Cunningham CO, Heo M, Starrels JL. Opioid Taper Is Associated with Subsequent Termination of Care: a Retrospective Cohort Study. </w:t>
      </w:r>
      <w:r w:rsidRPr="00FA0875">
        <w:rPr>
          <w:rFonts w:ascii="Arial" w:hAnsi="Arial" w:cs="Arial"/>
          <w:i/>
          <w:iCs/>
          <w:color w:val="000000"/>
          <w:sz w:val="22"/>
        </w:rPr>
        <w:t>J Gen Intern Med</w:t>
      </w:r>
      <w:r w:rsidRPr="00FA0875">
        <w:rPr>
          <w:rFonts w:ascii="Arial" w:hAnsi="Arial" w:cs="Arial"/>
          <w:color w:val="000000"/>
          <w:sz w:val="22"/>
        </w:rPr>
        <w:t>. 2020;35(1):36-42. doi:10.1007/s11606-019-05227-9</w:t>
      </w:r>
    </w:p>
    <w:p w14:paraId="082642B1" w14:textId="77777777"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20.</w:t>
      </w:r>
      <w:r w:rsidRPr="00FA0875">
        <w:rPr>
          <w:rFonts w:ascii="Arial" w:hAnsi="Arial" w:cs="Arial"/>
          <w:color w:val="000000"/>
          <w:sz w:val="22"/>
        </w:rPr>
        <w:tab/>
        <w:t xml:space="preserve">Ranapurwala SI, Ringwalt CL, Pence BW, et al. State Medical Board Policy and Opioid Prescribing: A Controlled Interrupted Time Series. </w:t>
      </w:r>
      <w:r w:rsidRPr="00FA0875">
        <w:rPr>
          <w:rFonts w:ascii="Arial" w:hAnsi="Arial" w:cs="Arial"/>
          <w:i/>
          <w:iCs/>
          <w:color w:val="000000"/>
          <w:sz w:val="22"/>
        </w:rPr>
        <w:t>Am J Prev Med</w:t>
      </w:r>
      <w:r w:rsidRPr="00FA0875">
        <w:rPr>
          <w:rFonts w:ascii="Arial" w:hAnsi="Arial" w:cs="Arial"/>
          <w:color w:val="000000"/>
          <w:sz w:val="22"/>
        </w:rPr>
        <w:t>. 2021;60(3):343-351. doi:10.1016/j.amepre.2020.09.015</w:t>
      </w:r>
    </w:p>
    <w:p w14:paraId="3ED92BE9" w14:textId="77777777"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21.</w:t>
      </w:r>
      <w:r w:rsidRPr="00FA0875">
        <w:rPr>
          <w:rFonts w:ascii="Arial" w:hAnsi="Arial" w:cs="Arial"/>
          <w:color w:val="000000"/>
          <w:sz w:val="22"/>
        </w:rPr>
        <w:tab/>
        <w:t>CDC Advises Against Misapplication of the Guideline for Prescribing Opioids for Chronic Pain. Published online 2019. Accessed May 29, 2022. https://www.cdc.gov/media/releases/2019/s0424-advises-misapplication-guideline-prescribing-opioids.html</w:t>
      </w:r>
    </w:p>
    <w:p w14:paraId="2C76588C" w14:textId="77777777"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22.</w:t>
      </w:r>
      <w:r w:rsidRPr="00FA0875">
        <w:rPr>
          <w:rFonts w:ascii="Arial" w:hAnsi="Arial" w:cs="Arial"/>
          <w:color w:val="000000"/>
          <w:sz w:val="22"/>
        </w:rPr>
        <w:tab/>
        <w:t xml:space="preserve">Townsend TN, Bohnert ASB, Lagisetty P, Haffajee RL. Did prescribing laws disproportionately affect opioid dispensing to Black patients? </w:t>
      </w:r>
      <w:r w:rsidRPr="00FA0875">
        <w:rPr>
          <w:rFonts w:ascii="Arial" w:hAnsi="Arial" w:cs="Arial"/>
          <w:i/>
          <w:iCs/>
          <w:color w:val="000000"/>
          <w:sz w:val="22"/>
        </w:rPr>
        <w:t>Health Serv Res</w:t>
      </w:r>
      <w:r w:rsidRPr="00FA0875">
        <w:rPr>
          <w:rFonts w:ascii="Arial" w:hAnsi="Arial" w:cs="Arial"/>
          <w:color w:val="000000"/>
          <w:sz w:val="22"/>
        </w:rPr>
        <w:t>. 2022;57(3):482-496. doi:10.1111/1475-6773.13968</w:t>
      </w:r>
    </w:p>
    <w:p w14:paraId="532FB099" w14:textId="77777777"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23.</w:t>
      </w:r>
      <w:r w:rsidRPr="00FA0875">
        <w:rPr>
          <w:rFonts w:ascii="Arial" w:hAnsi="Arial" w:cs="Arial"/>
          <w:color w:val="000000"/>
          <w:sz w:val="22"/>
        </w:rPr>
        <w:tab/>
        <w:t xml:space="preserve">Ly DP. Association of Patient Race and Ethnicity With Differences in Opioid Prescribing by Primary Care Physicians for Older Adults With New Low Back Pain. </w:t>
      </w:r>
      <w:r w:rsidRPr="00FA0875">
        <w:rPr>
          <w:rFonts w:ascii="Arial" w:hAnsi="Arial" w:cs="Arial"/>
          <w:i/>
          <w:iCs/>
          <w:color w:val="000000"/>
          <w:sz w:val="22"/>
        </w:rPr>
        <w:t>JAMA Health Forum</w:t>
      </w:r>
      <w:r w:rsidRPr="00FA0875">
        <w:rPr>
          <w:rFonts w:ascii="Arial" w:hAnsi="Arial" w:cs="Arial"/>
          <w:color w:val="000000"/>
          <w:sz w:val="22"/>
        </w:rPr>
        <w:t>. 2021;2(9):e212333. doi:10.1001/jamahealthforum.2021.2333</w:t>
      </w:r>
    </w:p>
    <w:p w14:paraId="6796D132" w14:textId="77777777"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24.</w:t>
      </w:r>
      <w:r w:rsidRPr="00FA0875">
        <w:rPr>
          <w:rFonts w:ascii="Arial" w:hAnsi="Arial" w:cs="Arial"/>
          <w:color w:val="000000"/>
          <w:sz w:val="22"/>
        </w:rPr>
        <w:tab/>
        <w:t xml:space="preserve">Zhang S, Silverman A, Suen SC, Andrews C, Chen BK. Differential patterns of opioid misuse between younger and older adults - a retrospective observational study using data from South Carolina’s prescription drug monitoring program. </w:t>
      </w:r>
      <w:r w:rsidRPr="00FA0875">
        <w:rPr>
          <w:rFonts w:ascii="Arial" w:hAnsi="Arial" w:cs="Arial"/>
          <w:i/>
          <w:iCs/>
          <w:color w:val="000000"/>
          <w:sz w:val="22"/>
        </w:rPr>
        <w:t>Am J Drug Alcohol Abuse</w:t>
      </w:r>
      <w:r w:rsidRPr="00FA0875">
        <w:rPr>
          <w:rFonts w:ascii="Arial" w:hAnsi="Arial" w:cs="Arial"/>
          <w:color w:val="000000"/>
          <w:sz w:val="22"/>
        </w:rPr>
        <w:t>. 2022;48(5):618-628. doi:10.1080/00952990.2022.2124380</w:t>
      </w:r>
    </w:p>
    <w:p w14:paraId="1FE44F6C" w14:textId="77777777"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25.</w:t>
      </w:r>
      <w:r w:rsidRPr="00FA0875">
        <w:rPr>
          <w:rFonts w:ascii="Arial" w:hAnsi="Arial" w:cs="Arial"/>
          <w:color w:val="000000"/>
          <w:sz w:val="22"/>
        </w:rPr>
        <w:tab/>
        <w:t xml:space="preserve">Ringwalt C, Roberts AW, Gugelmann H, Skinner AC. Racial Disparities Across Provider Specialties in Opioid Prescriptions Dispensed to Medicaid Beneficiaries with Chronic Noncancer Pain. </w:t>
      </w:r>
      <w:r w:rsidRPr="00FA0875">
        <w:rPr>
          <w:rFonts w:ascii="Arial" w:hAnsi="Arial" w:cs="Arial"/>
          <w:i/>
          <w:iCs/>
          <w:color w:val="000000"/>
          <w:sz w:val="22"/>
        </w:rPr>
        <w:t>Pain Med</w:t>
      </w:r>
      <w:r w:rsidRPr="00FA0875">
        <w:rPr>
          <w:rFonts w:ascii="Arial" w:hAnsi="Arial" w:cs="Arial"/>
          <w:color w:val="000000"/>
          <w:sz w:val="22"/>
        </w:rPr>
        <w:t>. 2015;16(4):633-640. doi:10.1111/pme.12555</w:t>
      </w:r>
    </w:p>
    <w:p w14:paraId="14C79710" w14:textId="77777777"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26.</w:t>
      </w:r>
      <w:r w:rsidRPr="00FA0875">
        <w:rPr>
          <w:rFonts w:ascii="Arial" w:hAnsi="Arial" w:cs="Arial"/>
          <w:color w:val="000000"/>
          <w:sz w:val="22"/>
        </w:rPr>
        <w:tab/>
        <w:t xml:space="preserve">Morden NE, Chyn D, Wood A, Meara E. Racial Inequality in Prescription Opioid Receipt — Role of Individual Health Systems. </w:t>
      </w:r>
      <w:r w:rsidRPr="00FA0875">
        <w:rPr>
          <w:rFonts w:ascii="Arial" w:hAnsi="Arial" w:cs="Arial"/>
          <w:i/>
          <w:iCs/>
          <w:color w:val="000000"/>
          <w:sz w:val="22"/>
        </w:rPr>
        <w:t>N Engl J Med</w:t>
      </w:r>
      <w:r w:rsidRPr="00FA0875">
        <w:rPr>
          <w:rFonts w:ascii="Arial" w:hAnsi="Arial" w:cs="Arial"/>
          <w:color w:val="000000"/>
          <w:sz w:val="22"/>
        </w:rPr>
        <w:t>. 2021;385(4):342-351. doi:10.1056/NEJMsa2034159</w:t>
      </w:r>
    </w:p>
    <w:p w14:paraId="47FAF676" w14:textId="77777777"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27.</w:t>
      </w:r>
      <w:r w:rsidRPr="00FA0875">
        <w:rPr>
          <w:rFonts w:ascii="Arial" w:hAnsi="Arial" w:cs="Arial"/>
          <w:color w:val="000000"/>
          <w:sz w:val="22"/>
        </w:rPr>
        <w:tab/>
        <w:t>University of North Carolina at Chapel Hill. DAREL. Published online July 22, 2020. Accessed August 15, 2023. https://github.com/NCTraCSIDSci/darel</w:t>
      </w:r>
    </w:p>
    <w:p w14:paraId="01CDE8CF" w14:textId="77777777"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28.</w:t>
      </w:r>
      <w:r w:rsidRPr="00FA0875">
        <w:rPr>
          <w:rFonts w:ascii="Arial" w:hAnsi="Arial" w:cs="Arial"/>
          <w:color w:val="000000"/>
          <w:sz w:val="22"/>
        </w:rPr>
        <w:tab/>
        <w:t xml:space="preserve">Dasgupta N, Wang Y, Bae J, et al. Inches, Centimeters, and Yards: Overlooked Definition Choices Inhibit Interpretation of Morphine Equivalence. </w:t>
      </w:r>
      <w:r w:rsidRPr="00FA0875">
        <w:rPr>
          <w:rFonts w:ascii="Arial" w:hAnsi="Arial" w:cs="Arial"/>
          <w:i/>
          <w:iCs/>
          <w:color w:val="000000"/>
          <w:sz w:val="22"/>
        </w:rPr>
        <w:t>Clin J Pain</w:t>
      </w:r>
      <w:r w:rsidRPr="00FA0875">
        <w:rPr>
          <w:rFonts w:ascii="Arial" w:hAnsi="Arial" w:cs="Arial"/>
          <w:color w:val="000000"/>
          <w:sz w:val="22"/>
        </w:rPr>
        <w:t>. 2021;37(8). https://journals.lww.com/clinicalpain/Fulltext/2021/08000/Inches,_Centimeters,_and_Yards__Overlooked.1.aspx</w:t>
      </w:r>
    </w:p>
    <w:p w14:paraId="5368FBCE" w14:textId="77777777"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29.</w:t>
      </w:r>
      <w:r w:rsidRPr="00FA0875">
        <w:rPr>
          <w:rFonts w:ascii="Arial" w:hAnsi="Arial" w:cs="Arial"/>
          <w:color w:val="000000"/>
          <w:sz w:val="22"/>
        </w:rPr>
        <w:tab/>
        <w:t>Annual Reports. Accessed April 11, 2022. https://www.ncmedboard.org/about-the-board/annual-reports</w:t>
      </w:r>
    </w:p>
    <w:p w14:paraId="7D90E6ED" w14:textId="77777777"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30.</w:t>
      </w:r>
      <w:r w:rsidRPr="00FA0875">
        <w:rPr>
          <w:rFonts w:ascii="Arial" w:hAnsi="Arial" w:cs="Arial"/>
          <w:color w:val="000000"/>
          <w:sz w:val="22"/>
        </w:rPr>
        <w:tab/>
        <w:t xml:space="preserve">Bernal JL, Cummins S, Gasparrini A. Interrupted time series regression for the evaluation of public health interventions: a tutorial. </w:t>
      </w:r>
      <w:r w:rsidRPr="00FA0875">
        <w:rPr>
          <w:rFonts w:ascii="Arial" w:hAnsi="Arial" w:cs="Arial"/>
          <w:i/>
          <w:iCs/>
          <w:color w:val="000000"/>
          <w:sz w:val="22"/>
        </w:rPr>
        <w:t>Int J Epidemiol</w:t>
      </w:r>
      <w:r w:rsidRPr="00FA0875">
        <w:rPr>
          <w:rFonts w:ascii="Arial" w:hAnsi="Arial" w:cs="Arial"/>
          <w:color w:val="000000"/>
          <w:sz w:val="22"/>
        </w:rPr>
        <w:t>. 2017;46(1):348-355. doi:10.1093/ije/dyw098</w:t>
      </w:r>
    </w:p>
    <w:p w14:paraId="3AF801D1" w14:textId="77777777"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31.</w:t>
      </w:r>
      <w:r w:rsidRPr="00FA0875">
        <w:rPr>
          <w:rFonts w:ascii="Arial" w:hAnsi="Arial" w:cs="Arial"/>
          <w:color w:val="000000"/>
          <w:sz w:val="22"/>
        </w:rPr>
        <w:tab/>
        <w:t xml:space="preserve">Young JC, Dasgupta N, Chidgey BA, et al. Impacts of Initial Prescription Length and Prescribing Limits on Risk of Prolonged Postsurgical Opioid Use. </w:t>
      </w:r>
      <w:r w:rsidRPr="00FA0875">
        <w:rPr>
          <w:rFonts w:ascii="Arial" w:hAnsi="Arial" w:cs="Arial"/>
          <w:i/>
          <w:iCs/>
          <w:color w:val="000000"/>
          <w:sz w:val="22"/>
        </w:rPr>
        <w:t>Med Care</w:t>
      </w:r>
      <w:r w:rsidRPr="00FA0875">
        <w:rPr>
          <w:rFonts w:ascii="Arial" w:hAnsi="Arial" w:cs="Arial"/>
          <w:color w:val="000000"/>
          <w:sz w:val="22"/>
        </w:rPr>
        <w:t>. 2022;60(1). https://journals.lww.com/lww-medicalcare/Fulltext/2022/01000/Impacts_of_Initial_Prescription_Length_and.11.aspx</w:t>
      </w:r>
    </w:p>
    <w:p w14:paraId="4FE78EA0" w14:textId="2CDF7054" w:rsidR="00CA28AD" w:rsidRDefault="00FA0875" w:rsidP="00FA0875">
      <w:pPr>
        <w:pStyle w:val="Bibliography"/>
        <w:rPr>
          <w:rFonts w:ascii="Arial" w:hAnsi="Arial" w:cs="Arial"/>
          <w:color w:val="000000"/>
          <w:sz w:val="22"/>
        </w:rPr>
      </w:pPr>
      <w:r w:rsidRPr="00FA0875">
        <w:rPr>
          <w:rFonts w:ascii="Arial" w:hAnsi="Arial" w:cs="Arial"/>
          <w:color w:val="000000"/>
          <w:sz w:val="22"/>
        </w:rPr>
        <w:t>32.</w:t>
      </w:r>
      <w:r w:rsidRPr="00FA0875">
        <w:rPr>
          <w:rFonts w:ascii="Arial" w:hAnsi="Arial" w:cs="Arial"/>
          <w:color w:val="000000"/>
          <w:sz w:val="22"/>
        </w:rPr>
        <w:tab/>
      </w:r>
      <w:r w:rsidR="00CD0083" w:rsidRPr="00CD0083">
        <w:rPr>
          <w:rFonts w:ascii="Arial" w:hAnsi="Arial" w:cs="Arial"/>
          <w:color w:val="000000"/>
          <w:sz w:val="22"/>
        </w:rPr>
        <w:t>7.</w:t>
      </w:r>
      <w:r w:rsidR="00CD0083" w:rsidRPr="00CD0083">
        <w:rPr>
          <w:rFonts w:ascii="Arial" w:hAnsi="Arial" w:cs="Arial"/>
          <w:color w:val="000000"/>
          <w:sz w:val="22"/>
        </w:rPr>
        <w:tab/>
        <w:t xml:space="preserve">Joniak-Grant E, Blackburn NA, Dasgupta N, Nocera M, Dorris SW, Chelminski PR, Carey TS, Ranapurwala SI. “Cookbook Medicine”: Exploring the Impact of Opioid Prescribing Limits Legislation on </w:t>
      </w:r>
      <w:r w:rsidR="00CD0083" w:rsidRPr="00CD0083">
        <w:rPr>
          <w:rFonts w:ascii="Arial" w:hAnsi="Arial" w:cs="Arial"/>
          <w:color w:val="000000"/>
          <w:sz w:val="22"/>
        </w:rPr>
        <w:lastRenderedPageBreak/>
        <w:t>Clinical Practice and Patient Experiences. Soc Sci Med – Qual Res in Health. June 24, 2023.  https://doi.org/10.1016/j.ssmqr.2023.100273.</w:t>
      </w:r>
    </w:p>
    <w:p w14:paraId="576A822C" w14:textId="36096D11" w:rsidR="00FA0875" w:rsidRPr="00FA0875" w:rsidRDefault="00682F93" w:rsidP="00FA0875">
      <w:pPr>
        <w:pStyle w:val="Bibliography"/>
        <w:rPr>
          <w:rFonts w:ascii="Arial" w:hAnsi="Arial" w:cs="Arial"/>
          <w:color w:val="000000"/>
          <w:sz w:val="22"/>
        </w:rPr>
      </w:pPr>
      <w:r>
        <w:rPr>
          <w:rFonts w:ascii="Arial" w:hAnsi="Arial" w:cs="Arial"/>
          <w:color w:val="000000"/>
          <w:sz w:val="22"/>
        </w:rPr>
        <w:t xml:space="preserve">33. </w:t>
      </w:r>
      <w:r w:rsidR="00FA0875" w:rsidRPr="00FA0875">
        <w:rPr>
          <w:rFonts w:ascii="Arial" w:hAnsi="Arial" w:cs="Arial"/>
          <w:color w:val="000000"/>
          <w:sz w:val="22"/>
        </w:rPr>
        <w:t xml:space="preserve">Maierhofer CN, Ranapurwala SI, DiPrete BL, et al. Association Between Statewide Opioid Prescribing Interventions and Opioid Prescribing Patterns in North Carolina, 2006–2018. </w:t>
      </w:r>
      <w:r w:rsidR="00FA0875" w:rsidRPr="00FA0875">
        <w:rPr>
          <w:rFonts w:ascii="Arial" w:hAnsi="Arial" w:cs="Arial"/>
          <w:i/>
          <w:iCs/>
          <w:color w:val="000000"/>
          <w:sz w:val="22"/>
        </w:rPr>
        <w:t>Pain Med</w:t>
      </w:r>
      <w:r w:rsidR="00FA0875" w:rsidRPr="00FA0875">
        <w:rPr>
          <w:rFonts w:ascii="Arial" w:hAnsi="Arial" w:cs="Arial"/>
          <w:color w:val="000000"/>
          <w:sz w:val="22"/>
        </w:rPr>
        <w:t>. 2021;22(12):2931-2940. doi:10.1093/pm/pnab181</w:t>
      </w:r>
    </w:p>
    <w:p w14:paraId="2C10A442" w14:textId="6AE33993"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3</w:t>
      </w:r>
      <w:r w:rsidR="00682F93">
        <w:rPr>
          <w:rFonts w:ascii="Arial" w:hAnsi="Arial" w:cs="Arial"/>
          <w:color w:val="000000"/>
          <w:sz w:val="22"/>
        </w:rPr>
        <w:t>4</w:t>
      </w:r>
      <w:r w:rsidRPr="00FA0875">
        <w:rPr>
          <w:rFonts w:ascii="Arial" w:hAnsi="Arial" w:cs="Arial"/>
          <w:color w:val="000000"/>
          <w:sz w:val="22"/>
        </w:rPr>
        <w:t>.</w:t>
      </w:r>
      <w:r w:rsidRPr="00FA0875">
        <w:rPr>
          <w:rFonts w:ascii="Arial" w:hAnsi="Arial" w:cs="Arial"/>
          <w:color w:val="000000"/>
          <w:sz w:val="22"/>
        </w:rPr>
        <w:tab/>
        <w:t xml:space="preserve">Maierhofer CN, Ranapurwala SI, DiPrete BL, et al. Intended and unintended consequences: Changes in opioid prescribing practices for postsurgical, acute, and chronic pain indications following two policies in North Carolina, 2012–2018 – Controlled and single-series interrupted time series analyses. </w:t>
      </w:r>
      <w:r w:rsidRPr="00FA0875">
        <w:rPr>
          <w:rFonts w:ascii="Arial" w:hAnsi="Arial" w:cs="Arial"/>
          <w:i/>
          <w:iCs/>
          <w:color w:val="000000"/>
          <w:sz w:val="22"/>
        </w:rPr>
        <w:t>Drug Alcohol Depend 242109727</w:t>
      </w:r>
      <w:r w:rsidRPr="00FA0875">
        <w:rPr>
          <w:rFonts w:ascii="Arial" w:hAnsi="Arial" w:cs="Arial"/>
          <w:color w:val="000000"/>
          <w:sz w:val="22"/>
        </w:rPr>
        <w:t>. 2023;242. https://stacks.cdc.gov/view/cdc/123200</w:t>
      </w:r>
    </w:p>
    <w:p w14:paraId="157A3C64" w14:textId="5EDD129F"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3</w:t>
      </w:r>
      <w:r w:rsidR="00682F93">
        <w:rPr>
          <w:rFonts w:ascii="Arial" w:hAnsi="Arial" w:cs="Arial"/>
          <w:color w:val="000000"/>
          <w:sz w:val="22"/>
        </w:rPr>
        <w:t>5</w:t>
      </w:r>
      <w:r w:rsidRPr="00FA0875">
        <w:rPr>
          <w:rFonts w:ascii="Arial" w:hAnsi="Arial" w:cs="Arial"/>
          <w:color w:val="000000"/>
          <w:sz w:val="22"/>
        </w:rPr>
        <w:t>.</w:t>
      </w:r>
      <w:r w:rsidRPr="00FA0875">
        <w:rPr>
          <w:rFonts w:ascii="Arial" w:hAnsi="Arial" w:cs="Arial"/>
          <w:color w:val="000000"/>
          <w:sz w:val="22"/>
        </w:rPr>
        <w:tab/>
        <w:t xml:space="preserve">CDCMMWR. QuickStats: Percentage of Emergency Department Visits with Medicaid as the Primary Expected Source of Payment Among Persons Aged &lt;65 Years, by Race and Ethnicity — National Hospital Ambulatory Medical Care Survey, United States, 2011–2021. </w:t>
      </w:r>
      <w:r w:rsidRPr="00FA0875">
        <w:rPr>
          <w:rFonts w:ascii="Arial" w:hAnsi="Arial" w:cs="Arial"/>
          <w:i/>
          <w:iCs/>
          <w:color w:val="000000"/>
          <w:sz w:val="22"/>
        </w:rPr>
        <w:t>MMWR Morb Mortal Wkly Rep</w:t>
      </w:r>
      <w:r w:rsidRPr="00FA0875">
        <w:rPr>
          <w:rFonts w:ascii="Arial" w:hAnsi="Arial" w:cs="Arial"/>
          <w:color w:val="000000"/>
          <w:sz w:val="22"/>
        </w:rPr>
        <w:t>. 2023;72. doi:10.15585/mmwr.mm7231a6</w:t>
      </w:r>
    </w:p>
    <w:p w14:paraId="0D6B7597" w14:textId="0CCA950A"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3</w:t>
      </w:r>
      <w:r w:rsidR="00682F93">
        <w:rPr>
          <w:rFonts w:ascii="Arial" w:hAnsi="Arial" w:cs="Arial"/>
          <w:color w:val="000000"/>
          <w:sz w:val="22"/>
        </w:rPr>
        <w:t>6</w:t>
      </w:r>
      <w:r w:rsidRPr="00FA0875">
        <w:rPr>
          <w:rFonts w:ascii="Arial" w:hAnsi="Arial" w:cs="Arial"/>
          <w:color w:val="000000"/>
          <w:sz w:val="22"/>
        </w:rPr>
        <w:t>.</w:t>
      </w:r>
      <w:r w:rsidRPr="00FA0875">
        <w:rPr>
          <w:rFonts w:ascii="Arial" w:hAnsi="Arial" w:cs="Arial"/>
          <w:color w:val="000000"/>
          <w:sz w:val="22"/>
        </w:rPr>
        <w:tab/>
        <w:t xml:space="preserve">Shiue KY. </w:t>
      </w:r>
      <w:r w:rsidRPr="00FA0875">
        <w:rPr>
          <w:rFonts w:ascii="Arial" w:hAnsi="Arial" w:cs="Arial"/>
          <w:i/>
          <w:iCs/>
          <w:color w:val="000000"/>
          <w:sz w:val="22"/>
        </w:rPr>
        <w:t>Prescription Opioid Use: An Assessment of Social Factors and Birth Cohort Trends</w:t>
      </w:r>
      <w:r w:rsidRPr="00FA0875">
        <w:rPr>
          <w:rFonts w:ascii="Arial" w:hAnsi="Arial" w:cs="Arial"/>
          <w:color w:val="000000"/>
          <w:sz w:val="22"/>
        </w:rPr>
        <w:t>. Ph.D. The University of North Carolina at Chapel Hill; 2023. Accessed August 15, 2023. https://www.proquest.com/docview/2816727307/abstract/35CDD5FC212A44E2PQ/1</w:t>
      </w:r>
    </w:p>
    <w:p w14:paraId="6E8ACA3D" w14:textId="4FA235F1"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3</w:t>
      </w:r>
      <w:r w:rsidR="00682F93">
        <w:rPr>
          <w:rFonts w:ascii="Arial" w:hAnsi="Arial" w:cs="Arial"/>
          <w:color w:val="000000"/>
          <w:sz w:val="22"/>
        </w:rPr>
        <w:t>7</w:t>
      </w:r>
      <w:r w:rsidRPr="00FA0875">
        <w:rPr>
          <w:rFonts w:ascii="Arial" w:hAnsi="Arial" w:cs="Arial"/>
          <w:color w:val="000000"/>
          <w:sz w:val="22"/>
        </w:rPr>
        <w:t>.</w:t>
      </w:r>
      <w:r w:rsidRPr="00FA0875">
        <w:rPr>
          <w:rFonts w:ascii="Arial" w:hAnsi="Arial" w:cs="Arial"/>
          <w:color w:val="000000"/>
          <w:sz w:val="22"/>
        </w:rPr>
        <w:tab/>
        <w:t xml:space="preserve">Ballard K, Lowton K, Wright J. What’s the delay? A qualitative study of women’s experiences of reaching a diagnosis of endometriosis. </w:t>
      </w:r>
      <w:r w:rsidRPr="00FA0875">
        <w:rPr>
          <w:rFonts w:ascii="Arial" w:hAnsi="Arial" w:cs="Arial"/>
          <w:i/>
          <w:iCs/>
          <w:color w:val="000000"/>
          <w:sz w:val="22"/>
        </w:rPr>
        <w:t>Fertil Steril</w:t>
      </w:r>
      <w:r w:rsidRPr="00FA0875">
        <w:rPr>
          <w:rFonts w:ascii="Arial" w:hAnsi="Arial" w:cs="Arial"/>
          <w:color w:val="000000"/>
          <w:sz w:val="22"/>
        </w:rPr>
        <w:t>. 2006;86(5):1296-1301. doi:10.1016/j.fertnstert.2006.04.054</w:t>
      </w:r>
    </w:p>
    <w:p w14:paraId="5D7D82B1" w14:textId="114E9A0C"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3</w:t>
      </w:r>
      <w:r w:rsidR="00682F93">
        <w:rPr>
          <w:rFonts w:ascii="Arial" w:hAnsi="Arial" w:cs="Arial"/>
          <w:color w:val="000000"/>
          <w:sz w:val="22"/>
        </w:rPr>
        <w:t>8</w:t>
      </w:r>
      <w:r w:rsidRPr="00FA0875">
        <w:rPr>
          <w:rFonts w:ascii="Arial" w:hAnsi="Arial" w:cs="Arial"/>
          <w:color w:val="000000"/>
          <w:sz w:val="22"/>
        </w:rPr>
        <w:t>.</w:t>
      </w:r>
      <w:r w:rsidRPr="00FA0875">
        <w:rPr>
          <w:rFonts w:ascii="Arial" w:hAnsi="Arial" w:cs="Arial"/>
          <w:color w:val="000000"/>
          <w:sz w:val="22"/>
        </w:rPr>
        <w:tab/>
        <w:t xml:space="preserve">Coleman C, Lennon RP, Robinson JM, Tuan WJ, Sehgal N, Zgierska AE. Provider and patient sex disparities in opioid prescribing and patient outcomes. </w:t>
      </w:r>
      <w:r w:rsidRPr="00FA0875">
        <w:rPr>
          <w:rFonts w:ascii="Arial" w:hAnsi="Arial" w:cs="Arial"/>
          <w:i/>
          <w:iCs/>
          <w:color w:val="000000"/>
          <w:sz w:val="22"/>
        </w:rPr>
        <w:t>J Opioid Manag</w:t>
      </w:r>
      <w:r w:rsidRPr="00FA0875">
        <w:rPr>
          <w:rFonts w:ascii="Arial" w:hAnsi="Arial" w:cs="Arial"/>
          <w:color w:val="000000"/>
          <w:sz w:val="22"/>
        </w:rPr>
        <w:t>. 2022;18(5):435-445. doi:10.5055/jom.2022.0737</w:t>
      </w:r>
    </w:p>
    <w:p w14:paraId="330B95F2" w14:textId="1E5FE620"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3</w:t>
      </w:r>
      <w:r w:rsidR="00682F93">
        <w:rPr>
          <w:rFonts w:ascii="Arial" w:hAnsi="Arial" w:cs="Arial"/>
          <w:color w:val="000000"/>
          <w:sz w:val="22"/>
        </w:rPr>
        <w:t>9</w:t>
      </w:r>
      <w:r w:rsidRPr="00FA0875">
        <w:rPr>
          <w:rFonts w:ascii="Arial" w:hAnsi="Arial" w:cs="Arial"/>
          <w:color w:val="000000"/>
          <w:sz w:val="22"/>
        </w:rPr>
        <w:t>.</w:t>
      </w:r>
      <w:r w:rsidRPr="00FA0875">
        <w:rPr>
          <w:rFonts w:ascii="Arial" w:hAnsi="Arial" w:cs="Arial"/>
          <w:color w:val="000000"/>
          <w:sz w:val="22"/>
        </w:rPr>
        <w:tab/>
        <w:t xml:space="preserve">Escorial M, Muriel J, Margarit C, Agulló L, Morales D, Peiró Peiró AM. Sex-Differences in Pain and Opioid Use Disorder Management: A Cross-Sectional Real-World Study. </w:t>
      </w:r>
      <w:r w:rsidRPr="00FA0875">
        <w:rPr>
          <w:rFonts w:ascii="Arial" w:hAnsi="Arial" w:cs="Arial"/>
          <w:i/>
          <w:iCs/>
          <w:color w:val="000000"/>
          <w:sz w:val="22"/>
        </w:rPr>
        <w:t>Biomedicines</w:t>
      </w:r>
      <w:r w:rsidRPr="00FA0875">
        <w:rPr>
          <w:rFonts w:ascii="Arial" w:hAnsi="Arial" w:cs="Arial"/>
          <w:color w:val="000000"/>
          <w:sz w:val="22"/>
        </w:rPr>
        <w:t>. 2022;10(9):2302. doi:10.3390/biomedicines10092302</w:t>
      </w:r>
    </w:p>
    <w:p w14:paraId="5E842FFE" w14:textId="5389F687" w:rsidR="00FA0875" w:rsidRPr="00FA0875" w:rsidRDefault="00682F93" w:rsidP="00FA0875">
      <w:pPr>
        <w:pStyle w:val="Bibliography"/>
        <w:rPr>
          <w:rFonts w:ascii="Arial" w:hAnsi="Arial" w:cs="Arial"/>
          <w:color w:val="000000"/>
          <w:sz w:val="22"/>
        </w:rPr>
      </w:pPr>
      <w:r>
        <w:rPr>
          <w:rFonts w:ascii="Arial" w:hAnsi="Arial" w:cs="Arial"/>
          <w:color w:val="000000"/>
          <w:sz w:val="22"/>
        </w:rPr>
        <w:t>40</w:t>
      </w:r>
      <w:r w:rsidR="00FA0875" w:rsidRPr="00FA0875">
        <w:rPr>
          <w:rFonts w:ascii="Arial" w:hAnsi="Arial" w:cs="Arial"/>
          <w:color w:val="000000"/>
          <w:sz w:val="22"/>
        </w:rPr>
        <w:t>.</w:t>
      </w:r>
      <w:r w:rsidR="00FA0875" w:rsidRPr="00FA0875">
        <w:rPr>
          <w:rFonts w:ascii="Arial" w:hAnsi="Arial" w:cs="Arial"/>
          <w:color w:val="000000"/>
          <w:sz w:val="22"/>
        </w:rPr>
        <w:tab/>
        <w:t xml:space="preserve">Hincapie-Castillo JM, Goodin A, Possinger MC, Usmani SA, Vouri SM. Changes in Opioid Use After Florida’s Restriction Law for Acute Pain Prescriptions. </w:t>
      </w:r>
      <w:r w:rsidR="00FA0875" w:rsidRPr="00FA0875">
        <w:rPr>
          <w:rFonts w:ascii="Arial" w:hAnsi="Arial" w:cs="Arial"/>
          <w:i/>
          <w:iCs/>
          <w:color w:val="000000"/>
          <w:sz w:val="22"/>
        </w:rPr>
        <w:t>JAMA Netw Open</w:t>
      </w:r>
      <w:r w:rsidR="00FA0875" w:rsidRPr="00FA0875">
        <w:rPr>
          <w:rFonts w:ascii="Arial" w:hAnsi="Arial" w:cs="Arial"/>
          <w:color w:val="000000"/>
          <w:sz w:val="22"/>
        </w:rPr>
        <w:t>. 2020;3(2):e200234-e200234. doi:10.1001/jamanetworkopen.2020.0234</w:t>
      </w:r>
    </w:p>
    <w:p w14:paraId="1031FD44" w14:textId="5BF86FD0" w:rsidR="00FA0875" w:rsidRPr="00FA0875" w:rsidRDefault="00FA0875" w:rsidP="00FA0875">
      <w:pPr>
        <w:pStyle w:val="Bibliography"/>
        <w:rPr>
          <w:rFonts w:ascii="Arial" w:hAnsi="Arial" w:cs="Arial"/>
          <w:color w:val="000000"/>
          <w:sz w:val="22"/>
        </w:rPr>
      </w:pPr>
      <w:r w:rsidRPr="00FA0875">
        <w:rPr>
          <w:rFonts w:ascii="Arial" w:hAnsi="Arial" w:cs="Arial"/>
          <w:color w:val="000000"/>
          <w:sz w:val="22"/>
        </w:rPr>
        <w:t>4</w:t>
      </w:r>
      <w:r w:rsidR="00682F93">
        <w:rPr>
          <w:rFonts w:ascii="Arial" w:hAnsi="Arial" w:cs="Arial"/>
          <w:color w:val="000000"/>
          <w:sz w:val="22"/>
        </w:rPr>
        <w:t>1</w:t>
      </w:r>
      <w:r w:rsidRPr="00FA0875">
        <w:rPr>
          <w:rFonts w:ascii="Arial" w:hAnsi="Arial" w:cs="Arial"/>
          <w:color w:val="000000"/>
          <w:sz w:val="22"/>
        </w:rPr>
        <w:t>.</w:t>
      </w:r>
      <w:r w:rsidRPr="00FA0875">
        <w:rPr>
          <w:rFonts w:ascii="Arial" w:hAnsi="Arial" w:cs="Arial"/>
          <w:color w:val="000000"/>
          <w:sz w:val="22"/>
        </w:rPr>
        <w:tab/>
        <w:t xml:space="preserve">Sun EC, Rishel CA, Waljee JF, Brummett CM, Jena AB. Association Between State Limits on Opioid Prescribing and the Incidence of Persistent Postoperative Opioid Use Among Surgical Patients. </w:t>
      </w:r>
      <w:r w:rsidRPr="00FA0875">
        <w:rPr>
          <w:rFonts w:ascii="Arial" w:hAnsi="Arial" w:cs="Arial"/>
          <w:i/>
          <w:iCs/>
          <w:color w:val="000000"/>
          <w:sz w:val="22"/>
        </w:rPr>
        <w:t>Ann Surg</w:t>
      </w:r>
      <w:r w:rsidRPr="00FA0875">
        <w:rPr>
          <w:rFonts w:ascii="Arial" w:hAnsi="Arial" w:cs="Arial"/>
          <w:color w:val="000000"/>
          <w:sz w:val="22"/>
        </w:rPr>
        <w:t>. 2023;277(4):e759-e765. doi:10.1097/sla.0000000000005283</w:t>
      </w:r>
    </w:p>
    <w:p w14:paraId="3CE4F5FA" w14:textId="7B08FFEE" w:rsidR="003E5AE2" w:rsidRDefault="00D11F27" w:rsidP="00A623C6">
      <w:pPr>
        <w:rPr>
          <w:rFonts w:ascii="Arial" w:hAnsi="Arial" w:cs="Arial"/>
          <w:b/>
          <w:bCs/>
          <w:color w:val="000000" w:themeColor="text1"/>
          <w:sz w:val="22"/>
          <w:szCs w:val="22"/>
        </w:rPr>
      </w:pPr>
      <w:r w:rsidRPr="006112E3">
        <w:rPr>
          <w:rFonts w:ascii="Arial" w:hAnsi="Arial" w:cs="Arial"/>
          <w:b/>
          <w:bCs/>
          <w:color w:val="000000" w:themeColor="text1"/>
          <w:sz w:val="22"/>
          <w:szCs w:val="22"/>
        </w:rPr>
        <w:fldChar w:fldCharType="end"/>
      </w:r>
    </w:p>
    <w:p w14:paraId="234F4C8B" w14:textId="77777777" w:rsidR="003E5AE2" w:rsidRDefault="003E5AE2">
      <w:pPr>
        <w:rPr>
          <w:rFonts w:ascii="Arial" w:hAnsi="Arial" w:cs="Arial"/>
          <w:b/>
          <w:bCs/>
          <w:color w:val="000000" w:themeColor="text1"/>
          <w:sz w:val="22"/>
          <w:szCs w:val="22"/>
        </w:rPr>
      </w:pPr>
      <w:r>
        <w:rPr>
          <w:rFonts w:ascii="Arial" w:hAnsi="Arial" w:cs="Arial"/>
          <w:b/>
          <w:bCs/>
          <w:color w:val="000000" w:themeColor="text1"/>
          <w:sz w:val="22"/>
          <w:szCs w:val="22"/>
        </w:rPr>
        <w:br w:type="page"/>
      </w:r>
    </w:p>
    <w:tbl>
      <w:tblPr>
        <w:tblpPr w:leftFromText="180" w:rightFromText="180" w:horzAnchor="margin" w:tblpY="690"/>
        <w:tblW w:w="4919" w:type="pct"/>
        <w:tblCellMar>
          <w:left w:w="0" w:type="dxa"/>
          <w:right w:w="0" w:type="dxa"/>
        </w:tblCellMar>
        <w:tblLook w:val="04A0" w:firstRow="1" w:lastRow="0" w:firstColumn="1" w:lastColumn="0" w:noHBand="0" w:noVBand="1"/>
      </w:tblPr>
      <w:tblGrid>
        <w:gridCol w:w="4409"/>
        <w:gridCol w:w="1081"/>
        <w:gridCol w:w="991"/>
        <w:gridCol w:w="991"/>
        <w:gridCol w:w="991"/>
        <w:gridCol w:w="1081"/>
        <w:gridCol w:w="1081"/>
      </w:tblGrid>
      <w:tr w:rsidR="003E5AE2" w:rsidRPr="00E8251D" w14:paraId="005DC7CC" w14:textId="77777777" w:rsidTr="0011417E">
        <w:trPr>
          <w:trHeight w:val="300"/>
        </w:trPr>
        <w:tc>
          <w:tcPr>
            <w:tcW w:w="4409" w:type="dxa"/>
            <w:tcBorders>
              <w:top w:val="single" w:sz="4" w:space="0" w:color="auto"/>
            </w:tcBorders>
            <w:shd w:val="clear" w:color="auto" w:fill="auto"/>
            <w:noWrap/>
            <w:tcMar>
              <w:top w:w="15" w:type="dxa"/>
              <w:left w:w="15" w:type="dxa"/>
              <w:bottom w:w="0" w:type="dxa"/>
              <w:right w:w="15" w:type="dxa"/>
            </w:tcMar>
            <w:vAlign w:val="center"/>
            <w:hideMark/>
          </w:tcPr>
          <w:p w14:paraId="3438265F" w14:textId="77777777" w:rsidR="003E5AE2" w:rsidRPr="00E8251D" w:rsidRDefault="003E5AE2" w:rsidP="0011417E">
            <w:pPr>
              <w:rPr>
                <w:rFonts w:ascii="Arial" w:hAnsi="Arial" w:cs="Arial"/>
                <w:sz w:val="22"/>
                <w:szCs w:val="22"/>
              </w:rPr>
            </w:pPr>
          </w:p>
        </w:tc>
        <w:tc>
          <w:tcPr>
            <w:tcW w:w="2072" w:type="dxa"/>
            <w:gridSpan w:val="2"/>
            <w:tcBorders>
              <w:top w:val="single" w:sz="4" w:space="0" w:color="auto"/>
              <w:bottom w:val="single" w:sz="4" w:space="0" w:color="auto"/>
            </w:tcBorders>
            <w:shd w:val="clear" w:color="auto" w:fill="auto"/>
            <w:noWrap/>
            <w:tcMar>
              <w:top w:w="15" w:type="dxa"/>
              <w:left w:w="15" w:type="dxa"/>
              <w:bottom w:w="0" w:type="dxa"/>
              <w:right w:w="15" w:type="dxa"/>
            </w:tcMar>
            <w:hideMark/>
          </w:tcPr>
          <w:p w14:paraId="6924D4FD" w14:textId="77777777" w:rsidR="003E5AE2" w:rsidRPr="00E8251D" w:rsidRDefault="003E5AE2" w:rsidP="0011417E">
            <w:pPr>
              <w:spacing w:before="120" w:after="120"/>
              <w:jc w:val="center"/>
              <w:rPr>
                <w:rFonts w:ascii="Arial" w:hAnsi="Arial" w:cs="Arial"/>
                <w:b/>
                <w:bCs/>
                <w:color w:val="000000"/>
                <w:sz w:val="22"/>
                <w:szCs w:val="22"/>
              </w:rPr>
            </w:pPr>
            <w:r w:rsidRPr="00E8251D">
              <w:rPr>
                <w:rFonts w:ascii="Arial" w:hAnsi="Arial" w:cs="Arial"/>
                <w:b/>
                <w:bCs/>
                <w:color w:val="000000"/>
                <w:sz w:val="22"/>
                <w:szCs w:val="22"/>
              </w:rPr>
              <w:t>Site 1</w:t>
            </w:r>
          </w:p>
        </w:tc>
        <w:tc>
          <w:tcPr>
            <w:tcW w:w="1982" w:type="dxa"/>
            <w:gridSpan w:val="2"/>
            <w:tcBorders>
              <w:top w:val="single" w:sz="4" w:space="0" w:color="auto"/>
              <w:bottom w:val="single" w:sz="4" w:space="0" w:color="auto"/>
            </w:tcBorders>
            <w:shd w:val="clear" w:color="auto" w:fill="auto"/>
            <w:noWrap/>
            <w:tcMar>
              <w:top w:w="15" w:type="dxa"/>
              <w:left w:w="15" w:type="dxa"/>
              <w:bottom w:w="0" w:type="dxa"/>
              <w:right w:w="15" w:type="dxa"/>
            </w:tcMar>
            <w:hideMark/>
          </w:tcPr>
          <w:p w14:paraId="450BDCE1" w14:textId="77777777" w:rsidR="003E5AE2" w:rsidRPr="00E8251D" w:rsidRDefault="003E5AE2" w:rsidP="0011417E">
            <w:pPr>
              <w:spacing w:before="120" w:after="120"/>
              <w:jc w:val="center"/>
              <w:rPr>
                <w:rFonts w:ascii="Arial" w:hAnsi="Arial" w:cs="Arial"/>
                <w:b/>
                <w:bCs/>
                <w:color w:val="000000"/>
                <w:sz w:val="22"/>
                <w:szCs w:val="22"/>
              </w:rPr>
            </w:pPr>
            <w:r w:rsidRPr="00E8251D">
              <w:rPr>
                <w:rFonts w:ascii="Arial" w:hAnsi="Arial" w:cs="Arial"/>
                <w:b/>
                <w:bCs/>
                <w:color w:val="000000"/>
                <w:sz w:val="22"/>
                <w:szCs w:val="22"/>
              </w:rPr>
              <w:t>Site 2</w:t>
            </w:r>
          </w:p>
        </w:tc>
        <w:tc>
          <w:tcPr>
            <w:tcW w:w="2162" w:type="dxa"/>
            <w:gridSpan w:val="2"/>
            <w:tcBorders>
              <w:top w:val="single" w:sz="4" w:space="0" w:color="auto"/>
              <w:bottom w:val="single" w:sz="4" w:space="0" w:color="auto"/>
            </w:tcBorders>
            <w:shd w:val="clear" w:color="auto" w:fill="auto"/>
            <w:noWrap/>
            <w:tcMar>
              <w:top w:w="15" w:type="dxa"/>
              <w:left w:w="15" w:type="dxa"/>
              <w:bottom w:w="0" w:type="dxa"/>
              <w:right w:w="15" w:type="dxa"/>
            </w:tcMar>
            <w:hideMark/>
          </w:tcPr>
          <w:p w14:paraId="73257DF3" w14:textId="77777777" w:rsidR="003E5AE2" w:rsidRPr="00E8251D" w:rsidRDefault="003E5AE2" w:rsidP="0011417E">
            <w:pPr>
              <w:spacing w:before="120" w:after="120"/>
              <w:jc w:val="center"/>
              <w:rPr>
                <w:rFonts w:ascii="Arial" w:hAnsi="Arial" w:cs="Arial"/>
                <w:b/>
                <w:bCs/>
                <w:color w:val="000000"/>
                <w:sz w:val="22"/>
                <w:szCs w:val="22"/>
              </w:rPr>
            </w:pPr>
            <w:r w:rsidRPr="00E8251D">
              <w:rPr>
                <w:rFonts w:ascii="Arial" w:hAnsi="Arial" w:cs="Arial"/>
                <w:b/>
                <w:bCs/>
                <w:color w:val="000000"/>
                <w:sz w:val="22"/>
                <w:szCs w:val="22"/>
              </w:rPr>
              <w:t>Total</w:t>
            </w:r>
          </w:p>
        </w:tc>
      </w:tr>
      <w:tr w:rsidR="003E5AE2" w:rsidRPr="00E8251D" w14:paraId="7D655F46" w14:textId="77777777" w:rsidTr="0011417E">
        <w:trPr>
          <w:trHeight w:val="300"/>
        </w:trPr>
        <w:tc>
          <w:tcPr>
            <w:tcW w:w="4409" w:type="dxa"/>
            <w:tcBorders>
              <w:bottom w:val="single" w:sz="4" w:space="0" w:color="auto"/>
            </w:tcBorders>
            <w:shd w:val="clear" w:color="auto" w:fill="auto"/>
            <w:noWrap/>
            <w:tcMar>
              <w:top w:w="15" w:type="dxa"/>
              <w:left w:w="15" w:type="dxa"/>
              <w:bottom w:w="0" w:type="dxa"/>
              <w:right w:w="15" w:type="dxa"/>
            </w:tcMar>
            <w:vAlign w:val="center"/>
            <w:hideMark/>
          </w:tcPr>
          <w:p w14:paraId="28C67B9B" w14:textId="77777777" w:rsidR="003E5AE2" w:rsidRPr="00E8251D" w:rsidRDefault="003E5AE2" w:rsidP="0011417E">
            <w:pPr>
              <w:rPr>
                <w:rFonts w:ascii="Arial" w:hAnsi="Arial" w:cs="Arial"/>
                <w:b/>
                <w:bCs/>
                <w:color w:val="000000"/>
                <w:sz w:val="22"/>
                <w:szCs w:val="22"/>
              </w:rPr>
            </w:pPr>
          </w:p>
        </w:tc>
        <w:tc>
          <w:tcPr>
            <w:tcW w:w="1081" w:type="dxa"/>
            <w:tcBorders>
              <w:top w:val="single" w:sz="4" w:space="0" w:color="auto"/>
              <w:bottom w:val="single" w:sz="4" w:space="0" w:color="auto"/>
            </w:tcBorders>
            <w:shd w:val="clear" w:color="auto" w:fill="auto"/>
            <w:noWrap/>
            <w:tcMar>
              <w:top w:w="15" w:type="dxa"/>
              <w:left w:w="15" w:type="dxa"/>
              <w:bottom w:w="0" w:type="dxa"/>
              <w:right w:w="15" w:type="dxa"/>
            </w:tcMar>
            <w:hideMark/>
          </w:tcPr>
          <w:p w14:paraId="6180C060" w14:textId="77777777" w:rsidR="003E5AE2" w:rsidRPr="00E8251D" w:rsidRDefault="003E5AE2" w:rsidP="0011417E">
            <w:pPr>
              <w:spacing w:before="120" w:after="120"/>
              <w:jc w:val="center"/>
              <w:rPr>
                <w:rFonts w:ascii="Arial" w:hAnsi="Arial" w:cs="Arial"/>
                <w:b/>
                <w:bCs/>
                <w:color w:val="000000"/>
                <w:sz w:val="22"/>
                <w:szCs w:val="22"/>
              </w:rPr>
            </w:pPr>
            <w:r w:rsidRPr="00E8251D">
              <w:rPr>
                <w:rFonts w:ascii="Arial" w:hAnsi="Arial" w:cs="Arial"/>
                <w:b/>
                <w:bCs/>
                <w:color w:val="000000"/>
                <w:sz w:val="22"/>
                <w:szCs w:val="22"/>
              </w:rPr>
              <w:t>Surgery</w:t>
            </w:r>
          </w:p>
        </w:tc>
        <w:tc>
          <w:tcPr>
            <w:tcW w:w="991" w:type="dxa"/>
            <w:tcBorders>
              <w:top w:val="single" w:sz="4" w:space="0" w:color="auto"/>
              <w:bottom w:val="single" w:sz="4" w:space="0" w:color="auto"/>
            </w:tcBorders>
            <w:shd w:val="clear" w:color="auto" w:fill="auto"/>
            <w:noWrap/>
            <w:tcMar>
              <w:top w:w="15" w:type="dxa"/>
              <w:left w:w="15" w:type="dxa"/>
              <w:bottom w:w="0" w:type="dxa"/>
              <w:right w:w="15" w:type="dxa"/>
            </w:tcMar>
            <w:hideMark/>
          </w:tcPr>
          <w:p w14:paraId="23610DA6" w14:textId="77777777" w:rsidR="003E5AE2" w:rsidRPr="00E8251D" w:rsidRDefault="003E5AE2" w:rsidP="0011417E">
            <w:pPr>
              <w:spacing w:before="120" w:after="120"/>
              <w:jc w:val="center"/>
              <w:rPr>
                <w:rFonts w:ascii="Arial" w:hAnsi="Arial" w:cs="Arial"/>
                <w:b/>
                <w:bCs/>
                <w:color w:val="000000"/>
                <w:sz w:val="22"/>
                <w:szCs w:val="22"/>
              </w:rPr>
            </w:pPr>
            <w:r w:rsidRPr="00E8251D">
              <w:rPr>
                <w:rFonts w:ascii="Arial" w:hAnsi="Arial" w:cs="Arial"/>
                <w:b/>
                <w:bCs/>
                <w:color w:val="000000"/>
                <w:sz w:val="22"/>
                <w:szCs w:val="22"/>
              </w:rPr>
              <w:t>Acute Injury</w:t>
            </w:r>
          </w:p>
        </w:tc>
        <w:tc>
          <w:tcPr>
            <w:tcW w:w="991" w:type="dxa"/>
            <w:tcBorders>
              <w:top w:val="single" w:sz="4" w:space="0" w:color="auto"/>
              <w:bottom w:val="single" w:sz="4" w:space="0" w:color="auto"/>
            </w:tcBorders>
            <w:shd w:val="clear" w:color="auto" w:fill="auto"/>
            <w:noWrap/>
            <w:tcMar>
              <w:top w:w="15" w:type="dxa"/>
              <w:left w:w="15" w:type="dxa"/>
              <w:bottom w:w="0" w:type="dxa"/>
              <w:right w:w="15" w:type="dxa"/>
            </w:tcMar>
            <w:hideMark/>
          </w:tcPr>
          <w:p w14:paraId="5D556CEC" w14:textId="77777777" w:rsidR="003E5AE2" w:rsidRPr="00E8251D" w:rsidRDefault="003E5AE2" w:rsidP="0011417E">
            <w:pPr>
              <w:spacing w:before="120" w:after="120"/>
              <w:jc w:val="center"/>
              <w:rPr>
                <w:rFonts w:ascii="Arial" w:hAnsi="Arial" w:cs="Arial"/>
                <w:b/>
                <w:bCs/>
                <w:color w:val="000000"/>
                <w:sz w:val="22"/>
                <w:szCs w:val="22"/>
              </w:rPr>
            </w:pPr>
            <w:r w:rsidRPr="00E8251D">
              <w:rPr>
                <w:rFonts w:ascii="Arial" w:hAnsi="Arial" w:cs="Arial"/>
                <w:b/>
                <w:bCs/>
                <w:color w:val="000000"/>
                <w:sz w:val="22"/>
                <w:szCs w:val="22"/>
              </w:rPr>
              <w:t>Surgery</w:t>
            </w:r>
          </w:p>
        </w:tc>
        <w:tc>
          <w:tcPr>
            <w:tcW w:w="991" w:type="dxa"/>
            <w:tcBorders>
              <w:top w:val="single" w:sz="4" w:space="0" w:color="auto"/>
              <w:bottom w:val="single" w:sz="4" w:space="0" w:color="auto"/>
            </w:tcBorders>
            <w:shd w:val="clear" w:color="auto" w:fill="auto"/>
            <w:noWrap/>
            <w:tcMar>
              <w:top w:w="15" w:type="dxa"/>
              <w:left w:w="15" w:type="dxa"/>
              <w:bottom w:w="0" w:type="dxa"/>
              <w:right w:w="15" w:type="dxa"/>
            </w:tcMar>
            <w:hideMark/>
          </w:tcPr>
          <w:p w14:paraId="31408ED9" w14:textId="77777777" w:rsidR="003E5AE2" w:rsidRPr="00E8251D" w:rsidRDefault="003E5AE2" w:rsidP="0011417E">
            <w:pPr>
              <w:spacing w:before="120" w:after="120"/>
              <w:jc w:val="center"/>
              <w:rPr>
                <w:rFonts w:ascii="Arial" w:hAnsi="Arial" w:cs="Arial"/>
                <w:b/>
                <w:bCs/>
                <w:color w:val="000000"/>
                <w:sz w:val="22"/>
                <w:szCs w:val="22"/>
              </w:rPr>
            </w:pPr>
            <w:r w:rsidRPr="00E8251D">
              <w:rPr>
                <w:rFonts w:ascii="Arial" w:hAnsi="Arial" w:cs="Arial"/>
                <w:b/>
                <w:bCs/>
                <w:color w:val="000000"/>
                <w:sz w:val="22"/>
                <w:szCs w:val="22"/>
              </w:rPr>
              <w:t>Acute Injury</w:t>
            </w:r>
          </w:p>
        </w:tc>
        <w:tc>
          <w:tcPr>
            <w:tcW w:w="1081" w:type="dxa"/>
            <w:tcBorders>
              <w:top w:val="single" w:sz="4" w:space="0" w:color="auto"/>
              <w:bottom w:val="single" w:sz="4" w:space="0" w:color="auto"/>
            </w:tcBorders>
            <w:shd w:val="clear" w:color="auto" w:fill="auto"/>
            <w:noWrap/>
            <w:tcMar>
              <w:top w:w="15" w:type="dxa"/>
              <w:left w:w="15" w:type="dxa"/>
              <w:bottom w:w="0" w:type="dxa"/>
              <w:right w:w="15" w:type="dxa"/>
            </w:tcMar>
            <w:hideMark/>
          </w:tcPr>
          <w:p w14:paraId="14B4F101" w14:textId="77777777" w:rsidR="003E5AE2" w:rsidRPr="00E8251D" w:rsidRDefault="003E5AE2" w:rsidP="0011417E">
            <w:pPr>
              <w:spacing w:before="120" w:after="120"/>
              <w:jc w:val="center"/>
              <w:rPr>
                <w:rFonts w:ascii="Arial" w:hAnsi="Arial" w:cs="Arial"/>
                <w:b/>
                <w:bCs/>
                <w:color w:val="000000"/>
                <w:sz w:val="22"/>
                <w:szCs w:val="22"/>
              </w:rPr>
            </w:pPr>
            <w:r w:rsidRPr="00E8251D">
              <w:rPr>
                <w:rFonts w:ascii="Arial" w:hAnsi="Arial" w:cs="Arial"/>
                <w:b/>
                <w:bCs/>
                <w:color w:val="000000"/>
                <w:sz w:val="22"/>
                <w:szCs w:val="22"/>
              </w:rPr>
              <w:t>Surgery</w:t>
            </w:r>
          </w:p>
        </w:tc>
        <w:tc>
          <w:tcPr>
            <w:tcW w:w="1081" w:type="dxa"/>
            <w:tcBorders>
              <w:top w:val="single" w:sz="4" w:space="0" w:color="auto"/>
              <w:bottom w:val="single" w:sz="4" w:space="0" w:color="auto"/>
            </w:tcBorders>
            <w:shd w:val="clear" w:color="auto" w:fill="auto"/>
            <w:noWrap/>
            <w:tcMar>
              <w:top w:w="15" w:type="dxa"/>
              <w:left w:w="15" w:type="dxa"/>
              <w:bottom w:w="0" w:type="dxa"/>
              <w:right w:w="15" w:type="dxa"/>
            </w:tcMar>
            <w:hideMark/>
          </w:tcPr>
          <w:p w14:paraId="7C8E627D" w14:textId="77777777" w:rsidR="003E5AE2" w:rsidRPr="00E8251D" w:rsidRDefault="003E5AE2" w:rsidP="0011417E">
            <w:pPr>
              <w:spacing w:before="120" w:after="120"/>
              <w:jc w:val="center"/>
              <w:rPr>
                <w:rFonts w:ascii="Arial" w:hAnsi="Arial" w:cs="Arial"/>
                <w:b/>
                <w:bCs/>
                <w:color w:val="000000"/>
                <w:sz w:val="22"/>
                <w:szCs w:val="22"/>
              </w:rPr>
            </w:pPr>
            <w:r w:rsidRPr="00E8251D">
              <w:rPr>
                <w:rFonts w:ascii="Arial" w:hAnsi="Arial" w:cs="Arial"/>
                <w:b/>
                <w:bCs/>
                <w:color w:val="000000"/>
                <w:sz w:val="22"/>
                <w:szCs w:val="22"/>
              </w:rPr>
              <w:t>Acute Injury</w:t>
            </w:r>
          </w:p>
        </w:tc>
      </w:tr>
      <w:tr w:rsidR="003E5AE2" w:rsidRPr="00E8251D" w14:paraId="537E801B" w14:textId="77777777" w:rsidTr="0011417E">
        <w:trPr>
          <w:trHeight w:val="34"/>
        </w:trPr>
        <w:tc>
          <w:tcPr>
            <w:tcW w:w="4409" w:type="dxa"/>
            <w:tcBorders>
              <w:top w:val="single" w:sz="4" w:space="0" w:color="auto"/>
            </w:tcBorders>
            <w:shd w:val="clear" w:color="auto" w:fill="auto"/>
            <w:tcMar>
              <w:top w:w="15" w:type="dxa"/>
              <w:left w:w="15" w:type="dxa"/>
              <w:bottom w:w="0" w:type="dxa"/>
              <w:right w:w="15" w:type="dxa"/>
            </w:tcMar>
            <w:vAlign w:val="center"/>
            <w:hideMark/>
          </w:tcPr>
          <w:p w14:paraId="35050906" w14:textId="77777777" w:rsidR="003E5AE2" w:rsidRPr="00E8251D" w:rsidRDefault="003E5AE2" w:rsidP="0011417E">
            <w:pPr>
              <w:widowControl w:val="0"/>
              <w:spacing w:before="120" w:after="120"/>
              <w:rPr>
                <w:rFonts w:ascii="Arial" w:hAnsi="Arial" w:cs="Arial"/>
                <w:b/>
                <w:bCs/>
                <w:color w:val="000000"/>
                <w:sz w:val="22"/>
                <w:szCs w:val="22"/>
              </w:rPr>
            </w:pPr>
            <w:r w:rsidRPr="00E8251D">
              <w:rPr>
                <w:rFonts w:ascii="Arial" w:hAnsi="Arial" w:cs="Arial"/>
                <w:b/>
                <w:bCs/>
                <w:color w:val="000000"/>
                <w:sz w:val="22"/>
                <w:szCs w:val="22"/>
              </w:rPr>
              <w:t>Total Patients</w:t>
            </w:r>
          </w:p>
        </w:tc>
        <w:tc>
          <w:tcPr>
            <w:tcW w:w="1081" w:type="dxa"/>
            <w:tcBorders>
              <w:top w:val="single" w:sz="4" w:space="0" w:color="auto"/>
            </w:tcBorders>
            <w:shd w:val="clear" w:color="auto" w:fill="auto"/>
            <w:noWrap/>
            <w:tcMar>
              <w:top w:w="15" w:type="dxa"/>
              <w:left w:w="15" w:type="dxa"/>
              <w:bottom w:w="0" w:type="dxa"/>
              <w:right w:w="15" w:type="dxa"/>
            </w:tcMar>
            <w:vAlign w:val="center"/>
            <w:hideMark/>
          </w:tcPr>
          <w:p w14:paraId="1D380A1E" w14:textId="77777777" w:rsidR="003E5AE2" w:rsidRPr="00E8251D" w:rsidRDefault="003E5AE2" w:rsidP="0011417E">
            <w:pPr>
              <w:widowControl w:val="0"/>
              <w:spacing w:before="120" w:after="120"/>
              <w:jc w:val="center"/>
              <w:rPr>
                <w:rFonts w:ascii="Arial" w:hAnsi="Arial" w:cs="Arial"/>
                <w:color w:val="000000"/>
                <w:sz w:val="22"/>
                <w:szCs w:val="22"/>
              </w:rPr>
            </w:pPr>
            <w:r w:rsidRPr="00E8251D">
              <w:rPr>
                <w:rFonts w:ascii="Arial" w:hAnsi="Arial" w:cs="Arial"/>
                <w:color w:val="000000"/>
                <w:sz w:val="22"/>
                <w:szCs w:val="22"/>
              </w:rPr>
              <w:t>345</w:t>
            </w:r>
            <w:r>
              <w:rPr>
                <w:rFonts w:ascii="Arial" w:hAnsi="Arial" w:cs="Arial"/>
                <w:color w:val="000000"/>
                <w:sz w:val="22"/>
                <w:szCs w:val="22"/>
              </w:rPr>
              <w:t>,</w:t>
            </w:r>
            <w:r w:rsidRPr="00E8251D">
              <w:rPr>
                <w:rFonts w:ascii="Arial" w:hAnsi="Arial" w:cs="Arial"/>
                <w:color w:val="000000"/>
                <w:sz w:val="22"/>
                <w:szCs w:val="22"/>
              </w:rPr>
              <w:t>952</w:t>
            </w:r>
          </w:p>
        </w:tc>
        <w:tc>
          <w:tcPr>
            <w:tcW w:w="991" w:type="dxa"/>
            <w:tcBorders>
              <w:top w:val="single" w:sz="4" w:space="0" w:color="auto"/>
            </w:tcBorders>
            <w:shd w:val="clear" w:color="auto" w:fill="auto"/>
            <w:noWrap/>
            <w:tcMar>
              <w:top w:w="15" w:type="dxa"/>
              <w:left w:w="15" w:type="dxa"/>
              <w:bottom w:w="0" w:type="dxa"/>
              <w:right w:w="15" w:type="dxa"/>
            </w:tcMar>
            <w:vAlign w:val="center"/>
            <w:hideMark/>
          </w:tcPr>
          <w:p w14:paraId="09E8D9B3" w14:textId="77777777" w:rsidR="003E5AE2" w:rsidRPr="00E8251D" w:rsidRDefault="003E5AE2" w:rsidP="0011417E">
            <w:pPr>
              <w:widowControl w:val="0"/>
              <w:spacing w:before="120" w:after="120"/>
              <w:jc w:val="center"/>
              <w:rPr>
                <w:rFonts w:ascii="Arial" w:hAnsi="Arial" w:cs="Arial"/>
                <w:color w:val="000000"/>
                <w:sz w:val="22"/>
                <w:szCs w:val="22"/>
              </w:rPr>
            </w:pPr>
            <w:r w:rsidRPr="00E8251D">
              <w:rPr>
                <w:rFonts w:ascii="Arial" w:hAnsi="Arial" w:cs="Arial"/>
                <w:color w:val="000000"/>
                <w:sz w:val="22"/>
                <w:szCs w:val="22"/>
              </w:rPr>
              <w:t>491</w:t>
            </w:r>
            <w:r>
              <w:rPr>
                <w:rFonts w:ascii="Arial" w:hAnsi="Arial" w:cs="Arial"/>
                <w:color w:val="000000"/>
                <w:sz w:val="22"/>
                <w:szCs w:val="22"/>
              </w:rPr>
              <w:t>,</w:t>
            </w:r>
            <w:r w:rsidRPr="00E8251D">
              <w:rPr>
                <w:rFonts w:ascii="Arial" w:hAnsi="Arial" w:cs="Arial"/>
                <w:color w:val="000000"/>
                <w:sz w:val="22"/>
                <w:szCs w:val="22"/>
              </w:rPr>
              <w:t>672</w:t>
            </w:r>
          </w:p>
        </w:tc>
        <w:tc>
          <w:tcPr>
            <w:tcW w:w="991" w:type="dxa"/>
            <w:tcBorders>
              <w:top w:val="single" w:sz="4" w:space="0" w:color="auto"/>
            </w:tcBorders>
            <w:shd w:val="clear" w:color="auto" w:fill="auto"/>
            <w:noWrap/>
            <w:tcMar>
              <w:top w:w="15" w:type="dxa"/>
              <w:left w:w="15" w:type="dxa"/>
              <w:bottom w:w="0" w:type="dxa"/>
              <w:right w:w="15" w:type="dxa"/>
            </w:tcMar>
            <w:vAlign w:val="center"/>
            <w:hideMark/>
          </w:tcPr>
          <w:p w14:paraId="44F44F5D" w14:textId="77777777" w:rsidR="003E5AE2" w:rsidRPr="00E8251D" w:rsidRDefault="003E5AE2" w:rsidP="0011417E">
            <w:pPr>
              <w:widowControl w:val="0"/>
              <w:spacing w:before="120" w:after="120"/>
              <w:jc w:val="center"/>
              <w:rPr>
                <w:rFonts w:ascii="Arial" w:hAnsi="Arial" w:cs="Arial"/>
                <w:color w:val="000000"/>
                <w:sz w:val="22"/>
                <w:szCs w:val="22"/>
              </w:rPr>
            </w:pPr>
            <w:r w:rsidRPr="00E8251D">
              <w:rPr>
                <w:rFonts w:ascii="Arial" w:hAnsi="Arial" w:cs="Arial"/>
                <w:color w:val="000000"/>
                <w:sz w:val="22"/>
                <w:szCs w:val="22"/>
              </w:rPr>
              <w:t>276</w:t>
            </w:r>
            <w:r>
              <w:rPr>
                <w:rFonts w:ascii="Arial" w:hAnsi="Arial" w:cs="Arial"/>
                <w:color w:val="000000"/>
                <w:sz w:val="22"/>
                <w:szCs w:val="22"/>
              </w:rPr>
              <w:t>,</w:t>
            </w:r>
            <w:r w:rsidRPr="00E8251D">
              <w:rPr>
                <w:rFonts w:ascii="Arial" w:hAnsi="Arial" w:cs="Arial"/>
                <w:color w:val="000000"/>
                <w:sz w:val="22"/>
                <w:szCs w:val="22"/>
              </w:rPr>
              <w:t>045</w:t>
            </w:r>
          </w:p>
        </w:tc>
        <w:tc>
          <w:tcPr>
            <w:tcW w:w="991" w:type="dxa"/>
            <w:tcBorders>
              <w:top w:val="single" w:sz="4" w:space="0" w:color="auto"/>
            </w:tcBorders>
            <w:shd w:val="clear" w:color="auto" w:fill="auto"/>
            <w:noWrap/>
            <w:tcMar>
              <w:top w:w="15" w:type="dxa"/>
              <w:left w:w="15" w:type="dxa"/>
              <w:bottom w:w="0" w:type="dxa"/>
              <w:right w:w="15" w:type="dxa"/>
            </w:tcMar>
            <w:vAlign w:val="center"/>
            <w:hideMark/>
          </w:tcPr>
          <w:p w14:paraId="6B958A7C" w14:textId="77777777" w:rsidR="003E5AE2" w:rsidRPr="00E8251D" w:rsidRDefault="003E5AE2" w:rsidP="0011417E">
            <w:pPr>
              <w:widowControl w:val="0"/>
              <w:spacing w:before="120" w:after="120"/>
              <w:jc w:val="center"/>
              <w:rPr>
                <w:rFonts w:ascii="Arial" w:hAnsi="Arial" w:cs="Arial"/>
                <w:color w:val="000000"/>
                <w:sz w:val="22"/>
                <w:szCs w:val="22"/>
              </w:rPr>
            </w:pPr>
            <w:r w:rsidRPr="00E8251D">
              <w:rPr>
                <w:rFonts w:ascii="Arial" w:hAnsi="Arial" w:cs="Arial"/>
                <w:color w:val="000000"/>
                <w:sz w:val="22"/>
                <w:szCs w:val="22"/>
              </w:rPr>
              <w:t>372</w:t>
            </w:r>
            <w:r>
              <w:rPr>
                <w:rFonts w:ascii="Arial" w:hAnsi="Arial" w:cs="Arial"/>
                <w:color w:val="000000"/>
                <w:sz w:val="22"/>
                <w:szCs w:val="22"/>
              </w:rPr>
              <w:t>,</w:t>
            </w:r>
            <w:r w:rsidRPr="00E8251D">
              <w:rPr>
                <w:rFonts w:ascii="Arial" w:hAnsi="Arial" w:cs="Arial"/>
                <w:color w:val="000000"/>
                <w:sz w:val="22"/>
                <w:szCs w:val="22"/>
              </w:rPr>
              <w:t>389</w:t>
            </w:r>
          </w:p>
        </w:tc>
        <w:tc>
          <w:tcPr>
            <w:tcW w:w="1081" w:type="dxa"/>
            <w:tcBorders>
              <w:top w:val="single" w:sz="4" w:space="0" w:color="auto"/>
            </w:tcBorders>
            <w:shd w:val="clear" w:color="auto" w:fill="auto"/>
            <w:noWrap/>
            <w:tcMar>
              <w:top w:w="15" w:type="dxa"/>
              <w:left w:w="15" w:type="dxa"/>
              <w:bottom w:w="0" w:type="dxa"/>
              <w:right w:w="15" w:type="dxa"/>
            </w:tcMar>
            <w:vAlign w:val="center"/>
            <w:hideMark/>
          </w:tcPr>
          <w:p w14:paraId="62EE9FDF" w14:textId="77777777" w:rsidR="003E5AE2" w:rsidRPr="00E8251D" w:rsidRDefault="003E5AE2" w:rsidP="0011417E">
            <w:pPr>
              <w:widowControl w:val="0"/>
              <w:spacing w:before="120" w:after="120"/>
              <w:jc w:val="center"/>
              <w:rPr>
                <w:rFonts w:ascii="Arial" w:hAnsi="Arial" w:cs="Arial"/>
                <w:color w:val="000000"/>
                <w:sz w:val="22"/>
                <w:szCs w:val="22"/>
              </w:rPr>
            </w:pPr>
            <w:r w:rsidRPr="00E8251D">
              <w:rPr>
                <w:rFonts w:ascii="Arial" w:hAnsi="Arial" w:cs="Arial"/>
                <w:color w:val="000000"/>
                <w:sz w:val="22"/>
                <w:szCs w:val="22"/>
              </w:rPr>
              <w:t>621</w:t>
            </w:r>
            <w:r>
              <w:rPr>
                <w:rFonts w:ascii="Arial" w:hAnsi="Arial" w:cs="Arial"/>
                <w:color w:val="000000"/>
                <w:sz w:val="22"/>
                <w:szCs w:val="22"/>
              </w:rPr>
              <w:t>,</w:t>
            </w:r>
            <w:r w:rsidRPr="00E8251D">
              <w:rPr>
                <w:rFonts w:ascii="Arial" w:hAnsi="Arial" w:cs="Arial"/>
                <w:color w:val="000000"/>
                <w:sz w:val="22"/>
                <w:szCs w:val="22"/>
              </w:rPr>
              <w:t>997</w:t>
            </w:r>
          </w:p>
        </w:tc>
        <w:tc>
          <w:tcPr>
            <w:tcW w:w="1081" w:type="dxa"/>
            <w:tcBorders>
              <w:top w:val="single" w:sz="4" w:space="0" w:color="auto"/>
            </w:tcBorders>
            <w:shd w:val="clear" w:color="auto" w:fill="auto"/>
            <w:noWrap/>
            <w:tcMar>
              <w:top w:w="15" w:type="dxa"/>
              <w:left w:w="15" w:type="dxa"/>
              <w:bottom w:w="0" w:type="dxa"/>
              <w:right w:w="15" w:type="dxa"/>
            </w:tcMar>
            <w:vAlign w:val="center"/>
            <w:hideMark/>
          </w:tcPr>
          <w:p w14:paraId="77780C58" w14:textId="77777777" w:rsidR="003E5AE2" w:rsidRPr="00E8251D" w:rsidRDefault="003E5AE2" w:rsidP="0011417E">
            <w:pPr>
              <w:widowControl w:val="0"/>
              <w:spacing w:before="120" w:after="120"/>
              <w:jc w:val="center"/>
              <w:rPr>
                <w:rFonts w:ascii="Arial" w:hAnsi="Arial" w:cs="Arial"/>
                <w:color w:val="000000"/>
                <w:sz w:val="22"/>
                <w:szCs w:val="22"/>
              </w:rPr>
            </w:pPr>
            <w:r w:rsidRPr="00E8251D">
              <w:rPr>
                <w:rFonts w:ascii="Arial" w:hAnsi="Arial" w:cs="Arial"/>
                <w:color w:val="000000"/>
                <w:sz w:val="22"/>
                <w:szCs w:val="22"/>
              </w:rPr>
              <w:t>864</w:t>
            </w:r>
            <w:r>
              <w:rPr>
                <w:rFonts w:ascii="Arial" w:hAnsi="Arial" w:cs="Arial"/>
                <w:color w:val="000000"/>
                <w:sz w:val="22"/>
                <w:szCs w:val="22"/>
              </w:rPr>
              <w:t>,</w:t>
            </w:r>
            <w:r w:rsidRPr="00E8251D">
              <w:rPr>
                <w:rFonts w:ascii="Arial" w:hAnsi="Arial" w:cs="Arial"/>
                <w:color w:val="000000"/>
                <w:sz w:val="22"/>
                <w:szCs w:val="22"/>
              </w:rPr>
              <w:t>061</w:t>
            </w:r>
          </w:p>
        </w:tc>
      </w:tr>
      <w:tr w:rsidR="003E5AE2" w:rsidRPr="00E8251D" w14:paraId="09E4E07F" w14:textId="77777777" w:rsidTr="0011417E">
        <w:trPr>
          <w:trHeight w:val="44"/>
        </w:trPr>
        <w:tc>
          <w:tcPr>
            <w:tcW w:w="4409" w:type="dxa"/>
            <w:shd w:val="clear" w:color="auto" w:fill="auto"/>
            <w:tcMar>
              <w:top w:w="15" w:type="dxa"/>
              <w:left w:w="15" w:type="dxa"/>
              <w:bottom w:w="0" w:type="dxa"/>
              <w:right w:w="15" w:type="dxa"/>
            </w:tcMar>
            <w:vAlign w:val="center"/>
            <w:hideMark/>
          </w:tcPr>
          <w:p w14:paraId="37057AA1" w14:textId="77777777" w:rsidR="003E5AE2" w:rsidRPr="00E8251D" w:rsidRDefault="003E5AE2" w:rsidP="0011417E">
            <w:pPr>
              <w:widowControl w:val="0"/>
              <w:spacing w:before="120" w:after="120"/>
              <w:rPr>
                <w:rFonts w:ascii="Arial" w:hAnsi="Arial" w:cs="Arial"/>
                <w:b/>
                <w:bCs/>
                <w:color w:val="000000"/>
                <w:sz w:val="22"/>
                <w:szCs w:val="22"/>
              </w:rPr>
            </w:pPr>
            <w:r w:rsidRPr="00E8251D">
              <w:rPr>
                <w:rFonts w:ascii="Arial" w:hAnsi="Arial" w:cs="Arial"/>
                <w:b/>
                <w:bCs/>
                <w:color w:val="000000"/>
                <w:sz w:val="22"/>
                <w:szCs w:val="22"/>
              </w:rPr>
              <w:t>Patients received index opioid Rx</w:t>
            </w:r>
          </w:p>
        </w:tc>
        <w:tc>
          <w:tcPr>
            <w:tcW w:w="1081" w:type="dxa"/>
            <w:shd w:val="clear" w:color="auto" w:fill="auto"/>
            <w:noWrap/>
            <w:tcMar>
              <w:top w:w="15" w:type="dxa"/>
              <w:left w:w="15" w:type="dxa"/>
              <w:bottom w:w="0" w:type="dxa"/>
              <w:right w:w="15" w:type="dxa"/>
            </w:tcMar>
            <w:vAlign w:val="center"/>
            <w:hideMark/>
          </w:tcPr>
          <w:p w14:paraId="683E3EC3" w14:textId="77777777" w:rsidR="003E5AE2" w:rsidRPr="00E8251D" w:rsidRDefault="003E5AE2" w:rsidP="0011417E">
            <w:pPr>
              <w:widowControl w:val="0"/>
              <w:spacing w:before="120" w:after="120"/>
              <w:jc w:val="center"/>
              <w:rPr>
                <w:rFonts w:ascii="Arial" w:hAnsi="Arial" w:cs="Arial"/>
                <w:color w:val="000000"/>
                <w:sz w:val="22"/>
                <w:szCs w:val="22"/>
              </w:rPr>
            </w:pPr>
            <w:r w:rsidRPr="00E8251D">
              <w:rPr>
                <w:rFonts w:ascii="Arial" w:hAnsi="Arial" w:cs="Arial"/>
                <w:color w:val="000000"/>
                <w:sz w:val="22"/>
                <w:szCs w:val="22"/>
              </w:rPr>
              <w:t>217</w:t>
            </w:r>
            <w:r>
              <w:rPr>
                <w:rFonts w:ascii="Arial" w:hAnsi="Arial" w:cs="Arial"/>
                <w:color w:val="000000"/>
                <w:sz w:val="22"/>
                <w:szCs w:val="22"/>
              </w:rPr>
              <w:t>,</w:t>
            </w:r>
            <w:r w:rsidRPr="00E8251D">
              <w:rPr>
                <w:rFonts w:ascii="Arial" w:hAnsi="Arial" w:cs="Arial"/>
                <w:color w:val="000000"/>
                <w:sz w:val="22"/>
                <w:szCs w:val="22"/>
              </w:rPr>
              <w:t>871</w:t>
            </w:r>
          </w:p>
        </w:tc>
        <w:tc>
          <w:tcPr>
            <w:tcW w:w="991" w:type="dxa"/>
            <w:shd w:val="clear" w:color="auto" w:fill="auto"/>
            <w:noWrap/>
            <w:tcMar>
              <w:top w:w="15" w:type="dxa"/>
              <w:left w:w="15" w:type="dxa"/>
              <w:bottom w:w="0" w:type="dxa"/>
              <w:right w:w="15" w:type="dxa"/>
            </w:tcMar>
            <w:vAlign w:val="center"/>
            <w:hideMark/>
          </w:tcPr>
          <w:p w14:paraId="36FABB99" w14:textId="77777777" w:rsidR="003E5AE2" w:rsidRPr="00E8251D" w:rsidRDefault="003E5AE2" w:rsidP="0011417E">
            <w:pPr>
              <w:widowControl w:val="0"/>
              <w:spacing w:before="120" w:after="120"/>
              <w:jc w:val="center"/>
              <w:rPr>
                <w:rFonts w:ascii="Arial" w:hAnsi="Arial" w:cs="Arial"/>
                <w:color w:val="000000"/>
                <w:sz w:val="22"/>
                <w:szCs w:val="22"/>
              </w:rPr>
            </w:pPr>
            <w:r w:rsidRPr="00E8251D">
              <w:rPr>
                <w:rFonts w:ascii="Arial" w:hAnsi="Arial" w:cs="Arial"/>
                <w:color w:val="000000"/>
                <w:sz w:val="22"/>
                <w:szCs w:val="22"/>
              </w:rPr>
              <w:t>96</w:t>
            </w:r>
            <w:r>
              <w:rPr>
                <w:rFonts w:ascii="Arial" w:hAnsi="Arial" w:cs="Arial"/>
                <w:color w:val="000000"/>
                <w:sz w:val="22"/>
                <w:szCs w:val="22"/>
              </w:rPr>
              <w:t>,</w:t>
            </w:r>
            <w:r w:rsidRPr="00E8251D">
              <w:rPr>
                <w:rFonts w:ascii="Arial" w:hAnsi="Arial" w:cs="Arial"/>
                <w:color w:val="000000"/>
                <w:sz w:val="22"/>
                <w:szCs w:val="22"/>
              </w:rPr>
              <w:t>346</w:t>
            </w:r>
          </w:p>
        </w:tc>
        <w:tc>
          <w:tcPr>
            <w:tcW w:w="991" w:type="dxa"/>
            <w:shd w:val="clear" w:color="auto" w:fill="auto"/>
            <w:noWrap/>
            <w:tcMar>
              <w:top w:w="15" w:type="dxa"/>
              <w:left w:w="15" w:type="dxa"/>
              <w:bottom w:w="0" w:type="dxa"/>
              <w:right w:w="15" w:type="dxa"/>
            </w:tcMar>
            <w:vAlign w:val="center"/>
            <w:hideMark/>
          </w:tcPr>
          <w:p w14:paraId="4BFBA09E" w14:textId="77777777" w:rsidR="003E5AE2" w:rsidRPr="00E8251D" w:rsidRDefault="003E5AE2" w:rsidP="0011417E">
            <w:pPr>
              <w:widowControl w:val="0"/>
              <w:spacing w:before="120" w:after="120"/>
              <w:jc w:val="center"/>
              <w:rPr>
                <w:rFonts w:ascii="Arial" w:hAnsi="Arial" w:cs="Arial"/>
                <w:color w:val="000000"/>
                <w:sz w:val="22"/>
                <w:szCs w:val="22"/>
              </w:rPr>
            </w:pPr>
            <w:r w:rsidRPr="00E8251D">
              <w:rPr>
                <w:rFonts w:ascii="Arial" w:hAnsi="Arial" w:cs="Arial"/>
                <w:color w:val="000000"/>
                <w:sz w:val="22"/>
                <w:szCs w:val="22"/>
              </w:rPr>
              <w:t>214</w:t>
            </w:r>
            <w:r>
              <w:rPr>
                <w:rFonts w:ascii="Arial" w:hAnsi="Arial" w:cs="Arial"/>
                <w:color w:val="000000"/>
                <w:sz w:val="22"/>
                <w:szCs w:val="22"/>
              </w:rPr>
              <w:t>,</w:t>
            </w:r>
            <w:r w:rsidRPr="00E8251D">
              <w:rPr>
                <w:rFonts w:ascii="Arial" w:hAnsi="Arial" w:cs="Arial"/>
                <w:color w:val="000000"/>
                <w:sz w:val="22"/>
                <w:szCs w:val="22"/>
              </w:rPr>
              <w:t>095</w:t>
            </w:r>
          </w:p>
        </w:tc>
        <w:tc>
          <w:tcPr>
            <w:tcW w:w="991" w:type="dxa"/>
            <w:shd w:val="clear" w:color="auto" w:fill="auto"/>
            <w:noWrap/>
            <w:tcMar>
              <w:top w:w="15" w:type="dxa"/>
              <w:left w:w="15" w:type="dxa"/>
              <w:bottom w:w="0" w:type="dxa"/>
              <w:right w:w="15" w:type="dxa"/>
            </w:tcMar>
            <w:vAlign w:val="center"/>
            <w:hideMark/>
          </w:tcPr>
          <w:p w14:paraId="0F4DA48B" w14:textId="77777777" w:rsidR="003E5AE2" w:rsidRPr="00E8251D" w:rsidRDefault="003E5AE2" w:rsidP="0011417E">
            <w:pPr>
              <w:widowControl w:val="0"/>
              <w:spacing w:before="120" w:after="120"/>
              <w:jc w:val="center"/>
              <w:rPr>
                <w:rFonts w:ascii="Arial" w:hAnsi="Arial" w:cs="Arial"/>
                <w:color w:val="000000"/>
                <w:sz w:val="22"/>
                <w:szCs w:val="22"/>
              </w:rPr>
            </w:pPr>
            <w:r w:rsidRPr="00E8251D">
              <w:rPr>
                <w:rFonts w:ascii="Arial" w:hAnsi="Arial" w:cs="Arial"/>
                <w:color w:val="000000"/>
                <w:sz w:val="22"/>
                <w:szCs w:val="22"/>
              </w:rPr>
              <w:t>73</w:t>
            </w:r>
            <w:r>
              <w:rPr>
                <w:rFonts w:ascii="Arial" w:hAnsi="Arial" w:cs="Arial"/>
                <w:color w:val="000000"/>
                <w:sz w:val="22"/>
                <w:szCs w:val="22"/>
              </w:rPr>
              <w:t>,</w:t>
            </w:r>
            <w:r w:rsidRPr="00E8251D">
              <w:rPr>
                <w:rFonts w:ascii="Arial" w:hAnsi="Arial" w:cs="Arial"/>
                <w:color w:val="000000"/>
                <w:sz w:val="22"/>
                <w:szCs w:val="22"/>
              </w:rPr>
              <w:t>948</w:t>
            </w:r>
          </w:p>
        </w:tc>
        <w:tc>
          <w:tcPr>
            <w:tcW w:w="1081" w:type="dxa"/>
            <w:shd w:val="clear" w:color="auto" w:fill="auto"/>
            <w:noWrap/>
            <w:tcMar>
              <w:top w:w="15" w:type="dxa"/>
              <w:left w:w="15" w:type="dxa"/>
              <w:bottom w:w="0" w:type="dxa"/>
              <w:right w:w="15" w:type="dxa"/>
            </w:tcMar>
            <w:vAlign w:val="center"/>
            <w:hideMark/>
          </w:tcPr>
          <w:p w14:paraId="30AE257D" w14:textId="77777777" w:rsidR="003E5AE2" w:rsidRPr="00E8251D" w:rsidRDefault="003E5AE2" w:rsidP="0011417E">
            <w:pPr>
              <w:widowControl w:val="0"/>
              <w:spacing w:before="120" w:after="120"/>
              <w:jc w:val="center"/>
              <w:rPr>
                <w:rFonts w:ascii="Arial" w:hAnsi="Arial" w:cs="Arial"/>
                <w:color w:val="000000"/>
                <w:sz w:val="22"/>
                <w:szCs w:val="22"/>
              </w:rPr>
            </w:pPr>
            <w:r w:rsidRPr="00E8251D">
              <w:rPr>
                <w:rFonts w:ascii="Arial" w:hAnsi="Arial" w:cs="Arial"/>
                <w:color w:val="000000"/>
                <w:sz w:val="22"/>
                <w:szCs w:val="22"/>
              </w:rPr>
              <w:t>431</w:t>
            </w:r>
            <w:r>
              <w:rPr>
                <w:rFonts w:ascii="Arial" w:hAnsi="Arial" w:cs="Arial"/>
                <w:color w:val="000000"/>
                <w:sz w:val="22"/>
                <w:szCs w:val="22"/>
              </w:rPr>
              <w:t>,</w:t>
            </w:r>
            <w:r w:rsidRPr="00E8251D">
              <w:rPr>
                <w:rFonts w:ascii="Arial" w:hAnsi="Arial" w:cs="Arial"/>
                <w:color w:val="000000"/>
                <w:sz w:val="22"/>
                <w:szCs w:val="22"/>
              </w:rPr>
              <w:t>966</w:t>
            </w:r>
          </w:p>
        </w:tc>
        <w:tc>
          <w:tcPr>
            <w:tcW w:w="1081" w:type="dxa"/>
            <w:shd w:val="clear" w:color="auto" w:fill="auto"/>
            <w:noWrap/>
            <w:tcMar>
              <w:top w:w="15" w:type="dxa"/>
              <w:left w:w="15" w:type="dxa"/>
              <w:bottom w:w="0" w:type="dxa"/>
              <w:right w:w="15" w:type="dxa"/>
            </w:tcMar>
            <w:vAlign w:val="center"/>
            <w:hideMark/>
          </w:tcPr>
          <w:p w14:paraId="23E100B5" w14:textId="77777777" w:rsidR="003E5AE2" w:rsidRPr="00E8251D" w:rsidRDefault="003E5AE2" w:rsidP="0011417E">
            <w:pPr>
              <w:widowControl w:val="0"/>
              <w:spacing w:before="120" w:after="120"/>
              <w:jc w:val="center"/>
              <w:rPr>
                <w:rFonts w:ascii="Arial" w:hAnsi="Arial" w:cs="Arial"/>
                <w:color w:val="000000"/>
                <w:sz w:val="22"/>
                <w:szCs w:val="22"/>
              </w:rPr>
            </w:pPr>
            <w:r w:rsidRPr="00E8251D">
              <w:rPr>
                <w:rFonts w:ascii="Arial" w:hAnsi="Arial" w:cs="Arial"/>
                <w:color w:val="000000"/>
                <w:sz w:val="22"/>
                <w:szCs w:val="22"/>
              </w:rPr>
              <w:t>170</w:t>
            </w:r>
            <w:r>
              <w:rPr>
                <w:rFonts w:ascii="Arial" w:hAnsi="Arial" w:cs="Arial"/>
                <w:color w:val="000000"/>
                <w:sz w:val="22"/>
                <w:szCs w:val="22"/>
              </w:rPr>
              <w:t>,</w:t>
            </w:r>
            <w:r w:rsidRPr="00E8251D">
              <w:rPr>
                <w:rFonts w:ascii="Arial" w:hAnsi="Arial" w:cs="Arial"/>
                <w:color w:val="000000"/>
                <w:sz w:val="22"/>
                <w:szCs w:val="22"/>
              </w:rPr>
              <w:t>294</w:t>
            </w:r>
          </w:p>
        </w:tc>
      </w:tr>
      <w:tr w:rsidR="003E5AE2" w:rsidRPr="00E8251D" w14:paraId="25EB46BF" w14:textId="77777777" w:rsidTr="0011417E">
        <w:trPr>
          <w:trHeight w:val="44"/>
        </w:trPr>
        <w:tc>
          <w:tcPr>
            <w:tcW w:w="4409" w:type="dxa"/>
            <w:shd w:val="clear" w:color="auto" w:fill="auto"/>
            <w:tcMar>
              <w:top w:w="15" w:type="dxa"/>
              <w:left w:w="15" w:type="dxa"/>
              <w:bottom w:w="0" w:type="dxa"/>
              <w:right w:w="15" w:type="dxa"/>
            </w:tcMar>
            <w:vAlign w:val="center"/>
            <w:hideMark/>
          </w:tcPr>
          <w:p w14:paraId="2C851937" w14:textId="77777777" w:rsidR="003E5AE2" w:rsidRPr="00E03620" w:rsidRDefault="003E5AE2" w:rsidP="0011417E">
            <w:pPr>
              <w:widowControl w:val="0"/>
              <w:spacing w:before="120" w:after="120"/>
              <w:ind w:left="288"/>
              <w:rPr>
                <w:rFonts w:ascii="Arial" w:hAnsi="Arial" w:cs="Arial"/>
                <w:b/>
                <w:bCs/>
                <w:color w:val="000000"/>
                <w:sz w:val="22"/>
                <w:szCs w:val="22"/>
                <w:vertAlign w:val="superscript"/>
              </w:rPr>
            </w:pPr>
            <w:r w:rsidRPr="00E8251D">
              <w:rPr>
                <w:rFonts w:ascii="Arial" w:hAnsi="Arial" w:cs="Arial"/>
                <w:b/>
                <w:bCs/>
                <w:color w:val="000000"/>
                <w:sz w:val="22"/>
                <w:szCs w:val="22"/>
              </w:rPr>
              <w:t xml:space="preserve">% Received index opioid </w:t>
            </w:r>
            <w:proofErr w:type="spellStart"/>
            <w:r w:rsidRPr="00E8251D">
              <w:rPr>
                <w:rFonts w:ascii="Arial" w:hAnsi="Arial" w:cs="Arial"/>
                <w:b/>
                <w:bCs/>
                <w:color w:val="000000"/>
                <w:sz w:val="22"/>
                <w:szCs w:val="22"/>
              </w:rPr>
              <w:t>Rx</w:t>
            </w:r>
            <w:r>
              <w:rPr>
                <w:rFonts w:ascii="Arial" w:hAnsi="Arial" w:cs="Arial"/>
                <w:b/>
                <w:bCs/>
                <w:color w:val="000000"/>
                <w:sz w:val="22"/>
                <w:szCs w:val="22"/>
                <w:vertAlign w:val="superscript"/>
              </w:rPr>
              <w:t>a</w:t>
            </w:r>
            <w:proofErr w:type="spellEnd"/>
          </w:p>
        </w:tc>
        <w:tc>
          <w:tcPr>
            <w:tcW w:w="1081" w:type="dxa"/>
            <w:shd w:val="clear" w:color="auto" w:fill="auto"/>
            <w:noWrap/>
            <w:tcMar>
              <w:top w:w="15" w:type="dxa"/>
              <w:left w:w="15" w:type="dxa"/>
              <w:bottom w:w="0" w:type="dxa"/>
              <w:right w:w="15" w:type="dxa"/>
            </w:tcMar>
            <w:vAlign w:val="center"/>
            <w:hideMark/>
          </w:tcPr>
          <w:p w14:paraId="09252BD9" w14:textId="77777777" w:rsidR="003E5AE2" w:rsidRPr="00E8251D" w:rsidRDefault="003E5AE2" w:rsidP="0011417E">
            <w:pPr>
              <w:widowControl w:val="0"/>
              <w:spacing w:before="120" w:after="120"/>
              <w:jc w:val="center"/>
              <w:rPr>
                <w:rFonts w:ascii="Arial" w:hAnsi="Arial" w:cs="Arial"/>
                <w:color w:val="000000"/>
                <w:sz w:val="22"/>
                <w:szCs w:val="22"/>
              </w:rPr>
            </w:pPr>
            <w:r w:rsidRPr="00E8251D">
              <w:rPr>
                <w:rFonts w:ascii="Arial" w:hAnsi="Arial" w:cs="Arial"/>
                <w:color w:val="000000"/>
                <w:sz w:val="22"/>
                <w:szCs w:val="22"/>
              </w:rPr>
              <w:t>62.98</w:t>
            </w:r>
            <w:r>
              <w:rPr>
                <w:rFonts w:ascii="Arial" w:hAnsi="Arial" w:cs="Arial"/>
                <w:color w:val="000000"/>
                <w:sz w:val="22"/>
                <w:szCs w:val="22"/>
              </w:rPr>
              <w:t>%</w:t>
            </w:r>
          </w:p>
        </w:tc>
        <w:tc>
          <w:tcPr>
            <w:tcW w:w="991" w:type="dxa"/>
            <w:shd w:val="clear" w:color="auto" w:fill="auto"/>
            <w:noWrap/>
            <w:tcMar>
              <w:top w:w="15" w:type="dxa"/>
              <w:left w:w="15" w:type="dxa"/>
              <w:bottom w:w="0" w:type="dxa"/>
              <w:right w:w="15" w:type="dxa"/>
            </w:tcMar>
            <w:vAlign w:val="center"/>
            <w:hideMark/>
          </w:tcPr>
          <w:p w14:paraId="720FE7A4" w14:textId="77777777" w:rsidR="003E5AE2" w:rsidRPr="00E8251D" w:rsidRDefault="003E5AE2" w:rsidP="0011417E">
            <w:pPr>
              <w:widowControl w:val="0"/>
              <w:spacing w:before="120" w:after="120"/>
              <w:jc w:val="center"/>
              <w:rPr>
                <w:rFonts w:ascii="Arial" w:hAnsi="Arial" w:cs="Arial"/>
                <w:color w:val="000000"/>
                <w:sz w:val="22"/>
                <w:szCs w:val="22"/>
              </w:rPr>
            </w:pPr>
            <w:r w:rsidRPr="00E8251D">
              <w:rPr>
                <w:rFonts w:ascii="Arial" w:hAnsi="Arial" w:cs="Arial"/>
                <w:color w:val="000000"/>
                <w:sz w:val="22"/>
                <w:szCs w:val="22"/>
              </w:rPr>
              <w:t>19.60</w:t>
            </w:r>
            <w:r>
              <w:rPr>
                <w:rFonts w:ascii="Arial" w:hAnsi="Arial" w:cs="Arial"/>
                <w:color w:val="000000"/>
                <w:sz w:val="22"/>
                <w:szCs w:val="22"/>
              </w:rPr>
              <w:t>%</w:t>
            </w:r>
          </w:p>
        </w:tc>
        <w:tc>
          <w:tcPr>
            <w:tcW w:w="991" w:type="dxa"/>
            <w:shd w:val="clear" w:color="auto" w:fill="auto"/>
            <w:noWrap/>
            <w:tcMar>
              <w:top w:w="15" w:type="dxa"/>
              <w:left w:w="15" w:type="dxa"/>
              <w:bottom w:w="0" w:type="dxa"/>
              <w:right w:w="15" w:type="dxa"/>
            </w:tcMar>
            <w:vAlign w:val="center"/>
            <w:hideMark/>
          </w:tcPr>
          <w:p w14:paraId="6736672D" w14:textId="77777777" w:rsidR="003E5AE2" w:rsidRPr="00E8251D" w:rsidRDefault="003E5AE2" w:rsidP="0011417E">
            <w:pPr>
              <w:widowControl w:val="0"/>
              <w:spacing w:before="120" w:after="120"/>
              <w:jc w:val="center"/>
              <w:rPr>
                <w:rFonts w:ascii="Arial" w:hAnsi="Arial" w:cs="Arial"/>
                <w:color w:val="000000"/>
                <w:sz w:val="22"/>
                <w:szCs w:val="22"/>
              </w:rPr>
            </w:pPr>
            <w:r w:rsidRPr="00E8251D">
              <w:rPr>
                <w:rFonts w:ascii="Arial" w:hAnsi="Arial" w:cs="Arial"/>
                <w:color w:val="000000"/>
                <w:sz w:val="22"/>
                <w:szCs w:val="22"/>
              </w:rPr>
              <w:t>77.56</w:t>
            </w:r>
            <w:r>
              <w:rPr>
                <w:rFonts w:ascii="Arial" w:hAnsi="Arial" w:cs="Arial"/>
                <w:color w:val="000000"/>
                <w:sz w:val="22"/>
                <w:szCs w:val="22"/>
              </w:rPr>
              <w:t>%</w:t>
            </w:r>
          </w:p>
        </w:tc>
        <w:tc>
          <w:tcPr>
            <w:tcW w:w="991" w:type="dxa"/>
            <w:shd w:val="clear" w:color="auto" w:fill="auto"/>
            <w:noWrap/>
            <w:tcMar>
              <w:top w:w="15" w:type="dxa"/>
              <w:left w:w="15" w:type="dxa"/>
              <w:bottom w:w="0" w:type="dxa"/>
              <w:right w:w="15" w:type="dxa"/>
            </w:tcMar>
            <w:vAlign w:val="center"/>
            <w:hideMark/>
          </w:tcPr>
          <w:p w14:paraId="2D211911" w14:textId="77777777" w:rsidR="003E5AE2" w:rsidRPr="00E8251D" w:rsidRDefault="003E5AE2" w:rsidP="0011417E">
            <w:pPr>
              <w:widowControl w:val="0"/>
              <w:spacing w:before="120" w:after="120"/>
              <w:jc w:val="center"/>
              <w:rPr>
                <w:rFonts w:ascii="Arial" w:hAnsi="Arial" w:cs="Arial"/>
                <w:color w:val="000000"/>
                <w:sz w:val="22"/>
                <w:szCs w:val="22"/>
              </w:rPr>
            </w:pPr>
            <w:r w:rsidRPr="00E8251D">
              <w:rPr>
                <w:rFonts w:ascii="Arial" w:hAnsi="Arial" w:cs="Arial"/>
                <w:color w:val="000000"/>
                <w:sz w:val="22"/>
                <w:szCs w:val="22"/>
              </w:rPr>
              <w:t>19.86</w:t>
            </w:r>
            <w:r>
              <w:rPr>
                <w:rFonts w:ascii="Arial" w:hAnsi="Arial" w:cs="Arial"/>
                <w:color w:val="000000"/>
                <w:sz w:val="22"/>
                <w:szCs w:val="22"/>
              </w:rPr>
              <w:t>%</w:t>
            </w:r>
          </w:p>
        </w:tc>
        <w:tc>
          <w:tcPr>
            <w:tcW w:w="1081" w:type="dxa"/>
            <w:shd w:val="clear" w:color="auto" w:fill="auto"/>
            <w:noWrap/>
            <w:tcMar>
              <w:top w:w="15" w:type="dxa"/>
              <w:left w:w="15" w:type="dxa"/>
              <w:bottom w:w="0" w:type="dxa"/>
              <w:right w:w="15" w:type="dxa"/>
            </w:tcMar>
            <w:vAlign w:val="center"/>
            <w:hideMark/>
          </w:tcPr>
          <w:p w14:paraId="69CB7458" w14:textId="77777777" w:rsidR="003E5AE2" w:rsidRPr="00E8251D" w:rsidRDefault="003E5AE2" w:rsidP="0011417E">
            <w:pPr>
              <w:widowControl w:val="0"/>
              <w:spacing w:before="120" w:after="120"/>
              <w:jc w:val="center"/>
              <w:rPr>
                <w:rFonts w:ascii="Arial" w:hAnsi="Arial" w:cs="Arial"/>
                <w:color w:val="000000"/>
                <w:sz w:val="22"/>
                <w:szCs w:val="22"/>
              </w:rPr>
            </w:pPr>
            <w:r w:rsidRPr="00E8251D">
              <w:rPr>
                <w:rFonts w:ascii="Arial" w:hAnsi="Arial" w:cs="Arial"/>
                <w:color w:val="000000"/>
                <w:sz w:val="22"/>
                <w:szCs w:val="22"/>
              </w:rPr>
              <w:t>69.45</w:t>
            </w:r>
            <w:r>
              <w:rPr>
                <w:rFonts w:ascii="Arial" w:hAnsi="Arial" w:cs="Arial"/>
                <w:color w:val="000000"/>
                <w:sz w:val="22"/>
                <w:szCs w:val="22"/>
              </w:rPr>
              <w:t>%</w:t>
            </w:r>
          </w:p>
        </w:tc>
        <w:tc>
          <w:tcPr>
            <w:tcW w:w="1081" w:type="dxa"/>
            <w:shd w:val="clear" w:color="auto" w:fill="auto"/>
            <w:noWrap/>
            <w:tcMar>
              <w:top w:w="15" w:type="dxa"/>
              <w:left w:w="15" w:type="dxa"/>
              <w:bottom w:w="0" w:type="dxa"/>
              <w:right w:w="15" w:type="dxa"/>
            </w:tcMar>
            <w:vAlign w:val="center"/>
            <w:hideMark/>
          </w:tcPr>
          <w:p w14:paraId="3D3B45A3" w14:textId="77777777" w:rsidR="003E5AE2" w:rsidRPr="00E8251D" w:rsidRDefault="003E5AE2" w:rsidP="0011417E">
            <w:pPr>
              <w:widowControl w:val="0"/>
              <w:spacing w:before="120" w:after="120"/>
              <w:jc w:val="center"/>
              <w:rPr>
                <w:rFonts w:ascii="Arial" w:hAnsi="Arial" w:cs="Arial"/>
                <w:color w:val="000000"/>
                <w:sz w:val="22"/>
                <w:szCs w:val="22"/>
              </w:rPr>
            </w:pPr>
            <w:r w:rsidRPr="00E8251D">
              <w:rPr>
                <w:rFonts w:ascii="Arial" w:hAnsi="Arial" w:cs="Arial"/>
                <w:color w:val="000000"/>
                <w:sz w:val="22"/>
                <w:szCs w:val="22"/>
              </w:rPr>
              <w:t>19.71</w:t>
            </w:r>
            <w:r>
              <w:rPr>
                <w:rFonts w:ascii="Arial" w:hAnsi="Arial" w:cs="Arial"/>
                <w:color w:val="000000"/>
                <w:sz w:val="22"/>
                <w:szCs w:val="22"/>
              </w:rPr>
              <w:t>%</w:t>
            </w:r>
          </w:p>
        </w:tc>
      </w:tr>
      <w:tr w:rsidR="003E5AE2" w:rsidRPr="00E8251D" w14:paraId="2C639A02" w14:textId="77777777" w:rsidTr="0011417E">
        <w:trPr>
          <w:trHeight w:val="273"/>
        </w:trPr>
        <w:tc>
          <w:tcPr>
            <w:tcW w:w="4409" w:type="dxa"/>
            <w:shd w:val="clear" w:color="auto" w:fill="auto"/>
            <w:tcMar>
              <w:top w:w="15" w:type="dxa"/>
              <w:left w:w="15" w:type="dxa"/>
              <w:bottom w:w="0" w:type="dxa"/>
              <w:right w:w="15" w:type="dxa"/>
            </w:tcMar>
            <w:vAlign w:val="center"/>
            <w:hideMark/>
          </w:tcPr>
          <w:p w14:paraId="4E05E0A2" w14:textId="77777777" w:rsidR="003E5AE2" w:rsidRPr="00E8251D" w:rsidRDefault="003E5AE2" w:rsidP="0011417E">
            <w:pPr>
              <w:widowControl w:val="0"/>
              <w:spacing w:before="120" w:after="120"/>
              <w:rPr>
                <w:rFonts w:ascii="Arial" w:hAnsi="Arial" w:cs="Arial"/>
                <w:b/>
                <w:bCs/>
                <w:color w:val="000000"/>
                <w:sz w:val="22"/>
                <w:szCs w:val="22"/>
              </w:rPr>
            </w:pPr>
            <w:r w:rsidRPr="00E8251D">
              <w:rPr>
                <w:rFonts w:ascii="Arial" w:hAnsi="Arial" w:cs="Arial"/>
                <w:b/>
                <w:bCs/>
                <w:color w:val="000000"/>
                <w:sz w:val="22"/>
                <w:szCs w:val="22"/>
              </w:rPr>
              <w:t>Patients received subsequent opioid Rx</w:t>
            </w:r>
          </w:p>
        </w:tc>
        <w:tc>
          <w:tcPr>
            <w:tcW w:w="1081" w:type="dxa"/>
            <w:shd w:val="clear" w:color="auto" w:fill="auto"/>
            <w:noWrap/>
            <w:tcMar>
              <w:top w:w="15" w:type="dxa"/>
              <w:left w:w="15" w:type="dxa"/>
              <w:bottom w:w="0" w:type="dxa"/>
              <w:right w:w="15" w:type="dxa"/>
            </w:tcMar>
            <w:vAlign w:val="center"/>
            <w:hideMark/>
          </w:tcPr>
          <w:p w14:paraId="5287791F" w14:textId="77777777" w:rsidR="003E5AE2" w:rsidRPr="00E8251D" w:rsidRDefault="003E5AE2" w:rsidP="0011417E">
            <w:pPr>
              <w:widowControl w:val="0"/>
              <w:spacing w:before="120" w:after="120"/>
              <w:jc w:val="center"/>
              <w:rPr>
                <w:rFonts w:ascii="Arial" w:hAnsi="Arial" w:cs="Arial"/>
                <w:color w:val="000000"/>
                <w:sz w:val="22"/>
                <w:szCs w:val="22"/>
              </w:rPr>
            </w:pPr>
            <w:r w:rsidRPr="00E8251D">
              <w:rPr>
                <w:rFonts w:ascii="Arial" w:hAnsi="Arial" w:cs="Arial"/>
                <w:color w:val="000000"/>
                <w:sz w:val="22"/>
                <w:szCs w:val="22"/>
              </w:rPr>
              <w:t>110</w:t>
            </w:r>
            <w:r>
              <w:rPr>
                <w:rFonts w:ascii="Arial" w:hAnsi="Arial" w:cs="Arial"/>
                <w:color w:val="000000"/>
                <w:sz w:val="22"/>
                <w:szCs w:val="22"/>
              </w:rPr>
              <w:t>,</w:t>
            </w:r>
            <w:r w:rsidRPr="00E8251D">
              <w:rPr>
                <w:rFonts w:ascii="Arial" w:hAnsi="Arial" w:cs="Arial"/>
                <w:color w:val="000000"/>
                <w:sz w:val="22"/>
                <w:szCs w:val="22"/>
              </w:rPr>
              <w:t>041</w:t>
            </w:r>
          </w:p>
        </w:tc>
        <w:tc>
          <w:tcPr>
            <w:tcW w:w="991" w:type="dxa"/>
            <w:shd w:val="clear" w:color="auto" w:fill="auto"/>
            <w:noWrap/>
            <w:tcMar>
              <w:top w:w="15" w:type="dxa"/>
              <w:left w:w="15" w:type="dxa"/>
              <w:bottom w:w="0" w:type="dxa"/>
              <w:right w:w="15" w:type="dxa"/>
            </w:tcMar>
            <w:vAlign w:val="center"/>
            <w:hideMark/>
          </w:tcPr>
          <w:p w14:paraId="323E8509" w14:textId="77777777" w:rsidR="003E5AE2" w:rsidRPr="00E8251D" w:rsidRDefault="003E5AE2" w:rsidP="0011417E">
            <w:pPr>
              <w:widowControl w:val="0"/>
              <w:spacing w:before="120" w:after="120"/>
              <w:jc w:val="center"/>
              <w:rPr>
                <w:rFonts w:ascii="Arial" w:hAnsi="Arial" w:cs="Arial"/>
                <w:color w:val="000000"/>
                <w:sz w:val="22"/>
                <w:szCs w:val="22"/>
              </w:rPr>
            </w:pPr>
            <w:r w:rsidRPr="00E8251D">
              <w:rPr>
                <w:rFonts w:ascii="Arial" w:hAnsi="Arial" w:cs="Arial"/>
                <w:color w:val="000000"/>
                <w:sz w:val="22"/>
                <w:szCs w:val="22"/>
              </w:rPr>
              <w:t>29</w:t>
            </w:r>
            <w:r>
              <w:rPr>
                <w:rFonts w:ascii="Arial" w:hAnsi="Arial" w:cs="Arial"/>
                <w:color w:val="000000"/>
                <w:sz w:val="22"/>
                <w:szCs w:val="22"/>
              </w:rPr>
              <w:t>,</w:t>
            </w:r>
            <w:r w:rsidRPr="00E8251D">
              <w:rPr>
                <w:rFonts w:ascii="Arial" w:hAnsi="Arial" w:cs="Arial"/>
                <w:color w:val="000000"/>
                <w:sz w:val="22"/>
                <w:szCs w:val="22"/>
              </w:rPr>
              <w:t>775</w:t>
            </w:r>
          </w:p>
        </w:tc>
        <w:tc>
          <w:tcPr>
            <w:tcW w:w="991" w:type="dxa"/>
            <w:shd w:val="clear" w:color="auto" w:fill="auto"/>
            <w:noWrap/>
            <w:tcMar>
              <w:top w:w="15" w:type="dxa"/>
              <w:left w:w="15" w:type="dxa"/>
              <w:bottom w:w="0" w:type="dxa"/>
              <w:right w:w="15" w:type="dxa"/>
            </w:tcMar>
            <w:vAlign w:val="center"/>
            <w:hideMark/>
          </w:tcPr>
          <w:p w14:paraId="23827DE4" w14:textId="77777777" w:rsidR="003E5AE2" w:rsidRPr="00E8251D" w:rsidRDefault="003E5AE2" w:rsidP="0011417E">
            <w:pPr>
              <w:widowControl w:val="0"/>
              <w:spacing w:before="120" w:after="120"/>
              <w:jc w:val="center"/>
              <w:rPr>
                <w:rFonts w:ascii="Arial" w:hAnsi="Arial" w:cs="Arial"/>
                <w:color w:val="000000"/>
                <w:sz w:val="22"/>
                <w:szCs w:val="22"/>
              </w:rPr>
            </w:pPr>
            <w:r w:rsidRPr="00E8251D">
              <w:rPr>
                <w:rFonts w:ascii="Arial" w:hAnsi="Arial" w:cs="Arial"/>
                <w:color w:val="000000"/>
                <w:sz w:val="22"/>
                <w:szCs w:val="22"/>
              </w:rPr>
              <w:t>140</w:t>
            </w:r>
            <w:r>
              <w:rPr>
                <w:rFonts w:ascii="Arial" w:hAnsi="Arial" w:cs="Arial"/>
                <w:color w:val="000000"/>
                <w:sz w:val="22"/>
                <w:szCs w:val="22"/>
              </w:rPr>
              <w:t>,</w:t>
            </w:r>
            <w:r w:rsidRPr="00E8251D">
              <w:rPr>
                <w:rFonts w:ascii="Arial" w:hAnsi="Arial" w:cs="Arial"/>
                <w:color w:val="000000"/>
                <w:sz w:val="22"/>
                <w:szCs w:val="22"/>
              </w:rPr>
              <w:t>097</w:t>
            </w:r>
          </w:p>
        </w:tc>
        <w:tc>
          <w:tcPr>
            <w:tcW w:w="991" w:type="dxa"/>
            <w:shd w:val="clear" w:color="auto" w:fill="auto"/>
            <w:noWrap/>
            <w:tcMar>
              <w:top w:w="15" w:type="dxa"/>
              <w:left w:w="15" w:type="dxa"/>
              <w:bottom w:w="0" w:type="dxa"/>
              <w:right w:w="15" w:type="dxa"/>
            </w:tcMar>
            <w:vAlign w:val="center"/>
            <w:hideMark/>
          </w:tcPr>
          <w:p w14:paraId="60246293" w14:textId="77777777" w:rsidR="003E5AE2" w:rsidRPr="00E8251D" w:rsidRDefault="003E5AE2" w:rsidP="0011417E">
            <w:pPr>
              <w:widowControl w:val="0"/>
              <w:spacing w:before="120" w:after="120"/>
              <w:jc w:val="center"/>
              <w:rPr>
                <w:rFonts w:ascii="Arial" w:hAnsi="Arial" w:cs="Arial"/>
                <w:color w:val="000000"/>
                <w:sz w:val="22"/>
                <w:szCs w:val="22"/>
              </w:rPr>
            </w:pPr>
            <w:r w:rsidRPr="00E8251D">
              <w:rPr>
                <w:rFonts w:ascii="Arial" w:hAnsi="Arial" w:cs="Arial"/>
                <w:color w:val="000000"/>
                <w:sz w:val="22"/>
                <w:szCs w:val="22"/>
              </w:rPr>
              <w:t>24</w:t>
            </w:r>
            <w:r>
              <w:rPr>
                <w:rFonts w:ascii="Arial" w:hAnsi="Arial" w:cs="Arial"/>
                <w:color w:val="000000"/>
                <w:sz w:val="22"/>
                <w:szCs w:val="22"/>
              </w:rPr>
              <w:t>,</w:t>
            </w:r>
            <w:r w:rsidRPr="00E8251D">
              <w:rPr>
                <w:rFonts w:ascii="Arial" w:hAnsi="Arial" w:cs="Arial"/>
                <w:color w:val="000000"/>
                <w:sz w:val="22"/>
                <w:szCs w:val="22"/>
              </w:rPr>
              <w:t>474</w:t>
            </w:r>
          </w:p>
        </w:tc>
        <w:tc>
          <w:tcPr>
            <w:tcW w:w="1081" w:type="dxa"/>
            <w:shd w:val="clear" w:color="auto" w:fill="auto"/>
            <w:noWrap/>
            <w:tcMar>
              <w:top w:w="15" w:type="dxa"/>
              <w:left w:w="15" w:type="dxa"/>
              <w:bottom w:w="0" w:type="dxa"/>
              <w:right w:w="15" w:type="dxa"/>
            </w:tcMar>
            <w:vAlign w:val="center"/>
            <w:hideMark/>
          </w:tcPr>
          <w:p w14:paraId="6EE69DEE" w14:textId="77777777" w:rsidR="003E5AE2" w:rsidRPr="00E8251D" w:rsidRDefault="003E5AE2" w:rsidP="0011417E">
            <w:pPr>
              <w:widowControl w:val="0"/>
              <w:spacing w:before="120" w:after="120"/>
              <w:jc w:val="center"/>
              <w:rPr>
                <w:rFonts w:ascii="Arial" w:hAnsi="Arial" w:cs="Arial"/>
                <w:color w:val="000000"/>
                <w:sz w:val="22"/>
                <w:szCs w:val="22"/>
              </w:rPr>
            </w:pPr>
            <w:r w:rsidRPr="00E8251D">
              <w:rPr>
                <w:rFonts w:ascii="Arial" w:hAnsi="Arial" w:cs="Arial"/>
                <w:color w:val="000000"/>
                <w:sz w:val="22"/>
                <w:szCs w:val="22"/>
              </w:rPr>
              <w:t>250</w:t>
            </w:r>
            <w:r>
              <w:rPr>
                <w:rFonts w:ascii="Arial" w:hAnsi="Arial" w:cs="Arial"/>
                <w:color w:val="000000"/>
                <w:sz w:val="22"/>
                <w:szCs w:val="22"/>
              </w:rPr>
              <w:t>,</w:t>
            </w:r>
            <w:r w:rsidRPr="00E8251D">
              <w:rPr>
                <w:rFonts w:ascii="Arial" w:hAnsi="Arial" w:cs="Arial"/>
                <w:color w:val="000000"/>
                <w:sz w:val="22"/>
                <w:szCs w:val="22"/>
              </w:rPr>
              <w:t>138</w:t>
            </w:r>
          </w:p>
        </w:tc>
        <w:tc>
          <w:tcPr>
            <w:tcW w:w="1081" w:type="dxa"/>
            <w:shd w:val="clear" w:color="auto" w:fill="auto"/>
            <w:noWrap/>
            <w:tcMar>
              <w:top w:w="15" w:type="dxa"/>
              <w:left w:w="15" w:type="dxa"/>
              <w:bottom w:w="0" w:type="dxa"/>
              <w:right w:w="15" w:type="dxa"/>
            </w:tcMar>
            <w:vAlign w:val="center"/>
            <w:hideMark/>
          </w:tcPr>
          <w:p w14:paraId="2045AF52" w14:textId="77777777" w:rsidR="003E5AE2" w:rsidRPr="00E8251D" w:rsidRDefault="003E5AE2" w:rsidP="0011417E">
            <w:pPr>
              <w:widowControl w:val="0"/>
              <w:spacing w:before="120" w:after="120"/>
              <w:jc w:val="center"/>
              <w:rPr>
                <w:rFonts w:ascii="Arial" w:hAnsi="Arial" w:cs="Arial"/>
                <w:color w:val="000000"/>
                <w:sz w:val="22"/>
                <w:szCs w:val="22"/>
              </w:rPr>
            </w:pPr>
            <w:r w:rsidRPr="00E8251D">
              <w:rPr>
                <w:rFonts w:ascii="Arial" w:hAnsi="Arial" w:cs="Arial"/>
                <w:color w:val="000000"/>
                <w:sz w:val="22"/>
                <w:szCs w:val="22"/>
              </w:rPr>
              <w:t>54</w:t>
            </w:r>
            <w:r>
              <w:rPr>
                <w:rFonts w:ascii="Arial" w:hAnsi="Arial" w:cs="Arial"/>
                <w:color w:val="000000"/>
                <w:sz w:val="22"/>
                <w:szCs w:val="22"/>
              </w:rPr>
              <w:t>,</w:t>
            </w:r>
            <w:r w:rsidRPr="00E8251D">
              <w:rPr>
                <w:rFonts w:ascii="Arial" w:hAnsi="Arial" w:cs="Arial"/>
                <w:color w:val="000000"/>
                <w:sz w:val="22"/>
                <w:szCs w:val="22"/>
              </w:rPr>
              <w:t>249</w:t>
            </w:r>
          </w:p>
        </w:tc>
      </w:tr>
      <w:tr w:rsidR="003E5AE2" w:rsidRPr="00E8251D" w14:paraId="1D3290E9" w14:textId="77777777" w:rsidTr="0011417E">
        <w:trPr>
          <w:trHeight w:val="66"/>
        </w:trPr>
        <w:tc>
          <w:tcPr>
            <w:tcW w:w="4409" w:type="dxa"/>
            <w:shd w:val="clear" w:color="auto" w:fill="auto"/>
            <w:tcMar>
              <w:top w:w="15" w:type="dxa"/>
              <w:left w:w="15" w:type="dxa"/>
              <w:bottom w:w="0" w:type="dxa"/>
              <w:right w:w="15" w:type="dxa"/>
            </w:tcMar>
            <w:vAlign w:val="center"/>
            <w:hideMark/>
          </w:tcPr>
          <w:p w14:paraId="04180191" w14:textId="77777777" w:rsidR="003E5AE2" w:rsidRPr="00E03620" w:rsidRDefault="003E5AE2" w:rsidP="0011417E">
            <w:pPr>
              <w:widowControl w:val="0"/>
              <w:spacing w:before="120" w:after="120"/>
              <w:ind w:left="288"/>
              <w:rPr>
                <w:rFonts w:ascii="Arial" w:hAnsi="Arial" w:cs="Arial"/>
                <w:b/>
                <w:bCs/>
                <w:color w:val="000000"/>
                <w:sz w:val="22"/>
                <w:szCs w:val="22"/>
                <w:vertAlign w:val="superscript"/>
              </w:rPr>
            </w:pPr>
            <w:r w:rsidRPr="00E8251D">
              <w:rPr>
                <w:rFonts w:ascii="Arial" w:hAnsi="Arial" w:cs="Arial"/>
                <w:b/>
                <w:bCs/>
                <w:color w:val="000000"/>
                <w:sz w:val="22"/>
                <w:szCs w:val="22"/>
              </w:rPr>
              <w:t xml:space="preserve">% Received subsequent opioid </w:t>
            </w:r>
            <w:proofErr w:type="spellStart"/>
            <w:r w:rsidRPr="00E8251D">
              <w:rPr>
                <w:rFonts w:ascii="Arial" w:hAnsi="Arial" w:cs="Arial"/>
                <w:b/>
                <w:bCs/>
                <w:color w:val="000000"/>
                <w:sz w:val="22"/>
                <w:szCs w:val="22"/>
              </w:rPr>
              <w:t>Rx</w:t>
            </w:r>
            <w:r>
              <w:rPr>
                <w:rFonts w:ascii="Arial" w:hAnsi="Arial" w:cs="Arial"/>
                <w:b/>
                <w:bCs/>
                <w:color w:val="000000"/>
                <w:sz w:val="22"/>
                <w:szCs w:val="22"/>
                <w:vertAlign w:val="superscript"/>
              </w:rPr>
              <w:t>c</w:t>
            </w:r>
            <w:proofErr w:type="spellEnd"/>
          </w:p>
        </w:tc>
        <w:tc>
          <w:tcPr>
            <w:tcW w:w="1081" w:type="dxa"/>
            <w:shd w:val="clear" w:color="auto" w:fill="auto"/>
            <w:noWrap/>
            <w:tcMar>
              <w:top w:w="15" w:type="dxa"/>
              <w:left w:w="15" w:type="dxa"/>
              <w:bottom w:w="0" w:type="dxa"/>
              <w:right w:w="15" w:type="dxa"/>
            </w:tcMar>
            <w:vAlign w:val="center"/>
            <w:hideMark/>
          </w:tcPr>
          <w:p w14:paraId="2800CC0D" w14:textId="77777777" w:rsidR="003E5AE2" w:rsidRPr="00E8251D" w:rsidRDefault="003E5AE2" w:rsidP="0011417E">
            <w:pPr>
              <w:widowControl w:val="0"/>
              <w:spacing w:before="120" w:after="120"/>
              <w:jc w:val="center"/>
              <w:rPr>
                <w:rFonts w:ascii="Arial" w:hAnsi="Arial" w:cs="Arial"/>
                <w:color w:val="000000"/>
                <w:sz w:val="22"/>
                <w:szCs w:val="22"/>
              </w:rPr>
            </w:pPr>
            <w:r w:rsidRPr="00E8251D">
              <w:rPr>
                <w:rFonts w:ascii="Arial" w:hAnsi="Arial" w:cs="Arial"/>
                <w:color w:val="000000"/>
                <w:sz w:val="22"/>
                <w:szCs w:val="22"/>
              </w:rPr>
              <w:t>50.51</w:t>
            </w:r>
            <w:r>
              <w:rPr>
                <w:rFonts w:ascii="Arial" w:hAnsi="Arial" w:cs="Arial"/>
                <w:color w:val="000000"/>
                <w:sz w:val="22"/>
                <w:szCs w:val="22"/>
              </w:rPr>
              <w:t>%</w:t>
            </w:r>
          </w:p>
        </w:tc>
        <w:tc>
          <w:tcPr>
            <w:tcW w:w="991" w:type="dxa"/>
            <w:shd w:val="clear" w:color="auto" w:fill="auto"/>
            <w:noWrap/>
            <w:tcMar>
              <w:top w:w="15" w:type="dxa"/>
              <w:left w:w="15" w:type="dxa"/>
              <w:bottom w:w="0" w:type="dxa"/>
              <w:right w:w="15" w:type="dxa"/>
            </w:tcMar>
            <w:vAlign w:val="center"/>
            <w:hideMark/>
          </w:tcPr>
          <w:p w14:paraId="41A0E74A" w14:textId="77777777" w:rsidR="003E5AE2" w:rsidRPr="00E8251D" w:rsidRDefault="003E5AE2" w:rsidP="0011417E">
            <w:pPr>
              <w:widowControl w:val="0"/>
              <w:spacing w:before="120" w:after="120"/>
              <w:jc w:val="center"/>
              <w:rPr>
                <w:rFonts w:ascii="Arial" w:hAnsi="Arial" w:cs="Arial"/>
                <w:color w:val="000000"/>
                <w:sz w:val="22"/>
                <w:szCs w:val="22"/>
              </w:rPr>
            </w:pPr>
            <w:r w:rsidRPr="00E8251D">
              <w:rPr>
                <w:rFonts w:ascii="Arial" w:hAnsi="Arial" w:cs="Arial"/>
                <w:color w:val="000000"/>
                <w:sz w:val="22"/>
                <w:szCs w:val="22"/>
              </w:rPr>
              <w:t>30.90</w:t>
            </w:r>
            <w:r>
              <w:rPr>
                <w:rFonts w:ascii="Arial" w:hAnsi="Arial" w:cs="Arial"/>
                <w:color w:val="000000"/>
                <w:sz w:val="22"/>
                <w:szCs w:val="22"/>
              </w:rPr>
              <w:t>%</w:t>
            </w:r>
          </w:p>
        </w:tc>
        <w:tc>
          <w:tcPr>
            <w:tcW w:w="991" w:type="dxa"/>
            <w:shd w:val="clear" w:color="auto" w:fill="auto"/>
            <w:noWrap/>
            <w:tcMar>
              <w:top w:w="15" w:type="dxa"/>
              <w:left w:w="15" w:type="dxa"/>
              <w:bottom w:w="0" w:type="dxa"/>
              <w:right w:w="15" w:type="dxa"/>
            </w:tcMar>
            <w:vAlign w:val="center"/>
            <w:hideMark/>
          </w:tcPr>
          <w:p w14:paraId="54D5D02F" w14:textId="77777777" w:rsidR="003E5AE2" w:rsidRPr="00E8251D" w:rsidRDefault="003E5AE2" w:rsidP="0011417E">
            <w:pPr>
              <w:widowControl w:val="0"/>
              <w:spacing w:before="120" w:after="120"/>
              <w:jc w:val="center"/>
              <w:rPr>
                <w:rFonts w:ascii="Arial" w:hAnsi="Arial" w:cs="Arial"/>
                <w:color w:val="000000"/>
                <w:sz w:val="22"/>
                <w:szCs w:val="22"/>
              </w:rPr>
            </w:pPr>
            <w:r w:rsidRPr="00E8251D">
              <w:rPr>
                <w:rFonts w:ascii="Arial" w:hAnsi="Arial" w:cs="Arial"/>
                <w:color w:val="000000"/>
                <w:sz w:val="22"/>
                <w:szCs w:val="22"/>
              </w:rPr>
              <w:t>65.44</w:t>
            </w:r>
            <w:r>
              <w:rPr>
                <w:rFonts w:ascii="Arial" w:hAnsi="Arial" w:cs="Arial"/>
                <w:color w:val="000000"/>
                <w:sz w:val="22"/>
                <w:szCs w:val="22"/>
              </w:rPr>
              <w:t>%</w:t>
            </w:r>
          </w:p>
        </w:tc>
        <w:tc>
          <w:tcPr>
            <w:tcW w:w="991" w:type="dxa"/>
            <w:shd w:val="clear" w:color="auto" w:fill="auto"/>
            <w:noWrap/>
            <w:tcMar>
              <w:top w:w="15" w:type="dxa"/>
              <w:left w:w="15" w:type="dxa"/>
              <w:bottom w:w="0" w:type="dxa"/>
              <w:right w:w="15" w:type="dxa"/>
            </w:tcMar>
            <w:vAlign w:val="center"/>
            <w:hideMark/>
          </w:tcPr>
          <w:p w14:paraId="29A06DCC" w14:textId="77777777" w:rsidR="003E5AE2" w:rsidRPr="00E8251D" w:rsidRDefault="003E5AE2" w:rsidP="0011417E">
            <w:pPr>
              <w:widowControl w:val="0"/>
              <w:spacing w:before="120" w:after="120"/>
              <w:jc w:val="center"/>
              <w:rPr>
                <w:rFonts w:ascii="Arial" w:hAnsi="Arial" w:cs="Arial"/>
                <w:color w:val="000000"/>
                <w:sz w:val="22"/>
                <w:szCs w:val="22"/>
              </w:rPr>
            </w:pPr>
            <w:r w:rsidRPr="00E8251D">
              <w:rPr>
                <w:rFonts w:ascii="Arial" w:hAnsi="Arial" w:cs="Arial"/>
                <w:color w:val="000000"/>
                <w:sz w:val="22"/>
                <w:szCs w:val="22"/>
              </w:rPr>
              <w:t>33.10</w:t>
            </w:r>
            <w:r>
              <w:rPr>
                <w:rFonts w:ascii="Arial" w:hAnsi="Arial" w:cs="Arial"/>
                <w:color w:val="000000"/>
                <w:sz w:val="22"/>
                <w:szCs w:val="22"/>
              </w:rPr>
              <w:t>%</w:t>
            </w:r>
          </w:p>
        </w:tc>
        <w:tc>
          <w:tcPr>
            <w:tcW w:w="1081" w:type="dxa"/>
            <w:shd w:val="clear" w:color="auto" w:fill="auto"/>
            <w:noWrap/>
            <w:tcMar>
              <w:top w:w="15" w:type="dxa"/>
              <w:left w:w="15" w:type="dxa"/>
              <w:bottom w:w="0" w:type="dxa"/>
              <w:right w:w="15" w:type="dxa"/>
            </w:tcMar>
            <w:vAlign w:val="center"/>
            <w:hideMark/>
          </w:tcPr>
          <w:p w14:paraId="0AA0F2F8" w14:textId="77777777" w:rsidR="003E5AE2" w:rsidRPr="00E8251D" w:rsidRDefault="003E5AE2" w:rsidP="0011417E">
            <w:pPr>
              <w:widowControl w:val="0"/>
              <w:spacing w:before="120" w:after="120"/>
              <w:jc w:val="center"/>
              <w:rPr>
                <w:rFonts w:ascii="Arial" w:hAnsi="Arial" w:cs="Arial"/>
                <w:color w:val="000000"/>
                <w:sz w:val="22"/>
                <w:szCs w:val="22"/>
              </w:rPr>
            </w:pPr>
            <w:r w:rsidRPr="00E8251D">
              <w:rPr>
                <w:rFonts w:ascii="Arial" w:hAnsi="Arial" w:cs="Arial"/>
                <w:color w:val="000000"/>
                <w:sz w:val="22"/>
                <w:szCs w:val="22"/>
              </w:rPr>
              <w:t>57.91</w:t>
            </w:r>
            <w:r>
              <w:rPr>
                <w:rFonts w:ascii="Arial" w:hAnsi="Arial" w:cs="Arial"/>
                <w:color w:val="000000"/>
                <w:sz w:val="22"/>
                <w:szCs w:val="22"/>
              </w:rPr>
              <w:t>%</w:t>
            </w:r>
          </w:p>
        </w:tc>
        <w:tc>
          <w:tcPr>
            <w:tcW w:w="1081" w:type="dxa"/>
            <w:shd w:val="clear" w:color="auto" w:fill="auto"/>
            <w:noWrap/>
            <w:tcMar>
              <w:top w:w="15" w:type="dxa"/>
              <w:left w:w="15" w:type="dxa"/>
              <w:bottom w:w="0" w:type="dxa"/>
              <w:right w:w="15" w:type="dxa"/>
            </w:tcMar>
            <w:vAlign w:val="center"/>
            <w:hideMark/>
          </w:tcPr>
          <w:p w14:paraId="5B95CEFC" w14:textId="77777777" w:rsidR="003E5AE2" w:rsidRPr="00E8251D" w:rsidRDefault="003E5AE2" w:rsidP="0011417E">
            <w:pPr>
              <w:widowControl w:val="0"/>
              <w:spacing w:before="120" w:after="120"/>
              <w:jc w:val="center"/>
              <w:rPr>
                <w:rFonts w:ascii="Arial" w:hAnsi="Arial" w:cs="Arial"/>
                <w:color w:val="000000"/>
                <w:sz w:val="22"/>
                <w:szCs w:val="22"/>
              </w:rPr>
            </w:pPr>
            <w:r w:rsidRPr="00E8251D">
              <w:rPr>
                <w:rFonts w:ascii="Arial" w:hAnsi="Arial" w:cs="Arial"/>
                <w:color w:val="000000"/>
                <w:sz w:val="22"/>
                <w:szCs w:val="22"/>
              </w:rPr>
              <w:t>31.86</w:t>
            </w:r>
            <w:r>
              <w:rPr>
                <w:rFonts w:ascii="Arial" w:hAnsi="Arial" w:cs="Arial"/>
                <w:color w:val="000000"/>
                <w:sz w:val="22"/>
                <w:szCs w:val="22"/>
              </w:rPr>
              <w:t>%</w:t>
            </w:r>
          </w:p>
        </w:tc>
      </w:tr>
      <w:tr w:rsidR="003E5AE2" w:rsidRPr="00E8251D" w14:paraId="47DF79C5" w14:textId="77777777" w:rsidTr="0011417E">
        <w:trPr>
          <w:trHeight w:val="300"/>
        </w:trPr>
        <w:tc>
          <w:tcPr>
            <w:tcW w:w="10625" w:type="dxa"/>
            <w:gridSpan w:val="7"/>
            <w:tcBorders>
              <w:top w:val="single" w:sz="4" w:space="0" w:color="auto"/>
              <w:bottom w:val="single" w:sz="4" w:space="0" w:color="auto"/>
            </w:tcBorders>
            <w:shd w:val="clear" w:color="auto" w:fill="auto"/>
            <w:tcMar>
              <w:top w:w="15" w:type="dxa"/>
              <w:left w:w="15" w:type="dxa"/>
              <w:bottom w:w="0" w:type="dxa"/>
              <w:right w:w="15" w:type="dxa"/>
            </w:tcMar>
            <w:vAlign w:val="center"/>
          </w:tcPr>
          <w:p w14:paraId="37EDFBAF" w14:textId="77777777" w:rsidR="003E5AE2" w:rsidRDefault="003E5AE2" w:rsidP="0011417E">
            <w:pPr>
              <w:widowControl w:val="0"/>
              <w:spacing w:before="120" w:after="120"/>
              <w:rPr>
                <w:rFonts w:ascii="Arial" w:hAnsi="Arial" w:cs="Arial"/>
                <w:color w:val="000000"/>
                <w:sz w:val="22"/>
                <w:szCs w:val="22"/>
              </w:rPr>
            </w:pPr>
            <w:r>
              <w:rPr>
                <w:rFonts w:ascii="Arial" w:hAnsi="Arial" w:cs="Arial"/>
                <w:color w:val="000000"/>
                <w:sz w:val="22"/>
                <w:szCs w:val="22"/>
              </w:rPr>
              <w:t xml:space="preserve">Abbreviations: Rx – prescription; % – percent </w:t>
            </w:r>
          </w:p>
          <w:p w14:paraId="3FDD3587" w14:textId="77777777" w:rsidR="003E5AE2" w:rsidRDefault="003E5AE2" w:rsidP="0011417E">
            <w:pPr>
              <w:widowControl w:val="0"/>
              <w:spacing w:before="120" w:after="120"/>
              <w:rPr>
                <w:rFonts w:ascii="Arial" w:hAnsi="Arial" w:cs="Arial"/>
                <w:color w:val="000000"/>
                <w:sz w:val="22"/>
                <w:szCs w:val="22"/>
              </w:rPr>
            </w:pPr>
            <w:r>
              <w:rPr>
                <w:rFonts w:ascii="Arial" w:hAnsi="Arial" w:cs="Arial"/>
                <w:color w:val="000000"/>
                <w:sz w:val="22"/>
                <w:szCs w:val="22"/>
              </w:rPr>
              <w:t>a – number of patients who received an index opioid Rx divided by total patients</w:t>
            </w:r>
          </w:p>
          <w:p w14:paraId="245B446D" w14:textId="77777777" w:rsidR="003E5AE2" w:rsidRDefault="003E5AE2" w:rsidP="0011417E">
            <w:pPr>
              <w:widowControl w:val="0"/>
              <w:spacing w:before="120" w:after="120"/>
              <w:rPr>
                <w:rFonts w:ascii="Arial" w:hAnsi="Arial" w:cs="Arial"/>
                <w:color w:val="000000"/>
                <w:sz w:val="22"/>
                <w:szCs w:val="22"/>
              </w:rPr>
            </w:pPr>
            <w:r>
              <w:rPr>
                <w:rFonts w:ascii="Arial" w:hAnsi="Arial" w:cs="Arial"/>
                <w:color w:val="000000"/>
                <w:sz w:val="22"/>
                <w:szCs w:val="22"/>
              </w:rPr>
              <w:t xml:space="preserve">b – number of index opioid </w:t>
            </w:r>
            <w:proofErr w:type="spellStart"/>
            <w:r>
              <w:rPr>
                <w:rFonts w:ascii="Arial" w:hAnsi="Arial" w:cs="Arial"/>
                <w:color w:val="000000"/>
                <w:sz w:val="22"/>
                <w:szCs w:val="22"/>
              </w:rPr>
              <w:t>Rxs</w:t>
            </w:r>
            <w:proofErr w:type="spellEnd"/>
            <w:r>
              <w:rPr>
                <w:rFonts w:ascii="Arial" w:hAnsi="Arial" w:cs="Arial"/>
                <w:color w:val="000000"/>
                <w:sz w:val="22"/>
                <w:szCs w:val="22"/>
              </w:rPr>
              <w:t xml:space="preserve"> divided by the number of patients who received an index opioid Rx</w:t>
            </w:r>
          </w:p>
          <w:p w14:paraId="5C5CCEE8" w14:textId="77777777" w:rsidR="003E5AE2" w:rsidRDefault="003E5AE2" w:rsidP="0011417E">
            <w:pPr>
              <w:widowControl w:val="0"/>
              <w:spacing w:before="120" w:after="120"/>
              <w:rPr>
                <w:rFonts w:ascii="Arial" w:hAnsi="Arial" w:cs="Arial"/>
                <w:color w:val="000000"/>
                <w:sz w:val="22"/>
                <w:szCs w:val="22"/>
              </w:rPr>
            </w:pPr>
            <w:r>
              <w:rPr>
                <w:rFonts w:ascii="Arial" w:hAnsi="Arial" w:cs="Arial"/>
                <w:color w:val="000000"/>
                <w:sz w:val="22"/>
                <w:szCs w:val="22"/>
              </w:rPr>
              <w:t>c – number of patients who received a subsequent opioid Rx divided by the number of patients who received an index opioid Rx</w:t>
            </w:r>
          </w:p>
          <w:p w14:paraId="6F7A74CB" w14:textId="77777777" w:rsidR="003E5AE2" w:rsidRPr="00E8251D" w:rsidRDefault="003E5AE2" w:rsidP="0011417E">
            <w:pPr>
              <w:widowControl w:val="0"/>
              <w:spacing w:before="120" w:after="120"/>
              <w:rPr>
                <w:rFonts w:ascii="Arial" w:hAnsi="Arial" w:cs="Arial"/>
                <w:color w:val="000000"/>
                <w:sz w:val="22"/>
                <w:szCs w:val="22"/>
              </w:rPr>
            </w:pPr>
            <w:r>
              <w:rPr>
                <w:rFonts w:ascii="Arial" w:hAnsi="Arial" w:cs="Arial"/>
                <w:color w:val="000000"/>
                <w:sz w:val="22"/>
                <w:szCs w:val="22"/>
              </w:rPr>
              <w:t xml:space="preserve">d – number of subsequent opioid </w:t>
            </w:r>
            <w:proofErr w:type="spellStart"/>
            <w:r>
              <w:rPr>
                <w:rFonts w:ascii="Arial" w:hAnsi="Arial" w:cs="Arial"/>
                <w:color w:val="000000"/>
                <w:sz w:val="22"/>
                <w:szCs w:val="22"/>
              </w:rPr>
              <w:t>Rxs</w:t>
            </w:r>
            <w:proofErr w:type="spellEnd"/>
            <w:r>
              <w:rPr>
                <w:rFonts w:ascii="Arial" w:hAnsi="Arial" w:cs="Arial"/>
                <w:color w:val="000000"/>
                <w:sz w:val="22"/>
                <w:szCs w:val="22"/>
              </w:rPr>
              <w:t xml:space="preserve"> divided by the number of patients who received subsequent opioid Rx</w:t>
            </w:r>
          </w:p>
        </w:tc>
      </w:tr>
    </w:tbl>
    <w:p w14:paraId="634F554E" w14:textId="77777777" w:rsidR="003E5AE2" w:rsidRDefault="003E5AE2" w:rsidP="003E5AE2">
      <w:pPr>
        <w:rPr>
          <w:rFonts w:ascii="Arial" w:hAnsi="Arial" w:cs="Arial"/>
          <w:b/>
          <w:bCs/>
          <w:color w:val="000000" w:themeColor="text1"/>
          <w:sz w:val="22"/>
          <w:szCs w:val="22"/>
        </w:rPr>
        <w:sectPr w:rsidR="003E5AE2" w:rsidSect="00AF2C76">
          <w:pgSz w:w="12240" w:h="15840"/>
          <w:pgMar w:top="720" w:right="720" w:bottom="720" w:left="720" w:header="720" w:footer="720" w:gutter="0"/>
          <w:cols w:space="720"/>
          <w:docGrid w:linePitch="360"/>
        </w:sectPr>
      </w:pPr>
      <w:r>
        <w:rPr>
          <w:rFonts w:ascii="Arial" w:hAnsi="Arial" w:cs="Arial"/>
          <w:b/>
          <w:bCs/>
          <w:color w:val="000000"/>
          <w:sz w:val="22"/>
          <w:szCs w:val="22"/>
        </w:rPr>
        <w:t>Table 1. Patients receiving care for surgery and injury pain at two integrated healthcare systems in North Carolina, 2014-2019.</w:t>
      </w:r>
      <w:r w:rsidRPr="00E8251D">
        <w:rPr>
          <w:rFonts w:ascii="Arial" w:hAnsi="Arial" w:cs="Arial"/>
          <w:b/>
          <w:bCs/>
          <w:color w:val="000000" w:themeColor="text1"/>
          <w:sz w:val="22"/>
          <w:szCs w:val="22"/>
        </w:rPr>
        <w:br w:type="page"/>
      </w:r>
    </w:p>
    <w:p w14:paraId="758869E6" w14:textId="77777777" w:rsidR="003E5AE2" w:rsidRPr="00E8251D" w:rsidRDefault="003E5AE2" w:rsidP="003E5AE2">
      <w:pPr>
        <w:rPr>
          <w:rFonts w:ascii="Arial" w:hAnsi="Arial" w:cs="Arial"/>
          <w:b/>
          <w:bCs/>
          <w:color w:val="000000" w:themeColor="text1"/>
          <w:sz w:val="22"/>
          <w:szCs w:val="22"/>
        </w:rPr>
      </w:pPr>
      <w:r w:rsidRPr="00E8251D">
        <w:rPr>
          <w:rFonts w:ascii="Arial" w:hAnsi="Arial" w:cs="Arial"/>
          <w:b/>
          <w:bCs/>
          <w:color w:val="000000" w:themeColor="text1"/>
          <w:sz w:val="22"/>
          <w:szCs w:val="22"/>
        </w:rPr>
        <w:lastRenderedPageBreak/>
        <w:t>Table 2. Control Interrupted Time Series Results of Opioid Use for surgery and injury based on two policy implementations in North Carolina compared to benzodiazepine prescriptions from April 2014 through December 2019</w:t>
      </w:r>
    </w:p>
    <w:p w14:paraId="0D539139" w14:textId="77777777" w:rsidR="003E5AE2" w:rsidRPr="00E8251D" w:rsidRDefault="003E5AE2" w:rsidP="003E5AE2">
      <w:pPr>
        <w:rPr>
          <w:rFonts w:ascii="Arial" w:hAnsi="Arial" w:cs="Arial"/>
          <w:color w:val="000000" w:themeColor="text1"/>
          <w:sz w:val="22"/>
          <w:szCs w:val="22"/>
        </w:rPr>
      </w:pPr>
    </w:p>
    <w:tbl>
      <w:tblPr>
        <w:tblW w:w="4188" w:type="pct"/>
        <w:tblLayout w:type="fixed"/>
        <w:tblLook w:val="04A0" w:firstRow="1" w:lastRow="0" w:firstColumn="1" w:lastColumn="0" w:noHBand="0" w:noVBand="1"/>
      </w:tblPr>
      <w:tblGrid>
        <w:gridCol w:w="2759"/>
        <w:gridCol w:w="2292"/>
        <w:gridCol w:w="2376"/>
        <w:gridCol w:w="2265"/>
        <w:gridCol w:w="2369"/>
      </w:tblGrid>
      <w:tr w:rsidR="003E5AE2" w:rsidRPr="00E8251D" w14:paraId="298B060E" w14:textId="77777777" w:rsidTr="0011417E">
        <w:trPr>
          <w:trHeight w:val="259"/>
        </w:trPr>
        <w:tc>
          <w:tcPr>
            <w:tcW w:w="1144" w:type="pct"/>
            <w:tcBorders>
              <w:top w:val="single" w:sz="4" w:space="0" w:color="auto"/>
            </w:tcBorders>
            <w:noWrap/>
            <w:vAlign w:val="center"/>
          </w:tcPr>
          <w:p w14:paraId="59F6E423" w14:textId="77777777" w:rsidR="003E5AE2" w:rsidRPr="00E8251D" w:rsidRDefault="003E5AE2" w:rsidP="0011417E">
            <w:pPr>
              <w:rPr>
                <w:rFonts w:ascii="Arial" w:hAnsi="Arial" w:cs="Arial"/>
                <w:b/>
                <w:bCs/>
                <w:color w:val="000000" w:themeColor="text1"/>
                <w:sz w:val="22"/>
                <w:szCs w:val="22"/>
              </w:rPr>
            </w:pPr>
          </w:p>
        </w:tc>
        <w:tc>
          <w:tcPr>
            <w:tcW w:w="3856" w:type="pct"/>
            <w:gridSpan w:val="4"/>
            <w:tcBorders>
              <w:top w:val="single" w:sz="4" w:space="0" w:color="auto"/>
              <w:bottom w:val="single" w:sz="4" w:space="0" w:color="auto"/>
            </w:tcBorders>
            <w:noWrap/>
            <w:vAlign w:val="center"/>
          </w:tcPr>
          <w:p w14:paraId="6F9B07E6" w14:textId="77777777" w:rsidR="003E5AE2" w:rsidRPr="00E8251D" w:rsidRDefault="003E5AE2" w:rsidP="0011417E">
            <w:pPr>
              <w:jc w:val="center"/>
              <w:rPr>
                <w:rFonts w:ascii="Arial" w:hAnsi="Arial" w:cs="Arial"/>
                <w:b/>
                <w:bCs/>
                <w:color w:val="000000" w:themeColor="text1"/>
                <w:sz w:val="22"/>
                <w:szCs w:val="22"/>
                <w:shd w:val="clear" w:color="auto" w:fill="FFFFFF"/>
              </w:rPr>
            </w:pPr>
            <w:r w:rsidRPr="00E8251D">
              <w:rPr>
                <w:rFonts w:ascii="Arial" w:hAnsi="Arial" w:cs="Arial"/>
                <w:b/>
                <w:bCs/>
                <w:color w:val="000000" w:themeColor="text1"/>
                <w:sz w:val="22"/>
                <w:szCs w:val="22"/>
                <w:shd w:val="clear" w:color="auto" w:fill="FFFFFF"/>
              </w:rPr>
              <w:t>Rates (95% CI)</w:t>
            </w:r>
          </w:p>
        </w:tc>
      </w:tr>
      <w:tr w:rsidR="003E5AE2" w:rsidRPr="00E8251D" w14:paraId="236536E5" w14:textId="77777777" w:rsidTr="0011417E">
        <w:trPr>
          <w:trHeight w:val="259"/>
        </w:trPr>
        <w:tc>
          <w:tcPr>
            <w:tcW w:w="1144" w:type="pct"/>
            <w:tcBorders>
              <w:top w:val="single" w:sz="4" w:space="0" w:color="auto"/>
            </w:tcBorders>
            <w:noWrap/>
            <w:vAlign w:val="center"/>
          </w:tcPr>
          <w:p w14:paraId="55741888" w14:textId="77777777" w:rsidR="003E5AE2" w:rsidRPr="00E8251D" w:rsidRDefault="003E5AE2" w:rsidP="0011417E">
            <w:pPr>
              <w:rPr>
                <w:rFonts w:ascii="Arial" w:hAnsi="Arial" w:cs="Arial"/>
                <w:b/>
                <w:bCs/>
                <w:color w:val="000000" w:themeColor="text1"/>
                <w:sz w:val="22"/>
                <w:szCs w:val="22"/>
              </w:rPr>
            </w:pPr>
            <w:r w:rsidRPr="00E8251D">
              <w:rPr>
                <w:rFonts w:ascii="Arial" w:hAnsi="Arial" w:cs="Arial"/>
                <w:b/>
                <w:bCs/>
                <w:color w:val="000000" w:themeColor="text1"/>
                <w:sz w:val="22"/>
                <w:szCs w:val="22"/>
              </w:rPr>
              <w:t>Categories</w:t>
            </w:r>
          </w:p>
        </w:tc>
        <w:tc>
          <w:tcPr>
            <w:tcW w:w="950" w:type="pct"/>
            <w:tcBorders>
              <w:top w:val="single" w:sz="4" w:space="0" w:color="auto"/>
              <w:bottom w:val="single" w:sz="4" w:space="0" w:color="auto"/>
            </w:tcBorders>
            <w:noWrap/>
            <w:vAlign w:val="center"/>
          </w:tcPr>
          <w:p w14:paraId="61DE0441" w14:textId="77777777" w:rsidR="003E5AE2" w:rsidRPr="00E8251D" w:rsidRDefault="003E5AE2" w:rsidP="0011417E">
            <w:pPr>
              <w:jc w:val="center"/>
              <w:rPr>
                <w:rFonts w:ascii="Arial" w:hAnsi="Arial" w:cs="Arial"/>
                <w:b/>
                <w:bCs/>
                <w:color w:val="000000" w:themeColor="text1"/>
                <w:sz w:val="22"/>
                <w:szCs w:val="22"/>
                <w:shd w:val="clear" w:color="auto" w:fill="FFFFFF"/>
              </w:rPr>
            </w:pPr>
            <w:r>
              <w:rPr>
                <w:rFonts w:ascii="Arial" w:hAnsi="Arial" w:cs="Arial"/>
                <w:b/>
                <w:bCs/>
                <w:color w:val="000000" w:themeColor="text1"/>
                <w:sz w:val="22"/>
                <w:szCs w:val="22"/>
                <w:shd w:val="clear" w:color="auto" w:fill="FFFFFF"/>
              </w:rPr>
              <w:t>Immediate absolute change post-</w:t>
            </w:r>
            <w:r w:rsidRPr="00E8251D">
              <w:rPr>
                <w:rFonts w:ascii="Arial" w:hAnsi="Arial" w:cs="Arial"/>
                <w:b/>
                <w:bCs/>
                <w:color w:val="000000" w:themeColor="text1"/>
                <w:sz w:val="22"/>
                <w:szCs w:val="22"/>
                <w:shd w:val="clear" w:color="auto" w:fill="FFFFFF"/>
              </w:rPr>
              <w:t>SOPI</w:t>
            </w:r>
          </w:p>
        </w:tc>
        <w:tc>
          <w:tcPr>
            <w:tcW w:w="985" w:type="pct"/>
            <w:tcBorders>
              <w:top w:val="single" w:sz="4" w:space="0" w:color="auto"/>
              <w:bottom w:val="single" w:sz="4" w:space="0" w:color="auto"/>
            </w:tcBorders>
            <w:vAlign w:val="center"/>
          </w:tcPr>
          <w:p w14:paraId="1D560C34" w14:textId="77777777" w:rsidR="003E5AE2" w:rsidRPr="00E8251D" w:rsidRDefault="003E5AE2" w:rsidP="0011417E">
            <w:pPr>
              <w:jc w:val="center"/>
              <w:rPr>
                <w:rFonts w:ascii="Arial" w:hAnsi="Arial" w:cs="Arial"/>
                <w:b/>
                <w:bCs/>
                <w:color w:val="000000" w:themeColor="text1"/>
                <w:sz w:val="22"/>
                <w:szCs w:val="22"/>
                <w:shd w:val="clear" w:color="auto" w:fill="FFFFFF"/>
              </w:rPr>
            </w:pPr>
            <w:r w:rsidRPr="00E8251D">
              <w:rPr>
                <w:rFonts w:ascii="Arial" w:hAnsi="Arial" w:cs="Arial"/>
                <w:b/>
                <w:bCs/>
                <w:color w:val="000000" w:themeColor="text1"/>
                <w:sz w:val="22"/>
                <w:szCs w:val="22"/>
                <w:shd w:val="clear" w:color="auto" w:fill="FFFFFF"/>
              </w:rPr>
              <w:t>Post-SOPI</w:t>
            </w:r>
            <w:r>
              <w:rPr>
                <w:rFonts w:ascii="Arial" w:hAnsi="Arial" w:cs="Arial"/>
                <w:b/>
                <w:bCs/>
                <w:color w:val="000000" w:themeColor="text1"/>
                <w:sz w:val="22"/>
                <w:szCs w:val="22"/>
                <w:shd w:val="clear" w:color="auto" w:fill="FFFFFF"/>
              </w:rPr>
              <w:t xml:space="preserve"> sustained t</w:t>
            </w:r>
            <w:r w:rsidRPr="00E8251D">
              <w:rPr>
                <w:rFonts w:ascii="Arial" w:hAnsi="Arial" w:cs="Arial"/>
                <w:b/>
                <w:bCs/>
                <w:color w:val="000000" w:themeColor="text1"/>
                <w:sz w:val="22"/>
                <w:szCs w:val="22"/>
                <w:shd w:val="clear" w:color="auto" w:fill="FFFFFF"/>
              </w:rPr>
              <w:t>rend</w:t>
            </w:r>
            <w:r>
              <w:rPr>
                <w:rFonts w:ascii="Arial" w:hAnsi="Arial" w:cs="Arial"/>
                <w:b/>
                <w:bCs/>
                <w:color w:val="000000" w:themeColor="text1"/>
                <w:sz w:val="22"/>
                <w:szCs w:val="22"/>
                <w:shd w:val="clear" w:color="auto" w:fill="FFFFFF"/>
              </w:rPr>
              <w:t xml:space="preserve"> change</w:t>
            </w:r>
          </w:p>
        </w:tc>
        <w:tc>
          <w:tcPr>
            <w:tcW w:w="939" w:type="pct"/>
            <w:tcBorders>
              <w:top w:val="single" w:sz="4" w:space="0" w:color="auto"/>
              <w:bottom w:val="single" w:sz="4" w:space="0" w:color="auto"/>
            </w:tcBorders>
            <w:vAlign w:val="center"/>
          </w:tcPr>
          <w:p w14:paraId="091EF186" w14:textId="77777777" w:rsidR="003E5AE2" w:rsidRPr="00E8251D" w:rsidRDefault="003E5AE2" w:rsidP="0011417E">
            <w:pPr>
              <w:jc w:val="center"/>
              <w:rPr>
                <w:rFonts w:ascii="Arial" w:hAnsi="Arial" w:cs="Arial"/>
                <w:b/>
                <w:bCs/>
                <w:color w:val="000000" w:themeColor="text1"/>
                <w:sz w:val="22"/>
                <w:szCs w:val="22"/>
                <w:shd w:val="clear" w:color="auto" w:fill="FFFFFF"/>
              </w:rPr>
            </w:pPr>
            <w:r>
              <w:rPr>
                <w:rFonts w:ascii="Arial" w:hAnsi="Arial" w:cs="Arial"/>
                <w:b/>
                <w:bCs/>
                <w:color w:val="000000" w:themeColor="text1"/>
                <w:sz w:val="22"/>
                <w:szCs w:val="22"/>
                <w:shd w:val="clear" w:color="auto" w:fill="FFFFFF"/>
              </w:rPr>
              <w:t>Immediate change p</w:t>
            </w:r>
            <w:r w:rsidRPr="00E8251D">
              <w:rPr>
                <w:rFonts w:ascii="Arial" w:hAnsi="Arial" w:cs="Arial"/>
                <w:b/>
                <w:bCs/>
                <w:color w:val="000000" w:themeColor="text1"/>
                <w:sz w:val="22"/>
                <w:szCs w:val="22"/>
                <w:shd w:val="clear" w:color="auto" w:fill="FFFFFF"/>
              </w:rPr>
              <w:t>ost-STOP</w:t>
            </w:r>
            <w:r>
              <w:rPr>
                <w:rFonts w:ascii="Arial" w:hAnsi="Arial" w:cs="Arial"/>
                <w:b/>
                <w:bCs/>
                <w:color w:val="000000" w:themeColor="text1"/>
                <w:sz w:val="22"/>
                <w:szCs w:val="22"/>
                <w:shd w:val="clear" w:color="auto" w:fill="FFFFFF"/>
              </w:rPr>
              <w:t xml:space="preserve"> act</w:t>
            </w:r>
          </w:p>
        </w:tc>
        <w:tc>
          <w:tcPr>
            <w:tcW w:w="981" w:type="pct"/>
            <w:tcBorders>
              <w:top w:val="single" w:sz="4" w:space="0" w:color="auto"/>
              <w:bottom w:val="single" w:sz="4" w:space="0" w:color="auto"/>
            </w:tcBorders>
            <w:vAlign w:val="center"/>
          </w:tcPr>
          <w:p w14:paraId="032451DD" w14:textId="77777777" w:rsidR="003E5AE2" w:rsidRPr="00E8251D" w:rsidRDefault="003E5AE2" w:rsidP="0011417E">
            <w:pPr>
              <w:jc w:val="center"/>
              <w:rPr>
                <w:rFonts w:ascii="Arial" w:hAnsi="Arial" w:cs="Arial"/>
                <w:b/>
                <w:bCs/>
                <w:color w:val="000000" w:themeColor="text1"/>
                <w:sz w:val="22"/>
                <w:szCs w:val="22"/>
                <w:shd w:val="clear" w:color="auto" w:fill="FFFFFF"/>
              </w:rPr>
            </w:pPr>
            <w:r w:rsidRPr="00E8251D">
              <w:rPr>
                <w:rFonts w:ascii="Arial" w:hAnsi="Arial" w:cs="Arial"/>
                <w:b/>
                <w:bCs/>
                <w:color w:val="000000" w:themeColor="text1"/>
                <w:sz w:val="22"/>
                <w:szCs w:val="22"/>
                <w:shd w:val="clear" w:color="auto" w:fill="FFFFFF"/>
              </w:rPr>
              <w:t>Post-STOP</w:t>
            </w:r>
            <w:r>
              <w:rPr>
                <w:rFonts w:ascii="Arial" w:hAnsi="Arial" w:cs="Arial"/>
                <w:b/>
                <w:bCs/>
                <w:color w:val="000000" w:themeColor="text1"/>
                <w:sz w:val="22"/>
                <w:szCs w:val="22"/>
                <w:shd w:val="clear" w:color="auto" w:fill="FFFFFF"/>
              </w:rPr>
              <w:t xml:space="preserve"> </w:t>
            </w:r>
            <w:proofErr w:type="gramStart"/>
            <w:r>
              <w:rPr>
                <w:rFonts w:ascii="Arial" w:hAnsi="Arial" w:cs="Arial"/>
                <w:b/>
                <w:bCs/>
                <w:color w:val="000000" w:themeColor="text1"/>
                <w:sz w:val="22"/>
                <w:szCs w:val="22"/>
                <w:shd w:val="clear" w:color="auto" w:fill="FFFFFF"/>
              </w:rPr>
              <w:t>act</w:t>
            </w:r>
            <w:proofErr w:type="gramEnd"/>
            <w:r>
              <w:rPr>
                <w:rFonts w:ascii="Arial" w:hAnsi="Arial" w:cs="Arial"/>
                <w:b/>
                <w:bCs/>
                <w:color w:val="000000" w:themeColor="text1"/>
                <w:sz w:val="22"/>
                <w:szCs w:val="22"/>
                <w:shd w:val="clear" w:color="auto" w:fill="FFFFFF"/>
              </w:rPr>
              <w:t xml:space="preserve"> sustained t</w:t>
            </w:r>
            <w:r w:rsidRPr="00E8251D">
              <w:rPr>
                <w:rFonts w:ascii="Arial" w:hAnsi="Arial" w:cs="Arial"/>
                <w:b/>
                <w:bCs/>
                <w:color w:val="000000" w:themeColor="text1"/>
                <w:sz w:val="22"/>
                <w:szCs w:val="22"/>
                <w:shd w:val="clear" w:color="auto" w:fill="FFFFFF"/>
              </w:rPr>
              <w:t>rend</w:t>
            </w:r>
            <w:r>
              <w:rPr>
                <w:rFonts w:ascii="Arial" w:hAnsi="Arial" w:cs="Arial"/>
                <w:b/>
                <w:bCs/>
                <w:color w:val="000000" w:themeColor="text1"/>
                <w:sz w:val="22"/>
                <w:szCs w:val="22"/>
                <w:shd w:val="clear" w:color="auto" w:fill="FFFFFF"/>
              </w:rPr>
              <w:t xml:space="preserve"> change</w:t>
            </w:r>
          </w:p>
        </w:tc>
      </w:tr>
      <w:tr w:rsidR="003E5AE2" w:rsidRPr="00E8251D" w14:paraId="5DAF5F8E" w14:textId="77777777" w:rsidTr="0011417E">
        <w:trPr>
          <w:trHeight w:val="259"/>
        </w:trPr>
        <w:tc>
          <w:tcPr>
            <w:tcW w:w="1144" w:type="pct"/>
            <w:tcBorders>
              <w:top w:val="single" w:sz="4" w:space="0" w:color="auto"/>
            </w:tcBorders>
            <w:noWrap/>
            <w:vAlign w:val="center"/>
          </w:tcPr>
          <w:p w14:paraId="7CF7BE17" w14:textId="77777777" w:rsidR="003E5AE2" w:rsidRPr="00E8251D" w:rsidRDefault="003E5AE2" w:rsidP="0011417E">
            <w:pPr>
              <w:rPr>
                <w:rFonts w:ascii="Arial" w:hAnsi="Arial" w:cs="Arial"/>
                <w:b/>
                <w:bCs/>
                <w:color w:val="000000" w:themeColor="text1"/>
                <w:sz w:val="22"/>
                <w:szCs w:val="22"/>
              </w:rPr>
            </w:pPr>
          </w:p>
        </w:tc>
        <w:tc>
          <w:tcPr>
            <w:tcW w:w="950" w:type="pct"/>
            <w:tcBorders>
              <w:top w:val="single" w:sz="4" w:space="0" w:color="auto"/>
              <w:bottom w:val="single" w:sz="4" w:space="0" w:color="auto"/>
            </w:tcBorders>
            <w:noWrap/>
            <w:vAlign w:val="center"/>
          </w:tcPr>
          <w:p w14:paraId="47447376" w14:textId="77777777" w:rsidR="003E5AE2" w:rsidRPr="00E8251D" w:rsidRDefault="003E5AE2" w:rsidP="0011417E">
            <w:pPr>
              <w:jc w:val="center"/>
              <w:rPr>
                <w:rFonts w:ascii="Arial" w:hAnsi="Arial" w:cs="Arial"/>
                <w:b/>
                <w:bCs/>
                <w:color w:val="000000" w:themeColor="text1"/>
                <w:sz w:val="22"/>
                <w:szCs w:val="22"/>
                <w:shd w:val="clear" w:color="auto" w:fill="FFFFFF"/>
              </w:rPr>
            </w:pPr>
            <w:r w:rsidRPr="00E8251D">
              <w:rPr>
                <w:rFonts w:ascii="Arial" w:hAnsi="Arial" w:cs="Arial"/>
                <w:color w:val="000000" w:themeColor="text1"/>
                <w:sz w:val="22"/>
                <w:szCs w:val="22"/>
                <w:shd w:val="clear" w:color="auto" w:fill="FFFFFF"/>
              </w:rPr>
              <w:t>β</w:t>
            </w:r>
            <w:r>
              <w:rPr>
                <w:rFonts w:ascii="Arial" w:hAnsi="Arial" w:cs="Arial"/>
                <w:color w:val="000000" w:themeColor="text1"/>
                <w:sz w:val="22"/>
                <w:szCs w:val="22"/>
                <w:shd w:val="clear" w:color="auto" w:fill="FFFFFF"/>
              </w:rPr>
              <w:t>8</w:t>
            </w:r>
          </w:p>
        </w:tc>
        <w:tc>
          <w:tcPr>
            <w:tcW w:w="985" w:type="pct"/>
            <w:tcBorders>
              <w:top w:val="single" w:sz="4" w:space="0" w:color="auto"/>
              <w:bottom w:val="single" w:sz="4" w:space="0" w:color="auto"/>
            </w:tcBorders>
            <w:vAlign w:val="center"/>
          </w:tcPr>
          <w:p w14:paraId="280E607E" w14:textId="77777777" w:rsidR="003E5AE2" w:rsidRPr="00E8251D" w:rsidRDefault="003E5AE2" w:rsidP="0011417E">
            <w:pPr>
              <w:jc w:val="center"/>
              <w:rPr>
                <w:rFonts w:ascii="Arial" w:hAnsi="Arial" w:cs="Arial"/>
                <w:b/>
                <w:bCs/>
                <w:color w:val="000000" w:themeColor="text1"/>
                <w:sz w:val="22"/>
                <w:szCs w:val="22"/>
                <w:shd w:val="clear" w:color="auto" w:fill="FFFFFF"/>
              </w:rPr>
            </w:pPr>
            <w:r w:rsidRPr="00E8251D">
              <w:rPr>
                <w:rFonts w:ascii="Arial" w:hAnsi="Arial" w:cs="Arial"/>
                <w:color w:val="000000" w:themeColor="text1"/>
                <w:sz w:val="22"/>
                <w:szCs w:val="22"/>
                <w:shd w:val="clear" w:color="auto" w:fill="FFFFFF"/>
              </w:rPr>
              <w:t>β</w:t>
            </w:r>
            <w:r>
              <w:rPr>
                <w:rFonts w:ascii="Arial" w:hAnsi="Arial" w:cs="Arial"/>
                <w:color w:val="000000" w:themeColor="text1"/>
                <w:sz w:val="22"/>
                <w:szCs w:val="22"/>
                <w:shd w:val="clear" w:color="auto" w:fill="FFFFFF"/>
              </w:rPr>
              <w:t>9*</w:t>
            </w:r>
          </w:p>
        </w:tc>
        <w:tc>
          <w:tcPr>
            <w:tcW w:w="939" w:type="pct"/>
            <w:tcBorders>
              <w:top w:val="single" w:sz="4" w:space="0" w:color="auto"/>
              <w:bottom w:val="single" w:sz="4" w:space="0" w:color="auto"/>
            </w:tcBorders>
            <w:vAlign w:val="center"/>
          </w:tcPr>
          <w:p w14:paraId="4A988775" w14:textId="77777777" w:rsidR="003E5AE2" w:rsidRPr="00E8251D" w:rsidRDefault="003E5AE2" w:rsidP="0011417E">
            <w:pPr>
              <w:jc w:val="center"/>
              <w:rPr>
                <w:rFonts w:ascii="Arial" w:hAnsi="Arial" w:cs="Arial"/>
                <w:b/>
                <w:bCs/>
                <w:color w:val="000000" w:themeColor="text1"/>
                <w:sz w:val="22"/>
                <w:szCs w:val="22"/>
                <w:shd w:val="clear" w:color="auto" w:fill="FFFFFF"/>
              </w:rPr>
            </w:pPr>
            <w:r w:rsidRPr="00E8251D">
              <w:rPr>
                <w:rFonts w:ascii="Arial" w:hAnsi="Arial" w:cs="Arial"/>
                <w:color w:val="000000" w:themeColor="text1"/>
                <w:sz w:val="22"/>
                <w:szCs w:val="22"/>
                <w:shd w:val="clear" w:color="auto" w:fill="FFFFFF"/>
              </w:rPr>
              <w:t>β</w:t>
            </w:r>
            <w:r>
              <w:rPr>
                <w:rFonts w:ascii="Arial" w:hAnsi="Arial" w:cs="Arial"/>
                <w:color w:val="000000" w:themeColor="text1"/>
                <w:sz w:val="22"/>
                <w:szCs w:val="22"/>
                <w:shd w:val="clear" w:color="auto" w:fill="FFFFFF"/>
              </w:rPr>
              <w:t>10</w:t>
            </w:r>
          </w:p>
        </w:tc>
        <w:tc>
          <w:tcPr>
            <w:tcW w:w="981" w:type="pct"/>
            <w:tcBorders>
              <w:top w:val="single" w:sz="4" w:space="0" w:color="auto"/>
              <w:bottom w:val="single" w:sz="4" w:space="0" w:color="auto"/>
            </w:tcBorders>
            <w:vAlign w:val="center"/>
          </w:tcPr>
          <w:p w14:paraId="58916A7F" w14:textId="77777777" w:rsidR="003E5AE2" w:rsidRPr="00E8251D" w:rsidRDefault="003E5AE2" w:rsidP="0011417E">
            <w:pPr>
              <w:jc w:val="center"/>
              <w:rPr>
                <w:rFonts w:ascii="Arial" w:hAnsi="Arial" w:cs="Arial"/>
                <w:b/>
                <w:bCs/>
                <w:color w:val="000000" w:themeColor="text1"/>
                <w:sz w:val="22"/>
                <w:szCs w:val="22"/>
                <w:shd w:val="clear" w:color="auto" w:fill="FFFFFF"/>
              </w:rPr>
            </w:pPr>
            <w:r w:rsidRPr="00E8251D">
              <w:rPr>
                <w:rFonts w:ascii="Arial" w:hAnsi="Arial" w:cs="Arial"/>
                <w:color w:val="000000" w:themeColor="text1"/>
                <w:sz w:val="22"/>
                <w:szCs w:val="22"/>
                <w:shd w:val="clear" w:color="auto" w:fill="FFFFFF"/>
              </w:rPr>
              <w:t>β1</w:t>
            </w:r>
            <w:r>
              <w:rPr>
                <w:rFonts w:ascii="Arial" w:hAnsi="Arial" w:cs="Arial"/>
                <w:color w:val="000000" w:themeColor="text1"/>
                <w:sz w:val="22"/>
                <w:szCs w:val="22"/>
                <w:shd w:val="clear" w:color="auto" w:fill="FFFFFF"/>
              </w:rPr>
              <w:t>1*</w:t>
            </w:r>
          </w:p>
        </w:tc>
      </w:tr>
      <w:tr w:rsidR="003E5AE2" w:rsidRPr="00E8251D" w14:paraId="0C8F0C71" w14:textId="77777777" w:rsidTr="0011417E">
        <w:trPr>
          <w:trHeight w:val="90"/>
        </w:trPr>
        <w:tc>
          <w:tcPr>
            <w:tcW w:w="1144" w:type="pct"/>
            <w:tcBorders>
              <w:top w:val="single" w:sz="4" w:space="0" w:color="auto"/>
            </w:tcBorders>
            <w:vAlign w:val="center"/>
          </w:tcPr>
          <w:p w14:paraId="2BF1A720" w14:textId="77777777" w:rsidR="003E5AE2" w:rsidRPr="00E8251D" w:rsidRDefault="003E5AE2" w:rsidP="0011417E">
            <w:pPr>
              <w:rPr>
                <w:rFonts w:ascii="Arial" w:hAnsi="Arial" w:cs="Arial"/>
                <w:color w:val="000000" w:themeColor="text1"/>
                <w:sz w:val="22"/>
                <w:szCs w:val="22"/>
              </w:rPr>
            </w:pPr>
            <w:r w:rsidRPr="00E8251D">
              <w:rPr>
                <w:rFonts w:ascii="Arial" w:hAnsi="Arial" w:cs="Arial"/>
                <w:b/>
                <w:bCs/>
                <w:color w:val="000000" w:themeColor="text1"/>
                <w:sz w:val="22"/>
                <w:szCs w:val="22"/>
              </w:rPr>
              <w:t>Surgery</w:t>
            </w:r>
          </w:p>
        </w:tc>
        <w:tc>
          <w:tcPr>
            <w:tcW w:w="950" w:type="pct"/>
            <w:tcBorders>
              <w:top w:val="single" w:sz="4" w:space="0" w:color="auto"/>
            </w:tcBorders>
            <w:noWrap/>
            <w:vAlign w:val="center"/>
          </w:tcPr>
          <w:p w14:paraId="70A5369C" w14:textId="77777777" w:rsidR="003E5AE2" w:rsidRPr="00E8251D" w:rsidRDefault="003E5AE2" w:rsidP="0011417E">
            <w:pPr>
              <w:jc w:val="center"/>
              <w:rPr>
                <w:rFonts w:ascii="Arial" w:hAnsi="Arial" w:cs="Arial"/>
                <w:color w:val="000000" w:themeColor="text1"/>
                <w:sz w:val="22"/>
                <w:szCs w:val="22"/>
              </w:rPr>
            </w:pPr>
          </w:p>
        </w:tc>
        <w:tc>
          <w:tcPr>
            <w:tcW w:w="985" w:type="pct"/>
            <w:tcBorders>
              <w:top w:val="single" w:sz="4" w:space="0" w:color="auto"/>
            </w:tcBorders>
            <w:noWrap/>
            <w:vAlign w:val="center"/>
          </w:tcPr>
          <w:p w14:paraId="0D2D0386" w14:textId="77777777" w:rsidR="003E5AE2" w:rsidRPr="00E8251D" w:rsidRDefault="003E5AE2" w:rsidP="0011417E">
            <w:pPr>
              <w:jc w:val="center"/>
              <w:rPr>
                <w:rFonts w:ascii="Arial" w:hAnsi="Arial" w:cs="Arial"/>
                <w:color w:val="000000" w:themeColor="text1"/>
                <w:sz w:val="22"/>
                <w:szCs w:val="22"/>
              </w:rPr>
            </w:pPr>
          </w:p>
        </w:tc>
        <w:tc>
          <w:tcPr>
            <w:tcW w:w="939" w:type="pct"/>
            <w:tcBorders>
              <w:top w:val="single" w:sz="4" w:space="0" w:color="auto"/>
            </w:tcBorders>
          </w:tcPr>
          <w:p w14:paraId="12ECE11B" w14:textId="77777777" w:rsidR="003E5AE2" w:rsidRPr="00E8251D" w:rsidRDefault="003E5AE2" w:rsidP="0011417E">
            <w:pPr>
              <w:jc w:val="center"/>
              <w:rPr>
                <w:rFonts w:ascii="Arial" w:hAnsi="Arial" w:cs="Arial"/>
                <w:color w:val="000000" w:themeColor="text1"/>
                <w:sz w:val="22"/>
                <w:szCs w:val="22"/>
              </w:rPr>
            </w:pPr>
          </w:p>
        </w:tc>
        <w:tc>
          <w:tcPr>
            <w:tcW w:w="981" w:type="pct"/>
            <w:tcBorders>
              <w:top w:val="single" w:sz="4" w:space="0" w:color="auto"/>
            </w:tcBorders>
          </w:tcPr>
          <w:p w14:paraId="24848FD8" w14:textId="77777777" w:rsidR="003E5AE2" w:rsidRPr="00E8251D" w:rsidRDefault="003E5AE2" w:rsidP="0011417E">
            <w:pPr>
              <w:jc w:val="center"/>
              <w:rPr>
                <w:rFonts w:ascii="Arial" w:hAnsi="Arial" w:cs="Arial"/>
                <w:color w:val="000000" w:themeColor="text1"/>
                <w:sz w:val="22"/>
                <w:szCs w:val="22"/>
              </w:rPr>
            </w:pPr>
          </w:p>
        </w:tc>
      </w:tr>
      <w:tr w:rsidR="003E5AE2" w:rsidRPr="00E8251D" w14:paraId="17A43354" w14:textId="77777777" w:rsidTr="0011417E">
        <w:trPr>
          <w:trHeight w:val="259"/>
        </w:trPr>
        <w:tc>
          <w:tcPr>
            <w:tcW w:w="1144" w:type="pct"/>
            <w:vAlign w:val="center"/>
          </w:tcPr>
          <w:p w14:paraId="66DCFCA7" w14:textId="77777777" w:rsidR="003E5AE2" w:rsidRPr="00E8251D" w:rsidRDefault="003E5AE2" w:rsidP="0011417E">
            <w:pPr>
              <w:ind w:left="360"/>
              <w:rPr>
                <w:rFonts w:ascii="Arial" w:hAnsi="Arial" w:cs="Arial"/>
                <w:color w:val="000000" w:themeColor="text1"/>
                <w:sz w:val="22"/>
                <w:szCs w:val="22"/>
              </w:rPr>
            </w:pPr>
            <w:r w:rsidRPr="00E8251D">
              <w:rPr>
                <w:rFonts w:ascii="Arial" w:hAnsi="Arial" w:cs="Arial"/>
                <w:color w:val="000000"/>
                <w:sz w:val="22"/>
                <w:szCs w:val="22"/>
                <w:bdr w:val="none" w:sz="0" w:space="0" w:color="auto" w:frame="1"/>
              </w:rPr>
              <w:t>% Patients receiving index opioid Rx</w:t>
            </w:r>
          </w:p>
        </w:tc>
        <w:tc>
          <w:tcPr>
            <w:tcW w:w="950" w:type="pct"/>
            <w:noWrap/>
            <w:vAlign w:val="center"/>
          </w:tcPr>
          <w:p w14:paraId="46D575F3"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3.25 (1.33, 5.16)</w:t>
            </w:r>
          </w:p>
        </w:tc>
        <w:tc>
          <w:tcPr>
            <w:tcW w:w="985" w:type="pct"/>
            <w:noWrap/>
            <w:vAlign w:val="center"/>
          </w:tcPr>
          <w:p w14:paraId="061AB89B" w14:textId="77777777" w:rsidR="003E5AE2" w:rsidRPr="00873479" w:rsidRDefault="003E5AE2" w:rsidP="0011417E">
            <w:pPr>
              <w:jc w:val="center"/>
              <w:rPr>
                <w:rFonts w:ascii="Arial" w:hAnsi="Arial" w:cs="Arial"/>
                <w:color w:val="000000" w:themeColor="text1"/>
                <w:sz w:val="22"/>
                <w:szCs w:val="22"/>
              </w:rPr>
            </w:pPr>
            <w:r w:rsidRPr="00873479">
              <w:rPr>
                <w:rFonts w:ascii="Arial" w:hAnsi="Arial" w:cs="Arial"/>
                <w:color w:val="000000" w:themeColor="text1"/>
                <w:sz w:val="22"/>
                <w:szCs w:val="22"/>
              </w:rPr>
              <w:t>-2.74 (-4.55, -0.93)</w:t>
            </w:r>
          </w:p>
        </w:tc>
        <w:tc>
          <w:tcPr>
            <w:tcW w:w="939" w:type="pct"/>
            <w:vAlign w:val="center"/>
          </w:tcPr>
          <w:p w14:paraId="4A28D72B" w14:textId="77777777" w:rsidR="003E5AE2" w:rsidRPr="00873479" w:rsidRDefault="003E5AE2" w:rsidP="0011417E">
            <w:pPr>
              <w:jc w:val="center"/>
              <w:rPr>
                <w:rFonts w:ascii="Arial" w:hAnsi="Arial" w:cs="Arial"/>
                <w:color w:val="000000" w:themeColor="text1"/>
                <w:sz w:val="22"/>
                <w:szCs w:val="22"/>
              </w:rPr>
            </w:pPr>
            <w:r w:rsidRPr="00873479">
              <w:rPr>
                <w:rFonts w:ascii="Arial" w:hAnsi="Arial" w:cs="Arial"/>
                <w:color w:val="000000" w:themeColor="text1"/>
                <w:sz w:val="22"/>
                <w:szCs w:val="22"/>
              </w:rPr>
              <w:t>0.12 (-1.79, 2.03)</w:t>
            </w:r>
          </w:p>
        </w:tc>
        <w:tc>
          <w:tcPr>
            <w:tcW w:w="981" w:type="pct"/>
            <w:vAlign w:val="center"/>
          </w:tcPr>
          <w:p w14:paraId="1BD363B1" w14:textId="77777777" w:rsidR="003E5AE2" w:rsidRPr="00873479" w:rsidRDefault="003E5AE2" w:rsidP="0011417E">
            <w:pPr>
              <w:jc w:val="center"/>
              <w:rPr>
                <w:rFonts w:ascii="Arial" w:hAnsi="Arial" w:cs="Arial"/>
                <w:color w:val="000000" w:themeColor="text1"/>
                <w:sz w:val="22"/>
                <w:szCs w:val="22"/>
              </w:rPr>
            </w:pPr>
            <w:r w:rsidRPr="00873479">
              <w:rPr>
                <w:rFonts w:ascii="Arial" w:hAnsi="Arial" w:cs="Arial"/>
                <w:color w:val="000000" w:themeColor="text1"/>
                <w:sz w:val="22"/>
                <w:szCs w:val="22"/>
              </w:rPr>
              <w:t>-4.07 (-5.92, -2.22)</w:t>
            </w:r>
          </w:p>
        </w:tc>
      </w:tr>
      <w:tr w:rsidR="003E5AE2" w:rsidRPr="00E8251D" w14:paraId="26A200EF" w14:textId="77777777" w:rsidTr="0011417E">
        <w:trPr>
          <w:trHeight w:val="259"/>
        </w:trPr>
        <w:tc>
          <w:tcPr>
            <w:tcW w:w="1144" w:type="pct"/>
            <w:vAlign w:val="center"/>
          </w:tcPr>
          <w:p w14:paraId="1151CF92" w14:textId="77777777" w:rsidR="003E5AE2" w:rsidRPr="00E8251D" w:rsidRDefault="003E5AE2" w:rsidP="0011417E">
            <w:pPr>
              <w:ind w:left="360"/>
              <w:rPr>
                <w:rFonts w:ascii="Arial" w:hAnsi="Arial" w:cs="Arial"/>
                <w:color w:val="000000" w:themeColor="text1"/>
                <w:sz w:val="22"/>
                <w:szCs w:val="22"/>
              </w:rPr>
            </w:pPr>
            <w:r w:rsidRPr="00E8251D">
              <w:rPr>
                <w:rFonts w:ascii="Arial" w:hAnsi="Arial" w:cs="Arial"/>
                <w:color w:val="000000" w:themeColor="text1"/>
                <w:sz w:val="22"/>
                <w:szCs w:val="22"/>
              </w:rPr>
              <w:t>Index Rx Rate</w:t>
            </w:r>
            <w:r>
              <w:rPr>
                <w:rFonts w:ascii="Arial" w:hAnsi="Arial" w:cs="Arial"/>
                <w:color w:val="000000" w:themeColor="text1"/>
                <w:sz w:val="22"/>
                <w:szCs w:val="22"/>
              </w:rPr>
              <w:t xml:space="preserve"> per 100 person-months</w:t>
            </w:r>
          </w:p>
        </w:tc>
        <w:tc>
          <w:tcPr>
            <w:tcW w:w="950" w:type="pct"/>
            <w:noWrap/>
            <w:vAlign w:val="center"/>
          </w:tcPr>
          <w:p w14:paraId="0A94D468"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9.20 (5.27, 13.14)</w:t>
            </w:r>
          </w:p>
        </w:tc>
        <w:tc>
          <w:tcPr>
            <w:tcW w:w="985" w:type="pct"/>
            <w:noWrap/>
            <w:vAlign w:val="center"/>
          </w:tcPr>
          <w:p w14:paraId="0AA54E62" w14:textId="77777777" w:rsidR="003E5AE2" w:rsidRPr="00873479" w:rsidRDefault="003E5AE2" w:rsidP="0011417E">
            <w:pPr>
              <w:jc w:val="center"/>
              <w:rPr>
                <w:rFonts w:ascii="Arial" w:hAnsi="Arial" w:cs="Arial"/>
                <w:color w:val="000000" w:themeColor="text1"/>
                <w:sz w:val="22"/>
                <w:szCs w:val="22"/>
              </w:rPr>
            </w:pPr>
            <w:r w:rsidRPr="00873479">
              <w:rPr>
                <w:rFonts w:ascii="Arial" w:hAnsi="Arial" w:cs="Arial"/>
                <w:color w:val="000000" w:themeColor="text1"/>
                <w:sz w:val="22"/>
                <w:szCs w:val="22"/>
              </w:rPr>
              <w:t>-3.77 (-7.49, -0.05)</w:t>
            </w:r>
          </w:p>
        </w:tc>
        <w:tc>
          <w:tcPr>
            <w:tcW w:w="939" w:type="pct"/>
            <w:vAlign w:val="center"/>
          </w:tcPr>
          <w:p w14:paraId="02BCCCB6" w14:textId="77777777" w:rsidR="003E5AE2" w:rsidRPr="00873479" w:rsidRDefault="003E5AE2" w:rsidP="0011417E">
            <w:pPr>
              <w:jc w:val="center"/>
              <w:rPr>
                <w:rFonts w:ascii="Arial" w:hAnsi="Arial" w:cs="Arial"/>
                <w:color w:val="000000" w:themeColor="text1"/>
                <w:sz w:val="22"/>
                <w:szCs w:val="22"/>
              </w:rPr>
            </w:pPr>
            <w:r w:rsidRPr="00873479">
              <w:rPr>
                <w:rFonts w:ascii="Arial" w:hAnsi="Arial" w:cs="Arial"/>
                <w:color w:val="000000" w:themeColor="text1"/>
                <w:sz w:val="22"/>
                <w:szCs w:val="22"/>
              </w:rPr>
              <w:t>-1.01 (-4.92, 2.91)</w:t>
            </w:r>
          </w:p>
        </w:tc>
        <w:tc>
          <w:tcPr>
            <w:tcW w:w="981" w:type="pct"/>
            <w:vAlign w:val="center"/>
          </w:tcPr>
          <w:p w14:paraId="2006240E" w14:textId="77777777" w:rsidR="003E5AE2" w:rsidRPr="00873479" w:rsidRDefault="003E5AE2" w:rsidP="0011417E">
            <w:pPr>
              <w:jc w:val="center"/>
              <w:rPr>
                <w:rFonts w:ascii="Arial" w:hAnsi="Arial" w:cs="Arial"/>
                <w:color w:val="000000" w:themeColor="text1"/>
                <w:sz w:val="22"/>
                <w:szCs w:val="22"/>
              </w:rPr>
            </w:pPr>
            <w:r w:rsidRPr="00873479">
              <w:rPr>
                <w:rFonts w:ascii="Arial" w:hAnsi="Arial" w:cs="Arial"/>
                <w:color w:val="000000" w:themeColor="text1"/>
                <w:sz w:val="22"/>
                <w:szCs w:val="22"/>
              </w:rPr>
              <w:t>-2.34 (-6.14, 1.46)</w:t>
            </w:r>
          </w:p>
        </w:tc>
      </w:tr>
      <w:tr w:rsidR="003E5AE2" w:rsidRPr="00E8251D" w14:paraId="688D754F" w14:textId="77777777" w:rsidTr="0011417E">
        <w:trPr>
          <w:trHeight w:val="90"/>
        </w:trPr>
        <w:tc>
          <w:tcPr>
            <w:tcW w:w="1144" w:type="pct"/>
            <w:tcBorders>
              <w:top w:val="single" w:sz="4" w:space="0" w:color="auto"/>
            </w:tcBorders>
            <w:vAlign w:val="center"/>
          </w:tcPr>
          <w:p w14:paraId="300AA51F" w14:textId="77777777" w:rsidR="003E5AE2" w:rsidRPr="00E8251D" w:rsidRDefault="003E5AE2" w:rsidP="0011417E">
            <w:pPr>
              <w:rPr>
                <w:rFonts w:ascii="Arial" w:hAnsi="Arial" w:cs="Arial"/>
                <w:color w:val="000000" w:themeColor="text1"/>
                <w:sz w:val="22"/>
                <w:szCs w:val="22"/>
              </w:rPr>
            </w:pPr>
            <w:r w:rsidRPr="00E8251D">
              <w:rPr>
                <w:rFonts w:ascii="Arial" w:hAnsi="Arial" w:cs="Arial"/>
                <w:b/>
                <w:bCs/>
                <w:color w:val="000000" w:themeColor="text1"/>
                <w:sz w:val="22"/>
                <w:szCs w:val="22"/>
              </w:rPr>
              <w:t>Injury</w:t>
            </w:r>
          </w:p>
        </w:tc>
        <w:tc>
          <w:tcPr>
            <w:tcW w:w="950" w:type="pct"/>
            <w:tcBorders>
              <w:top w:val="single" w:sz="4" w:space="0" w:color="auto"/>
            </w:tcBorders>
            <w:noWrap/>
            <w:vAlign w:val="center"/>
          </w:tcPr>
          <w:p w14:paraId="236D5700" w14:textId="77777777" w:rsidR="003E5AE2" w:rsidRPr="00E8251D" w:rsidRDefault="003E5AE2" w:rsidP="0011417E">
            <w:pPr>
              <w:jc w:val="center"/>
              <w:rPr>
                <w:rFonts w:ascii="Arial" w:hAnsi="Arial" w:cs="Arial"/>
                <w:color w:val="000000" w:themeColor="text1"/>
                <w:sz w:val="22"/>
                <w:szCs w:val="22"/>
              </w:rPr>
            </w:pPr>
          </w:p>
        </w:tc>
        <w:tc>
          <w:tcPr>
            <w:tcW w:w="985" w:type="pct"/>
            <w:tcBorders>
              <w:top w:val="single" w:sz="4" w:space="0" w:color="auto"/>
            </w:tcBorders>
            <w:noWrap/>
            <w:vAlign w:val="center"/>
          </w:tcPr>
          <w:p w14:paraId="34AF7271" w14:textId="77777777" w:rsidR="003E5AE2" w:rsidRPr="00873479" w:rsidRDefault="003E5AE2" w:rsidP="0011417E">
            <w:pPr>
              <w:jc w:val="center"/>
              <w:rPr>
                <w:rFonts w:ascii="Arial" w:hAnsi="Arial" w:cs="Arial"/>
                <w:color w:val="000000" w:themeColor="text1"/>
                <w:sz w:val="22"/>
                <w:szCs w:val="22"/>
              </w:rPr>
            </w:pPr>
          </w:p>
        </w:tc>
        <w:tc>
          <w:tcPr>
            <w:tcW w:w="939" w:type="pct"/>
            <w:tcBorders>
              <w:top w:val="single" w:sz="4" w:space="0" w:color="auto"/>
            </w:tcBorders>
            <w:vAlign w:val="center"/>
          </w:tcPr>
          <w:p w14:paraId="49C631EA" w14:textId="77777777" w:rsidR="003E5AE2" w:rsidRPr="00873479" w:rsidRDefault="003E5AE2" w:rsidP="0011417E">
            <w:pPr>
              <w:jc w:val="center"/>
              <w:rPr>
                <w:rFonts w:ascii="Arial" w:hAnsi="Arial" w:cs="Arial"/>
                <w:color w:val="000000" w:themeColor="text1"/>
                <w:sz w:val="22"/>
                <w:szCs w:val="22"/>
              </w:rPr>
            </w:pPr>
          </w:p>
        </w:tc>
        <w:tc>
          <w:tcPr>
            <w:tcW w:w="981" w:type="pct"/>
            <w:tcBorders>
              <w:top w:val="single" w:sz="4" w:space="0" w:color="auto"/>
            </w:tcBorders>
            <w:vAlign w:val="center"/>
          </w:tcPr>
          <w:p w14:paraId="5375C82E" w14:textId="77777777" w:rsidR="003E5AE2" w:rsidRPr="00873479" w:rsidRDefault="003E5AE2" w:rsidP="0011417E">
            <w:pPr>
              <w:jc w:val="center"/>
              <w:rPr>
                <w:rFonts w:ascii="Arial" w:hAnsi="Arial" w:cs="Arial"/>
                <w:color w:val="000000" w:themeColor="text1"/>
                <w:sz w:val="22"/>
                <w:szCs w:val="22"/>
              </w:rPr>
            </w:pPr>
          </w:p>
        </w:tc>
      </w:tr>
      <w:tr w:rsidR="003E5AE2" w:rsidRPr="00E8251D" w14:paraId="0D73E456" w14:textId="77777777" w:rsidTr="0011417E">
        <w:trPr>
          <w:trHeight w:val="259"/>
        </w:trPr>
        <w:tc>
          <w:tcPr>
            <w:tcW w:w="1144" w:type="pct"/>
            <w:vAlign w:val="center"/>
          </w:tcPr>
          <w:p w14:paraId="15DA476C" w14:textId="77777777" w:rsidR="003E5AE2" w:rsidRPr="00E8251D" w:rsidRDefault="003E5AE2" w:rsidP="0011417E">
            <w:pPr>
              <w:ind w:left="360"/>
              <w:rPr>
                <w:rFonts w:ascii="Arial" w:hAnsi="Arial" w:cs="Arial"/>
                <w:color w:val="000000" w:themeColor="text1"/>
                <w:sz w:val="22"/>
                <w:szCs w:val="22"/>
              </w:rPr>
            </w:pPr>
            <w:r w:rsidRPr="00E8251D">
              <w:rPr>
                <w:rFonts w:ascii="Arial" w:hAnsi="Arial" w:cs="Arial"/>
                <w:color w:val="000000"/>
                <w:sz w:val="22"/>
                <w:szCs w:val="22"/>
                <w:bdr w:val="none" w:sz="0" w:space="0" w:color="auto" w:frame="1"/>
              </w:rPr>
              <w:t>% Patients receiving index opioid Rx</w:t>
            </w:r>
          </w:p>
        </w:tc>
        <w:tc>
          <w:tcPr>
            <w:tcW w:w="950" w:type="pct"/>
            <w:noWrap/>
            <w:vAlign w:val="center"/>
          </w:tcPr>
          <w:p w14:paraId="71F2A70A"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2.11 (1.32, 2.90)</w:t>
            </w:r>
          </w:p>
        </w:tc>
        <w:tc>
          <w:tcPr>
            <w:tcW w:w="985" w:type="pct"/>
            <w:noWrap/>
            <w:vAlign w:val="center"/>
          </w:tcPr>
          <w:p w14:paraId="04FF1C4E"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0.30 (-0.4</w:t>
            </w:r>
            <w:r>
              <w:rPr>
                <w:rFonts w:ascii="Arial" w:hAnsi="Arial" w:cs="Arial"/>
                <w:color w:val="000000" w:themeColor="text1"/>
                <w:sz w:val="22"/>
                <w:szCs w:val="22"/>
              </w:rPr>
              <w:t>5</w:t>
            </w:r>
            <w:r w:rsidRPr="00E8251D">
              <w:rPr>
                <w:rFonts w:ascii="Arial" w:hAnsi="Arial" w:cs="Arial"/>
                <w:color w:val="000000" w:themeColor="text1"/>
                <w:sz w:val="22"/>
                <w:szCs w:val="22"/>
              </w:rPr>
              <w:t>, 1.0</w:t>
            </w:r>
            <w:r>
              <w:rPr>
                <w:rFonts w:ascii="Arial" w:hAnsi="Arial" w:cs="Arial"/>
                <w:color w:val="000000" w:themeColor="text1"/>
                <w:sz w:val="22"/>
                <w:szCs w:val="22"/>
              </w:rPr>
              <w:t>5</w:t>
            </w:r>
            <w:r w:rsidRPr="00E8251D">
              <w:rPr>
                <w:rFonts w:ascii="Arial" w:hAnsi="Arial" w:cs="Arial"/>
                <w:color w:val="000000" w:themeColor="text1"/>
                <w:sz w:val="22"/>
                <w:szCs w:val="22"/>
              </w:rPr>
              <w:t>)</w:t>
            </w:r>
          </w:p>
        </w:tc>
        <w:tc>
          <w:tcPr>
            <w:tcW w:w="939" w:type="pct"/>
            <w:vAlign w:val="center"/>
          </w:tcPr>
          <w:p w14:paraId="49ED7E94"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-0.77 (-1.56, 0.02)</w:t>
            </w:r>
          </w:p>
        </w:tc>
        <w:tc>
          <w:tcPr>
            <w:tcW w:w="981" w:type="pct"/>
            <w:vAlign w:val="center"/>
          </w:tcPr>
          <w:p w14:paraId="371DCDFB"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1.0</w:t>
            </w:r>
            <w:r>
              <w:rPr>
                <w:rFonts w:ascii="Arial" w:hAnsi="Arial" w:cs="Arial"/>
                <w:color w:val="000000" w:themeColor="text1"/>
                <w:sz w:val="22"/>
                <w:szCs w:val="22"/>
              </w:rPr>
              <w:t>6</w:t>
            </w:r>
            <w:r w:rsidRPr="00E8251D">
              <w:rPr>
                <w:rFonts w:ascii="Arial" w:hAnsi="Arial" w:cs="Arial"/>
                <w:color w:val="000000" w:themeColor="text1"/>
                <w:sz w:val="22"/>
                <w:szCs w:val="22"/>
              </w:rPr>
              <w:t xml:space="preserve"> (0.30, 1.8</w:t>
            </w:r>
            <w:r>
              <w:rPr>
                <w:rFonts w:ascii="Arial" w:hAnsi="Arial" w:cs="Arial"/>
                <w:color w:val="000000" w:themeColor="text1"/>
                <w:sz w:val="22"/>
                <w:szCs w:val="22"/>
              </w:rPr>
              <w:t>3</w:t>
            </w:r>
            <w:r w:rsidRPr="00E8251D">
              <w:rPr>
                <w:rFonts w:ascii="Arial" w:hAnsi="Arial" w:cs="Arial"/>
                <w:color w:val="000000" w:themeColor="text1"/>
                <w:sz w:val="22"/>
                <w:szCs w:val="22"/>
              </w:rPr>
              <w:t>)</w:t>
            </w:r>
          </w:p>
        </w:tc>
      </w:tr>
      <w:tr w:rsidR="003E5AE2" w:rsidRPr="00E8251D" w14:paraId="29A340BD" w14:textId="77777777" w:rsidTr="0011417E">
        <w:trPr>
          <w:trHeight w:val="259"/>
        </w:trPr>
        <w:tc>
          <w:tcPr>
            <w:tcW w:w="1144" w:type="pct"/>
            <w:tcBorders>
              <w:bottom w:val="single" w:sz="4" w:space="0" w:color="auto"/>
            </w:tcBorders>
            <w:vAlign w:val="center"/>
          </w:tcPr>
          <w:p w14:paraId="320B7C07" w14:textId="77777777" w:rsidR="003E5AE2" w:rsidRPr="00E8251D" w:rsidRDefault="003E5AE2" w:rsidP="0011417E">
            <w:pPr>
              <w:ind w:left="360"/>
              <w:rPr>
                <w:rFonts w:ascii="Arial" w:hAnsi="Arial" w:cs="Arial"/>
                <w:color w:val="000000" w:themeColor="text1"/>
                <w:sz w:val="22"/>
                <w:szCs w:val="22"/>
              </w:rPr>
            </w:pPr>
            <w:r w:rsidRPr="00E8251D">
              <w:rPr>
                <w:rFonts w:ascii="Arial" w:hAnsi="Arial" w:cs="Arial"/>
                <w:color w:val="000000" w:themeColor="text1"/>
                <w:sz w:val="22"/>
                <w:szCs w:val="22"/>
              </w:rPr>
              <w:t>Index Rx Rate</w:t>
            </w:r>
            <w:r>
              <w:rPr>
                <w:rFonts w:ascii="Arial" w:hAnsi="Arial" w:cs="Arial"/>
                <w:color w:val="000000" w:themeColor="text1"/>
                <w:sz w:val="22"/>
                <w:szCs w:val="22"/>
              </w:rPr>
              <w:t xml:space="preserve"> per 100 person-months</w:t>
            </w:r>
          </w:p>
        </w:tc>
        <w:tc>
          <w:tcPr>
            <w:tcW w:w="950" w:type="pct"/>
            <w:tcBorders>
              <w:bottom w:val="single" w:sz="4" w:space="0" w:color="auto"/>
            </w:tcBorders>
            <w:noWrap/>
            <w:vAlign w:val="center"/>
          </w:tcPr>
          <w:p w14:paraId="7DA1E8A3"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2.63 (1.35, 3.90)</w:t>
            </w:r>
          </w:p>
        </w:tc>
        <w:tc>
          <w:tcPr>
            <w:tcW w:w="985" w:type="pct"/>
            <w:tcBorders>
              <w:bottom w:val="single" w:sz="4" w:space="0" w:color="auto"/>
            </w:tcBorders>
            <w:noWrap/>
            <w:vAlign w:val="center"/>
          </w:tcPr>
          <w:p w14:paraId="4766BC16"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0.3</w:t>
            </w:r>
            <w:r>
              <w:rPr>
                <w:rFonts w:ascii="Arial" w:hAnsi="Arial" w:cs="Arial"/>
                <w:color w:val="000000" w:themeColor="text1"/>
                <w:sz w:val="22"/>
                <w:szCs w:val="22"/>
              </w:rPr>
              <w:t>2</w:t>
            </w:r>
            <w:r w:rsidRPr="00E8251D">
              <w:rPr>
                <w:rFonts w:ascii="Arial" w:hAnsi="Arial" w:cs="Arial"/>
                <w:color w:val="000000" w:themeColor="text1"/>
                <w:sz w:val="22"/>
                <w:szCs w:val="22"/>
              </w:rPr>
              <w:t xml:space="preserve"> (-0.89, 1.52)</w:t>
            </w:r>
          </w:p>
        </w:tc>
        <w:tc>
          <w:tcPr>
            <w:tcW w:w="939" w:type="pct"/>
            <w:tcBorders>
              <w:bottom w:val="single" w:sz="4" w:space="0" w:color="auto"/>
            </w:tcBorders>
            <w:vAlign w:val="center"/>
          </w:tcPr>
          <w:p w14:paraId="4B4A7008"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-0.50 (-1.77, 0.77)</w:t>
            </w:r>
          </w:p>
        </w:tc>
        <w:tc>
          <w:tcPr>
            <w:tcW w:w="981" w:type="pct"/>
            <w:tcBorders>
              <w:bottom w:val="single" w:sz="4" w:space="0" w:color="auto"/>
            </w:tcBorders>
            <w:vAlign w:val="center"/>
          </w:tcPr>
          <w:p w14:paraId="01B8CD29"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1.8</w:t>
            </w:r>
            <w:r>
              <w:rPr>
                <w:rFonts w:ascii="Arial" w:hAnsi="Arial" w:cs="Arial"/>
                <w:color w:val="000000" w:themeColor="text1"/>
                <w:sz w:val="22"/>
                <w:szCs w:val="22"/>
              </w:rPr>
              <w:t>3</w:t>
            </w:r>
            <w:r w:rsidRPr="00E8251D">
              <w:rPr>
                <w:rFonts w:ascii="Arial" w:hAnsi="Arial" w:cs="Arial"/>
                <w:color w:val="000000" w:themeColor="text1"/>
                <w:sz w:val="22"/>
                <w:szCs w:val="22"/>
              </w:rPr>
              <w:t xml:space="preserve"> (0.60, 3.06)</w:t>
            </w:r>
          </w:p>
        </w:tc>
      </w:tr>
      <w:tr w:rsidR="003E5AE2" w:rsidRPr="00E8251D" w14:paraId="09F3D6BE" w14:textId="77777777" w:rsidTr="0011417E">
        <w:trPr>
          <w:trHeight w:val="259"/>
        </w:trPr>
        <w:tc>
          <w:tcPr>
            <w:tcW w:w="5000" w:type="pct"/>
            <w:gridSpan w:val="5"/>
            <w:tcBorders>
              <w:top w:val="single" w:sz="4" w:space="0" w:color="auto"/>
              <w:bottom w:val="single" w:sz="4" w:space="0" w:color="auto"/>
            </w:tcBorders>
            <w:vAlign w:val="center"/>
          </w:tcPr>
          <w:p w14:paraId="76F757E5" w14:textId="77777777" w:rsidR="003E5AE2" w:rsidRPr="00E8251D" w:rsidRDefault="003E5AE2" w:rsidP="0011417E">
            <w:pPr>
              <w:rPr>
                <w:rFonts w:ascii="Arial" w:hAnsi="Arial" w:cs="Arial"/>
                <w:color w:val="000000" w:themeColor="text1"/>
                <w:sz w:val="22"/>
                <w:szCs w:val="22"/>
              </w:rPr>
            </w:pPr>
            <w:r w:rsidRPr="00E8251D">
              <w:rPr>
                <w:rFonts w:ascii="Arial" w:hAnsi="Arial" w:cs="Arial"/>
                <w:color w:val="000000" w:themeColor="text1"/>
                <w:sz w:val="22"/>
                <w:szCs w:val="22"/>
              </w:rPr>
              <w:t>* - annualized estimates</w:t>
            </w:r>
            <w:r>
              <w:rPr>
                <w:rFonts w:ascii="Arial" w:hAnsi="Arial" w:cs="Arial"/>
                <w:color w:val="000000" w:themeColor="text1"/>
                <w:sz w:val="22"/>
                <w:szCs w:val="22"/>
              </w:rPr>
              <w:t xml:space="preserve">, calculated </w:t>
            </w:r>
            <w:r w:rsidRPr="00E8251D">
              <w:rPr>
                <w:rFonts w:ascii="Arial" w:hAnsi="Arial" w:cs="Arial"/>
                <w:color w:val="000000" w:themeColor="text1"/>
                <w:sz w:val="22"/>
                <w:szCs w:val="22"/>
              </w:rPr>
              <w:t xml:space="preserve">by multiplying monthly </w:t>
            </w:r>
            <w:r>
              <w:rPr>
                <w:rFonts w:ascii="Arial" w:hAnsi="Arial" w:cs="Arial"/>
                <w:color w:val="000000" w:themeColor="text1"/>
                <w:sz w:val="22"/>
                <w:szCs w:val="22"/>
              </w:rPr>
              <w:t xml:space="preserve">trend </w:t>
            </w:r>
            <w:r w:rsidRPr="00E8251D">
              <w:rPr>
                <w:rFonts w:ascii="Arial" w:hAnsi="Arial" w:cs="Arial"/>
                <w:color w:val="000000" w:themeColor="text1"/>
                <w:sz w:val="22"/>
                <w:szCs w:val="22"/>
              </w:rPr>
              <w:t>change estimates to 12</w:t>
            </w:r>
            <w:r>
              <w:rPr>
                <w:rFonts w:ascii="Arial" w:hAnsi="Arial" w:cs="Arial"/>
                <w:color w:val="000000" w:themeColor="text1"/>
                <w:sz w:val="22"/>
                <w:szCs w:val="22"/>
              </w:rPr>
              <w:t>.</w:t>
            </w:r>
          </w:p>
        </w:tc>
      </w:tr>
    </w:tbl>
    <w:p w14:paraId="6A81F5E3" w14:textId="77777777" w:rsidR="003E5AE2" w:rsidRPr="00E8251D" w:rsidRDefault="003E5AE2" w:rsidP="003E5AE2">
      <w:pPr>
        <w:spacing w:line="480" w:lineRule="auto"/>
        <w:rPr>
          <w:rFonts w:ascii="Arial" w:hAnsi="Arial" w:cs="Arial"/>
          <w:b/>
          <w:bCs/>
          <w:color w:val="000000" w:themeColor="text1"/>
          <w:sz w:val="22"/>
          <w:szCs w:val="22"/>
        </w:rPr>
      </w:pPr>
    </w:p>
    <w:p w14:paraId="16C2EE84" w14:textId="77777777" w:rsidR="003E5AE2" w:rsidRPr="00E8251D" w:rsidRDefault="003E5AE2" w:rsidP="003E5AE2">
      <w:pPr>
        <w:spacing w:line="480" w:lineRule="auto"/>
        <w:rPr>
          <w:rFonts w:ascii="Arial" w:hAnsi="Arial" w:cs="Arial"/>
          <w:b/>
          <w:bCs/>
          <w:color w:val="000000" w:themeColor="text1"/>
          <w:sz w:val="22"/>
          <w:szCs w:val="22"/>
        </w:rPr>
        <w:sectPr w:rsidR="003E5AE2" w:rsidRPr="00E8251D" w:rsidSect="00C1743D">
          <w:pgSz w:w="15840" w:h="12240" w:orient="landscape"/>
          <w:pgMar w:top="720" w:right="720" w:bottom="720" w:left="720" w:header="720" w:footer="720" w:gutter="0"/>
          <w:cols w:space="720"/>
          <w:docGrid w:linePitch="360"/>
        </w:sectPr>
      </w:pPr>
    </w:p>
    <w:p w14:paraId="4F450AC1" w14:textId="77777777" w:rsidR="003E5AE2" w:rsidRPr="00E8251D" w:rsidRDefault="003E5AE2" w:rsidP="003E5AE2">
      <w:pPr>
        <w:rPr>
          <w:rFonts w:ascii="Arial" w:hAnsi="Arial" w:cs="Arial"/>
          <w:b/>
          <w:bCs/>
          <w:color w:val="000000" w:themeColor="text1"/>
          <w:sz w:val="22"/>
          <w:szCs w:val="22"/>
        </w:rPr>
      </w:pPr>
      <w:r w:rsidRPr="00E8251D">
        <w:rPr>
          <w:rFonts w:ascii="Arial" w:hAnsi="Arial" w:cs="Arial"/>
          <w:b/>
          <w:bCs/>
          <w:color w:val="000000" w:themeColor="text1"/>
          <w:sz w:val="22"/>
          <w:szCs w:val="22"/>
        </w:rPr>
        <w:lastRenderedPageBreak/>
        <w:t xml:space="preserve">Table </w:t>
      </w:r>
      <w:r>
        <w:rPr>
          <w:rFonts w:ascii="Arial" w:hAnsi="Arial" w:cs="Arial"/>
          <w:b/>
          <w:bCs/>
          <w:color w:val="000000" w:themeColor="text1"/>
          <w:sz w:val="22"/>
          <w:szCs w:val="22"/>
        </w:rPr>
        <w:t>3</w:t>
      </w:r>
      <w:r w:rsidRPr="00E8251D">
        <w:rPr>
          <w:rFonts w:ascii="Arial" w:hAnsi="Arial" w:cs="Arial"/>
          <w:b/>
          <w:bCs/>
          <w:color w:val="000000" w:themeColor="text1"/>
          <w:sz w:val="22"/>
          <w:szCs w:val="22"/>
        </w:rPr>
        <w:t>. Association of two policies on prescribing behaviors for prescription opioid patients for surgery and injury pain by race in North Carolina from April 2014 through December 2019</w:t>
      </w:r>
    </w:p>
    <w:tbl>
      <w:tblPr>
        <w:tblW w:w="4856" w:type="pct"/>
        <w:tblLayout w:type="fixed"/>
        <w:tblLook w:val="04A0" w:firstRow="1" w:lastRow="0" w:firstColumn="1" w:lastColumn="0" w:noHBand="0" w:noVBand="1"/>
      </w:tblPr>
      <w:tblGrid>
        <w:gridCol w:w="2519"/>
        <w:gridCol w:w="2252"/>
        <w:gridCol w:w="2159"/>
        <w:gridCol w:w="2431"/>
        <w:gridCol w:w="2358"/>
        <w:gridCol w:w="2266"/>
      </w:tblGrid>
      <w:tr w:rsidR="003E5AE2" w:rsidRPr="00E8251D" w14:paraId="7F449637" w14:textId="77777777" w:rsidTr="0011417E">
        <w:trPr>
          <w:trHeight w:val="254"/>
        </w:trPr>
        <w:tc>
          <w:tcPr>
            <w:tcW w:w="901" w:type="pct"/>
            <w:tcBorders>
              <w:top w:val="single" w:sz="4" w:space="0" w:color="auto"/>
            </w:tcBorders>
            <w:noWrap/>
            <w:vAlign w:val="center"/>
          </w:tcPr>
          <w:p w14:paraId="26BA6EEC" w14:textId="77777777" w:rsidR="003E5AE2" w:rsidRPr="00E8251D" w:rsidRDefault="003E5AE2" w:rsidP="0011417E">
            <w:pPr>
              <w:rPr>
                <w:rFonts w:ascii="Arial" w:hAnsi="Arial" w:cs="Arial"/>
                <w:b/>
                <w:bCs/>
                <w:color w:val="000000" w:themeColor="text1"/>
                <w:sz w:val="22"/>
                <w:szCs w:val="22"/>
              </w:rPr>
            </w:pPr>
          </w:p>
        </w:tc>
        <w:tc>
          <w:tcPr>
            <w:tcW w:w="805" w:type="pct"/>
            <w:tcBorders>
              <w:top w:val="single" w:sz="4" w:space="0" w:color="auto"/>
              <w:bottom w:val="single" w:sz="4" w:space="0" w:color="auto"/>
            </w:tcBorders>
            <w:noWrap/>
            <w:vAlign w:val="center"/>
          </w:tcPr>
          <w:p w14:paraId="593E2149" w14:textId="77777777" w:rsidR="003E5AE2" w:rsidRPr="00E8251D" w:rsidRDefault="003E5AE2" w:rsidP="0011417E">
            <w:pPr>
              <w:jc w:val="center"/>
              <w:rPr>
                <w:rFonts w:ascii="Arial" w:hAnsi="Arial" w:cs="Arial"/>
                <w:b/>
                <w:bCs/>
                <w:color w:val="000000" w:themeColor="text1"/>
                <w:sz w:val="22"/>
                <w:szCs w:val="22"/>
                <w:shd w:val="clear" w:color="auto" w:fill="FFFFFF"/>
              </w:rPr>
            </w:pPr>
            <w:r w:rsidRPr="00E8251D">
              <w:rPr>
                <w:rFonts w:ascii="Arial" w:hAnsi="Arial" w:cs="Arial"/>
                <w:b/>
                <w:bCs/>
                <w:color w:val="000000" w:themeColor="text1"/>
                <w:sz w:val="22"/>
                <w:szCs w:val="22"/>
                <w:shd w:val="clear" w:color="auto" w:fill="FFFFFF"/>
              </w:rPr>
              <w:t>pre-SOPI</w:t>
            </w:r>
          </w:p>
        </w:tc>
        <w:tc>
          <w:tcPr>
            <w:tcW w:w="1641" w:type="pct"/>
            <w:gridSpan w:val="2"/>
            <w:tcBorders>
              <w:top w:val="single" w:sz="4" w:space="0" w:color="auto"/>
              <w:bottom w:val="single" w:sz="4" w:space="0" w:color="auto"/>
            </w:tcBorders>
            <w:noWrap/>
            <w:vAlign w:val="center"/>
          </w:tcPr>
          <w:p w14:paraId="3F8FC749" w14:textId="77777777" w:rsidR="003E5AE2" w:rsidRPr="00E8251D" w:rsidRDefault="003E5AE2" w:rsidP="0011417E">
            <w:pPr>
              <w:jc w:val="center"/>
              <w:rPr>
                <w:rFonts w:ascii="Arial" w:hAnsi="Arial" w:cs="Arial"/>
                <w:b/>
                <w:bCs/>
                <w:color w:val="000000" w:themeColor="text1"/>
                <w:sz w:val="22"/>
                <w:szCs w:val="22"/>
                <w:shd w:val="clear" w:color="auto" w:fill="FFFFFF"/>
              </w:rPr>
            </w:pPr>
            <w:r w:rsidRPr="00E8251D">
              <w:rPr>
                <w:rFonts w:ascii="Arial" w:hAnsi="Arial" w:cs="Arial"/>
                <w:b/>
                <w:bCs/>
                <w:color w:val="000000" w:themeColor="text1"/>
                <w:sz w:val="22"/>
                <w:szCs w:val="22"/>
                <w:shd w:val="clear" w:color="auto" w:fill="FFFFFF"/>
              </w:rPr>
              <w:t>post-SOPI</w:t>
            </w:r>
          </w:p>
        </w:tc>
        <w:tc>
          <w:tcPr>
            <w:tcW w:w="1653" w:type="pct"/>
            <w:gridSpan w:val="2"/>
            <w:tcBorders>
              <w:top w:val="single" w:sz="4" w:space="0" w:color="auto"/>
              <w:bottom w:val="single" w:sz="4" w:space="0" w:color="auto"/>
            </w:tcBorders>
            <w:noWrap/>
            <w:vAlign w:val="center"/>
          </w:tcPr>
          <w:p w14:paraId="09DD063A" w14:textId="77777777" w:rsidR="003E5AE2" w:rsidRPr="00E8251D" w:rsidRDefault="003E5AE2" w:rsidP="0011417E">
            <w:pPr>
              <w:jc w:val="center"/>
              <w:rPr>
                <w:rFonts w:ascii="Arial" w:hAnsi="Arial" w:cs="Arial"/>
                <w:b/>
                <w:bCs/>
                <w:color w:val="000000" w:themeColor="text1"/>
                <w:sz w:val="22"/>
                <w:szCs w:val="22"/>
                <w:shd w:val="clear" w:color="auto" w:fill="FFFFFF"/>
              </w:rPr>
            </w:pPr>
            <w:r w:rsidRPr="00E8251D">
              <w:rPr>
                <w:rFonts w:ascii="Arial" w:hAnsi="Arial" w:cs="Arial"/>
                <w:b/>
                <w:bCs/>
                <w:color w:val="000000" w:themeColor="text1"/>
                <w:sz w:val="22"/>
                <w:szCs w:val="22"/>
                <w:shd w:val="clear" w:color="auto" w:fill="FFFFFF"/>
              </w:rPr>
              <w:t>post-STOP</w:t>
            </w:r>
          </w:p>
        </w:tc>
      </w:tr>
      <w:tr w:rsidR="003E5AE2" w:rsidRPr="00E8251D" w14:paraId="49B8429B" w14:textId="77777777" w:rsidTr="0011417E">
        <w:trPr>
          <w:trHeight w:val="254"/>
        </w:trPr>
        <w:tc>
          <w:tcPr>
            <w:tcW w:w="901" w:type="pct"/>
            <w:noWrap/>
            <w:vAlign w:val="center"/>
          </w:tcPr>
          <w:p w14:paraId="0543B033" w14:textId="77777777" w:rsidR="003E5AE2" w:rsidRPr="00E8251D" w:rsidRDefault="003E5AE2" w:rsidP="0011417E">
            <w:pPr>
              <w:rPr>
                <w:rFonts w:ascii="Arial" w:hAnsi="Arial" w:cs="Arial"/>
                <w:b/>
                <w:bCs/>
                <w:color w:val="000000" w:themeColor="text1"/>
                <w:sz w:val="22"/>
                <w:szCs w:val="22"/>
              </w:rPr>
            </w:pPr>
            <w:r w:rsidRPr="00E8251D">
              <w:rPr>
                <w:rFonts w:ascii="Arial" w:hAnsi="Arial" w:cs="Arial"/>
                <w:b/>
                <w:bCs/>
                <w:color w:val="000000" w:themeColor="text1"/>
                <w:sz w:val="22"/>
                <w:szCs w:val="22"/>
              </w:rPr>
              <w:t>Categories</w:t>
            </w:r>
          </w:p>
        </w:tc>
        <w:tc>
          <w:tcPr>
            <w:tcW w:w="805" w:type="pct"/>
            <w:tcBorders>
              <w:bottom w:val="single" w:sz="4" w:space="0" w:color="auto"/>
            </w:tcBorders>
            <w:noWrap/>
            <w:vAlign w:val="center"/>
          </w:tcPr>
          <w:p w14:paraId="10CB3D84" w14:textId="77777777" w:rsidR="003E5AE2" w:rsidRPr="00E8251D" w:rsidRDefault="003E5AE2" w:rsidP="0011417E">
            <w:pPr>
              <w:jc w:val="center"/>
              <w:rPr>
                <w:rFonts w:ascii="Arial" w:hAnsi="Arial" w:cs="Arial"/>
                <w:b/>
                <w:bCs/>
                <w:color w:val="000000" w:themeColor="text1"/>
                <w:sz w:val="22"/>
                <w:szCs w:val="22"/>
                <w:shd w:val="clear" w:color="auto" w:fill="FFFFFF"/>
              </w:rPr>
            </w:pPr>
            <w:r w:rsidRPr="00E8251D">
              <w:rPr>
                <w:rFonts w:ascii="Arial" w:hAnsi="Arial" w:cs="Arial"/>
                <w:b/>
                <w:bCs/>
                <w:color w:val="000000" w:themeColor="text1"/>
                <w:sz w:val="22"/>
                <w:szCs w:val="22"/>
                <w:shd w:val="clear" w:color="auto" w:fill="FFFFFF"/>
              </w:rPr>
              <w:t>Trend</w:t>
            </w:r>
          </w:p>
          <w:p w14:paraId="6003B224"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b/>
                <w:bCs/>
                <w:color w:val="000000" w:themeColor="text1"/>
                <w:sz w:val="22"/>
                <w:szCs w:val="22"/>
                <w:shd w:val="clear" w:color="auto" w:fill="FFFFFF"/>
              </w:rPr>
              <w:t>(95% CI)</w:t>
            </w:r>
          </w:p>
        </w:tc>
        <w:tc>
          <w:tcPr>
            <w:tcW w:w="772" w:type="pct"/>
            <w:tcBorders>
              <w:top w:val="single" w:sz="4" w:space="0" w:color="auto"/>
              <w:bottom w:val="single" w:sz="4" w:space="0" w:color="auto"/>
            </w:tcBorders>
            <w:noWrap/>
            <w:vAlign w:val="center"/>
          </w:tcPr>
          <w:p w14:paraId="08D5E9F8" w14:textId="77777777" w:rsidR="003E5AE2" w:rsidRPr="00E8251D" w:rsidRDefault="003E5AE2" w:rsidP="0011417E">
            <w:pPr>
              <w:jc w:val="center"/>
              <w:rPr>
                <w:rFonts w:ascii="Arial" w:hAnsi="Arial" w:cs="Arial"/>
                <w:b/>
                <w:bCs/>
                <w:color w:val="000000" w:themeColor="text1"/>
                <w:sz w:val="22"/>
                <w:szCs w:val="22"/>
                <w:shd w:val="clear" w:color="auto" w:fill="FFFFFF"/>
              </w:rPr>
            </w:pPr>
            <w:r w:rsidRPr="00E8251D">
              <w:rPr>
                <w:rFonts w:ascii="Arial" w:hAnsi="Arial" w:cs="Arial"/>
                <w:b/>
                <w:bCs/>
                <w:color w:val="000000" w:themeColor="text1"/>
                <w:sz w:val="22"/>
                <w:szCs w:val="22"/>
                <w:shd w:val="clear" w:color="auto" w:fill="FFFFFF"/>
              </w:rPr>
              <w:t xml:space="preserve">Absolute Immediate change </w:t>
            </w:r>
          </w:p>
          <w:p w14:paraId="117D8F3C"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b/>
                <w:bCs/>
                <w:color w:val="000000" w:themeColor="text1"/>
                <w:sz w:val="22"/>
                <w:szCs w:val="22"/>
                <w:shd w:val="clear" w:color="auto" w:fill="FFFFFF"/>
              </w:rPr>
              <w:t>(95% CI)</w:t>
            </w:r>
          </w:p>
        </w:tc>
        <w:tc>
          <w:tcPr>
            <w:tcW w:w="869" w:type="pct"/>
            <w:tcBorders>
              <w:top w:val="single" w:sz="4" w:space="0" w:color="auto"/>
              <w:bottom w:val="single" w:sz="4" w:space="0" w:color="auto"/>
            </w:tcBorders>
            <w:noWrap/>
            <w:vAlign w:val="center"/>
          </w:tcPr>
          <w:p w14:paraId="18ECB6DC" w14:textId="77777777" w:rsidR="003E5AE2" w:rsidRPr="00E8251D" w:rsidRDefault="003E5AE2" w:rsidP="0011417E">
            <w:pPr>
              <w:jc w:val="center"/>
              <w:rPr>
                <w:rFonts w:ascii="Arial" w:hAnsi="Arial" w:cs="Arial"/>
                <w:b/>
                <w:bCs/>
                <w:color w:val="000000" w:themeColor="text1"/>
                <w:sz w:val="22"/>
                <w:szCs w:val="22"/>
                <w:shd w:val="clear" w:color="auto" w:fill="FFFFFF"/>
              </w:rPr>
            </w:pPr>
            <w:r w:rsidRPr="00E8251D">
              <w:rPr>
                <w:rFonts w:ascii="Arial" w:hAnsi="Arial" w:cs="Arial"/>
                <w:b/>
                <w:bCs/>
                <w:color w:val="000000" w:themeColor="text1"/>
                <w:sz w:val="22"/>
                <w:szCs w:val="22"/>
                <w:shd w:val="clear" w:color="auto" w:fill="FFFFFF"/>
              </w:rPr>
              <w:t>Sustained trend change</w:t>
            </w:r>
          </w:p>
          <w:p w14:paraId="4C2FC307"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b/>
                <w:bCs/>
                <w:color w:val="000000" w:themeColor="text1"/>
                <w:sz w:val="22"/>
                <w:szCs w:val="22"/>
                <w:shd w:val="clear" w:color="auto" w:fill="FFFFFF"/>
              </w:rPr>
              <w:t>(95% CI)</w:t>
            </w:r>
          </w:p>
        </w:tc>
        <w:tc>
          <w:tcPr>
            <w:tcW w:w="843" w:type="pct"/>
            <w:tcBorders>
              <w:top w:val="single" w:sz="4" w:space="0" w:color="auto"/>
              <w:bottom w:val="single" w:sz="4" w:space="0" w:color="auto"/>
            </w:tcBorders>
            <w:noWrap/>
            <w:vAlign w:val="center"/>
          </w:tcPr>
          <w:p w14:paraId="5F59CAB8" w14:textId="77777777" w:rsidR="003E5AE2" w:rsidRPr="00E8251D" w:rsidRDefault="003E5AE2" w:rsidP="0011417E">
            <w:pPr>
              <w:jc w:val="center"/>
              <w:rPr>
                <w:rFonts w:ascii="Arial" w:hAnsi="Arial" w:cs="Arial"/>
                <w:b/>
                <w:bCs/>
                <w:color w:val="000000" w:themeColor="text1"/>
                <w:sz w:val="22"/>
                <w:szCs w:val="22"/>
                <w:shd w:val="clear" w:color="auto" w:fill="FFFFFF"/>
              </w:rPr>
            </w:pPr>
            <w:r w:rsidRPr="00E8251D">
              <w:rPr>
                <w:rFonts w:ascii="Arial" w:hAnsi="Arial" w:cs="Arial"/>
                <w:b/>
                <w:bCs/>
                <w:color w:val="000000" w:themeColor="text1"/>
                <w:sz w:val="22"/>
                <w:szCs w:val="22"/>
                <w:shd w:val="clear" w:color="auto" w:fill="FFFFFF"/>
              </w:rPr>
              <w:t>Absolute immediate change</w:t>
            </w:r>
          </w:p>
          <w:p w14:paraId="12C2D342" w14:textId="77777777" w:rsidR="003E5AE2" w:rsidRPr="00E8251D" w:rsidRDefault="003E5AE2" w:rsidP="0011417E">
            <w:pPr>
              <w:jc w:val="center"/>
              <w:rPr>
                <w:rFonts w:ascii="Arial" w:hAnsi="Arial" w:cs="Arial"/>
                <w:b/>
                <w:bCs/>
                <w:color w:val="000000" w:themeColor="text1"/>
                <w:sz w:val="22"/>
                <w:szCs w:val="22"/>
                <w:shd w:val="clear" w:color="auto" w:fill="FFFFFF"/>
              </w:rPr>
            </w:pPr>
            <w:r w:rsidRPr="00E8251D">
              <w:rPr>
                <w:rFonts w:ascii="Arial" w:hAnsi="Arial" w:cs="Arial"/>
                <w:b/>
                <w:bCs/>
                <w:color w:val="000000" w:themeColor="text1"/>
                <w:sz w:val="22"/>
                <w:szCs w:val="22"/>
                <w:shd w:val="clear" w:color="auto" w:fill="FFFFFF"/>
              </w:rPr>
              <w:t>(95% CI)</w:t>
            </w:r>
          </w:p>
        </w:tc>
        <w:tc>
          <w:tcPr>
            <w:tcW w:w="810" w:type="pct"/>
            <w:tcBorders>
              <w:top w:val="single" w:sz="4" w:space="0" w:color="auto"/>
              <w:bottom w:val="single" w:sz="4" w:space="0" w:color="auto"/>
            </w:tcBorders>
            <w:noWrap/>
            <w:vAlign w:val="center"/>
          </w:tcPr>
          <w:p w14:paraId="572F395B"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b/>
                <w:bCs/>
                <w:color w:val="000000" w:themeColor="text1"/>
                <w:sz w:val="22"/>
                <w:szCs w:val="22"/>
                <w:shd w:val="clear" w:color="auto" w:fill="FFFFFF"/>
              </w:rPr>
              <w:t>Sustained trend change</w:t>
            </w:r>
            <w:r w:rsidRPr="00E8251D" w:rsidDel="0098444E">
              <w:rPr>
                <w:rFonts w:ascii="Arial" w:hAnsi="Arial" w:cs="Arial"/>
                <w:b/>
                <w:bCs/>
                <w:color w:val="000000" w:themeColor="text1"/>
                <w:sz w:val="22"/>
                <w:szCs w:val="22"/>
                <w:shd w:val="clear" w:color="auto" w:fill="FFFFFF"/>
              </w:rPr>
              <w:t xml:space="preserve"> </w:t>
            </w:r>
            <w:r w:rsidRPr="00E8251D">
              <w:rPr>
                <w:rFonts w:ascii="Arial" w:hAnsi="Arial" w:cs="Arial"/>
                <w:b/>
                <w:bCs/>
                <w:color w:val="000000" w:themeColor="text1"/>
                <w:sz w:val="22"/>
                <w:szCs w:val="22"/>
                <w:shd w:val="clear" w:color="auto" w:fill="FFFFFF"/>
              </w:rPr>
              <w:t>(95% CI)</w:t>
            </w:r>
          </w:p>
        </w:tc>
      </w:tr>
      <w:tr w:rsidR="003E5AE2" w:rsidRPr="00E8251D" w14:paraId="5AAF7B16" w14:textId="77777777" w:rsidTr="0011417E">
        <w:trPr>
          <w:trHeight w:val="254"/>
        </w:trPr>
        <w:tc>
          <w:tcPr>
            <w:tcW w:w="901" w:type="pct"/>
            <w:tcBorders>
              <w:bottom w:val="single" w:sz="4" w:space="0" w:color="auto"/>
            </w:tcBorders>
            <w:noWrap/>
            <w:hideMark/>
          </w:tcPr>
          <w:p w14:paraId="3CE01963" w14:textId="77777777" w:rsidR="003E5AE2" w:rsidRPr="00E8251D" w:rsidRDefault="003E5AE2" w:rsidP="0011417E">
            <w:pPr>
              <w:rPr>
                <w:rFonts w:ascii="Arial" w:hAnsi="Arial" w:cs="Arial"/>
                <w:color w:val="000000" w:themeColor="text1"/>
                <w:sz w:val="22"/>
                <w:szCs w:val="22"/>
              </w:rPr>
            </w:pPr>
          </w:p>
        </w:tc>
        <w:tc>
          <w:tcPr>
            <w:tcW w:w="805" w:type="pct"/>
            <w:tcBorders>
              <w:top w:val="single" w:sz="4" w:space="0" w:color="auto"/>
              <w:bottom w:val="single" w:sz="4" w:space="0" w:color="auto"/>
            </w:tcBorders>
            <w:noWrap/>
            <w:vAlign w:val="center"/>
            <w:hideMark/>
          </w:tcPr>
          <w:p w14:paraId="7C3AC613"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shd w:val="clear" w:color="auto" w:fill="FFFFFF"/>
              </w:rPr>
              <w:t>β1</w:t>
            </w:r>
            <w:r>
              <w:rPr>
                <w:rFonts w:ascii="Arial" w:hAnsi="Arial" w:cs="Arial"/>
                <w:color w:val="000000" w:themeColor="text1"/>
                <w:sz w:val="22"/>
                <w:szCs w:val="22"/>
                <w:shd w:val="clear" w:color="auto" w:fill="FFFFFF"/>
              </w:rPr>
              <w:t>*</w:t>
            </w:r>
          </w:p>
        </w:tc>
        <w:tc>
          <w:tcPr>
            <w:tcW w:w="772" w:type="pct"/>
            <w:tcBorders>
              <w:top w:val="single" w:sz="4" w:space="0" w:color="auto"/>
              <w:bottom w:val="single" w:sz="4" w:space="0" w:color="auto"/>
            </w:tcBorders>
            <w:noWrap/>
            <w:vAlign w:val="center"/>
            <w:hideMark/>
          </w:tcPr>
          <w:p w14:paraId="75CDC24E"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shd w:val="clear" w:color="auto" w:fill="FFFFFF"/>
              </w:rPr>
              <w:t>β2</w:t>
            </w:r>
          </w:p>
        </w:tc>
        <w:tc>
          <w:tcPr>
            <w:tcW w:w="869" w:type="pct"/>
            <w:tcBorders>
              <w:top w:val="single" w:sz="4" w:space="0" w:color="auto"/>
              <w:bottom w:val="single" w:sz="4" w:space="0" w:color="auto"/>
            </w:tcBorders>
            <w:noWrap/>
            <w:vAlign w:val="center"/>
            <w:hideMark/>
          </w:tcPr>
          <w:p w14:paraId="71A430D4"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shd w:val="clear" w:color="auto" w:fill="FFFFFF"/>
              </w:rPr>
              <w:t>β3</w:t>
            </w:r>
            <w:r>
              <w:rPr>
                <w:rFonts w:ascii="Arial" w:hAnsi="Arial" w:cs="Arial"/>
                <w:color w:val="000000" w:themeColor="text1"/>
                <w:sz w:val="22"/>
                <w:szCs w:val="22"/>
                <w:shd w:val="clear" w:color="auto" w:fill="FFFFFF"/>
              </w:rPr>
              <w:t>*</w:t>
            </w:r>
          </w:p>
        </w:tc>
        <w:tc>
          <w:tcPr>
            <w:tcW w:w="843" w:type="pct"/>
            <w:tcBorders>
              <w:top w:val="single" w:sz="4" w:space="0" w:color="auto"/>
              <w:bottom w:val="single" w:sz="4" w:space="0" w:color="auto"/>
            </w:tcBorders>
            <w:noWrap/>
            <w:vAlign w:val="center"/>
            <w:hideMark/>
          </w:tcPr>
          <w:p w14:paraId="42F23704"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shd w:val="clear" w:color="auto" w:fill="FFFFFF"/>
              </w:rPr>
              <w:t>β4</w:t>
            </w:r>
          </w:p>
        </w:tc>
        <w:tc>
          <w:tcPr>
            <w:tcW w:w="810" w:type="pct"/>
            <w:tcBorders>
              <w:top w:val="single" w:sz="4" w:space="0" w:color="auto"/>
              <w:bottom w:val="single" w:sz="4" w:space="0" w:color="auto"/>
            </w:tcBorders>
            <w:noWrap/>
            <w:vAlign w:val="center"/>
            <w:hideMark/>
          </w:tcPr>
          <w:p w14:paraId="613573FC"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shd w:val="clear" w:color="auto" w:fill="FFFFFF"/>
              </w:rPr>
              <w:t>β5</w:t>
            </w:r>
            <w:r>
              <w:rPr>
                <w:rFonts w:ascii="Arial" w:hAnsi="Arial" w:cs="Arial"/>
                <w:color w:val="000000" w:themeColor="text1"/>
                <w:sz w:val="22"/>
                <w:szCs w:val="22"/>
                <w:shd w:val="clear" w:color="auto" w:fill="FFFFFF"/>
              </w:rPr>
              <w:t>*</w:t>
            </w:r>
          </w:p>
        </w:tc>
      </w:tr>
      <w:tr w:rsidR="003E5AE2" w:rsidRPr="00E8251D" w14:paraId="2EC7C976" w14:textId="77777777" w:rsidTr="0011417E">
        <w:trPr>
          <w:trHeight w:val="254"/>
        </w:trPr>
        <w:tc>
          <w:tcPr>
            <w:tcW w:w="2478" w:type="pct"/>
            <w:gridSpan w:val="3"/>
            <w:tcBorders>
              <w:top w:val="single" w:sz="4" w:space="0" w:color="auto"/>
            </w:tcBorders>
            <w:vAlign w:val="center"/>
          </w:tcPr>
          <w:p w14:paraId="1911F474" w14:textId="77777777" w:rsidR="003E5AE2" w:rsidRPr="00E8251D" w:rsidRDefault="003E5AE2" w:rsidP="0011417E">
            <w:pPr>
              <w:rPr>
                <w:rFonts w:ascii="Arial" w:hAnsi="Arial" w:cs="Arial"/>
                <w:color w:val="000000" w:themeColor="text1"/>
                <w:sz w:val="22"/>
                <w:szCs w:val="22"/>
              </w:rPr>
            </w:pPr>
            <w:r w:rsidRPr="00E8251D">
              <w:rPr>
                <w:rFonts w:ascii="Arial" w:hAnsi="Arial" w:cs="Arial"/>
                <w:b/>
                <w:bCs/>
                <w:color w:val="000000"/>
                <w:sz w:val="22"/>
                <w:szCs w:val="22"/>
                <w:bdr w:val="none" w:sz="0" w:space="0" w:color="auto" w:frame="1"/>
              </w:rPr>
              <w:t xml:space="preserve">Surgery: </w:t>
            </w:r>
            <w:r w:rsidRPr="009F304A">
              <w:rPr>
                <w:rFonts w:ascii="Arial" w:hAnsi="Arial" w:cs="Arial"/>
                <w:b/>
                <w:bCs/>
                <w:color w:val="000000"/>
                <w:sz w:val="22"/>
                <w:szCs w:val="22"/>
                <w:bdr w:val="none" w:sz="0" w:space="0" w:color="auto" w:frame="1"/>
              </w:rPr>
              <w:t>% Patients receiving index opioid Rx</w:t>
            </w:r>
          </w:p>
        </w:tc>
        <w:tc>
          <w:tcPr>
            <w:tcW w:w="869" w:type="pct"/>
            <w:tcBorders>
              <w:top w:val="single" w:sz="4" w:space="0" w:color="auto"/>
            </w:tcBorders>
            <w:noWrap/>
            <w:vAlign w:val="center"/>
          </w:tcPr>
          <w:p w14:paraId="60DBCA79" w14:textId="77777777" w:rsidR="003E5AE2" w:rsidRPr="0094712A" w:rsidRDefault="003E5AE2" w:rsidP="0011417E">
            <w:pPr>
              <w:jc w:val="center"/>
              <w:rPr>
                <w:rFonts w:ascii="Arial" w:hAnsi="Arial" w:cs="Arial"/>
                <w:color w:val="000000" w:themeColor="text1"/>
                <w:sz w:val="22"/>
                <w:szCs w:val="22"/>
              </w:rPr>
            </w:pPr>
          </w:p>
        </w:tc>
        <w:tc>
          <w:tcPr>
            <w:tcW w:w="843" w:type="pct"/>
            <w:tcBorders>
              <w:top w:val="single" w:sz="4" w:space="0" w:color="auto"/>
            </w:tcBorders>
            <w:noWrap/>
            <w:vAlign w:val="center"/>
          </w:tcPr>
          <w:p w14:paraId="6AF376F8" w14:textId="77777777" w:rsidR="003E5AE2" w:rsidRPr="0094712A" w:rsidRDefault="003E5AE2" w:rsidP="0011417E">
            <w:pPr>
              <w:jc w:val="center"/>
              <w:rPr>
                <w:rFonts w:ascii="Arial" w:hAnsi="Arial" w:cs="Arial"/>
                <w:color w:val="000000" w:themeColor="text1"/>
                <w:sz w:val="22"/>
                <w:szCs w:val="22"/>
              </w:rPr>
            </w:pPr>
          </w:p>
        </w:tc>
        <w:tc>
          <w:tcPr>
            <w:tcW w:w="810" w:type="pct"/>
            <w:tcBorders>
              <w:top w:val="single" w:sz="4" w:space="0" w:color="auto"/>
            </w:tcBorders>
            <w:noWrap/>
            <w:vAlign w:val="center"/>
          </w:tcPr>
          <w:p w14:paraId="19280155" w14:textId="77777777" w:rsidR="003E5AE2" w:rsidRPr="0094712A" w:rsidRDefault="003E5AE2" w:rsidP="0011417E">
            <w:pPr>
              <w:jc w:val="center"/>
              <w:rPr>
                <w:rFonts w:ascii="Arial" w:hAnsi="Arial" w:cs="Arial"/>
                <w:color w:val="000000" w:themeColor="text1"/>
                <w:sz w:val="22"/>
                <w:szCs w:val="22"/>
              </w:rPr>
            </w:pPr>
          </w:p>
        </w:tc>
      </w:tr>
      <w:tr w:rsidR="003E5AE2" w:rsidRPr="00E8251D" w14:paraId="5A03FADE" w14:textId="77777777" w:rsidTr="0011417E">
        <w:trPr>
          <w:trHeight w:val="254"/>
        </w:trPr>
        <w:tc>
          <w:tcPr>
            <w:tcW w:w="901" w:type="pct"/>
            <w:vAlign w:val="center"/>
            <w:hideMark/>
          </w:tcPr>
          <w:p w14:paraId="41887475" w14:textId="77777777" w:rsidR="003E5AE2" w:rsidRPr="00E8251D" w:rsidRDefault="003E5AE2" w:rsidP="0011417E">
            <w:pPr>
              <w:ind w:left="288"/>
              <w:rPr>
                <w:rFonts w:ascii="Arial" w:hAnsi="Arial" w:cs="Arial"/>
                <w:color w:val="000000" w:themeColor="text1"/>
                <w:sz w:val="22"/>
                <w:szCs w:val="22"/>
              </w:rPr>
            </w:pPr>
            <w:r w:rsidRPr="00E8251D">
              <w:rPr>
                <w:rFonts w:ascii="Arial" w:hAnsi="Arial" w:cs="Arial"/>
                <w:color w:val="000000" w:themeColor="text1"/>
                <w:sz w:val="22"/>
                <w:szCs w:val="22"/>
                <w:shd w:val="clear" w:color="auto" w:fill="FFFFFF"/>
              </w:rPr>
              <w:t>American Native</w:t>
            </w:r>
          </w:p>
        </w:tc>
        <w:tc>
          <w:tcPr>
            <w:tcW w:w="805" w:type="pct"/>
            <w:vAlign w:val="center"/>
          </w:tcPr>
          <w:p w14:paraId="2AE87603" w14:textId="77777777" w:rsidR="003E5AE2" w:rsidRPr="00E8251D" w:rsidRDefault="003E5AE2" w:rsidP="0011417E">
            <w:pPr>
              <w:jc w:val="center"/>
              <w:rPr>
                <w:rFonts w:ascii="Arial" w:hAnsi="Arial" w:cs="Arial"/>
                <w:color w:val="000000" w:themeColor="text1"/>
                <w:sz w:val="22"/>
                <w:szCs w:val="22"/>
              </w:rPr>
            </w:pPr>
            <w:r>
              <w:rPr>
                <w:rFonts w:ascii="Arial" w:hAnsi="Arial" w:cs="Arial"/>
                <w:color w:val="000000" w:themeColor="text1"/>
                <w:sz w:val="22"/>
                <w:szCs w:val="22"/>
              </w:rPr>
              <w:t>3.86</w:t>
            </w:r>
            <w:r w:rsidRPr="00E8251D">
              <w:rPr>
                <w:rFonts w:ascii="Arial" w:hAnsi="Arial" w:cs="Arial"/>
                <w:color w:val="000000" w:themeColor="text1"/>
                <w:sz w:val="22"/>
                <w:szCs w:val="22"/>
              </w:rPr>
              <w:t xml:space="preserve"> (-</w:t>
            </w:r>
            <w:r>
              <w:rPr>
                <w:rFonts w:ascii="Arial" w:hAnsi="Arial" w:cs="Arial"/>
                <w:color w:val="000000" w:themeColor="text1"/>
                <w:sz w:val="22"/>
                <w:szCs w:val="22"/>
              </w:rPr>
              <w:t>3.01</w:t>
            </w:r>
            <w:r w:rsidRPr="00E8251D">
              <w:rPr>
                <w:rFonts w:ascii="Arial" w:hAnsi="Arial" w:cs="Arial"/>
                <w:color w:val="000000" w:themeColor="text1"/>
                <w:sz w:val="22"/>
                <w:szCs w:val="22"/>
              </w:rPr>
              <w:t xml:space="preserve">, </w:t>
            </w:r>
            <w:r>
              <w:rPr>
                <w:rFonts w:ascii="Arial" w:hAnsi="Arial" w:cs="Arial"/>
                <w:color w:val="000000" w:themeColor="text1"/>
                <w:sz w:val="22"/>
                <w:szCs w:val="22"/>
              </w:rPr>
              <w:t>10.73</w:t>
            </w:r>
            <w:r w:rsidRPr="00E8251D">
              <w:rPr>
                <w:rFonts w:ascii="Arial" w:hAnsi="Arial" w:cs="Arial"/>
                <w:color w:val="000000" w:themeColor="text1"/>
                <w:sz w:val="22"/>
                <w:szCs w:val="22"/>
              </w:rPr>
              <w:t>)</w:t>
            </w:r>
          </w:p>
        </w:tc>
        <w:tc>
          <w:tcPr>
            <w:tcW w:w="772" w:type="pct"/>
            <w:vAlign w:val="center"/>
          </w:tcPr>
          <w:p w14:paraId="33040BD6"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5.04 (-7.4</w:t>
            </w:r>
            <w:r>
              <w:rPr>
                <w:rFonts w:ascii="Arial" w:hAnsi="Arial" w:cs="Arial"/>
                <w:color w:val="000000" w:themeColor="text1"/>
                <w:sz w:val="22"/>
                <w:szCs w:val="22"/>
              </w:rPr>
              <w:t>5</w:t>
            </w:r>
            <w:r w:rsidRPr="00E8251D">
              <w:rPr>
                <w:rFonts w:ascii="Arial" w:hAnsi="Arial" w:cs="Arial"/>
                <w:color w:val="000000" w:themeColor="text1"/>
                <w:sz w:val="22"/>
                <w:szCs w:val="22"/>
              </w:rPr>
              <w:t>, 17.5</w:t>
            </w:r>
            <w:r>
              <w:rPr>
                <w:rFonts w:ascii="Arial" w:hAnsi="Arial" w:cs="Arial"/>
                <w:color w:val="000000" w:themeColor="text1"/>
                <w:sz w:val="22"/>
                <w:szCs w:val="22"/>
              </w:rPr>
              <w:t>3</w:t>
            </w:r>
            <w:r w:rsidRPr="00E8251D">
              <w:rPr>
                <w:rFonts w:ascii="Arial" w:hAnsi="Arial" w:cs="Arial"/>
                <w:color w:val="000000" w:themeColor="text1"/>
                <w:sz w:val="22"/>
                <w:szCs w:val="22"/>
              </w:rPr>
              <w:t>)</w:t>
            </w:r>
          </w:p>
        </w:tc>
        <w:tc>
          <w:tcPr>
            <w:tcW w:w="869" w:type="pct"/>
            <w:noWrap/>
            <w:vAlign w:val="center"/>
          </w:tcPr>
          <w:p w14:paraId="3D46D3CE"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-2.39 (-14.19, 9.42)</w:t>
            </w:r>
          </w:p>
        </w:tc>
        <w:tc>
          <w:tcPr>
            <w:tcW w:w="843" w:type="pct"/>
            <w:noWrap/>
            <w:vAlign w:val="center"/>
          </w:tcPr>
          <w:p w14:paraId="61384F1D"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-4.26 (-16.69, 8.17)</w:t>
            </w:r>
          </w:p>
        </w:tc>
        <w:tc>
          <w:tcPr>
            <w:tcW w:w="810" w:type="pct"/>
            <w:noWrap/>
            <w:vAlign w:val="center"/>
          </w:tcPr>
          <w:p w14:paraId="483FFE1A"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-5.63 (-17.69, 6.43)</w:t>
            </w:r>
          </w:p>
        </w:tc>
      </w:tr>
      <w:tr w:rsidR="003E5AE2" w:rsidRPr="00E8251D" w14:paraId="112F8F5D" w14:textId="77777777" w:rsidTr="0011417E">
        <w:trPr>
          <w:trHeight w:val="254"/>
        </w:trPr>
        <w:tc>
          <w:tcPr>
            <w:tcW w:w="901" w:type="pct"/>
            <w:vAlign w:val="center"/>
          </w:tcPr>
          <w:p w14:paraId="65BC052A" w14:textId="77777777" w:rsidR="003E5AE2" w:rsidRPr="00E8251D" w:rsidRDefault="003E5AE2" w:rsidP="0011417E">
            <w:pPr>
              <w:ind w:left="288"/>
              <w:rPr>
                <w:rFonts w:ascii="Arial" w:hAnsi="Arial" w:cs="Arial"/>
                <w:color w:val="000000" w:themeColor="text1"/>
                <w:sz w:val="22"/>
                <w:szCs w:val="22"/>
                <w:shd w:val="clear" w:color="auto" w:fill="FFFFFF"/>
              </w:rPr>
            </w:pPr>
            <w:r w:rsidRPr="00E8251D">
              <w:rPr>
                <w:rFonts w:ascii="Arial" w:hAnsi="Arial" w:cs="Arial"/>
                <w:color w:val="000000" w:themeColor="text1"/>
                <w:sz w:val="22"/>
                <w:szCs w:val="22"/>
                <w:shd w:val="clear" w:color="auto" w:fill="FFFFFF"/>
              </w:rPr>
              <w:t>Asian</w:t>
            </w:r>
          </w:p>
        </w:tc>
        <w:tc>
          <w:tcPr>
            <w:tcW w:w="805" w:type="pct"/>
            <w:vAlign w:val="center"/>
          </w:tcPr>
          <w:p w14:paraId="791F1963"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w:t>
            </w:r>
            <w:r>
              <w:rPr>
                <w:rFonts w:ascii="Arial" w:hAnsi="Arial" w:cs="Arial"/>
                <w:color w:val="000000" w:themeColor="text1"/>
                <w:sz w:val="22"/>
                <w:szCs w:val="22"/>
              </w:rPr>
              <w:t>1.69</w:t>
            </w:r>
            <w:r w:rsidRPr="00E8251D">
              <w:rPr>
                <w:rFonts w:ascii="Arial" w:hAnsi="Arial" w:cs="Arial"/>
                <w:color w:val="000000" w:themeColor="text1"/>
                <w:sz w:val="22"/>
                <w:szCs w:val="22"/>
              </w:rPr>
              <w:t xml:space="preserve"> (-</w:t>
            </w:r>
            <w:r>
              <w:rPr>
                <w:rFonts w:ascii="Arial" w:hAnsi="Arial" w:cs="Arial"/>
                <w:color w:val="000000" w:themeColor="text1"/>
                <w:sz w:val="22"/>
                <w:szCs w:val="22"/>
              </w:rPr>
              <w:t>4.56</w:t>
            </w:r>
            <w:r w:rsidRPr="00E8251D">
              <w:rPr>
                <w:rFonts w:ascii="Arial" w:hAnsi="Arial" w:cs="Arial"/>
                <w:color w:val="000000" w:themeColor="text1"/>
                <w:sz w:val="22"/>
                <w:szCs w:val="22"/>
              </w:rPr>
              <w:t xml:space="preserve">, </w:t>
            </w:r>
            <w:r>
              <w:rPr>
                <w:rFonts w:ascii="Arial" w:hAnsi="Arial" w:cs="Arial"/>
                <w:color w:val="000000" w:themeColor="text1"/>
                <w:sz w:val="22"/>
                <w:szCs w:val="22"/>
              </w:rPr>
              <w:t>1.17</w:t>
            </w:r>
            <w:r w:rsidRPr="00E8251D">
              <w:rPr>
                <w:rFonts w:ascii="Arial" w:hAnsi="Arial" w:cs="Arial"/>
                <w:color w:val="000000" w:themeColor="text1"/>
                <w:sz w:val="22"/>
                <w:szCs w:val="22"/>
              </w:rPr>
              <w:t>)</w:t>
            </w:r>
          </w:p>
        </w:tc>
        <w:tc>
          <w:tcPr>
            <w:tcW w:w="772" w:type="pct"/>
            <w:vAlign w:val="center"/>
          </w:tcPr>
          <w:p w14:paraId="391DD1D8"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5.1</w:t>
            </w:r>
            <w:r>
              <w:rPr>
                <w:rFonts w:ascii="Arial" w:hAnsi="Arial" w:cs="Arial"/>
                <w:color w:val="000000" w:themeColor="text1"/>
                <w:sz w:val="22"/>
                <w:szCs w:val="22"/>
              </w:rPr>
              <w:t>7</w:t>
            </w:r>
            <w:r w:rsidRPr="00E8251D">
              <w:rPr>
                <w:rFonts w:ascii="Arial" w:hAnsi="Arial" w:cs="Arial"/>
                <w:color w:val="000000" w:themeColor="text1"/>
                <w:sz w:val="22"/>
                <w:szCs w:val="22"/>
              </w:rPr>
              <w:t xml:space="preserve"> (</w:t>
            </w:r>
            <w:r>
              <w:rPr>
                <w:rFonts w:ascii="Arial" w:hAnsi="Arial" w:cs="Arial"/>
                <w:color w:val="000000" w:themeColor="text1"/>
                <w:sz w:val="22"/>
                <w:szCs w:val="22"/>
              </w:rPr>
              <w:t>-</w:t>
            </w:r>
            <w:r w:rsidRPr="00E8251D">
              <w:rPr>
                <w:rFonts w:ascii="Arial" w:hAnsi="Arial" w:cs="Arial"/>
                <w:color w:val="000000" w:themeColor="text1"/>
                <w:sz w:val="22"/>
                <w:szCs w:val="22"/>
              </w:rPr>
              <w:t>0.0</w:t>
            </w:r>
            <w:r>
              <w:rPr>
                <w:rFonts w:ascii="Arial" w:hAnsi="Arial" w:cs="Arial"/>
                <w:color w:val="000000" w:themeColor="text1"/>
                <w:sz w:val="22"/>
                <w:szCs w:val="22"/>
              </w:rPr>
              <w:t>5</w:t>
            </w:r>
            <w:r w:rsidRPr="00E8251D">
              <w:rPr>
                <w:rFonts w:ascii="Arial" w:hAnsi="Arial" w:cs="Arial"/>
                <w:color w:val="000000" w:themeColor="text1"/>
                <w:sz w:val="22"/>
                <w:szCs w:val="22"/>
              </w:rPr>
              <w:t>, 10.3</w:t>
            </w:r>
            <w:r>
              <w:rPr>
                <w:rFonts w:ascii="Arial" w:hAnsi="Arial" w:cs="Arial"/>
                <w:color w:val="000000" w:themeColor="text1"/>
                <w:sz w:val="22"/>
                <w:szCs w:val="22"/>
              </w:rPr>
              <w:t>8</w:t>
            </w:r>
            <w:r w:rsidRPr="00E8251D">
              <w:rPr>
                <w:rFonts w:ascii="Arial" w:hAnsi="Arial" w:cs="Arial"/>
                <w:color w:val="000000" w:themeColor="text1"/>
                <w:sz w:val="22"/>
                <w:szCs w:val="22"/>
              </w:rPr>
              <w:t>)</w:t>
            </w:r>
          </w:p>
        </w:tc>
        <w:tc>
          <w:tcPr>
            <w:tcW w:w="869" w:type="pct"/>
            <w:noWrap/>
            <w:vAlign w:val="center"/>
          </w:tcPr>
          <w:p w14:paraId="48080E14"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1.22 (-3.70, 6.15)</w:t>
            </w:r>
          </w:p>
        </w:tc>
        <w:tc>
          <w:tcPr>
            <w:tcW w:w="843" w:type="pct"/>
            <w:noWrap/>
            <w:vAlign w:val="center"/>
          </w:tcPr>
          <w:p w14:paraId="78110175"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0.87 (-4.32, 6.06)</w:t>
            </w:r>
          </w:p>
        </w:tc>
        <w:tc>
          <w:tcPr>
            <w:tcW w:w="810" w:type="pct"/>
            <w:noWrap/>
            <w:vAlign w:val="center"/>
          </w:tcPr>
          <w:p w14:paraId="3F71F0CC"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-5.05 (-10.09, -0.02)</w:t>
            </w:r>
          </w:p>
        </w:tc>
      </w:tr>
      <w:tr w:rsidR="003E5AE2" w:rsidRPr="00E8251D" w14:paraId="162E7A56" w14:textId="77777777" w:rsidTr="0011417E">
        <w:trPr>
          <w:trHeight w:val="254"/>
        </w:trPr>
        <w:tc>
          <w:tcPr>
            <w:tcW w:w="901" w:type="pct"/>
            <w:vAlign w:val="center"/>
          </w:tcPr>
          <w:p w14:paraId="689BA0AC" w14:textId="77777777" w:rsidR="003E5AE2" w:rsidRPr="00E8251D" w:rsidRDefault="003E5AE2" w:rsidP="0011417E">
            <w:pPr>
              <w:ind w:left="288"/>
              <w:rPr>
                <w:rFonts w:ascii="Arial" w:hAnsi="Arial" w:cs="Arial"/>
                <w:color w:val="000000" w:themeColor="text1"/>
                <w:sz w:val="22"/>
                <w:szCs w:val="22"/>
                <w:shd w:val="clear" w:color="auto" w:fill="FFFFFF"/>
              </w:rPr>
            </w:pPr>
            <w:r w:rsidRPr="00E8251D">
              <w:rPr>
                <w:rFonts w:ascii="Arial" w:hAnsi="Arial" w:cs="Arial"/>
                <w:color w:val="000000" w:themeColor="text1"/>
                <w:sz w:val="22"/>
                <w:szCs w:val="22"/>
                <w:shd w:val="clear" w:color="auto" w:fill="FFFFFF"/>
              </w:rPr>
              <w:t>Black</w:t>
            </w:r>
          </w:p>
        </w:tc>
        <w:tc>
          <w:tcPr>
            <w:tcW w:w="805" w:type="pct"/>
            <w:vAlign w:val="center"/>
          </w:tcPr>
          <w:p w14:paraId="356FE809" w14:textId="77777777" w:rsidR="003E5AE2" w:rsidRPr="00E8251D" w:rsidRDefault="003E5AE2" w:rsidP="0011417E">
            <w:pPr>
              <w:jc w:val="center"/>
              <w:rPr>
                <w:rFonts w:ascii="Arial" w:hAnsi="Arial" w:cs="Arial"/>
                <w:color w:val="000000" w:themeColor="text1"/>
                <w:sz w:val="22"/>
                <w:szCs w:val="22"/>
              </w:rPr>
            </w:pPr>
            <w:r>
              <w:rPr>
                <w:rFonts w:ascii="Arial" w:hAnsi="Arial" w:cs="Arial"/>
                <w:color w:val="000000" w:themeColor="text1"/>
                <w:sz w:val="22"/>
                <w:szCs w:val="22"/>
              </w:rPr>
              <w:t>4.58</w:t>
            </w:r>
            <w:r w:rsidRPr="00E8251D">
              <w:rPr>
                <w:rFonts w:ascii="Arial" w:hAnsi="Arial" w:cs="Arial"/>
                <w:color w:val="000000" w:themeColor="text1"/>
                <w:sz w:val="22"/>
                <w:szCs w:val="22"/>
              </w:rPr>
              <w:t xml:space="preserve"> (</w:t>
            </w:r>
            <w:r>
              <w:rPr>
                <w:rFonts w:ascii="Arial" w:hAnsi="Arial" w:cs="Arial"/>
                <w:color w:val="000000" w:themeColor="text1"/>
                <w:sz w:val="22"/>
                <w:szCs w:val="22"/>
              </w:rPr>
              <w:t>2.79</w:t>
            </w:r>
            <w:r w:rsidRPr="00E8251D">
              <w:rPr>
                <w:rFonts w:ascii="Arial" w:hAnsi="Arial" w:cs="Arial"/>
                <w:color w:val="000000" w:themeColor="text1"/>
                <w:sz w:val="22"/>
                <w:szCs w:val="22"/>
              </w:rPr>
              <w:t xml:space="preserve">, </w:t>
            </w:r>
            <w:r>
              <w:rPr>
                <w:rFonts w:ascii="Arial" w:hAnsi="Arial" w:cs="Arial"/>
                <w:color w:val="000000" w:themeColor="text1"/>
                <w:sz w:val="22"/>
                <w:szCs w:val="22"/>
              </w:rPr>
              <w:t>6.37</w:t>
            </w:r>
            <w:r w:rsidRPr="00E8251D">
              <w:rPr>
                <w:rFonts w:ascii="Arial" w:hAnsi="Arial" w:cs="Arial"/>
                <w:color w:val="000000" w:themeColor="text1"/>
                <w:sz w:val="22"/>
                <w:szCs w:val="22"/>
              </w:rPr>
              <w:t>)</w:t>
            </w:r>
          </w:p>
        </w:tc>
        <w:tc>
          <w:tcPr>
            <w:tcW w:w="772" w:type="pct"/>
            <w:vAlign w:val="center"/>
          </w:tcPr>
          <w:p w14:paraId="21257D49"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3.91 (0.6</w:t>
            </w:r>
            <w:r>
              <w:rPr>
                <w:rFonts w:ascii="Arial" w:hAnsi="Arial" w:cs="Arial"/>
                <w:color w:val="000000" w:themeColor="text1"/>
                <w:sz w:val="22"/>
                <w:szCs w:val="22"/>
              </w:rPr>
              <w:t>6</w:t>
            </w:r>
            <w:r w:rsidRPr="00E8251D">
              <w:rPr>
                <w:rFonts w:ascii="Arial" w:hAnsi="Arial" w:cs="Arial"/>
                <w:color w:val="000000" w:themeColor="text1"/>
                <w:sz w:val="22"/>
                <w:szCs w:val="22"/>
              </w:rPr>
              <w:t>, 7.1</w:t>
            </w:r>
            <w:r>
              <w:rPr>
                <w:rFonts w:ascii="Arial" w:hAnsi="Arial" w:cs="Arial"/>
                <w:color w:val="000000" w:themeColor="text1"/>
                <w:sz w:val="22"/>
                <w:szCs w:val="22"/>
              </w:rPr>
              <w:t>7</w:t>
            </w:r>
            <w:r w:rsidRPr="00E8251D">
              <w:rPr>
                <w:rFonts w:ascii="Arial" w:hAnsi="Arial" w:cs="Arial"/>
                <w:color w:val="000000" w:themeColor="text1"/>
                <w:sz w:val="22"/>
                <w:szCs w:val="22"/>
              </w:rPr>
              <w:t>)</w:t>
            </w:r>
          </w:p>
        </w:tc>
        <w:tc>
          <w:tcPr>
            <w:tcW w:w="869" w:type="pct"/>
            <w:noWrap/>
            <w:vAlign w:val="center"/>
          </w:tcPr>
          <w:p w14:paraId="36440F18"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-4.00 (-7.08, -0.92)</w:t>
            </w:r>
          </w:p>
        </w:tc>
        <w:tc>
          <w:tcPr>
            <w:tcW w:w="843" w:type="pct"/>
            <w:noWrap/>
            <w:vAlign w:val="center"/>
          </w:tcPr>
          <w:p w14:paraId="6C03E0AF"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0.41 (-2.83, 3.65)</w:t>
            </w:r>
          </w:p>
        </w:tc>
        <w:tc>
          <w:tcPr>
            <w:tcW w:w="810" w:type="pct"/>
            <w:noWrap/>
            <w:vAlign w:val="center"/>
          </w:tcPr>
          <w:p w14:paraId="6BCF9906"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-5.81 (-8.95, -2.67)</w:t>
            </w:r>
          </w:p>
        </w:tc>
      </w:tr>
      <w:tr w:rsidR="003E5AE2" w:rsidRPr="00E8251D" w14:paraId="057DD21D" w14:textId="77777777" w:rsidTr="0011417E">
        <w:trPr>
          <w:trHeight w:val="254"/>
        </w:trPr>
        <w:tc>
          <w:tcPr>
            <w:tcW w:w="901" w:type="pct"/>
            <w:vAlign w:val="center"/>
          </w:tcPr>
          <w:p w14:paraId="1017F22A" w14:textId="77777777" w:rsidR="003E5AE2" w:rsidRPr="00E8251D" w:rsidRDefault="003E5AE2" w:rsidP="0011417E">
            <w:pPr>
              <w:ind w:left="288"/>
              <w:rPr>
                <w:rFonts w:ascii="Arial" w:hAnsi="Arial" w:cs="Arial"/>
                <w:color w:val="000000" w:themeColor="text1"/>
                <w:sz w:val="22"/>
                <w:szCs w:val="22"/>
                <w:shd w:val="clear" w:color="auto" w:fill="FFFFFF"/>
              </w:rPr>
            </w:pPr>
            <w:r w:rsidRPr="00E8251D">
              <w:rPr>
                <w:rFonts w:ascii="Arial" w:hAnsi="Arial" w:cs="Arial"/>
                <w:color w:val="000000" w:themeColor="text1"/>
                <w:sz w:val="22"/>
                <w:szCs w:val="22"/>
                <w:shd w:val="clear" w:color="auto" w:fill="FFFFFF"/>
              </w:rPr>
              <w:t>White</w:t>
            </w:r>
          </w:p>
        </w:tc>
        <w:tc>
          <w:tcPr>
            <w:tcW w:w="805" w:type="pct"/>
            <w:vAlign w:val="center"/>
          </w:tcPr>
          <w:p w14:paraId="01B1DC3A" w14:textId="77777777" w:rsidR="003E5AE2" w:rsidRPr="00E8251D" w:rsidRDefault="003E5AE2" w:rsidP="0011417E">
            <w:pPr>
              <w:jc w:val="center"/>
              <w:rPr>
                <w:rFonts w:ascii="Arial" w:hAnsi="Arial" w:cs="Arial"/>
                <w:color w:val="000000" w:themeColor="text1"/>
                <w:sz w:val="22"/>
                <w:szCs w:val="22"/>
              </w:rPr>
            </w:pPr>
            <w:r>
              <w:rPr>
                <w:rFonts w:ascii="Arial" w:hAnsi="Arial" w:cs="Arial"/>
                <w:color w:val="000000" w:themeColor="text1"/>
                <w:sz w:val="22"/>
                <w:szCs w:val="22"/>
              </w:rPr>
              <w:t>3.18</w:t>
            </w:r>
            <w:r w:rsidRPr="00E8251D">
              <w:rPr>
                <w:rFonts w:ascii="Arial" w:hAnsi="Arial" w:cs="Arial"/>
                <w:color w:val="000000" w:themeColor="text1"/>
                <w:sz w:val="22"/>
                <w:szCs w:val="22"/>
              </w:rPr>
              <w:t xml:space="preserve"> (</w:t>
            </w:r>
            <w:r>
              <w:rPr>
                <w:rFonts w:ascii="Arial" w:hAnsi="Arial" w:cs="Arial"/>
                <w:color w:val="000000" w:themeColor="text1"/>
                <w:sz w:val="22"/>
                <w:szCs w:val="22"/>
              </w:rPr>
              <w:t>2.23</w:t>
            </w:r>
            <w:r w:rsidRPr="00E8251D">
              <w:rPr>
                <w:rFonts w:ascii="Arial" w:hAnsi="Arial" w:cs="Arial"/>
                <w:color w:val="000000" w:themeColor="text1"/>
                <w:sz w:val="22"/>
                <w:szCs w:val="22"/>
              </w:rPr>
              <w:t xml:space="preserve">, </w:t>
            </w:r>
            <w:r>
              <w:rPr>
                <w:rFonts w:ascii="Arial" w:hAnsi="Arial" w:cs="Arial"/>
                <w:color w:val="000000" w:themeColor="text1"/>
                <w:sz w:val="22"/>
                <w:szCs w:val="22"/>
              </w:rPr>
              <w:t>4.12</w:t>
            </w:r>
            <w:r w:rsidRPr="00E8251D">
              <w:rPr>
                <w:rFonts w:ascii="Arial" w:hAnsi="Arial" w:cs="Arial"/>
                <w:color w:val="000000" w:themeColor="text1"/>
                <w:sz w:val="22"/>
                <w:szCs w:val="22"/>
              </w:rPr>
              <w:t>)</w:t>
            </w:r>
          </w:p>
        </w:tc>
        <w:tc>
          <w:tcPr>
            <w:tcW w:w="772" w:type="pct"/>
            <w:vAlign w:val="center"/>
          </w:tcPr>
          <w:p w14:paraId="1F5A3B92"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2.89 (1.18, 4.61)</w:t>
            </w:r>
          </w:p>
        </w:tc>
        <w:tc>
          <w:tcPr>
            <w:tcW w:w="869" w:type="pct"/>
            <w:noWrap/>
            <w:vAlign w:val="center"/>
          </w:tcPr>
          <w:p w14:paraId="63AC00BE"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-2.45 (-4.07, -0.83)</w:t>
            </w:r>
          </w:p>
        </w:tc>
        <w:tc>
          <w:tcPr>
            <w:tcW w:w="843" w:type="pct"/>
            <w:noWrap/>
            <w:vAlign w:val="center"/>
          </w:tcPr>
          <w:p w14:paraId="58A56C69"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0.35 (-1.36, 2.06)</w:t>
            </w:r>
          </w:p>
        </w:tc>
        <w:tc>
          <w:tcPr>
            <w:tcW w:w="810" w:type="pct"/>
            <w:noWrap/>
            <w:vAlign w:val="center"/>
          </w:tcPr>
          <w:p w14:paraId="5D3CEDDB"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-4.14 (-5.79, -2.48)</w:t>
            </w:r>
          </w:p>
        </w:tc>
      </w:tr>
      <w:tr w:rsidR="003E5AE2" w:rsidRPr="00E8251D" w14:paraId="7373834F" w14:textId="77777777" w:rsidTr="0011417E">
        <w:trPr>
          <w:trHeight w:val="254"/>
        </w:trPr>
        <w:tc>
          <w:tcPr>
            <w:tcW w:w="2478" w:type="pct"/>
            <w:gridSpan w:val="3"/>
            <w:vAlign w:val="center"/>
          </w:tcPr>
          <w:p w14:paraId="46F2570F" w14:textId="77777777" w:rsidR="003E5AE2" w:rsidRPr="00E8251D" w:rsidRDefault="003E5AE2" w:rsidP="0011417E">
            <w:pPr>
              <w:rPr>
                <w:rFonts w:ascii="Arial" w:hAnsi="Arial" w:cs="Arial"/>
                <w:color w:val="000000" w:themeColor="text1"/>
                <w:sz w:val="22"/>
                <w:szCs w:val="22"/>
              </w:rPr>
            </w:pPr>
            <w:r w:rsidRPr="00E8251D">
              <w:rPr>
                <w:rFonts w:ascii="Arial" w:hAnsi="Arial" w:cs="Arial"/>
                <w:b/>
                <w:bCs/>
                <w:color w:val="000000" w:themeColor="text1"/>
                <w:sz w:val="22"/>
                <w:szCs w:val="22"/>
              </w:rPr>
              <w:t xml:space="preserve">Surgery: Index opioid Rx </w:t>
            </w:r>
            <w:proofErr w:type="spellStart"/>
            <w:r w:rsidRPr="00E8251D">
              <w:rPr>
                <w:rFonts w:ascii="Arial" w:hAnsi="Arial" w:cs="Arial"/>
                <w:b/>
                <w:bCs/>
                <w:color w:val="000000" w:themeColor="text1"/>
                <w:sz w:val="22"/>
                <w:szCs w:val="22"/>
              </w:rPr>
              <w:t>rate</w:t>
            </w:r>
            <w:r w:rsidRPr="009F304A">
              <w:rPr>
                <w:rFonts w:ascii="Arial" w:hAnsi="Arial" w:cs="Arial"/>
                <w:b/>
                <w:bCs/>
                <w:color w:val="000000" w:themeColor="text1"/>
                <w:sz w:val="22"/>
                <w:szCs w:val="22"/>
                <w:vertAlign w:val="superscript"/>
              </w:rPr>
              <w:t>a</w:t>
            </w:r>
            <w:proofErr w:type="spellEnd"/>
            <w:r w:rsidRPr="00E8251D">
              <w:rPr>
                <w:rFonts w:ascii="Arial" w:hAnsi="Arial" w:cs="Arial"/>
                <w:color w:val="000000" w:themeColor="text1"/>
                <w:sz w:val="22"/>
                <w:szCs w:val="22"/>
              </w:rPr>
              <w:t> </w:t>
            </w:r>
          </w:p>
        </w:tc>
        <w:tc>
          <w:tcPr>
            <w:tcW w:w="869" w:type="pct"/>
            <w:noWrap/>
            <w:vAlign w:val="center"/>
          </w:tcPr>
          <w:p w14:paraId="5A02C0F3" w14:textId="77777777" w:rsidR="003E5AE2" w:rsidRPr="0094712A" w:rsidRDefault="003E5AE2" w:rsidP="0011417E">
            <w:pPr>
              <w:jc w:val="right"/>
              <w:rPr>
                <w:rFonts w:ascii="Arial" w:hAnsi="Arial" w:cs="Arial"/>
                <w:color w:val="000000" w:themeColor="text1"/>
                <w:sz w:val="22"/>
                <w:szCs w:val="22"/>
              </w:rPr>
            </w:pPr>
          </w:p>
        </w:tc>
        <w:tc>
          <w:tcPr>
            <w:tcW w:w="843" w:type="pct"/>
            <w:noWrap/>
          </w:tcPr>
          <w:p w14:paraId="36B116B3" w14:textId="77777777" w:rsidR="003E5AE2" w:rsidRPr="0094712A" w:rsidRDefault="003E5AE2" w:rsidP="0011417E">
            <w:pPr>
              <w:jc w:val="right"/>
              <w:rPr>
                <w:rFonts w:ascii="Arial" w:hAnsi="Arial" w:cs="Arial"/>
                <w:color w:val="000000" w:themeColor="text1"/>
                <w:sz w:val="22"/>
                <w:szCs w:val="22"/>
              </w:rPr>
            </w:pPr>
            <w:r w:rsidRPr="0094712A">
              <w:rPr>
                <w:rFonts w:ascii="Arial" w:hAnsi="Arial" w:cs="Arial"/>
                <w:color w:val="000000" w:themeColor="text1"/>
                <w:sz w:val="22"/>
                <w:szCs w:val="22"/>
              </w:rPr>
              <w:t> </w:t>
            </w:r>
          </w:p>
        </w:tc>
        <w:tc>
          <w:tcPr>
            <w:tcW w:w="810" w:type="pct"/>
            <w:noWrap/>
          </w:tcPr>
          <w:p w14:paraId="42C0A47F" w14:textId="77777777" w:rsidR="003E5AE2" w:rsidRPr="0094712A" w:rsidRDefault="003E5AE2" w:rsidP="0011417E">
            <w:pPr>
              <w:jc w:val="right"/>
              <w:rPr>
                <w:rFonts w:ascii="Arial" w:hAnsi="Arial" w:cs="Arial"/>
                <w:color w:val="000000" w:themeColor="text1"/>
                <w:sz w:val="22"/>
                <w:szCs w:val="22"/>
              </w:rPr>
            </w:pPr>
            <w:r w:rsidRPr="0094712A">
              <w:rPr>
                <w:rFonts w:ascii="Arial" w:hAnsi="Arial" w:cs="Arial"/>
                <w:color w:val="000000" w:themeColor="text1"/>
                <w:sz w:val="22"/>
                <w:szCs w:val="22"/>
              </w:rPr>
              <w:t> </w:t>
            </w:r>
          </w:p>
        </w:tc>
      </w:tr>
      <w:tr w:rsidR="003E5AE2" w:rsidRPr="00E8251D" w14:paraId="2BB73D3A" w14:textId="77777777" w:rsidTr="0011417E">
        <w:trPr>
          <w:trHeight w:val="254"/>
        </w:trPr>
        <w:tc>
          <w:tcPr>
            <w:tcW w:w="901" w:type="pct"/>
            <w:vAlign w:val="center"/>
            <w:hideMark/>
          </w:tcPr>
          <w:p w14:paraId="31817279" w14:textId="77777777" w:rsidR="003E5AE2" w:rsidRPr="00E8251D" w:rsidRDefault="003E5AE2" w:rsidP="0011417E">
            <w:pPr>
              <w:ind w:left="288"/>
              <w:rPr>
                <w:rFonts w:ascii="Arial" w:hAnsi="Arial" w:cs="Arial"/>
                <w:color w:val="000000" w:themeColor="text1"/>
                <w:sz w:val="22"/>
                <w:szCs w:val="22"/>
              </w:rPr>
            </w:pPr>
            <w:r w:rsidRPr="00E8251D">
              <w:rPr>
                <w:rFonts w:ascii="Arial" w:hAnsi="Arial" w:cs="Arial"/>
                <w:color w:val="000000" w:themeColor="text1"/>
                <w:sz w:val="22"/>
                <w:szCs w:val="22"/>
                <w:shd w:val="clear" w:color="auto" w:fill="FFFFFF"/>
              </w:rPr>
              <w:t>American Native</w:t>
            </w:r>
          </w:p>
        </w:tc>
        <w:tc>
          <w:tcPr>
            <w:tcW w:w="805" w:type="pct"/>
            <w:vAlign w:val="center"/>
          </w:tcPr>
          <w:p w14:paraId="4E1160B3" w14:textId="77777777" w:rsidR="003E5AE2" w:rsidRPr="00E8251D" w:rsidRDefault="003E5AE2" w:rsidP="0011417E">
            <w:pPr>
              <w:jc w:val="center"/>
              <w:rPr>
                <w:rFonts w:ascii="Arial" w:hAnsi="Arial" w:cs="Arial"/>
                <w:color w:val="000000" w:themeColor="text1"/>
                <w:sz w:val="22"/>
                <w:szCs w:val="22"/>
              </w:rPr>
            </w:pPr>
            <w:r>
              <w:rPr>
                <w:rFonts w:ascii="Arial" w:hAnsi="Arial" w:cs="Arial"/>
                <w:color w:val="000000" w:themeColor="text1"/>
                <w:sz w:val="22"/>
                <w:szCs w:val="22"/>
              </w:rPr>
              <w:t>6.35</w:t>
            </w:r>
            <w:r w:rsidRPr="00E8251D">
              <w:rPr>
                <w:rFonts w:ascii="Arial" w:hAnsi="Arial" w:cs="Arial"/>
                <w:color w:val="000000" w:themeColor="text1"/>
                <w:sz w:val="22"/>
                <w:szCs w:val="22"/>
              </w:rPr>
              <w:t xml:space="preserve"> (-</w:t>
            </w:r>
            <w:r>
              <w:rPr>
                <w:rFonts w:ascii="Arial" w:hAnsi="Arial" w:cs="Arial"/>
                <w:color w:val="000000" w:themeColor="text1"/>
                <w:sz w:val="22"/>
                <w:szCs w:val="22"/>
              </w:rPr>
              <w:t>4.53</w:t>
            </w:r>
            <w:r w:rsidRPr="00E8251D">
              <w:rPr>
                <w:rFonts w:ascii="Arial" w:hAnsi="Arial" w:cs="Arial"/>
                <w:color w:val="000000" w:themeColor="text1"/>
                <w:sz w:val="22"/>
                <w:szCs w:val="22"/>
              </w:rPr>
              <w:t>, 1</w:t>
            </w:r>
            <w:r>
              <w:rPr>
                <w:rFonts w:ascii="Arial" w:hAnsi="Arial" w:cs="Arial"/>
                <w:color w:val="000000" w:themeColor="text1"/>
                <w:sz w:val="22"/>
                <w:szCs w:val="22"/>
              </w:rPr>
              <w:t>7.23</w:t>
            </w:r>
            <w:r w:rsidRPr="00E8251D">
              <w:rPr>
                <w:rFonts w:ascii="Arial" w:hAnsi="Arial" w:cs="Arial"/>
                <w:color w:val="000000" w:themeColor="text1"/>
                <w:sz w:val="22"/>
                <w:szCs w:val="22"/>
              </w:rPr>
              <w:t>)</w:t>
            </w:r>
          </w:p>
        </w:tc>
        <w:tc>
          <w:tcPr>
            <w:tcW w:w="772" w:type="pct"/>
            <w:noWrap/>
            <w:vAlign w:val="center"/>
          </w:tcPr>
          <w:p w14:paraId="0BB79D94" w14:textId="77777777" w:rsidR="003E5AE2" w:rsidRPr="00EB5B84" w:rsidRDefault="003E5AE2" w:rsidP="0011417E">
            <w:pPr>
              <w:jc w:val="center"/>
              <w:rPr>
                <w:rFonts w:ascii="Arial" w:hAnsi="Arial" w:cs="Arial"/>
                <w:color w:val="000000" w:themeColor="text1"/>
                <w:sz w:val="22"/>
                <w:szCs w:val="22"/>
                <w:highlight w:val="cyan"/>
              </w:rPr>
            </w:pPr>
            <w:r w:rsidRPr="00E8251D">
              <w:rPr>
                <w:rFonts w:ascii="Arial" w:hAnsi="Arial" w:cs="Arial"/>
                <w:color w:val="000000" w:themeColor="text1"/>
                <w:sz w:val="22"/>
                <w:szCs w:val="22"/>
              </w:rPr>
              <w:t>13.7</w:t>
            </w:r>
            <w:r>
              <w:rPr>
                <w:rFonts w:ascii="Arial" w:hAnsi="Arial" w:cs="Arial"/>
                <w:color w:val="000000" w:themeColor="text1"/>
                <w:sz w:val="22"/>
                <w:szCs w:val="22"/>
              </w:rPr>
              <w:t>4</w:t>
            </w:r>
            <w:r w:rsidRPr="00E8251D">
              <w:rPr>
                <w:rFonts w:ascii="Arial" w:hAnsi="Arial" w:cs="Arial"/>
                <w:color w:val="000000" w:themeColor="text1"/>
                <w:sz w:val="22"/>
                <w:szCs w:val="22"/>
              </w:rPr>
              <w:t xml:space="preserve"> (-6.0</w:t>
            </w:r>
            <w:r>
              <w:rPr>
                <w:rFonts w:ascii="Arial" w:hAnsi="Arial" w:cs="Arial"/>
                <w:color w:val="000000" w:themeColor="text1"/>
                <w:sz w:val="22"/>
                <w:szCs w:val="22"/>
              </w:rPr>
              <w:t>6</w:t>
            </w:r>
            <w:r w:rsidRPr="00E8251D">
              <w:rPr>
                <w:rFonts w:ascii="Arial" w:hAnsi="Arial" w:cs="Arial"/>
                <w:color w:val="000000" w:themeColor="text1"/>
                <w:sz w:val="22"/>
                <w:szCs w:val="22"/>
              </w:rPr>
              <w:t>, 33.53)</w:t>
            </w:r>
          </w:p>
        </w:tc>
        <w:tc>
          <w:tcPr>
            <w:tcW w:w="869" w:type="pct"/>
            <w:noWrap/>
            <w:vAlign w:val="center"/>
          </w:tcPr>
          <w:p w14:paraId="1E24F57C"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-10.99 (-29.7, 7.71)</w:t>
            </w:r>
          </w:p>
        </w:tc>
        <w:tc>
          <w:tcPr>
            <w:tcW w:w="843" w:type="pct"/>
            <w:vAlign w:val="center"/>
          </w:tcPr>
          <w:p w14:paraId="0AEA4ACD"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-4.51 (-24.21, 15.2)</w:t>
            </w:r>
          </w:p>
        </w:tc>
        <w:tc>
          <w:tcPr>
            <w:tcW w:w="810" w:type="pct"/>
            <w:noWrap/>
            <w:vAlign w:val="center"/>
          </w:tcPr>
          <w:p w14:paraId="59444927"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-1.25 (-20.36, 17.86)</w:t>
            </w:r>
          </w:p>
        </w:tc>
      </w:tr>
      <w:tr w:rsidR="003E5AE2" w:rsidRPr="00E8251D" w14:paraId="23065F31" w14:textId="77777777" w:rsidTr="0011417E">
        <w:trPr>
          <w:trHeight w:val="254"/>
        </w:trPr>
        <w:tc>
          <w:tcPr>
            <w:tcW w:w="901" w:type="pct"/>
            <w:vAlign w:val="center"/>
          </w:tcPr>
          <w:p w14:paraId="2FB4AEAA" w14:textId="77777777" w:rsidR="003E5AE2" w:rsidRPr="00E8251D" w:rsidRDefault="003E5AE2" w:rsidP="0011417E">
            <w:pPr>
              <w:ind w:left="288"/>
              <w:rPr>
                <w:rFonts w:ascii="Arial" w:hAnsi="Arial" w:cs="Arial"/>
                <w:color w:val="000000" w:themeColor="text1"/>
                <w:sz w:val="22"/>
                <w:szCs w:val="22"/>
                <w:shd w:val="clear" w:color="auto" w:fill="FFFFFF"/>
              </w:rPr>
            </w:pPr>
            <w:r w:rsidRPr="00E8251D">
              <w:rPr>
                <w:rFonts w:ascii="Arial" w:hAnsi="Arial" w:cs="Arial"/>
                <w:color w:val="000000" w:themeColor="text1"/>
                <w:sz w:val="22"/>
                <w:szCs w:val="22"/>
                <w:shd w:val="clear" w:color="auto" w:fill="FFFFFF"/>
              </w:rPr>
              <w:t>Asian</w:t>
            </w:r>
          </w:p>
        </w:tc>
        <w:tc>
          <w:tcPr>
            <w:tcW w:w="805" w:type="pct"/>
            <w:vAlign w:val="center"/>
          </w:tcPr>
          <w:p w14:paraId="419D8C5F" w14:textId="77777777" w:rsidR="003E5AE2" w:rsidRPr="00E8251D" w:rsidRDefault="003E5AE2" w:rsidP="0011417E">
            <w:pPr>
              <w:jc w:val="center"/>
              <w:rPr>
                <w:rFonts w:ascii="Arial" w:hAnsi="Arial" w:cs="Arial"/>
                <w:color w:val="000000" w:themeColor="text1"/>
                <w:sz w:val="22"/>
                <w:szCs w:val="22"/>
              </w:rPr>
            </w:pPr>
            <w:r>
              <w:rPr>
                <w:rFonts w:ascii="Arial" w:hAnsi="Arial" w:cs="Arial"/>
                <w:color w:val="000000" w:themeColor="text1"/>
                <w:sz w:val="22"/>
                <w:szCs w:val="22"/>
              </w:rPr>
              <w:t>-4.79</w:t>
            </w:r>
            <w:r w:rsidRPr="00E8251D">
              <w:rPr>
                <w:rFonts w:ascii="Arial" w:hAnsi="Arial" w:cs="Arial"/>
                <w:color w:val="000000" w:themeColor="text1"/>
                <w:sz w:val="22"/>
                <w:szCs w:val="22"/>
              </w:rPr>
              <w:t xml:space="preserve"> (-</w:t>
            </w:r>
            <w:r>
              <w:rPr>
                <w:rFonts w:ascii="Arial" w:hAnsi="Arial" w:cs="Arial"/>
                <w:color w:val="000000" w:themeColor="text1"/>
                <w:sz w:val="22"/>
                <w:szCs w:val="22"/>
              </w:rPr>
              <w:t>9.88</w:t>
            </w:r>
            <w:r w:rsidRPr="00E8251D">
              <w:rPr>
                <w:rFonts w:ascii="Arial" w:hAnsi="Arial" w:cs="Arial"/>
                <w:color w:val="000000" w:themeColor="text1"/>
                <w:sz w:val="22"/>
                <w:szCs w:val="22"/>
              </w:rPr>
              <w:t>, 0.0</w:t>
            </w:r>
            <w:r>
              <w:rPr>
                <w:rFonts w:ascii="Arial" w:hAnsi="Arial" w:cs="Arial"/>
                <w:color w:val="000000" w:themeColor="text1"/>
                <w:sz w:val="22"/>
                <w:szCs w:val="22"/>
              </w:rPr>
              <w:t>3</w:t>
            </w:r>
            <w:r w:rsidRPr="00E8251D">
              <w:rPr>
                <w:rFonts w:ascii="Arial" w:hAnsi="Arial" w:cs="Arial"/>
                <w:color w:val="000000" w:themeColor="text1"/>
                <w:sz w:val="22"/>
                <w:szCs w:val="22"/>
              </w:rPr>
              <w:t>)</w:t>
            </w:r>
          </w:p>
        </w:tc>
        <w:tc>
          <w:tcPr>
            <w:tcW w:w="772" w:type="pct"/>
            <w:noWrap/>
            <w:vAlign w:val="center"/>
          </w:tcPr>
          <w:p w14:paraId="541EDF78" w14:textId="77777777" w:rsidR="003E5AE2" w:rsidRPr="00EB5B84" w:rsidRDefault="003E5AE2" w:rsidP="0011417E">
            <w:pPr>
              <w:jc w:val="center"/>
              <w:rPr>
                <w:rFonts w:ascii="Arial" w:hAnsi="Arial" w:cs="Arial"/>
                <w:color w:val="000000" w:themeColor="text1"/>
                <w:sz w:val="22"/>
                <w:szCs w:val="22"/>
                <w:highlight w:val="cyan"/>
              </w:rPr>
            </w:pPr>
            <w:r w:rsidRPr="00E8251D">
              <w:rPr>
                <w:rFonts w:ascii="Arial" w:hAnsi="Arial" w:cs="Arial"/>
                <w:color w:val="000000" w:themeColor="text1"/>
                <w:sz w:val="22"/>
                <w:szCs w:val="22"/>
              </w:rPr>
              <w:t>8.68 (-0.5</w:t>
            </w:r>
            <w:r>
              <w:rPr>
                <w:rFonts w:ascii="Arial" w:hAnsi="Arial" w:cs="Arial"/>
                <w:color w:val="000000" w:themeColor="text1"/>
                <w:sz w:val="22"/>
                <w:szCs w:val="22"/>
              </w:rPr>
              <w:t>8</w:t>
            </w:r>
            <w:r w:rsidRPr="00E8251D">
              <w:rPr>
                <w:rFonts w:ascii="Arial" w:hAnsi="Arial" w:cs="Arial"/>
                <w:color w:val="000000" w:themeColor="text1"/>
                <w:sz w:val="22"/>
                <w:szCs w:val="22"/>
              </w:rPr>
              <w:t>, 17.94)</w:t>
            </w:r>
          </w:p>
        </w:tc>
        <w:tc>
          <w:tcPr>
            <w:tcW w:w="869" w:type="pct"/>
            <w:noWrap/>
            <w:vAlign w:val="center"/>
          </w:tcPr>
          <w:p w14:paraId="3F6FD8F5"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6.79 (-1.95, 15.54)</w:t>
            </w:r>
          </w:p>
        </w:tc>
        <w:tc>
          <w:tcPr>
            <w:tcW w:w="843" w:type="pct"/>
            <w:vAlign w:val="center"/>
          </w:tcPr>
          <w:p w14:paraId="40E30B17"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-6.18 (-15.39, 3.04)</w:t>
            </w:r>
          </w:p>
        </w:tc>
        <w:tc>
          <w:tcPr>
            <w:tcW w:w="810" w:type="pct"/>
            <w:noWrap/>
            <w:vAlign w:val="center"/>
          </w:tcPr>
          <w:p w14:paraId="612D5442"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-7.57 (-16.51, 1.37)</w:t>
            </w:r>
          </w:p>
        </w:tc>
      </w:tr>
      <w:tr w:rsidR="003E5AE2" w:rsidRPr="00E8251D" w14:paraId="792C3ACC" w14:textId="77777777" w:rsidTr="0011417E">
        <w:trPr>
          <w:trHeight w:val="254"/>
        </w:trPr>
        <w:tc>
          <w:tcPr>
            <w:tcW w:w="901" w:type="pct"/>
            <w:vAlign w:val="center"/>
          </w:tcPr>
          <w:p w14:paraId="467E8DE7" w14:textId="77777777" w:rsidR="003E5AE2" w:rsidRPr="00E8251D" w:rsidRDefault="003E5AE2" w:rsidP="0011417E">
            <w:pPr>
              <w:ind w:left="288"/>
              <w:rPr>
                <w:rFonts w:ascii="Arial" w:hAnsi="Arial" w:cs="Arial"/>
                <w:color w:val="000000" w:themeColor="text1"/>
                <w:sz w:val="22"/>
                <w:szCs w:val="22"/>
                <w:shd w:val="clear" w:color="auto" w:fill="FFFFFF"/>
              </w:rPr>
            </w:pPr>
            <w:r w:rsidRPr="00E8251D">
              <w:rPr>
                <w:rFonts w:ascii="Arial" w:hAnsi="Arial" w:cs="Arial"/>
                <w:color w:val="000000" w:themeColor="text1"/>
                <w:sz w:val="22"/>
                <w:szCs w:val="22"/>
                <w:shd w:val="clear" w:color="auto" w:fill="FFFFFF"/>
              </w:rPr>
              <w:t>Black</w:t>
            </w:r>
          </w:p>
        </w:tc>
        <w:tc>
          <w:tcPr>
            <w:tcW w:w="805" w:type="pct"/>
            <w:vAlign w:val="center"/>
          </w:tcPr>
          <w:p w14:paraId="0016AC1E" w14:textId="77777777" w:rsidR="003E5AE2" w:rsidRPr="00E8251D" w:rsidRDefault="003E5AE2" w:rsidP="0011417E">
            <w:pPr>
              <w:jc w:val="center"/>
              <w:rPr>
                <w:rFonts w:ascii="Arial" w:hAnsi="Arial" w:cs="Arial"/>
                <w:color w:val="000000" w:themeColor="text1"/>
                <w:sz w:val="22"/>
                <w:szCs w:val="22"/>
              </w:rPr>
            </w:pPr>
            <w:r>
              <w:rPr>
                <w:rFonts w:ascii="Arial" w:hAnsi="Arial" w:cs="Arial"/>
                <w:color w:val="000000" w:themeColor="text1"/>
                <w:sz w:val="22"/>
                <w:szCs w:val="22"/>
              </w:rPr>
              <w:t>2.18</w:t>
            </w:r>
            <w:r w:rsidRPr="00E8251D">
              <w:rPr>
                <w:rFonts w:ascii="Arial" w:hAnsi="Arial" w:cs="Arial"/>
                <w:color w:val="000000" w:themeColor="text1"/>
                <w:sz w:val="22"/>
                <w:szCs w:val="22"/>
              </w:rPr>
              <w:t xml:space="preserve"> (-</w:t>
            </w:r>
            <w:r>
              <w:rPr>
                <w:rFonts w:ascii="Arial" w:hAnsi="Arial" w:cs="Arial"/>
                <w:color w:val="000000" w:themeColor="text1"/>
                <w:sz w:val="22"/>
                <w:szCs w:val="22"/>
              </w:rPr>
              <w:t>1.32</w:t>
            </w:r>
            <w:r w:rsidRPr="00E8251D">
              <w:rPr>
                <w:rFonts w:ascii="Arial" w:hAnsi="Arial" w:cs="Arial"/>
                <w:color w:val="000000" w:themeColor="text1"/>
                <w:sz w:val="22"/>
                <w:szCs w:val="22"/>
              </w:rPr>
              <w:t xml:space="preserve">, </w:t>
            </w:r>
            <w:r>
              <w:rPr>
                <w:rFonts w:ascii="Arial" w:hAnsi="Arial" w:cs="Arial"/>
                <w:color w:val="000000" w:themeColor="text1"/>
                <w:sz w:val="22"/>
                <w:szCs w:val="22"/>
              </w:rPr>
              <w:t>5.67</w:t>
            </w:r>
            <w:r w:rsidRPr="00E8251D">
              <w:rPr>
                <w:rFonts w:ascii="Arial" w:hAnsi="Arial" w:cs="Arial"/>
                <w:color w:val="000000" w:themeColor="text1"/>
                <w:sz w:val="22"/>
                <w:szCs w:val="22"/>
              </w:rPr>
              <w:t>)</w:t>
            </w:r>
          </w:p>
        </w:tc>
        <w:tc>
          <w:tcPr>
            <w:tcW w:w="772" w:type="pct"/>
            <w:noWrap/>
            <w:vAlign w:val="center"/>
          </w:tcPr>
          <w:p w14:paraId="00D59C2C" w14:textId="77777777" w:rsidR="003E5AE2" w:rsidRPr="00EB5B84" w:rsidRDefault="003E5AE2" w:rsidP="0011417E">
            <w:pPr>
              <w:jc w:val="center"/>
              <w:rPr>
                <w:rFonts w:ascii="Arial" w:hAnsi="Arial" w:cs="Arial"/>
                <w:color w:val="000000" w:themeColor="text1"/>
                <w:sz w:val="22"/>
                <w:szCs w:val="22"/>
                <w:highlight w:val="cyan"/>
              </w:rPr>
            </w:pPr>
            <w:r w:rsidRPr="00E8251D">
              <w:rPr>
                <w:rFonts w:ascii="Arial" w:hAnsi="Arial" w:cs="Arial"/>
                <w:color w:val="000000" w:themeColor="text1"/>
                <w:sz w:val="22"/>
                <w:szCs w:val="22"/>
              </w:rPr>
              <w:t>13.57 (7.2</w:t>
            </w:r>
            <w:r>
              <w:rPr>
                <w:rFonts w:ascii="Arial" w:hAnsi="Arial" w:cs="Arial"/>
                <w:color w:val="000000" w:themeColor="text1"/>
                <w:sz w:val="22"/>
                <w:szCs w:val="22"/>
              </w:rPr>
              <w:t>3</w:t>
            </w:r>
            <w:r w:rsidRPr="00E8251D">
              <w:rPr>
                <w:rFonts w:ascii="Arial" w:hAnsi="Arial" w:cs="Arial"/>
                <w:color w:val="000000" w:themeColor="text1"/>
                <w:sz w:val="22"/>
                <w:szCs w:val="22"/>
              </w:rPr>
              <w:t>, 19.92)</w:t>
            </w:r>
          </w:p>
        </w:tc>
        <w:tc>
          <w:tcPr>
            <w:tcW w:w="869" w:type="pct"/>
            <w:noWrap/>
            <w:vAlign w:val="center"/>
          </w:tcPr>
          <w:p w14:paraId="1DD4E9FA"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-4.67 (-10.67, 1.33)</w:t>
            </w:r>
          </w:p>
        </w:tc>
        <w:tc>
          <w:tcPr>
            <w:tcW w:w="843" w:type="pct"/>
            <w:vAlign w:val="center"/>
          </w:tcPr>
          <w:p w14:paraId="0C20E07A"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-1.46 (-7.78, 4.86)</w:t>
            </w:r>
          </w:p>
        </w:tc>
        <w:tc>
          <w:tcPr>
            <w:tcW w:w="810" w:type="pct"/>
            <w:noWrap/>
            <w:vAlign w:val="center"/>
          </w:tcPr>
          <w:p w14:paraId="64505726"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-5.22 (-11.35, 0.92)</w:t>
            </w:r>
          </w:p>
        </w:tc>
      </w:tr>
      <w:tr w:rsidR="003E5AE2" w:rsidRPr="00E8251D" w14:paraId="06AAA62C" w14:textId="77777777" w:rsidTr="0011417E">
        <w:trPr>
          <w:trHeight w:val="254"/>
        </w:trPr>
        <w:tc>
          <w:tcPr>
            <w:tcW w:w="901" w:type="pct"/>
            <w:vAlign w:val="center"/>
          </w:tcPr>
          <w:p w14:paraId="30D896D3" w14:textId="77777777" w:rsidR="003E5AE2" w:rsidRPr="00E8251D" w:rsidRDefault="003E5AE2" w:rsidP="0011417E">
            <w:pPr>
              <w:ind w:left="288"/>
              <w:rPr>
                <w:rFonts w:ascii="Arial" w:hAnsi="Arial" w:cs="Arial"/>
                <w:color w:val="000000" w:themeColor="text1"/>
                <w:sz w:val="22"/>
                <w:szCs w:val="22"/>
                <w:shd w:val="clear" w:color="auto" w:fill="FFFFFF"/>
              </w:rPr>
            </w:pPr>
            <w:r w:rsidRPr="00E8251D">
              <w:rPr>
                <w:rFonts w:ascii="Arial" w:hAnsi="Arial" w:cs="Arial"/>
                <w:color w:val="000000" w:themeColor="text1"/>
                <w:sz w:val="22"/>
                <w:szCs w:val="22"/>
                <w:shd w:val="clear" w:color="auto" w:fill="FFFFFF"/>
              </w:rPr>
              <w:t>White</w:t>
            </w:r>
          </w:p>
        </w:tc>
        <w:tc>
          <w:tcPr>
            <w:tcW w:w="805" w:type="pct"/>
            <w:vAlign w:val="center"/>
          </w:tcPr>
          <w:p w14:paraId="001EFA18"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-0.</w:t>
            </w:r>
            <w:r>
              <w:rPr>
                <w:rFonts w:ascii="Arial" w:hAnsi="Arial" w:cs="Arial"/>
                <w:color w:val="000000" w:themeColor="text1"/>
                <w:sz w:val="22"/>
                <w:szCs w:val="22"/>
              </w:rPr>
              <w:t>62</w:t>
            </w:r>
            <w:r w:rsidRPr="00E8251D">
              <w:rPr>
                <w:rFonts w:ascii="Arial" w:hAnsi="Arial" w:cs="Arial"/>
                <w:color w:val="000000" w:themeColor="text1"/>
                <w:sz w:val="22"/>
                <w:szCs w:val="22"/>
              </w:rPr>
              <w:t xml:space="preserve"> (-</w:t>
            </w:r>
            <w:r>
              <w:rPr>
                <w:rFonts w:ascii="Arial" w:hAnsi="Arial" w:cs="Arial"/>
                <w:color w:val="000000" w:themeColor="text1"/>
                <w:sz w:val="22"/>
                <w:szCs w:val="22"/>
              </w:rPr>
              <w:t>2.60</w:t>
            </w:r>
            <w:r w:rsidRPr="00E8251D">
              <w:rPr>
                <w:rFonts w:ascii="Arial" w:hAnsi="Arial" w:cs="Arial"/>
                <w:color w:val="000000" w:themeColor="text1"/>
                <w:sz w:val="22"/>
                <w:szCs w:val="22"/>
              </w:rPr>
              <w:t xml:space="preserve">, </w:t>
            </w:r>
            <w:r>
              <w:rPr>
                <w:rFonts w:ascii="Arial" w:hAnsi="Arial" w:cs="Arial"/>
                <w:color w:val="000000" w:themeColor="text1"/>
                <w:sz w:val="22"/>
                <w:szCs w:val="22"/>
              </w:rPr>
              <w:t>1.37</w:t>
            </w:r>
            <w:r w:rsidRPr="00E8251D">
              <w:rPr>
                <w:rFonts w:ascii="Arial" w:hAnsi="Arial" w:cs="Arial"/>
                <w:color w:val="000000" w:themeColor="text1"/>
                <w:sz w:val="22"/>
                <w:szCs w:val="22"/>
              </w:rPr>
              <w:t>)</w:t>
            </w:r>
          </w:p>
        </w:tc>
        <w:tc>
          <w:tcPr>
            <w:tcW w:w="772" w:type="pct"/>
            <w:noWrap/>
            <w:vAlign w:val="center"/>
          </w:tcPr>
          <w:p w14:paraId="3F6D0B3D" w14:textId="77777777" w:rsidR="003E5AE2" w:rsidRPr="00EB5B84" w:rsidRDefault="003E5AE2" w:rsidP="0011417E">
            <w:pPr>
              <w:jc w:val="center"/>
              <w:rPr>
                <w:rFonts w:ascii="Arial" w:hAnsi="Arial" w:cs="Arial"/>
                <w:color w:val="000000" w:themeColor="text1"/>
                <w:sz w:val="22"/>
                <w:szCs w:val="22"/>
                <w:highlight w:val="cyan"/>
              </w:rPr>
            </w:pPr>
            <w:r w:rsidRPr="00E8251D">
              <w:rPr>
                <w:rFonts w:ascii="Arial" w:hAnsi="Arial" w:cs="Arial"/>
                <w:color w:val="000000" w:themeColor="text1"/>
                <w:sz w:val="22"/>
                <w:szCs w:val="22"/>
              </w:rPr>
              <w:t>8.88 (5.28, 12.4</w:t>
            </w:r>
            <w:r>
              <w:rPr>
                <w:rFonts w:ascii="Arial" w:hAnsi="Arial" w:cs="Arial"/>
                <w:color w:val="000000" w:themeColor="text1"/>
                <w:sz w:val="22"/>
                <w:szCs w:val="22"/>
              </w:rPr>
              <w:t>9</w:t>
            </w:r>
            <w:r w:rsidRPr="00E8251D">
              <w:rPr>
                <w:rFonts w:ascii="Arial" w:hAnsi="Arial" w:cs="Arial"/>
                <w:color w:val="000000" w:themeColor="text1"/>
                <w:sz w:val="22"/>
                <w:szCs w:val="22"/>
              </w:rPr>
              <w:t>)</w:t>
            </w:r>
          </w:p>
        </w:tc>
        <w:tc>
          <w:tcPr>
            <w:tcW w:w="869" w:type="pct"/>
            <w:noWrap/>
            <w:vAlign w:val="center"/>
          </w:tcPr>
          <w:p w14:paraId="5554F68E"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-1.57 (-4.98, 1.83)</w:t>
            </w:r>
          </w:p>
        </w:tc>
        <w:tc>
          <w:tcPr>
            <w:tcW w:w="843" w:type="pct"/>
            <w:vAlign w:val="center"/>
          </w:tcPr>
          <w:p w14:paraId="3783942E"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-0.65 (-4.24, 2.94)</w:t>
            </w:r>
          </w:p>
        </w:tc>
        <w:tc>
          <w:tcPr>
            <w:tcW w:w="810" w:type="pct"/>
            <w:noWrap/>
            <w:vAlign w:val="center"/>
          </w:tcPr>
          <w:p w14:paraId="4DD88672"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-2.14 (-5.62, 1.34)</w:t>
            </w:r>
          </w:p>
        </w:tc>
      </w:tr>
      <w:tr w:rsidR="003E5AE2" w:rsidRPr="00E8251D" w14:paraId="5F826032" w14:textId="77777777" w:rsidTr="0011417E">
        <w:trPr>
          <w:trHeight w:val="254"/>
        </w:trPr>
        <w:tc>
          <w:tcPr>
            <w:tcW w:w="2478" w:type="pct"/>
            <w:gridSpan w:val="3"/>
            <w:vAlign w:val="center"/>
          </w:tcPr>
          <w:p w14:paraId="5BB5A8E5" w14:textId="77777777" w:rsidR="003E5AE2" w:rsidRPr="00E8251D" w:rsidRDefault="003E5AE2" w:rsidP="0011417E">
            <w:pPr>
              <w:rPr>
                <w:rFonts w:ascii="Arial" w:hAnsi="Arial" w:cs="Arial"/>
                <w:color w:val="000000" w:themeColor="text1"/>
                <w:sz w:val="22"/>
                <w:szCs w:val="22"/>
              </w:rPr>
            </w:pPr>
            <w:r w:rsidRPr="00E8251D">
              <w:rPr>
                <w:rFonts w:ascii="Arial" w:hAnsi="Arial" w:cs="Arial"/>
                <w:b/>
                <w:bCs/>
                <w:color w:val="000000" w:themeColor="text1"/>
                <w:sz w:val="22"/>
                <w:szCs w:val="22"/>
              </w:rPr>
              <w:t xml:space="preserve">Surgery: Subsequent opioid Rx </w:t>
            </w:r>
            <w:proofErr w:type="spellStart"/>
            <w:r w:rsidRPr="00E8251D">
              <w:rPr>
                <w:rFonts w:ascii="Arial" w:hAnsi="Arial" w:cs="Arial"/>
                <w:b/>
                <w:bCs/>
                <w:color w:val="000000" w:themeColor="text1"/>
                <w:sz w:val="22"/>
                <w:szCs w:val="22"/>
              </w:rPr>
              <w:t>rate</w:t>
            </w:r>
            <w:r w:rsidRPr="00E8251D">
              <w:rPr>
                <w:rFonts w:ascii="Arial" w:hAnsi="Arial" w:cs="Arial"/>
                <w:b/>
                <w:bCs/>
                <w:color w:val="000000" w:themeColor="text1"/>
                <w:sz w:val="22"/>
                <w:szCs w:val="22"/>
                <w:vertAlign w:val="superscript"/>
              </w:rPr>
              <w:t>a</w:t>
            </w:r>
            <w:proofErr w:type="spellEnd"/>
          </w:p>
        </w:tc>
        <w:tc>
          <w:tcPr>
            <w:tcW w:w="869" w:type="pct"/>
            <w:noWrap/>
            <w:vAlign w:val="center"/>
          </w:tcPr>
          <w:p w14:paraId="631D3AE5" w14:textId="77777777" w:rsidR="003E5AE2" w:rsidRPr="0094712A" w:rsidRDefault="003E5AE2" w:rsidP="0011417E">
            <w:pPr>
              <w:jc w:val="right"/>
              <w:rPr>
                <w:rFonts w:ascii="Arial" w:hAnsi="Arial" w:cs="Arial"/>
                <w:color w:val="000000" w:themeColor="text1"/>
                <w:sz w:val="22"/>
                <w:szCs w:val="22"/>
              </w:rPr>
            </w:pPr>
          </w:p>
        </w:tc>
        <w:tc>
          <w:tcPr>
            <w:tcW w:w="843" w:type="pct"/>
            <w:noWrap/>
          </w:tcPr>
          <w:p w14:paraId="73695DFF" w14:textId="77777777" w:rsidR="003E5AE2" w:rsidRPr="0094712A" w:rsidRDefault="003E5AE2" w:rsidP="0011417E">
            <w:pPr>
              <w:jc w:val="right"/>
              <w:rPr>
                <w:rFonts w:ascii="Arial" w:hAnsi="Arial" w:cs="Arial"/>
                <w:color w:val="000000" w:themeColor="text1"/>
                <w:sz w:val="22"/>
                <w:szCs w:val="22"/>
              </w:rPr>
            </w:pPr>
            <w:r w:rsidRPr="0094712A">
              <w:rPr>
                <w:rFonts w:ascii="Arial" w:hAnsi="Arial" w:cs="Arial"/>
                <w:color w:val="000000" w:themeColor="text1"/>
                <w:sz w:val="22"/>
                <w:szCs w:val="22"/>
              </w:rPr>
              <w:t> </w:t>
            </w:r>
          </w:p>
        </w:tc>
        <w:tc>
          <w:tcPr>
            <w:tcW w:w="810" w:type="pct"/>
            <w:noWrap/>
          </w:tcPr>
          <w:p w14:paraId="2C47F4AD" w14:textId="77777777" w:rsidR="003E5AE2" w:rsidRPr="0094712A" w:rsidRDefault="003E5AE2" w:rsidP="0011417E">
            <w:pPr>
              <w:jc w:val="right"/>
              <w:rPr>
                <w:rFonts w:ascii="Arial" w:hAnsi="Arial" w:cs="Arial"/>
                <w:color w:val="000000" w:themeColor="text1"/>
                <w:sz w:val="22"/>
                <w:szCs w:val="22"/>
              </w:rPr>
            </w:pPr>
            <w:r w:rsidRPr="0094712A">
              <w:rPr>
                <w:rFonts w:ascii="Arial" w:hAnsi="Arial" w:cs="Arial"/>
                <w:color w:val="000000" w:themeColor="text1"/>
                <w:sz w:val="22"/>
                <w:szCs w:val="22"/>
              </w:rPr>
              <w:t> </w:t>
            </w:r>
          </w:p>
        </w:tc>
      </w:tr>
      <w:tr w:rsidR="003E5AE2" w:rsidRPr="00E8251D" w14:paraId="58431680" w14:textId="77777777" w:rsidTr="0011417E">
        <w:trPr>
          <w:trHeight w:val="254"/>
        </w:trPr>
        <w:tc>
          <w:tcPr>
            <w:tcW w:w="901" w:type="pct"/>
            <w:vAlign w:val="center"/>
            <w:hideMark/>
          </w:tcPr>
          <w:p w14:paraId="27B145B7" w14:textId="77777777" w:rsidR="003E5AE2" w:rsidRPr="00E8251D" w:rsidRDefault="003E5AE2" w:rsidP="0011417E">
            <w:pPr>
              <w:ind w:left="288"/>
              <w:rPr>
                <w:rFonts w:ascii="Arial" w:hAnsi="Arial" w:cs="Arial"/>
                <w:color w:val="000000" w:themeColor="text1"/>
                <w:sz w:val="22"/>
                <w:szCs w:val="22"/>
              </w:rPr>
            </w:pPr>
            <w:r w:rsidRPr="00E8251D">
              <w:rPr>
                <w:rFonts w:ascii="Arial" w:hAnsi="Arial" w:cs="Arial"/>
                <w:color w:val="000000" w:themeColor="text1"/>
                <w:sz w:val="22"/>
                <w:szCs w:val="22"/>
                <w:shd w:val="clear" w:color="auto" w:fill="FFFFFF"/>
              </w:rPr>
              <w:t>American Native</w:t>
            </w:r>
          </w:p>
        </w:tc>
        <w:tc>
          <w:tcPr>
            <w:tcW w:w="805" w:type="pct"/>
            <w:vAlign w:val="center"/>
          </w:tcPr>
          <w:p w14:paraId="56CC585E" w14:textId="77777777" w:rsidR="003E5AE2" w:rsidRPr="00E8251D" w:rsidRDefault="003E5AE2" w:rsidP="0011417E">
            <w:pPr>
              <w:jc w:val="center"/>
              <w:rPr>
                <w:rFonts w:ascii="Arial" w:hAnsi="Arial" w:cs="Arial"/>
                <w:color w:val="000000" w:themeColor="text1"/>
                <w:sz w:val="22"/>
                <w:szCs w:val="22"/>
              </w:rPr>
            </w:pPr>
            <w:r>
              <w:rPr>
                <w:rFonts w:ascii="Arial" w:hAnsi="Arial" w:cs="Arial"/>
                <w:color w:val="000000" w:themeColor="text1"/>
                <w:sz w:val="22"/>
                <w:szCs w:val="22"/>
              </w:rPr>
              <w:t>17.51</w:t>
            </w:r>
            <w:r w:rsidRPr="00E8251D">
              <w:rPr>
                <w:rFonts w:ascii="Arial" w:hAnsi="Arial" w:cs="Arial"/>
                <w:color w:val="000000" w:themeColor="text1"/>
                <w:sz w:val="22"/>
                <w:szCs w:val="22"/>
              </w:rPr>
              <w:t xml:space="preserve"> (</w:t>
            </w:r>
            <w:r>
              <w:rPr>
                <w:rFonts w:ascii="Arial" w:hAnsi="Arial" w:cs="Arial"/>
                <w:color w:val="000000" w:themeColor="text1"/>
                <w:sz w:val="22"/>
                <w:szCs w:val="22"/>
              </w:rPr>
              <w:t>10.03</w:t>
            </w:r>
            <w:r w:rsidRPr="00E8251D">
              <w:rPr>
                <w:rFonts w:ascii="Arial" w:hAnsi="Arial" w:cs="Arial"/>
                <w:color w:val="000000" w:themeColor="text1"/>
                <w:sz w:val="22"/>
                <w:szCs w:val="22"/>
              </w:rPr>
              <w:t>, 2</w:t>
            </w:r>
            <w:r>
              <w:rPr>
                <w:rFonts w:ascii="Arial" w:hAnsi="Arial" w:cs="Arial"/>
                <w:color w:val="000000" w:themeColor="text1"/>
                <w:sz w:val="22"/>
                <w:szCs w:val="22"/>
              </w:rPr>
              <w:t>4.99</w:t>
            </w:r>
            <w:r w:rsidRPr="00E8251D">
              <w:rPr>
                <w:rFonts w:ascii="Arial" w:hAnsi="Arial" w:cs="Arial"/>
                <w:color w:val="000000" w:themeColor="text1"/>
                <w:sz w:val="22"/>
                <w:szCs w:val="22"/>
              </w:rPr>
              <w:t>)</w:t>
            </w:r>
          </w:p>
        </w:tc>
        <w:tc>
          <w:tcPr>
            <w:tcW w:w="772" w:type="pct"/>
            <w:noWrap/>
            <w:vAlign w:val="center"/>
          </w:tcPr>
          <w:p w14:paraId="7866F4A6"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-8.78 (-22.3</w:t>
            </w:r>
            <w:r>
              <w:rPr>
                <w:rFonts w:ascii="Arial" w:hAnsi="Arial" w:cs="Arial"/>
                <w:color w:val="000000" w:themeColor="text1"/>
                <w:sz w:val="22"/>
                <w:szCs w:val="22"/>
              </w:rPr>
              <w:t>9</w:t>
            </w:r>
            <w:r w:rsidRPr="00E8251D">
              <w:rPr>
                <w:rFonts w:ascii="Arial" w:hAnsi="Arial" w:cs="Arial"/>
                <w:color w:val="000000" w:themeColor="text1"/>
                <w:sz w:val="22"/>
                <w:szCs w:val="22"/>
              </w:rPr>
              <w:t>, 4.8</w:t>
            </w:r>
            <w:r>
              <w:rPr>
                <w:rFonts w:ascii="Arial" w:hAnsi="Arial" w:cs="Arial"/>
                <w:color w:val="000000" w:themeColor="text1"/>
                <w:sz w:val="22"/>
                <w:szCs w:val="22"/>
              </w:rPr>
              <w:t>3</w:t>
            </w:r>
            <w:r w:rsidRPr="00E8251D">
              <w:rPr>
                <w:rFonts w:ascii="Arial" w:hAnsi="Arial" w:cs="Arial"/>
                <w:color w:val="000000" w:themeColor="text1"/>
                <w:sz w:val="22"/>
                <w:szCs w:val="22"/>
              </w:rPr>
              <w:t>)</w:t>
            </w:r>
          </w:p>
        </w:tc>
        <w:tc>
          <w:tcPr>
            <w:tcW w:w="869" w:type="pct"/>
            <w:noWrap/>
            <w:vAlign w:val="center"/>
          </w:tcPr>
          <w:p w14:paraId="20C470BA"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-12.46 (-25.31, 0.40)</w:t>
            </w:r>
          </w:p>
        </w:tc>
        <w:tc>
          <w:tcPr>
            <w:tcW w:w="843" w:type="pct"/>
            <w:vAlign w:val="center"/>
          </w:tcPr>
          <w:p w14:paraId="2B25631E"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-15.34 (-28.88, -1.79)</w:t>
            </w:r>
          </w:p>
        </w:tc>
        <w:tc>
          <w:tcPr>
            <w:tcW w:w="810" w:type="pct"/>
            <w:noWrap/>
            <w:vAlign w:val="center"/>
          </w:tcPr>
          <w:p w14:paraId="54583DAE"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-11.44 (-24.58, 1.70)</w:t>
            </w:r>
          </w:p>
        </w:tc>
      </w:tr>
      <w:tr w:rsidR="003E5AE2" w:rsidRPr="00E8251D" w14:paraId="2FB5AD6B" w14:textId="77777777" w:rsidTr="0011417E">
        <w:trPr>
          <w:trHeight w:val="254"/>
        </w:trPr>
        <w:tc>
          <w:tcPr>
            <w:tcW w:w="901" w:type="pct"/>
            <w:vAlign w:val="center"/>
          </w:tcPr>
          <w:p w14:paraId="20C3019F" w14:textId="77777777" w:rsidR="003E5AE2" w:rsidRPr="00E8251D" w:rsidRDefault="003E5AE2" w:rsidP="0011417E">
            <w:pPr>
              <w:ind w:left="288"/>
              <w:rPr>
                <w:rFonts w:ascii="Arial" w:hAnsi="Arial" w:cs="Arial"/>
                <w:color w:val="000000" w:themeColor="text1"/>
                <w:sz w:val="22"/>
                <w:szCs w:val="22"/>
                <w:shd w:val="clear" w:color="auto" w:fill="FFFFFF"/>
              </w:rPr>
            </w:pPr>
            <w:r w:rsidRPr="00E8251D">
              <w:rPr>
                <w:rFonts w:ascii="Arial" w:hAnsi="Arial" w:cs="Arial"/>
                <w:color w:val="000000" w:themeColor="text1"/>
                <w:sz w:val="22"/>
                <w:szCs w:val="22"/>
                <w:shd w:val="clear" w:color="auto" w:fill="FFFFFF"/>
              </w:rPr>
              <w:t>Asian</w:t>
            </w:r>
          </w:p>
        </w:tc>
        <w:tc>
          <w:tcPr>
            <w:tcW w:w="805" w:type="pct"/>
            <w:vAlign w:val="center"/>
          </w:tcPr>
          <w:p w14:paraId="7421F16C"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-0.</w:t>
            </w:r>
            <w:r>
              <w:rPr>
                <w:rFonts w:ascii="Arial" w:hAnsi="Arial" w:cs="Arial"/>
                <w:color w:val="000000" w:themeColor="text1"/>
                <w:sz w:val="22"/>
                <w:szCs w:val="22"/>
              </w:rPr>
              <w:t>90</w:t>
            </w:r>
            <w:r w:rsidRPr="00E8251D">
              <w:rPr>
                <w:rFonts w:ascii="Arial" w:hAnsi="Arial" w:cs="Arial"/>
                <w:color w:val="000000" w:themeColor="text1"/>
                <w:sz w:val="22"/>
                <w:szCs w:val="22"/>
              </w:rPr>
              <w:t xml:space="preserve"> (-</w:t>
            </w:r>
            <w:r>
              <w:rPr>
                <w:rFonts w:ascii="Arial" w:hAnsi="Arial" w:cs="Arial"/>
                <w:color w:val="000000" w:themeColor="text1"/>
                <w:sz w:val="22"/>
                <w:szCs w:val="22"/>
              </w:rPr>
              <w:t>3.96</w:t>
            </w:r>
            <w:r w:rsidRPr="00E8251D">
              <w:rPr>
                <w:rFonts w:ascii="Arial" w:hAnsi="Arial" w:cs="Arial"/>
                <w:color w:val="000000" w:themeColor="text1"/>
                <w:sz w:val="22"/>
                <w:szCs w:val="22"/>
              </w:rPr>
              <w:t xml:space="preserve">, </w:t>
            </w:r>
            <w:r>
              <w:rPr>
                <w:rFonts w:ascii="Arial" w:hAnsi="Arial" w:cs="Arial"/>
                <w:color w:val="000000" w:themeColor="text1"/>
                <w:sz w:val="22"/>
                <w:szCs w:val="22"/>
              </w:rPr>
              <w:t>2.17</w:t>
            </w:r>
            <w:r w:rsidRPr="00E8251D">
              <w:rPr>
                <w:rFonts w:ascii="Arial" w:hAnsi="Arial" w:cs="Arial"/>
                <w:color w:val="000000" w:themeColor="text1"/>
                <w:sz w:val="22"/>
                <w:szCs w:val="22"/>
              </w:rPr>
              <w:t>)</w:t>
            </w:r>
          </w:p>
        </w:tc>
        <w:tc>
          <w:tcPr>
            <w:tcW w:w="772" w:type="pct"/>
            <w:noWrap/>
            <w:vAlign w:val="center"/>
          </w:tcPr>
          <w:p w14:paraId="5537B312"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3.39 (-2.1</w:t>
            </w:r>
            <w:r>
              <w:rPr>
                <w:rFonts w:ascii="Arial" w:hAnsi="Arial" w:cs="Arial"/>
                <w:color w:val="000000" w:themeColor="text1"/>
                <w:sz w:val="22"/>
                <w:szCs w:val="22"/>
              </w:rPr>
              <w:t>8</w:t>
            </w:r>
            <w:r w:rsidRPr="00E8251D">
              <w:rPr>
                <w:rFonts w:ascii="Arial" w:hAnsi="Arial" w:cs="Arial"/>
                <w:color w:val="000000" w:themeColor="text1"/>
                <w:sz w:val="22"/>
                <w:szCs w:val="22"/>
              </w:rPr>
              <w:t>, 8.96)</w:t>
            </w:r>
          </w:p>
        </w:tc>
        <w:tc>
          <w:tcPr>
            <w:tcW w:w="869" w:type="pct"/>
            <w:noWrap/>
            <w:vAlign w:val="center"/>
          </w:tcPr>
          <w:p w14:paraId="54DD96AD"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-3.29 (-8.55, 1.98)</w:t>
            </w:r>
          </w:p>
        </w:tc>
        <w:tc>
          <w:tcPr>
            <w:tcW w:w="843" w:type="pct"/>
            <w:vAlign w:val="center"/>
          </w:tcPr>
          <w:p w14:paraId="53EA3C38"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3.62 (-1.92, 9.16)</w:t>
            </w:r>
          </w:p>
        </w:tc>
        <w:tc>
          <w:tcPr>
            <w:tcW w:w="810" w:type="pct"/>
            <w:noWrap/>
            <w:vAlign w:val="center"/>
          </w:tcPr>
          <w:p w14:paraId="5C151439"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-3.40 (-8.78, 1.98)</w:t>
            </w:r>
          </w:p>
        </w:tc>
      </w:tr>
      <w:tr w:rsidR="003E5AE2" w:rsidRPr="00E8251D" w14:paraId="17479544" w14:textId="77777777" w:rsidTr="0011417E">
        <w:trPr>
          <w:trHeight w:val="254"/>
        </w:trPr>
        <w:tc>
          <w:tcPr>
            <w:tcW w:w="901" w:type="pct"/>
            <w:vAlign w:val="center"/>
          </w:tcPr>
          <w:p w14:paraId="67CAAC1F" w14:textId="77777777" w:rsidR="003E5AE2" w:rsidRPr="00E8251D" w:rsidRDefault="003E5AE2" w:rsidP="0011417E">
            <w:pPr>
              <w:ind w:left="288"/>
              <w:rPr>
                <w:rFonts w:ascii="Arial" w:hAnsi="Arial" w:cs="Arial"/>
                <w:color w:val="000000" w:themeColor="text1"/>
                <w:sz w:val="22"/>
                <w:szCs w:val="22"/>
                <w:shd w:val="clear" w:color="auto" w:fill="FFFFFF"/>
              </w:rPr>
            </w:pPr>
            <w:r w:rsidRPr="00E8251D">
              <w:rPr>
                <w:rFonts w:ascii="Arial" w:hAnsi="Arial" w:cs="Arial"/>
                <w:color w:val="000000" w:themeColor="text1"/>
                <w:sz w:val="22"/>
                <w:szCs w:val="22"/>
                <w:shd w:val="clear" w:color="auto" w:fill="FFFFFF"/>
              </w:rPr>
              <w:t>Black</w:t>
            </w:r>
          </w:p>
        </w:tc>
        <w:tc>
          <w:tcPr>
            <w:tcW w:w="805" w:type="pct"/>
            <w:vAlign w:val="center"/>
          </w:tcPr>
          <w:p w14:paraId="653A21B0" w14:textId="77777777" w:rsidR="003E5AE2" w:rsidRPr="00E8251D" w:rsidRDefault="003E5AE2" w:rsidP="0011417E">
            <w:pPr>
              <w:jc w:val="center"/>
              <w:rPr>
                <w:rFonts w:ascii="Arial" w:hAnsi="Arial" w:cs="Arial"/>
                <w:color w:val="000000" w:themeColor="text1"/>
                <w:sz w:val="22"/>
                <w:szCs w:val="22"/>
              </w:rPr>
            </w:pPr>
            <w:r>
              <w:rPr>
                <w:rFonts w:ascii="Arial" w:hAnsi="Arial" w:cs="Arial"/>
                <w:color w:val="000000" w:themeColor="text1"/>
                <w:sz w:val="22"/>
                <w:szCs w:val="22"/>
              </w:rPr>
              <w:t>13.16</w:t>
            </w:r>
            <w:r w:rsidRPr="00E8251D">
              <w:rPr>
                <w:rFonts w:ascii="Arial" w:hAnsi="Arial" w:cs="Arial"/>
                <w:color w:val="000000" w:themeColor="text1"/>
                <w:sz w:val="22"/>
                <w:szCs w:val="22"/>
              </w:rPr>
              <w:t xml:space="preserve"> (</w:t>
            </w:r>
            <w:r>
              <w:rPr>
                <w:rFonts w:ascii="Arial" w:hAnsi="Arial" w:cs="Arial"/>
                <w:color w:val="000000" w:themeColor="text1"/>
                <w:sz w:val="22"/>
                <w:szCs w:val="22"/>
              </w:rPr>
              <w:t>10.93</w:t>
            </w:r>
            <w:r w:rsidRPr="00E8251D">
              <w:rPr>
                <w:rFonts w:ascii="Arial" w:hAnsi="Arial" w:cs="Arial"/>
                <w:color w:val="000000" w:themeColor="text1"/>
                <w:sz w:val="22"/>
                <w:szCs w:val="22"/>
              </w:rPr>
              <w:t>, 1</w:t>
            </w:r>
            <w:r>
              <w:rPr>
                <w:rFonts w:ascii="Arial" w:hAnsi="Arial" w:cs="Arial"/>
                <w:color w:val="000000" w:themeColor="text1"/>
                <w:sz w:val="22"/>
                <w:szCs w:val="22"/>
              </w:rPr>
              <w:t>5.38</w:t>
            </w:r>
            <w:r w:rsidRPr="00E8251D">
              <w:rPr>
                <w:rFonts w:ascii="Arial" w:hAnsi="Arial" w:cs="Arial"/>
                <w:color w:val="000000" w:themeColor="text1"/>
                <w:sz w:val="22"/>
                <w:szCs w:val="22"/>
              </w:rPr>
              <w:t>)</w:t>
            </w:r>
          </w:p>
        </w:tc>
        <w:tc>
          <w:tcPr>
            <w:tcW w:w="772" w:type="pct"/>
            <w:noWrap/>
            <w:vAlign w:val="center"/>
          </w:tcPr>
          <w:p w14:paraId="022B4385"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0.94 (-3.10, 4.98)</w:t>
            </w:r>
          </w:p>
        </w:tc>
        <w:tc>
          <w:tcPr>
            <w:tcW w:w="869" w:type="pct"/>
            <w:noWrap/>
            <w:vAlign w:val="center"/>
          </w:tcPr>
          <w:p w14:paraId="50C9EBFB"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-17.11 (-20.93, -13.29)</w:t>
            </w:r>
          </w:p>
        </w:tc>
        <w:tc>
          <w:tcPr>
            <w:tcW w:w="843" w:type="pct"/>
            <w:vAlign w:val="center"/>
          </w:tcPr>
          <w:p w14:paraId="6D6ECB88"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-3.65 (-7.68, -0.37)</w:t>
            </w:r>
          </w:p>
        </w:tc>
        <w:tc>
          <w:tcPr>
            <w:tcW w:w="810" w:type="pct"/>
            <w:noWrap/>
            <w:vAlign w:val="center"/>
          </w:tcPr>
          <w:p w14:paraId="4E831EF6"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-2.89 (-6.79, 1.01)</w:t>
            </w:r>
          </w:p>
        </w:tc>
      </w:tr>
      <w:tr w:rsidR="003E5AE2" w:rsidRPr="00E8251D" w14:paraId="4D9F1DAA" w14:textId="77777777" w:rsidTr="0011417E">
        <w:trPr>
          <w:trHeight w:val="254"/>
        </w:trPr>
        <w:tc>
          <w:tcPr>
            <w:tcW w:w="901" w:type="pct"/>
            <w:vAlign w:val="center"/>
          </w:tcPr>
          <w:p w14:paraId="303619A3" w14:textId="77777777" w:rsidR="003E5AE2" w:rsidRPr="00E8251D" w:rsidRDefault="003E5AE2" w:rsidP="0011417E">
            <w:pPr>
              <w:ind w:left="288"/>
              <w:rPr>
                <w:rFonts w:ascii="Arial" w:hAnsi="Arial" w:cs="Arial"/>
                <w:color w:val="000000" w:themeColor="text1"/>
                <w:sz w:val="22"/>
                <w:szCs w:val="22"/>
                <w:shd w:val="clear" w:color="auto" w:fill="FFFFFF"/>
              </w:rPr>
            </w:pPr>
            <w:r w:rsidRPr="00E8251D">
              <w:rPr>
                <w:rFonts w:ascii="Arial" w:hAnsi="Arial" w:cs="Arial"/>
                <w:color w:val="000000" w:themeColor="text1"/>
                <w:sz w:val="22"/>
                <w:szCs w:val="22"/>
                <w:shd w:val="clear" w:color="auto" w:fill="FFFFFF"/>
              </w:rPr>
              <w:t>White</w:t>
            </w:r>
          </w:p>
        </w:tc>
        <w:tc>
          <w:tcPr>
            <w:tcW w:w="805" w:type="pct"/>
            <w:vAlign w:val="center"/>
          </w:tcPr>
          <w:p w14:paraId="26824414" w14:textId="77777777" w:rsidR="003E5AE2" w:rsidRPr="00E8251D" w:rsidRDefault="003E5AE2" w:rsidP="0011417E">
            <w:pPr>
              <w:jc w:val="center"/>
              <w:rPr>
                <w:rFonts w:ascii="Arial" w:hAnsi="Arial" w:cs="Arial"/>
                <w:color w:val="000000" w:themeColor="text1"/>
                <w:sz w:val="22"/>
                <w:szCs w:val="22"/>
              </w:rPr>
            </w:pPr>
            <w:r>
              <w:rPr>
                <w:rFonts w:ascii="Arial" w:hAnsi="Arial" w:cs="Arial"/>
                <w:color w:val="000000" w:themeColor="text1"/>
                <w:sz w:val="22"/>
                <w:szCs w:val="22"/>
              </w:rPr>
              <w:t>9.29</w:t>
            </w:r>
            <w:r w:rsidRPr="00E8251D">
              <w:rPr>
                <w:rFonts w:ascii="Arial" w:hAnsi="Arial" w:cs="Arial"/>
                <w:color w:val="000000" w:themeColor="text1"/>
                <w:sz w:val="22"/>
                <w:szCs w:val="22"/>
              </w:rPr>
              <w:t xml:space="preserve"> (</w:t>
            </w:r>
            <w:r>
              <w:rPr>
                <w:rFonts w:ascii="Arial" w:hAnsi="Arial" w:cs="Arial"/>
                <w:color w:val="000000" w:themeColor="text1"/>
                <w:sz w:val="22"/>
                <w:szCs w:val="22"/>
              </w:rPr>
              <w:t>7.98</w:t>
            </w:r>
            <w:r w:rsidRPr="00E8251D">
              <w:rPr>
                <w:rFonts w:ascii="Arial" w:hAnsi="Arial" w:cs="Arial"/>
                <w:color w:val="000000" w:themeColor="text1"/>
                <w:sz w:val="22"/>
                <w:szCs w:val="22"/>
              </w:rPr>
              <w:t xml:space="preserve">, </w:t>
            </w:r>
            <w:r>
              <w:rPr>
                <w:rFonts w:ascii="Arial" w:hAnsi="Arial" w:cs="Arial"/>
                <w:color w:val="000000" w:themeColor="text1"/>
                <w:sz w:val="22"/>
                <w:szCs w:val="22"/>
              </w:rPr>
              <w:t>10.59</w:t>
            </w:r>
            <w:r w:rsidRPr="00E8251D">
              <w:rPr>
                <w:rFonts w:ascii="Arial" w:hAnsi="Arial" w:cs="Arial"/>
                <w:color w:val="000000" w:themeColor="text1"/>
                <w:sz w:val="22"/>
                <w:szCs w:val="22"/>
              </w:rPr>
              <w:t>)</w:t>
            </w:r>
          </w:p>
        </w:tc>
        <w:tc>
          <w:tcPr>
            <w:tcW w:w="772" w:type="pct"/>
            <w:noWrap/>
            <w:vAlign w:val="center"/>
          </w:tcPr>
          <w:p w14:paraId="6E7A8024"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-0.97 (-3.3</w:t>
            </w:r>
            <w:r>
              <w:rPr>
                <w:rFonts w:ascii="Arial" w:hAnsi="Arial" w:cs="Arial"/>
                <w:color w:val="000000" w:themeColor="text1"/>
                <w:sz w:val="22"/>
                <w:szCs w:val="22"/>
              </w:rPr>
              <w:t>4</w:t>
            </w:r>
            <w:r w:rsidRPr="00E8251D">
              <w:rPr>
                <w:rFonts w:ascii="Arial" w:hAnsi="Arial" w:cs="Arial"/>
                <w:color w:val="000000" w:themeColor="text1"/>
                <w:sz w:val="22"/>
                <w:szCs w:val="22"/>
              </w:rPr>
              <w:t>, 1.</w:t>
            </w:r>
            <w:r>
              <w:rPr>
                <w:rFonts w:ascii="Arial" w:hAnsi="Arial" w:cs="Arial"/>
                <w:color w:val="000000" w:themeColor="text1"/>
                <w:sz w:val="22"/>
                <w:szCs w:val="22"/>
              </w:rPr>
              <w:t>40</w:t>
            </w:r>
            <w:r w:rsidRPr="00E8251D">
              <w:rPr>
                <w:rFonts w:ascii="Arial" w:hAnsi="Arial" w:cs="Arial"/>
                <w:color w:val="000000" w:themeColor="text1"/>
                <w:sz w:val="22"/>
                <w:szCs w:val="22"/>
              </w:rPr>
              <w:t>)</w:t>
            </w:r>
          </w:p>
        </w:tc>
        <w:tc>
          <w:tcPr>
            <w:tcW w:w="869" w:type="pct"/>
            <w:noWrap/>
            <w:vAlign w:val="center"/>
          </w:tcPr>
          <w:p w14:paraId="6C92CCDA"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-11.43 (-13.67, -9.19)</w:t>
            </w:r>
          </w:p>
        </w:tc>
        <w:tc>
          <w:tcPr>
            <w:tcW w:w="843" w:type="pct"/>
            <w:vAlign w:val="center"/>
          </w:tcPr>
          <w:p w14:paraId="56C9B710"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-1.62 (-3.98, 0.74)</w:t>
            </w:r>
          </w:p>
        </w:tc>
        <w:tc>
          <w:tcPr>
            <w:tcW w:w="810" w:type="pct"/>
            <w:noWrap/>
            <w:vAlign w:val="center"/>
          </w:tcPr>
          <w:p w14:paraId="1380C1FF"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-0.13 (-2.41, 2.16)</w:t>
            </w:r>
          </w:p>
        </w:tc>
      </w:tr>
      <w:tr w:rsidR="003E5AE2" w:rsidRPr="00E8251D" w14:paraId="324E5579" w14:textId="77777777" w:rsidTr="0011417E">
        <w:trPr>
          <w:trHeight w:val="254"/>
        </w:trPr>
        <w:tc>
          <w:tcPr>
            <w:tcW w:w="2478" w:type="pct"/>
            <w:gridSpan w:val="3"/>
            <w:vAlign w:val="center"/>
          </w:tcPr>
          <w:p w14:paraId="6C41EE47" w14:textId="77777777" w:rsidR="003E5AE2" w:rsidRPr="00E8251D" w:rsidRDefault="003E5AE2" w:rsidP="0011417E">
            <w:pPr>
              <w:rPr>
                <w:rFonts w:ascii="Arial" w:hAnsi="Arial" w:cs="Arial"/>
                <w:color w:val="000000" w:themeColor="text1"/>
                <w:sz w:val="22"/>
                <w:szCs w:val="22"/>
              </w:rPr>
            </w:pPr>
            <w:r w:rsidRPr="00E8251D">
              <w:rPr>
                <w:rFonts w:ascii="Arial" w:hAnsi="Arial" w:cs="Arial"/>
                <w:b/>
                <w:bCs/>
                <w:color w:val="000000"/>
                <w:sz w:val="22"/>
                <w:szCs w:val="22"/>
                <w:bdr w:val="none" w:sz="0" w:space="0" w:color="auto" w:frame="1"/>
              </w:rPr>
              <w:t>Injury: % Patients receiving index opioid Rx</w:t>
            </w:r>
          </w:p>
        </w:tc>
        <w:tc>
          <w:tcPr>
            <w:tcW w:w="869" w:type="pct"/>
            <w:noWrap/>
            <w:vAlign w:val="center"/>
          </w:tcPr>
          <w:p w14:paraId="385F0CBC" w14:textId="77777777" w:rsidR="003E5AE2" w:rsidRPr="0094712A" w:rsidRDefault="003E5AE2" w:rsidP="0011417E">
            <w:pPr>
              <w:jc w:val="center"/>
              <w:rPr>
                <w:rFonts w:ascii="Arial" w:hAnsi="Arial" w:cs="Arial"/>
                <w:color w:val="000000" w:themeColor="text1"/>
                <w:sz w:val="22"/>
                <w:szCs w:val="22"/>
              </w:rPr>
            </w:pPr>
          </w:p>
        </w:tc>
        <w:tc>
          <w:tcPr>
            <w:tcW w:w="843" w:type="pct"/>
            <w:vAlign w:val="center"/>
          </w:tcPr>
          <w:p w14:paraId="3178545A" w14:textId="77777777" w:rsidR="003E5AE2" w:rsidRPr="0094712A" w:rsidRDefault="003E5AE2" w:rsidP="0011417E">
            <w:pPr>
              <w:jc w:val="center"/>
              <w:rPr>
                <w:rFonts w:ascii="Arial" w:hAnsi="Arial" w:cs="Arial"/>
                <w:color w:val="000000" w:themeColor="text1"/>
                <w:sz w:val="22"/>
                <w:szCs w:val="22"/>
              </w:rPr>
            </w:pPr>
          </w:p>
        </w:tc>
        <w:tc>
          <w:tcPr>
            <w:tcW w:w="810" w:type="pct"/>
            <w:noWrap/>
            <w:vAlign w:val="center"/>
          </w:tcPr>
          <w:p w14:paraId="7048C22E" w14:textId="77777777" w:rsidR="003E5AE2" w:rsidRPr="0094712A" w:rsidRDefault="003E5AE2" w:rsidP="0011417E">
            <w:pPr>
              <w:jc w:val="center"/>
              <w:rPr>
                <w:rFonts w:ascii="Arial" w:hAnsi="Arial" w:cs="Arial"/>
                <w:color w:val="000000" w:themeColor="text1"/>
                <w:sz w:val="22"/>
                <w:szCs w:val="22"/>
              </w:rPr>
            </w:pPr>
          </w:p>
        </w:tc>
      </w:tr>
      <w:tr w:rsidR="003E5AE2" w:rsidRPr="00E8251D" w14:paraId="1689FEB2" w14:textId="77777777" w:rsidTr="0011417E">
        <w:trPr>
          <w:trHeight w:val="254"/>
        </w:trPr>
        <w:tc>
          <w:tcPr>
            <w:tcW w:w="901" w:type="pct"/>
            <w:vAlign w:val="center"/>
          </w:tcPr>
          <w:p w14:paraId="0231D90E" w14:textId="77777777" w:rsidR="003E5AE2" w:rsidRPr="00E8251D" w:rsidRDefault="003E5AE2" w:rsidP="0011417E">
            <w:pPr>
              <w:ind w:left="288"/>
              <w:rPr>
                <w:rFonts w:ascii="Arial" w:hAnsi="Arial" w:cs="Arial"/>
                <w:color w:val="000000" w:themeColor="text1"/>
                <w:sz w:val="22"/>
                <w:szCs w:val="22"/>
                <w:shd w:val="clear" w:color="auto" w:fill="FFFFFF"/>
              </w:rPr>
            </w:pPr>
            <w:r w:rsidRPr="00E8251D">
              <w:rPr>
                <w:rFonts w:ascii="Arial" w:hAnsi="Arial" w:cs="Arial"/>
                <w:color w:val="000000" w:themeColor="text1"/>
                <w:sz w:val="22"/>
                <w:szCs w:val="22"/>
                <w:shd w:val="clear" w:color="auto" w:fill="FFFFFF"/>
              </w:rPr>
              <w:t>American Native</w:t>
            </w:r>
          </w:p>
        </w:tc>
        <w:tc>
          <w:tcPr>
            <w:tcW w:w="805" w:type="pct"/>
          </w:tcPr>
          <w:p w14:paraId="4D60963F"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w:t>
            </w:r>
            <w:r>
              <w:rPr>
                <w:rFonts w:ascii="Arial" w:hAnsi="Arial" w:cs="Arial"/>
                <w:color w:val="000000" w:themeColor="text1"/>
                <w:sz w:val="22"/>
                <w:szCs w:val="22"/>
              </w:rPr>
              <w:t>1.77</w:t>
            </w:r>
            <w:r w:rsidRPr="00E8251D">
              <w:rPr>
                <w:rFonts w:ascii="Arial" w:hAnsi="Arial" w:cs="Arial"/>
                <w:color w:val="000000" w:themeColor="text1"/>
                <w:sz w:val="22"/>
                <w:szCs w:val="22"/>
              </w:rPr>
              <w:t xml:space="preserve"> (-</w:t>
            </w:r>
            <w:r>
              <w:rPr>
                <w:rFonts w:ascii="Arial" w:hAnsi="Arial" w:cs="Arial"/>
                <w:color w:val="000000" w:themeColor="text1"/>
                <w:sz w:val="22"/>
                <w:szCs w:val="22"/>
              </w:rPr>
              <w:t>3.16</w:t>
            </w:r>
            <w:r w:rsidRPr="00E8251D">
              <w:rPr>
                <w:rFonts w:ascii="Arial" w:hAnsi="Arial" w:cs="Arial"/>
                <w:color w:val="000000" w:themeColor="text1"/>
                <w:sz w:val="22"/>
                <w:szCs w:val="22"/>
              </w:rPr>
              <w:t>, -0.</w:t>
            </w:r>
            <w:r>
              <w:rPr>
                <w:rFonts w:ascii="Arial" w:hAnsi="Arial" w:cs="Arial"/>
                <w:color w:val="000000" w:themeColor="text1"/>
                <w:sz w:val="22"/>
                <w:szCs w:val="22"/>
              </w:rPr>
              <w:t>37</w:t>
            </w:r>
            <w:r w:rsidRPr="00E8251D">
              <w:rPr>
                <w:rFonts w:ascii="Arial" w:hAnsi="Arial" w:cs="Arial"/>
                <w:color w:val="000000" w:themeColor="text1"/>
                <w:sz w:val="22"/>
                <w:szCs w:val="22"/>
              </w:rPr>
              <w:t>)</w:t>
            </w:r>
          </w:p>
        </w:tc>
        <w:tc>
          <w:tcPr>
            <w:tcW w:w="772" w:type="pct"/>
            <w:noWrap/>
          </w:tcPr>
          <w:p w14:paraId="0D70D685"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1.70 (-0.83, 4.24)</w:t>
            </w:r>
          </w:p>
        </w:tc>
        <w:tc>
          <w:tcPr>
            <w:tcW w:w="869" w:type="pct"/>
            <w:noWrap/>
          </w:tcPr>
          <w:p w14:paraId="3CE25873"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0.23 (-2.16, 2.63)</w:t>
            </w:r>
          </w:p>
        </w:tc>
        <w:tc>
          <w:tcPr>
            <w:tcW w:w="843" w:type="pct"/>
          </w:tcPr>
          <w:p w14:paraId="52680D17"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-1.57 (-4.33, 1.19)</w:t>
            </w:r>
          </w:p>
        </w:tc>
        <w:tc>
          <w:tcPr>
            <w:tcW w:w="810" w:type="pct"/>
            <w:noWrap/>
          </w:tcPr>
          <w:p w14:paraId="7CCB18F9"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1.61 (-1.05, 4.28)</w:t>
            </w:r>
          </w:p>
        </w:tc>
      </w:tr>
      <w:tr w:rsidR="003E5AE2" w:rsidRPr="00E8251D" w14:paraId="2873B3CF" w14:textId="77777777" w:rsidTr="0011417E">
        <w:trPr>
          <w:trHeight w:val="254"/>
        </w:trPr>
        <w:tc>
          <w:tcPr>
            <w:tcW w:w="901" w:type="pct"/>
            <w:vAlign w:val="center"/>
          </w:tcPr>
          <w:p w14:paraId="46FCBE6B" w14:textId="77777777" w:rsidR="003E5AE2" w:rsidRPr="00E8251D" w:rsidRDefault="003E5AE2" w:rsidP="0011417E">
            <w:pPr>
              <w:ind w:left="288"/>
              <w:rPr>
                <w:rFonts w:ascii="Arial" w:hAnsi="Arial" w:cs="Arial"/>
                <w:color w:val="000000" w:themeColor="text1"/>
                <w:sz w:val="22"/>
                <w:szCs w:val="22"/>
                <w:shd w:val="clear" w:color="auto" w:fill="FFFFFF"/>
              </w:rPr>
            </w:pPr>
            <w:r w:rsidRPr="00E8251D">
              <w:rPr>
                <w:rFonts w:ascii="Arial" w:hAnsi="Arial" w:cs="Arial"/>
                <w:color w:val="000000" w:themeColor="text1"/>
                <w:sz w:val="22"/>
                <w:szCs w:val="22"/>
                <w:shd w:val="clear" w:color="auto" w:fill="FFFFFF"/>
              </w:rPr>
              <w:t>Asian</w:t>
            </w:r>
          </w:p>
        </w:tc>
        <w:tc>
          <w:tcPr>
            <w:tcW w:w="805" w:type="pct"/>
          </w:tcPr>
          <w:p w14:paraId="6921DAD9"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w:t>
            </w:r>
            <w:r>
              <w:rPr>
                <w:rFonts w:ascii="Arial" w:hAnsi="Arial" w:cs="Arial"/>
                <w:color w:val="000000" w:themeColor="text1"/>
                <w:sz w:val="22"/>
                <w:szCs w:val="22"/>
              </w:rPr>
              <w:t>1.44</w:t>
            </w:r>
            <w:r w:rsidRPr="00E8251D">
              <w:rPr>
                <w:rFonts w:ascii="Arial" w:hAnsi="Arial" w:cs="Arial"/>
                <w:color w:val="000000" w:themeColor="text1"/>
                <w:sz w:val="22"/>
                <w:szCs w:val="22"/>
              </w:rPr>
              <w:t xml:space="preserve"> (-</w:t>
            </w:r>
            <w:r>
              <w:rPr>
                <w:rFonts w:ascii="Arial" w:hAnsi="Arial" w:cs="Arial"/>
                <w:color w:val="000000" w:themeColor="text1"/>
                <w:sz w:val="22"/>
                <w:szCs w:val="22"/>
              </w:rPr>
              <w:t>2.23</w:t>
            </w:r>
            <w:r w:rsidRPr="00E8251D">
              <w:rPr>
                <w:rFonts w:ascii="Arial" w:hAnsi="Arial" w:cs="Arial"/>
                <w:color w:val="000000" w:themeColor="text1"/>
                <w:sz w:val="22"/>
                <w:szCs w:val="22"/>
              </w:rPr>
              <w:t>, -0.</w:t>
            </w:r>
            <w:r>
              <w:rPr>
                <w:rFonts w:ascii="Arial" w:hAnsi="Arial" w:cs="Arial"/>
                <w:color w:val="000000" w:themeColor="text1"/>
                <w:sz w:val="22"/>
                <w:szCs w:val="22"/>
              </w:rPr>
              <w:t>6</w:t>
            </w:r>
            <w:r w:rsidRPr="00E8251D">
              <w:rPr>
                <w:rFonts w:ascii="Arial" w:hAnsi="Arial" w:cs="Arial"/>
                <w:color w:val="000000" w:themeColor="text1"/>
                <w:sz w:val="22"/>
                <w:szCs w:val="22"/>
              </w:rPr>
              <w:t>4)</w:t>
            </w:r>
          </w:p>
        </w:tc>
        <w:tc>
          <w:tcPr>
            <w:tcW w:w="772" w:type="pct"/>
            <w:noWrap/>
          </w:tcPr>
          <w:p w14:paraId="52D597B7"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0.89 (-0.55, 2.33)</w:t>
            </w:r>
          </w:p>
        </w:tc>
        <w:tc>
          <w:tcPr>
            <w:tcW w:w="869" w:type="pct"/>
            <w:noWrap/>
          </w:tcPr>
          <w:p w14:paraId="672A1BFF"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-0.33 (-1.69, 1.03)</w:t>
            </w:r>
          </w:p>
        </w:tc>
        <w:tc>
          <w:tcPr>
            <w:tcW w:w="843" w:type="pct"/>
          </w:tcPr>
          <w:p w14:paraId="558101A4"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0.35 (-1.12, 1.81)</w:t>
            </w:r>
          </w:p>
        </w:tc>
        <w:tc>
          <w:tcPr>
            <w:tcW w:w="810" w:type="pct"/>
            <w:noWrap/>
          </w:tcPr>
          <w:p w14:paraId="5128E205"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0.49 (-0.97, 1.96)</w:t>
            </w:r>
          </w:p>
        </w:tc>
      </w:tr>
      <w:tr w:rsidR="003E5AE2" w:rsidRPr="00E8251D" w14:paraId="152BC730" w14:textId="77777777" w:rsidTr="0011417E">
        <w:trPr>
          <w:trHeight w:val="254"/>
        </w:trPr>
        <w:tc>
          <w:tcPr>
            <w:tcW w:w="901" w:type="pct"/>
            <w:vAlign w:val="center"/>
          </w:tcPr>
          <w:p w14:paraId="79C5C571" w14:textId="77777777" w:rsidR="003E5AE2" w:rsidRPr="00E8251D" w:rsidRDefault="003E5AE2" w:rsidP="0011417E">
            <w:pPr>
              <w:ind w:left="288"/>
              <w:rPr>
                <w:rFonts w:ascii="Arial" w:hAnsi="Arial" w:cs="Arial"/>
                <w:color w:val="000000" w:themeColor="text1"/>
                <w:sz w:val="22"/>
                <w:szCs w:val="22"/>
                <w:shd w:val="clear" w:color="auto" w:fill="FFFFFF"/>
              </w:rPr>
            </w:pPr>
            <w:r w:rsidRPr="00E8251D">
              <w:rPr>
                <w:rFonts w:ascii="Arial" w:hAnsi="Arial" w:cs="Arial"/>
                <w:color w:val="000000" w:themeColor="text1"/>
                <w:sz w:val="22"/>
                <w:szCs w:val="22"/>
                <w:shd w:val="clear" w:color="auto" w:fill="FFFFFF"/>
              </w:rPr>
              <w:t>Black</w:t>
            </w:r>
          </w:p>
        </w:tc>
        <w:tc>
          <w:tcPr>
            <w:tcW w:w="805" w:type="pct"/>
          </w:tcPr>
          <w:p w14:paraId="33347790" w14:textId="77777777" w:rsidR="003E5AE2" w:rsidRPr="00E8251D" w:rsidRDefault="003E5AE2" w:rsidP="0011417E">
            <w:pPr>
              <w:jc w:val="center"/>
              <w:rPr>
                <w:rFonts w:ascii="Arial" w:hAnsi="Arial" w:cs="Arial"/>
                <w:color w:val="000000" w:themeColor="text1"/>
                <w:sz w:val="22"/>
                <w:szCs w:val="22"/>
              </w:rPr>
            </w:pPr>
            <w:r>
              <w:rPr>
                <w:rFonts w:ascii="Arial" w:hAnsi="Arial" w:cs="Arial"/>
                <w:color w:val="000000" w:themeColor="text1"/>
                <w:sz w:val="22"/>
                <w:szCs w:val="22"/>
              </w:rPr>
              <w:t>-4.05</w:t>
            </w:r>
            <w:r w:rsidRPr="00E8251D">
              <w:rPr>
                <w:rFonts w:ascii="Arial" w:hAnsi="Arial" w:cs="Arial"/>
                <w:color w:val="000000" w:themeColor="text1"/>
                <w:sz w:val="22"/>
                <w:szCs w:val="22"/>
              </w:rPr>
              <w:t xml:space="preserve"> (</w:t>
            </w:r>
            <w:r>
              <w:rPr>
                <w:rFonts w:ascii="Arial" w:hAnsi="Arial" w:cs="Arial"/>
                <w:color w:val="000000" w:themeColor="text1"/>
                <w:sz w:val="22"/>
                <w:szCs w:val="22"/>
              </w:rPr>
              <w:t>-4.62</w:t>
            </w:r>
            <w:r w:rsidRPr="00E8251D">
              <w:rPr>
                <w:rFonts w:ascii="Arial" w:hAnsi="Arial" w:cs="Arial"/>
                <w:color w:val="000000" w:themeColor="text1"/>
                <w:sz w:val="22"/>
                <w:szCs w:val="22"/>
              </w:rPr>
              <w:t xml:space="preserve">, </w:t>
            </w:r>
            <w:r>
              <w:rPr>
                <w:rFonts w:ascii="Arial" w:hAnsi="Arial" w:cs="Arial"/>
                <w:color w:val="000000" w:themeColor="text1"/>
                <w:sz w:val="22"/>
                <w:szCs w:val="22"/>
              </w:rPr>
              <w:t>-3.48</w:t>
            </w:r>
            <w:r w:rsidRPr="00E8251D">
              <w:rPr>
                <w:rFonts w:ascii="Arial" w:hAnsi="Arial" w:cs="Arial"/>
                <w:color w:val="000000" w:themeColor="text1"/>
                <w:sz w:val="22"/>
                <w:szCs w:val="22"/>
              </w:rPr>
              <w:t>)</w:t>
            </w:r>
          </w:p>
        </w:tc>
        <w:tc>
          <w:tcPr>
            <w:tcW w:w="772" w:type="pct"/>
            <w:noWrap/>
          </w:tcPr>
          <w:p w14:paraId="7EDB9E5C"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2.56 (1.5</w:t>
            </w:r>
            <w:r>
              <w:rPr>
                <w:rFonts w:ascii="Arial" w:hAnsi="Arial" w:cs="Arial"/>
                <w:color w:val="000000" w:themeColor="text1"/>
                <w:sz w:val="22"/>
                <w:szCs w:val="22"/>
              </w:rPr>
              <w:t>3</w:t>
            </w:r>
            <w:r w:rsidRPr="00E8251D">
              <w:rPr>
                <w:rFonts w:ascii="Arial" w:hAnsi="Arial" w:cs="Arial"/>
                <w:color w:val="000000" w:themeColor="text1"/>
                <w:sz w:val="22"/>
                <w:szCs w:val="22"/>
              </w:rPr>
              <w:t>, 3.60)</w:t>
            </w:r>
          </w:p>
        </w:tc>
        <w:tc>
          <w:tcPr>
            <w:tcW w:w="869" w:type="pct"/>
            <w:noWrap/>
          </w:tcPr>
          <w:p w14:paraId="4A572176"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1.08 (0.10, 2.06)</w:t>
            </w:r>
          </w:p>
        </w:tc>
        <w:tc>
          <w:tcPr>
            <w:tcW w:w="843" w:type="pct"/>
          </w:tcPr>
          <w:p w14:paraId="0BAB9765"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-1.13 (-2.16, -0.10)</w:t>
            </w:r>
          </w:p>
        </w:tc>
        <w:tc>
          <w:tcPr>
            <w:tcW w:w="810" w:type="pct"/>
            <w:noWrap/>
          </w:tcPr>
          <w:p w14:paraId="50DBA3E7"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1.46 (0.45, 2.46)</w:t>
            </w:r>
          </w:p>
        </w:tc>
      </w:tr>
      <w:tr w:rsidR="003E5AE2" w:rsidRPr="00E8251D" w14:paraId="1A699641" w14:textId="77777777" w:rsidTr="0011417E">
        <w:trPr>
          <w:trHeight w:val="254"/>
        </w:trPr>
        <w:tc>
          <w:tcPr>
            <w:tcW w:w="901" w:type="pct"/>
            <w:vAlign w:val="center"/>
          </w:tcPr>
          <w:p w14:paraId="4B852FFD" w14:textId="77777777" w:rsidR="003E5AE2" w:rsidRPr="00E8251D" w:rsidRDefault="003E5AE2" w:rsidP="0011417E">
            <w:pPr>
              <w:ind w:left="288"/>
              <w:rPr>
                <w:rFonts w:ascii="Arial" w:hAnsi="Arial" w:cs="Arial"/>
                <w:color w:val="000000" w:themeColor="text1"/>
                <w:sz w:val="22"/>
                <w:szCs w:val="22"/>
                <w:shd w:val="clear" w:color="auto" w:fill="FFFFFF"/>
              </w:rPr>
            </w:pPr>
            <w:r w:rsidRPr="00E8251D">
              <w:rPr>
                <w:rFonts w:ascii="Arial" w:hAnsi="Arial" w:cs="Arial"/>
                <w:color w:val="000000" w:themeColor="text1"/>
                <w:sz w:val="22"/>
                <w:szCs w:val="22"/>
                <w:shd w:val="clear" w:color="auto" w:fill="FFFFFF"/>
              </w:rPr>
              <w:t>White</w:t>
            </w:r>
          </w:p>
        </w:tc>
        <w:tc>
          <w:tcPr>
            <w:tcW w:w="805" w:type="pct"/>
          </w:tcPr>
          <w:p w14:paraId="4F8ED58D"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w:t>
            </w:r>
            <w:r>
              <w:rPr>
                <w:rFonts w:ascii="Arial" w:hAnsi="Arial" w:cs="Arial"/>
                <w:color w:val="000000" w:themeColor="text1"/>
                <w:sz w:val="22"/>
                <w:szCs w:val="22"/>
              </w:rPr>
              <w:t>2.21</w:t>
            </w:r>
            <w:r w:rsidRPr="00E8251D">
              <w:rPr>
                <w:rFonts w:ascii="Arial" w:hAnsi="Arial" w:cs="Arial"/>
                <w:color w:val="000000" w:themeColor="text1"/>
                <w:sz w:val="22"/>
                <w:szCs w:val="22"/>
              </w:rPr>
              <w:t xml:space="preserve"> (-</w:t>
            </w:r>
            <w:r>
              <w:rPr>
                <w:rFonts w:ascii="Arial" w:hAnsi="Arial" w:cs="Arial"/>
                <w:color w:val="000000" w:themeColor="text1"/>
                <w:sz w:val="22"/>
                <w:szCs w:val="22"/>
              </w:rPr>
              <w:t>2.68</w:t>
            </w:r>
            <w:r w:rsidRPr="00E8251D">
              <w:rPr>
                <w:rFonts w:ascii="Arial" w:hAnsi="Arial" w:cs="Arial"/>
                <w:color w:val="000000" w:themeColor="text1"/>
                <w:sz w:val="22"/>
                <w:szCs w:val="22"/>
              </w:rPr>
              <w:t>, -</w:t>
            </w:r>
            <w:r>
              <w:rPr>
                <w:rFonts w:ascii="Arial" w:hAnsi="Arial" w:cs="Arial"/>
                <w:color w:val="000000" w:themeColor="text1"/>
                <w:sz w:val="22"/>
                <w:szCs w:val="22"/>
              </w:rPr>
              <w:t>1.75</w:t>
            </w:r>
            <w:r w:rsidRPr="00E8251D">
              <w:rPr>
                <w:rFonts w:ascii="Arial" w:hAnsi="Arial" w:cs="Arial"/>
                <w:color w:val="000000" w:themeColor="text1"/>
                <w:sz w:val="22"/>
                <w:szCs w:val="22"/>
              </w:rPr>
              <w:t>)</w:t>
            </w:r>
          </w:p>
        </w:tc>
        <w:tc>
          <w:tcPr>
            <w:tcW w:w="772" w:type="pct"/>
            <w:noWrap/>
          </w:tcPr>
          <w:p w14:paraId="35A3577E"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2.6</w:t>
            </w:r>
            <w:r>
              <w:rPr>
                <w:rFonts w:ascii="Arial" w:hAnsi="Arial" w:cs="Arial"/>
                <w:color w:val="000000" w:themeColor="text1"/>
                <w:sz w:val="22"/>
                <w:szCs w:val="22"/>
              </w:rPr>
              <w:t>4</w:t>
            </w:r>
            <w:r w:rsidRPr="00E8251D">
              <w:rPr>
                <w:rFonts w:ascii="Arial" w:hAnsi="Arial" w:cs="Arial"/>
                <w:color w:val="000000" w:themeColor="text1"/>
                <w:sz w:val="22"/>
                <w:szCs w:val="22"/>
              </w:rPr>
              <w:t xml:space="preserve"> (1.</w:t>
            </w:r>
            <w:r>
              <w:rPr>
                <w:rFonts w:ascii="Arial" w:hAnsi="Arial" w:cs="Arial"/>
                <w:color w:val="000000" w:themeColor="text1"/>
                <w:sz w:val="22"/>
                <w:szCs w:val="22"/>
              </w:rPr>
              <w:t>80</w:t>
            </w:r>
            <w:r w:rsidRPr="00E8251D">
              <w:rPr>
                <w:rFonts w:ascii="Arial" w:hAnsi="Arial" w:cs="Arial"/>
                <w:color w:val="000000" w:themeColor="text1"/>
                <w:sz w:val="22"/>
                <w:szCs w:val="22"/>
              </w:rPr>
              <w:t>, 3.48)</w:t>
            </w:r>
          </w:p>
        </w:tc>
        <w:tc>
          <w:tcPr>
            <w:tcW w:w="869" w:type="pct"/>
            <w:noWrap/>
          </w:tcPr>
          <w:p w14:paraId="56604B5F"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0.36 (-0.44, 1.15)</w:t>
            </w:r>
          </w:p>
        </w:tc>
        <w:tc>
          <w:tcPr>
            <w:tcW w:w="843" w:type="pct"/>
          </w:tcPr>
          <w:p w14:paraId="47386A1B"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-0.65 (-1.49, 0.18)</w:t>
            </w:r>
          </w:p>
        </w:tc>
        <w:tc>
          <w:tcPr>
            <w:tcW w:w="810" w:type="pct"/>
            <w:noWrap/>
          </w:tcPr>
          <w:p w14:paraId="5A4B6B8B"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0.66 (-0.15, 1.48)</w:t>
            </w:r>
          </w:p>
        </w:tc>
      </w:tr>
      <w:tr w:rsidR="003E5AE2" w:rsidRPr="00E8251D" w14:paraId="62DC0F7D" w14:textId="77777777" w:rsidTr="0011417E">
        <w:trPr>
          <w:trHeight w:val="254"/>
        </w:trPr>
        <w:tc>
          <w:tcPr>
            <w:tcW w:w="2478" w:type="pct"/>
            <w:gridSpan w:val="3"/>
            <w:vAlign w:val="center"/>
          </w:tcPr>
          <w:p w14:paraId="5FB5FE86" w14:textId="77777777" w:rsidR="003E5AE2" w:rsidRPr="00E8251D" w:rsidRDefault="003E5AE2" w:rsidP="0011417E">
            <w:pPr>
              <w:rPr>
                <w:rFonts w:ascii="Arial" w:hAnsi="Arial" w:cs="Arial"/>
                <w:color w:val="000000" w:themeColor="text1"/>
                <w:sz w:val="22"/>
                <w:szCs w:val="22"/>
              </w:rPr>
            </w:pPr>
            <w:r w:rsidRPr="00E8251D">
              <w:rPr>
                <w:rFonts w:ascii="Arial" w:hAnsi="Arial" w:cs="Arial"/>
                <w:b/>
                <w:bCs/>
                <w:color w:val="000000" w:themeColor="text1"/>
                <w:sz w:val="22"/>
                <w:szCs w:val="22"/>
              </w:rPr>
              <w:t xml:space="preserve">Injury: Index opioid Rx </w:t>
            </w:r>
            <w:proofErr w:type="spellStart"/>
            <w:r w:rsidRPr="00E8251D">
              <w:rPr>
                <w:rFonts w:ascii="Arial" w:hAnsi="Arial" w:cs="Arial"/>
                <w:b/>
                <w:bCs/>
                <w:color w:val="000000" w:themeColor="text1"/>
                <w:sz w:val="22"/>
                <w:szCs w:val="22"/>
              </w:rPr>
              <w:t>rate</w:t>
            </w:r>
            <w:r w:rsidRPr="00E8251D">
              <w:rPr>
                <w:rFonts w:ascii="Arial" w:hAnsi="Arial" w:cs="Arial"/>
                <w:b/>
                <w:bCs/>
                <w:color w:val="000000" w:themeColor="text1"/>
                <w:sz w:val="22"/>
                <w:szCs w:val="22"/>
                <w:vertAlign w:val="superscript"/>
              </w:rPr>
              <w:t>a</w:t>
            </w:r>
            <w:proofErr w:type="spellEnd"/>
          </w:p>
        </w:tc>
        <w:tc>
          <w:tcPr>
            <w:tcW w:w="869" w:type="pct"/>
            <w:noWrap/>
            <w:vAlign w:val="center"/>
          </w:tcPr>
          <w:p w14:paraId="63F23C62" w14:textId="77777777" w:rsidR="003E5AE2" w:rsidRPr="0094712A" w:rsidRDefault="003E5AE2" w:rsidP="0011417E">
            <w:pPr>
              <w:jc w:val="center"/>
              <w:rPr>
                <w:rFonts w:ascii="Arial" w:hAnsi="Arial" w:cs="Arial"/>
                <w:color w:val="000000" w:themeColor="text1"/>
                <w:sz w:val="22"/>
                <w:szCs w:val="22"/>
              </w:rPr>
            </w:pPr>
          </w:p>
        </w:tc>
        <w:tc>
          <w:tcPr>
            <w:tcW w:w="843" w:type="pct"/>
            <w:vAlign w:val="center"/>
          </w:tcPr>
          <w:p w14:paraId="5F037668" w14:textId="77777777" w:rsidR="003E5AE2" w:rsidRPr="0094712A" w:rsidRDefault="003E5AE2" w:rsidP="0011417E">
            <w:pPr>
              <w:jc w:val="center"/>
              <w:rPr>
                <w:rFonts w:ascii="Arial" w:hAnsi="Arial" w:cs="Arial"/>
                <w:color w:val="000000" w:themeColor="text1"/>
                <w:sz w:val="22"/>
                <w:szCs w:val="22"/>
              </w:rPr>
            </w:pPr>
          </w:p>
        </w:tc>
        <w:tc>
          <w:tcPr>
            <w:tcW w:w="810" w:type="pct"/>
            <w:noWrap/>
            <w:vAlign w:val="center"/>
          </w:tcPr>
          <w:p w14:paraId="22E268D2" w14:textId="77777777" w:rsidR="003E5AE2" w:rsidRPr="0094712A" w:rsidRDefault="003E5AE2" w:rsidP="0011417E">
            <w:pPr>
              <w:jc w:val="center"/>
              <w:rPr>
                <w:rFonts w:ascii="Arial" w:hAnsi="Arial" w:cs="Arial"/>
                <w:color w:val="000000" w:themeColor="text1"/>
                <w:sz w:val="22"/>
                <w:szCs w:val="22"/>
              </w:rPr>
            </w:pPr>
          </w:p>
        </w:tc>
      </w:tr>
      <w:tr w:rsidR="003E5AE2" w:rsidRPr="00E8251D" w14:paraId="0DBBA055" w14:textId="77777777" w:rsidTr="0011417E">
        <w:trPr>
          <w:trHeight w:val="254"/>
        </w:trPr>
        <w:tc>
          <w:tcPr>
            <w:tcW w:w="901" w:type="pct"/>
            <w:vAlign w:val="center"/>
          </w:tcPr>
          <w:p w14:paraId="2F4B0807" w14:textId="77777777" w:rsidR="003E5AE2" w:rsidRPr="00E8251D" w:rsidRDefault="003E5AE2" w:rsidP="0011417E">
            <w:pPr>
              <w:ind w:left="288"/>
              <w:rPr>
                <w:rFonts w:ascii="Arial" w:hAnsi="Arial" w:cs="Arial"/>
                <w:color w:val="000000" w:themeColor="text1"/>
                <w:sz w:val="22"/>
                <w:szCs w:val="22"/>
                <w:shd w:val="clear" w:color="auto" w:fill="FFFFFF"/>
              </w:rPr>
            </w:pPr>
            <w:r w:rsidRPr="00E8251D">
              <w:rPr>
                <w:rFonts w:ascii="Arial" w:hAnsi="Arial" w:cs="Arial"/>
                <w:color w:val="000000" w:themeColor="text1"/>
                <w:sz w:val="22"/>
                <w:szCs w:val="22"/>
                <w:shd w:val="clear" w:color="auto" w:fill="FFFFFF"/>
              </w:rPr>
              <w:t>American Native</w:t>
            </w:r>
          </w:p>
        </w:tc>
        <w:tc>
          <w:tcPr>
            <w:tcW w:w="805" w:type="pct"/>
          </w:tcPr>
          <w:p w14:paraId="6C7FB14F"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w:t>
            </w:r>
            <w:r>
              <w:rPr>
                <w:rFonts w:ascii="Arial" w:hAnsi="Arial" w:cs="Arial"/>
                <w:color w:val="000000" w:themeColor="text1"/>
                <w:sz w:val="22"/>
                <w:szCs w:val="22"/>
              </w:rPr>
              <w:t>3.13</w:t>
            </w:r>
            <w:r w:rsidRPr="00E8251D">
              <w:rPr>
                <w:rFonts w:ascii="Arial" w:hAnsi="Arial" w:cs="Arial"/>
                <w:color w:val="000000" w:themeColor="text1"/>
                <w:sz w:val="22"/>
                <w:szCs w:val="22"/>
              </w:rPr>
              <w:t xml:space="preserve"> (-</w:t>
            </w:r>
            <w:r>
              <w:rPr>
                <w:rFonts w:ascii="Arial" w:hAnsi="Arial" w:cs="Arial"/>
                <w:color w:val="000000" w:themeColor="text1"/>
                <w:sz w:val="22"/>
                <w:szCs w:val="22"/>
              </w:rPr>
              <w:t>5.38</w:t>
            </w:r>
            <w:r w:rsidRPr="00E8251D">
              <w:rPr>
                <w:rFonts w:ascii="Arial" w:hAnsi="Arial" w:cs="Arial"/>
                <w:color w:val="000000" w:themeColor="text1"/>
                <w:sz w:val="22"/>
                <w:szCs w:val="22"/>
              </w:rPr>
              <w:t>, -0.</w:t>
            </w:r>
            <w:r>
              <w:rPr>
                <w:rFonts w:ascii="Arial" w:hAnsi="Arial" w:cs="Arial"/>
                <w:color w:val="000000" w:themeColor="text1"/>
                <w:sz w:val="22"/>
                <w:szCs w:val="22"/>
              </w:rPr>
              <w:t>88</w:t>
            </w:r>
            <w:r w:rsidRPr="00E8251D">
              <w:rPr>
                <w:rFonts w:ascii="Arial" w:hAnsi="Arial" w:cs="Arial"/>
                <w:color w:val="000000" w:themeColor="text1"/>
                <w:sz w:val="22"/>
                <w:szCs w:val="22"/>
              </w:rPr>
              <w:t>)</w:t>
            </w:r>
          </w:p>
        </w:tc>
        <w:tc>
          <w:tcPr>
            <w:tcW w:w="772" w:type="pct"/>
            <w:noWrap/>
          </w:tcPr>
          <w:p w14:paraId="79C20973"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3.20 (-0.89, 7.</w:t>
            </w:r>
            <w:r>
              <w:rPr>
                <w:rFonts w:ascii="Arial" w:hAnsi="Arial" w:cs="Arial"/>
                <w:color w:val="000000" w:themeColor="text1"/>
                <w:sz w:val="22"/>
                <w:szCs w:val="22"/>
              </w:rPr>
              <w:t>30</w:t>
            </w:r>
            <w:r w:rsidRPr="00E8251D">
              <w:rPr>
                <w:rFonts w:ascii="Arial" w:hAnsi="Arial" w:cs="Arial"/>
                <w:color w:val="000000" w:themeColor="text1"/>
                <w:sz w:val="22"/>
                <w:szCs w:val="22"/>
              </w:rPr>
              <w:t>)</w:t>
            </w:r>
          </w:p>
        </w:tc>
        <w:tc>
          <w:tcPr>
            <w:tcW w:w="869" w:type="pct"/>
            <w:noWrap/>
          </w:tcPr>
          <w:p w14:paraId="23F17465"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0.00 (-3.87, 3.87)</w:t>
            </w:r>
          </w:p>
        </w:tc>
        <w:tc>
          <w:tcPr>
            <w:tcW w:w="843" w:type="pct"/>
          </w:tcPr>
          <w:p w14:paraId="010B04A9"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-1.67 (-5.75, 2.40)</w:t>
            </w:r>
          </w:p>
        </w:tc>
        <w:tc>
          <w:tcPr>
            <w:tcW w:w="810" w:type="pct"/>
            <w:noWrap/>
          </w:tcPr>
          <w:p w14:paraId="1EBE8331"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2.90 (-1.05, 6.85)</w:t>
            </w:r>
          </w:p>
        </w:tc>
      </w:tr>
      <w:tr w:rsidR="003E5AE2" w:rsidRPr="00E8251D" w14:paraId="1B3630F1" w14:textId="77777777" w:rsidTr="0011417E">
        <w:trPr>
          <w:trHeight w:val="254"/>
        </w:trPr>
        <w:tc>
          <w:tcPr>
            <w:tcW w:w="901" w:type="pct"/>
            <w:vAlign w:val="center"/>
          </w:tcPr>
          <w:p w14:paraId="72029E53" w14:textId="77777777" w:rsidR="003E5AE2" w:rsidRPr="00E8251D" w:rsidRDefault="003E5AE2" w:rsidP="0011417E">
            <w:pPr>
              <w:ind w:left="288"/>
              <w:rPr>
                <w:rFonts w:ascii="Arial" w:hAnsi="Arial" w:cs="Arial"/>
                <w:color w:val="000000" w:themeColor="text1"/>
                <w:sz w:val="22"/>
                <w:szCs w:val="22"/>
                <w:shd w:val="clear" w:color="auto" w:fill="FFFFFF"/>
              </w:rPr>
            </w:pPr>
            <w:r w:rsidRPr="00E8251D">
              <w:rPr>
                <w:rFonts w:ascii="Arial" w:hAnsi="Arial" w:cs="Arial"/>
                <w:color w:val="000000" w:themeColor="text1"/>
                <w:sz w:val="22"/>
                <w:szCs w:val="22"/>
                <w:shd w:val="clear" w:color="auto" w:fill="FFFFFF"/>
              </w:rPr>
              <w:t>Asian</w:t>
            </w:r>
          </w:p>
        </w:tc>
        <w:tc>
          <w:tcPr>
            <w:tcW w:w="805" w:type="pct"/>
          </w:tcPr>
          <w:p w14:paraId="6980DC9C"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w:t>
            </w:r>
            <w:r>
              <w:rPr>
                <w:rFonts w:ascii="Arial" w:hAnsi="Arial" w:cs="Arial"/>
                <w:color w:val="000000" w:themeColor="text1"/>
                <w:sz w:val="22"/>
                <w:szCs w:val="22"/>
              </w:rPr>
              <w:t>1.87</w:t>
            </w:r>
            <w:r w:rsidRPr="00E8251D">
              <w:rPr>
                <w:rFonts w:ascii="Arial" w:hAnsi="Arial" w:cs="Arial"/>
                <w:color w:val="000000" w:themeColor="text1"/>
                <w:sz w:val="22"/>
                <w:szCs w:val="22"/>
              </w:rPr>
              <w:t xml:space="preserve"> (-</w:t>
            </w:r>
            <w:r>
              <w:rPr>
                <w:rFonts w:ascii="Arial" w:hAnsi="Arial" w:cs="Arial"/>
                <w:color w:val="000000" w:themeColor="text1"/>
                <w:sz w:val="22"/>
                <w:szCs w:val="22"/>
              </w:rPr>
              <w:t>2.93</w:t>
            </w:r>
            <w:r w:rsidRPr="00E8251D">
              <w:rPr>
                <w:rFonts w:ascii="Arial" w:hAnsi="Arial" w:cs="Arial"/>
                <w:color w:val="000000" w:themeColor="text1"/>
                <w:sz w:val="22"/>
                <w:szCs w:val="22"/>
              </w:rPr>
              <w:t>, -0.</w:t>
            </w:r>
            <w:r>
              <w:rPr>
                <w:rFonts w:ascii="Arial" w:hAnsi="Arial" w:cs="Arial"/>
                <w:color w:val="000000" w:themeColor="text1"/>
                <w:sz w:val="22"/>
                <w:szCs w:val="22"/>
              </w:rPr>
              <w:t>81</w:t>
            </w:r>
            <w:r w:rsidRPr="00E8251D">
              <w:rPr>
                <w:rFonts w:ascii="Arial" w:hAnsi="Arial" w:cs="Arial"/>
                <w:color w:val="000000" w:themeColor="text1"/>
                <w:sz w:val="22"/>
                <w:szCs w:val="22"/>
              </w:rPr>
              <w:t>)</w:t>
            </w:r>
          </w:p>
        </w:tc>
        <w:tc>
          <w:tcPr>
            <w:tcW w:w="772" w:type="pct"/>
            <w:noWrap/>
          </w:tcPr>
          <w:p w14:paraId="0F9C380C"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0.7</w:t>
            </w:r>
            <w:r>
              <w:rPr>
                <w:rFonts w:ascii="Arial" w:hAnsi="Arial" w:cs="Arial"/>
                <w:color w:val="000000" w:themeColor="text1"/>
                <w:sz w:val="22"/>
                <w:szCs w:val="22"/>
              </w:rPr>
              <w:t>0</w:t>
            </w:r>
            <w:r w:rsidRPr="00E8251D">
              <w:rPr>
                <w:rFonts w:ascii="Arial" w:hAnsi="Arial" w:cs="Arial"/>
                <w:color w:val="000000" w:themeColor="text1"/>
                <w:sz w:val="22"/>
                <w:szCs w:val="22"/>
              </w:rPr>
              <w:t xml:space="preserve"> (-1.2</w:t>
            </w:r>
            <w:r>
              <w:rPr>
                <w:rFonts w:ascii="Arial" w:hAnsi="Arial" w:cs="Arial"/>
                <w:color w:val="000000" w:themeColor="text1"/>
                <w:sz w:val="22"/>
                <w:szCs w:val="22"/>
              </w:rPr>
              <w:t>3</w:t>
            </w:r>
            <w:r w:rsidRPr="00E8251D">
              <w:rPr>
                <w:rFonts w:ascii="Arial" w:hAnsi="Arial" w:cs="Arial"/>
                <w:color w:val="000000" w:themeColor="text1"/>
                <w:sz w:val="22"/>
                <w:szCs w:val="22"/>
              </w:rPr>
              <w:t>, 2.62)</w:t>
            </w:r>
          </w:p>
        </w:tc>
        <w:tc>
          <w:tcPr>
            <w:tcW w:w="869" w:type="pct"/>
            <w:noWrap/>
          </w:tcPr>
          <w:p w14:paraId="771EE2FF"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-0.14 (-1.96, 1.68)</w:t>
            </w:r>
          </w:p>
        </w:tc>
        <w:tc>
          <w:tcPr>
            <w:tcW w:w="843" w:type="pct"/>
          </w:tcPr>
          <w:p w14:paraId="76F74B24"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0.40 (-1.56, 2.36)</w:t>
            </w:r>
          </w:p>
        </w:tc>
        <w:tc>
          <w:tcPr>
            <w:tcW w:w="810" w:type="pct"/>
            <w:noWrap/>
          </w:tcPr>
          <w:p w14:paraId="080AA3AF"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0.39 (-1.57, 2.35)</w:t>
            </w:r>
          </w:p>
        </w:tc>
      </w:tr>
      <w:tr w:rsidR="003E5AE2" w:rsidRPr="00E8251D" w14:paraId="5489543F" w14:textId="77777777" w:rsidTr="0011417E">
        <w:trPr>
          <w:trHeight w:val="254"/>
        </w:trPr>
        <w:tc>
          <w:tcPr>
            <w:tcW w:w="901" w:type="pct"/>
            <w:vAlign w:val="center"/>
          </w:tcPr>
          <w:p w14:paraId="09004227" w14:textId="77777777" w:rsidR="003E5AE2" w:rsidRPr="00E8251D" w:rsidRDefault="003E5AE2" w:rsidP="0011417E">
            <w:pPr>
              <w:ind w:left="288"/>
              <w:rPr>
                <w:rFonts w:ascii="Arial" w:hAnsi="Arial" w:cs="Arial"/>
                <w:color w:val="000000" w:themeColor="text1"/>
                <w:sz w:val="22"/>
                <w:szCs w:val="22"/>
                <w:shd w:val="clear" w:color="auto" w:fill="FFFFFF"/>
              </w:rPr>
            </w:pPr>
            <w:r w:rsidRPr="00E8251D">
              <w:rPr>
                <w:rFonts w:ascii="Arial" w:hAnsi="Arial" w:cs="Arial"/>
                <w:color w:val="000000" w:themeColor="text1"/>
                <w:sz w:val="22"/>
                <w:szCs w:val="22"/>
                <w:shd w:val="clear" w:color="auto" w:fill="FFFFFF"/>
              </w:rPr>
              <w:t>Black</w:t>
            </w:r>
          </w:p>
        </w:tc>
        <w:tc>
          <w:tcPr>
            <w:tcW w:w="805" w:type="pct"/>
          </w:tcPr>
          <w:p w14:paraId="69F69946" w14:textId="77777777" w:rsidR="003E5AE2" w:rsidRPr="00E8251D" w:rsidRDefault="003E5AE2" w:rsidP="0011417E">
            <w:pPr>
              <w:jc w:val="center"/>
              <w:rPr>
                <w:rFonts w:ascii="Arial" w:hAnsi="Arial" w:cs="Arial"/>
                <w:color w:val="000000" w:themeColor="text1"/>
                <w:sz w:val="22"/>
                <w:szCs w:val="22"/>
              </w:rPr>
            </w:pPr>
            <w:r>
              <w:rPr>
                <w:rFonts w:ascii="Arial" w:hAnsi="Arial" w:cs="Arial"/>
                <w:color w:val="000000" w:themeColor="text1"/>
                <w:sz w:val="22"/>
                <w:szCs w:val="22"/>
              </w:rPr>
              <w:t>-8.80</w:t>
            </w:r>
            <w:r w:rsidRPr="00E8251D">
              <w:rPr>
                <w:rFonts w:ascii="Arial" w:hAnsi="Arial" w:cs="Arial"/>
                <w:color w:val="000000" w:themeColor="text1"/>
                <w:sz w:val="22"/>
                <w:szCs w:val="22"/>
              </w:rPr>
              <w:t xml:space="preserve"> (-</w:t>
            </w:r>
            <w:r>
              <w:rPr>
                <w:rFonts w:ascii="Arial" w:hAnsi="Arial" w:cs="Arial"/>
                <w:color w:val="000000" w:themeColor="text1"/>
                <w:sz w:val="22"/>
                <w:szCs w:val="22"/>
              </w:rPr>
              <w:t>9.77</w:t>
            </w:r>
            <w:r w:rsidRPr="00E8251D">
              <w:rPr>
                <w:rFonts w:ascii="Arial" w:hAnsi="Arial" w:cs="Arial"/>
                <w:color w:val="000000" w:themeColor="text1"/>
                <w:sz w:val="22"/>
                <w:szCs w:val="22"/>
              </w:rPr>
              <w:t>, -</w:t>
            </w:r>
            <w:r>
              <w:rPr>
                <w:rFonts w:ascii="Arial" w:hAnsi="Arial" w:cs="Arial"/>
                <w:color w:val="000000" w:themeColor="text1"/>
                <w:sz w:val="22"/>
                <w:szCs w:val="22"/>
              </w:rPr>
              <w:t>7.83</w:t>
            </w:r>
            <w:r w:rsidRPr="00E8251D">
              <w:rPr>
                <w:rFonts w:ascii="Arial" w:hAnsi="Arial" w:cs="Arial"/>
                <w:color w:val="000000" w:themeColor="text1"/>
                <w:sz w:val="22"/>
                <w:szCs w:val="22"/>
              </w:rPr>
              <w:t>)</w:t>
            </w:r>
          </w:p>
        </w:tc>
        <w:tc>
          <w:tcPr>
            <w:tcW w:w="772" w:type="pct"/>
            <w:noWrap/>
          </w:tcPr>
          <w:p w14:paraId="3462FABB"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4.66 (2.88, 6.4</w:t>
            </w:r>
            <w:r>
              <w:rPr>
                <w:rFonts w:ascii="Arial" w:hAnsi="Arial" w:cs="Arial"/>
                <w:color w:val="000000" w:themeColor="text1"/>
                <w:sz w:val="22"/>
                <w:szCs w:val="22"/>
              </w:rPr>
              <w:t>3</w:t>
            </w:r>
            <w:r w:rsidRPr="00E8251D">
              <w:rPr>
                <w:rFonts w:ascii="Arial" w:hAnsi="Arial" w:cs="Arial"/>
                <w:color w:val="000000" w:themeColor="text1"/>
                <w:sz w:val="22"/>
                <w:szCs w:val="22"/>
              </w:rPr>
              <w:t>)</w:t>
            </w:r>
          </w:p>
        </w:tc>
        <w:tc>
          <w:tcPr>
            <w:tcW w:w="869" w:type="pct"/>
            <w:noWrap/>
          </w:tcPr>
          <w:p w14:paraId="5439ABC7"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4.67 (3.00, 6.35)</w:t>
            </w:r>
          </w:p>
        </w:tc>
        <w:tc>
          <w:tcPr>
            <w:tcW w:w="843" w:type="pct"/>
          </w:tcPr>
          <w:p w14:paraId="437FD4F3"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-1.10 (-2.87, 0.66)</w:t>
            </w:r>
          </w:p>
        </w:tc>
        <w:tc>
          <w:tcPr>
            <w:tcW w:w="810" w:type="pct"/>
            <w:noWrap/>
          </w:tcPr>
          <w:p w14:paraId="1A193816"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2.16 (0.45, 3.87)</w:t>
            </w:r>
          </w:p>
        </w:tc>
      </w:tr>
      <w:tr w:rsidR="003E5AE2" w:rsidRPr="00E8251D" w14:paraId="0390568F" w14:textId="77777777" w:rsidTr="0011417E">
        <w:trPr>
          <w:trHeight w:val="254"/>
        </w:trPr>
        <w:tc>
          <w:tcPr>
            <w:tcW w:w="901" w:type="pct"/>
            <w:vAlign w:val="center"/>
          </w:tcPr>
          <w:p w14:paraId="3371CDD4" w14:textId="77777777" w:rsidR="003E5AE2" w:rsidRPr="00E8251D" w:rsidRDefault="003E5AE2" w:rsidP="0011417E">
            <w:pPr>
              <w:ind w:left="288"/>
              <w:rPr>
                <w:rFonts w:ascii="Arial" w:hAnsi="Arial" w:cs="Arial"/>
                <w:color w:val="000000" w:themeColor="text1"/>
                <w:sz w:val="22"/>
                <w:szCs w:val="22"/>
                <w:shd w:val="clear" w:color="auto" w:fill="FFFFFF"/>
              </w:rPr>
            </w:pPr>
            <w:r w:rsidRPr="00E8251D">
              <w:rPr>
                <w:rFonts w:ascii="Arial" w:hAnsi="Arial" w:cs="Arial"/>
                <w:color w:val="000000" w:themeColor="text1"/>
                <w:sz w:val="22"/>
                <w:szCs w:val="22"/>
                <w:shd w:val="clear" w:color="auto" w:fill="FFFFFF"/>
              </w:rPr>
              <w:t>White</w:t>
            </w:r>
          </w:p>
        </w:tc>
        <w:tc>
          <w:tcPr>
            <w:tcW w:w="805" w:type="pct"/>
          </w:tcPr>
          <w:p w14:paraId="2FF208CC" w14:textId="77777777" w:rsidR="003E5AE2" w:rsidRPr="00E8251D" w:rsidRDefault="003E5AE2" w:rsidP="0011417E">
            <w:pPr>
              <w:jc w:val="center"/>
              <w:rPr>
                <w:rFonts w:ascii="Arial" w:hAnsi="Arial" w:cs="Arial"/>
                <w:color w:val="000000" w:themeColor="text1"/>
                <w:sz w:val="22"/>
                <w:szCs w:val="22"/>
              </w:rPr>
            </w:pPr>
            <w:r>
              <w:rPr>
                <w:rFonts w:ascii="Arial" w:hAnsi="Arial" w:cs="Arial"/>
                <w:color w:val="000000" w:themeColor="text1"/>
                <w:sz w:val="22"/>
                <w:szCs w:val="22"/>
              </w:rPr>
              <w:t>-3.91</w:t>
            </w:r>
            <w:r w:rsidRPr="00E8251D">
              <w:rPr>
                <w:rFonts w:ascii="Arial" w:hAnsi="Arial" w:cs="Arial"/>
                <w:color w:val="000000" w:themeColor="text1"/>
                <w:sz w:val="22"/>
                <w:szCs w:val="22"/>
              </w:rPr>
              <w:t xml:space="preserve"> (-</w:t>
            </w:r>
            <w:r>
              <w:rPr>
                <w:rFonts w:ascii="Arial" w:hAnsi="Arial" w:cs="Arial"/>
                <w:color w:val="000000" w:themeColor="text1"/>
                <w:sz w:val="22"/>
                <w:szCs w:val="22"/>
              </w:rPr>
              <w:t>4.57</w:t>
            </w:r>
            <w:r w:rsidRPr="00E8251D">
              <w:rPr>
                <w:rFonts w:ascii="Arial" w:hAnsi="Arial" w:cs="Arial"/>
                <w:color w:val="000000" w:themeColor="text1"/>
                <w:sz w:val="22"/>
                <w:szCs w:val="22"/>
              </w:rPr>
              <w:t>, -</w:t>
            </w:r>
            <w:r>
              <w:rPr>
                <w:rFonts w:ascii="Arial" w:hAnsi="Arial" w:cs="Arial"/>
                <w:color w:val="000000" w:themeColor="text1"/>
                <w:sz w:val="22"/>
                <w:szCs w:val="22"/>
              </w:rPr>
              <w:t>3.26</w:t>
            </w:r>
            <w:r w:rsidRPr="00E8251D">
              <w:rPr>
                <w:rFonts w:ascii="Arial" w:hAnsi="Arial" w:cs="Arial"/>
                <w:color w:val="000000" w:themeColor="text1"/>
                <w:sz w:val="22"/>
                <w:szCs w:val="22"/>
              </w:rPr>
              <w:t>)</w:t>
            </w:r>
          </w:p>
        </w:tc>
        <w:tc>
          <w:tcPr>
            <w:tcW w:w="772" w:type="pct"/>
            <w:noWrap/>
          </w:tcPr>
          <w:p w14:paraId="73483839"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3.6</w:t>
            </w:r>
            <w:r>
              <w:rPr>
                <w:rFonts w:ascii="Arial" w:hAnsi="Arial" w:cs="Arial"/>
                <w:color w:val="000000" w:themeColor="text1"/>
                <w:sz w:val="22"/>
                <w:szCs w:val="22"/>
              </w:rPr>
              <w:t>3</w:t>
            </w:r>
            <w:r w:rsidRPr="00E8251D">
              <w:rPr>
                <w:rFonts w:ascii="Arial" w:hAnsi="Arial" w:cs="Arial"/>
                <w:color w:val="000000" w:themeColor="text1"/>
                <w:sz w:val="22"/>
                <w:szCs w:val="22"/>
              </w:rPr>
              <w:t xml:space="preserve"> (2.43, 4.82)</w:t>
            </w:r>
          </w:p>
        </w:tc>
        <w:tc>
          <w:tcPr>
            <w:tcW w:w="869" w:type="pct"/>
            <w:noWrap/>
          </w:tcPr>
          <w:p w14:paraId="34A1D2CD"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1.47 (0.34, 2.60)</w:t>
            </w:r>
          </w:p>
        </w:tc>
        <w:tc>
          <w:tcPr>
            <w:tcW w:w="843" w:type="pct"/>
          </w:tcPr>
          <w:p w14:paraId="3F20D21F"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-0.66 (-1.85, 0.53)</w:t>
            </w:r>
          </w:p>
        </w:tc>
        <w:tc>
          <w:tcPr>
            <w:tcW w:w="810" w:type="pct"/>
            <w:noWrap/>
          </w:tcPr>
          <w:p w14:paraId="6929CC52"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0.99 (-0.17, 2.14)</w:t>
            </w:r>
          </w:p>
        </w:tc>
      </w:tr>
      <w:tr w:rsidR="003E5AE2" w:rsidRPr="00E8251D" w14:paraId="434B126D" w14:textId="77777777" w:rsidTr="0011417E">
        <w:trPr>
          <w:trHeight w:val="254"/>
        </w:trPr>
        <w:tc>
          <w:tcPr>
            <w:tcW w:w="2478" w:type="pct"/>
            <w:gridSpan w:val="3"/>
            <w:vAlign w:val="center"/>
          </w:tcPr>
          <w:p w14:paraId="53556D96" w14:textId="77777777" w:rsidR="003E5AE2" w:rsidRPr="00E8251D" w:rsidRDefault="003E5AE2" w:rsidP="0011417E">
            <w:pPr>
              <w:rPr>
                <w:rFonts w:ascii="Arial" w:hAnsi="Arial" w:cs="Arial"/>
                <w:color w:val="000000" w:themeColor="text1"/>
                <w:sz w:val="22"/>
                <w:szCs w:val="22"/>
              </w:rPr>
            </w:pPr>
            <w:r w:rsidRPr="00E8251D">
              <w:rPr>
                <w:rFonts w:ascii="Arial" w:hAnsi="Arial" w:cs="Arial"/>
                <w:b/>
                <w:bCs/>
                <w:color w:val="000000" w:themeColor="text1"/>
                <w:sz w:val="22"/>
                <w:szCs w:val="22"/>
              </w:rPr>
              <w:t xml:space="preserve">Injury: Subsequent opioid Rx </w:t>
            </w:r>
            <w:proofErr w:type="spellStart"/>
            <w:r w:rsidRPr="00E8251D">
              <w:rPr>
                <w:rFonts w:ascii="Arial" w:hAnsi="Arial" w:cs="Arial"/>
                <w:b/>
                <w:bCs/>
                <w:color w:val="000000" w:themeColor="text1"/>
                <w:sz w:val="22"/>
                <w:szCs w:val="22"/>
              </w:rPr>
              <w:t>rate</w:t>
            </w:r>
            <w:r w:rsidRPr="00E8251D">
              <w:rPr>
                <w:rFonts w:ascii="Arial" w:hAnsi="Arial" w:cs="Arial"/>
                <w:b/>
                <w:bCs/>
                <w:color w:val="000000" w:themeColor="text1"/>
                <w:sz w:val="22"/>
                <w:szCs w:val="22"/>
                <w:vertAlign w:val="superscript"/>
              </w:rPr>
              <w:t>a</w:t>
            </w:r>
            <w:proofErr w:type="spellEnd"/>
          </w:p>
        </w:tc>
        <w:tc>
          <w:tcPr>
            <w:tcW w:w="869" w:type="pct"/>
            <w:noWrap/>
            <w:vAlign w:val="center"/>
          </w:tcPr>
          <w:p w14:paraId="0F59F1D5" w14:textId="77777777" w:rsidR="003E5AE2" w:rsidRPr="0094712A" w:rsidRDefault="003E5AE2" w:rsidP="0011417E">
            <w:pPr>
              <w:jc w:val="center"/>
              <w:rPr>
                <w:rFonts w:ascii="Arial" w:hAnsi="Arial" w:cs="Arial"/>
                <w:color w:val="000000" w:themeColor="text1"/>
                <w:sz w:val="22"/>
                <w:szCs w:val="22"/>
              </w:rPr>
            </w:pPr>
          </w:p>
        </w:tc>
        <w:tc>
          <w:tcPr>
            <w:tcW w:w="843" w:type="pct"/>
            <w:vAlign w:val="center"/>
          </w:tcPr>
          <w:p w14:paraId="089F1FCB" w14:textId="77777777" w:rsidR="003E5AE2" w:rsidRPr="0094712A" w:rsidRDefault="003E5AE2" w:rsidP="0011417E">
            <w:pPr>
              <w:jc w:val="center"/>
              <w:rPr>
                <w:rFonts w:ascii="Arial" w:hAnsi="Arial" w:cs="Arial"/>
                <w:color w:val="000000" w:themeColor="text1"/>
                <w:sz w:val="22"/>
                <w:szCs w:val="22"/>
              </w:rPr>
            </w:pPr>
          </w:p>
        </w:tc>
        <w:tc>
          <w:tcPr>
            <w:tcW w:w="810" w:type="pct"/>
            <w:noWrap/>
            <w:vAlign w:val="center"/>
          </w:tcPr>
          <w:p w14:paraId="5B93770D" w14:textId="77777777" w:rsidR="003E5AE2" w:rsidRPr="0094712A" w:rsidRDefault="003E5AE2" w:rsidP="0011417E">
            <w:pPr>
              <w:jc w:val="center"/>
              <w:rPr>
                <w:rFonts w:ascii="Arial" w:hAnsi="Arial" w:cs="Arial"/>
                <w:color w:val="000000" w:themeColor="text1"/>
                <w:sz w:val="22"/>
                <w:szCs w:val="22"/>
              </w:rPr>
            </w:pPr>
          </w:p>
        </w:tc>
      </w:tr>
      <w:tr w:rsidR="003E5AE2" w:rsidRPr="00E8251D" w14:paraId="659A7E58" w14:textId="77777777" w:rsidTr="0011417E">
        <w:trPr>
          <w:trHeight w:val="254"/>
        </w:trPr>
        <w:tc>
          <w:tcPr>
            <w:tcW w:w="901" w:type="pct"/>
            <w:vAlign w:val="center"/>
          </w:tcPr>
          <w:p w14:paraId="320EBE3C" w14:textId="77777777" w:rsidR="003E5AE2" w:rsidRPr="00E8251D" w:rsidRDefault="003E5AE2" w:rsidP="0011417E">
            <w:pPr>
              <w:ind w:left="288"/>
              <w:rPr>
                <w:rFonts w:ascii="Arial" w:hAnsi="Arial" w:cs="Arial"/>
                <w:color w:val="000000" w:themeColor="text1"/>
                <w:sz w:val="22"/>
                <w:szCs w:val="22"/>
                <w:shd w:val="clear" w:color="auto" w:fill="FFFFFF"/>
              </w:rPr>
            </w:pPr>
            <w:r w:rsidRPr="00E8251D">
              <w:rPr>
                <w:rFonts w:ascii="Arial" w:hAnsi="Arial" w:cs="Arial"/>
                <w:color w:val="000000" w:themeColor="text1"/>
                <w:sz w:val="22"/>
                <w:szCs w:val="22"/>
                <w:shd w:val="clear" w:color="auto" w:fill="FFFFFF"/>
              </w:rPr>
              <w:t>American Native</w:t>
            </w:r>
          </w:p>
        </w:tc>
        <w:tc>
          <w:tcPr>
            <w:tcW w:w="805" w:type="pct"/>
          </w:tcPr>
          <w:p w14:paraId="7AA4C714"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0.</w:t>
            </w:r>
            <w:r>
              <w:rPr>
                <w:rFonts w:ascii="Arial" w:hAnsi="Arial" w:cs="Arial"/>
                <w:color w:val="000000" w:themeColor="text1"/>
                <w:sz w:val="22"/>
                <w:szCs w:val="22"/>
              </w:rPr>
              <w:t>11</w:t>
            </w:r>
            <w:r w:rsidRPr="00E8251D">
              <w:rPr>
                <w:rFonts w:ascii="Arial" w:hAnsi="Arial" w:cs="Arial"/>
                <w:color w:val="000000" w:themeColor="text1"/>
                <w:sz w:val="22"/>
                <w:szCs w:val="22"/>
              </w:rPr>
              <w:t xml:space="preserve"> (</w:t>
            </w:r>
            <w:r>
              <w:rPr>
                <w:rFonts w:ascii="Arial" w:hAnsi="Arial" w:cs="Arial"/>
                <w:color w:val="000000" w:themeColor="text1"/>
                <w:sz w:val="22"/>
                <w:szCs w:val="22"/>
              </w:rPr>
              <w:t>-1.59</w:t>
            </w:r>
            <w:r w:rsidRPr="00E8251D">
              <w:rPr>
                <w:rFonts w:ascii="Arial" w:hAnsi="Arial" w:cs="Arial"/>
                <w:color w:val="000000" w:themeColor="text1"/>
                <w:sz w:val="22"/>
                <w:szCs w:val="22"/>
              </w:rPr>
              <w:t xml:space="preserve">, </w:t>
            </w:r>
            <w:r>
              <w:rPr>
                <w:rFonts w:ascii="Arial" w:hAnsi="Arial" w:cs="Arial"/>
                <w:color w:val="000000" w:themeColor="text1"/>
                <w:sz w:val="22"/>
                <w:szCs w:val="22"/>
              </w:rPr>
              <w:t>1.82</w:t>
            </w:r>
            <w:r w:rsidRPr="00E8251D">
              <w:rPr>
                <w:rFonts w:ascii="Arial" w:hAnsi="Arial" w:cs="Arial"/>
                <w:color w:val="000000" w:themeColor="text1"/>
                <w:sz w:val="22"/>
                <w:szCs w:val="22"/>
              </w:rPr>
              <w:t>)</w:t>
            </w:r>
          </w:p>
        </w:tc>
        <w:tc>
          <w:tcPr>
            <w:tcW w:w="772" w:type="pct"/>
            <w:noWrap/>
          </w:tcPr>
          <w:p w14:paraId="1E764ED1"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3.36 (0.26, 6.47)</w:t>
            </w:r>
          </w:p>
        </w:tc>
        <w:tc>
          <w:tcPr>
            <w:tcW w:w="869" w:type="pct"/>
            <w:noWrap/>
          </w:tcPr>
          <w:p w14:paraId="3BBA67D7"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-1.22 (-4.16, 1.71)</w:t>
            </w:r>
          </w:p>
        </w:tc>
        <w:tc>
          <w:tcPr>
            <w:tcW w:w="843" w:type="pct"/>
          </w:tcPr>
          <w:p w14:paraId="792E7A9E"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2.74 (-5.84, 0.35)</w:t>
            </w:r>
          </w:p>
        </w:tc>
        <w:tc>
          <w:tcPr>
            <w:tcW w:w="810" w:type="pct"/>
            <w:noWrap/>
          </w:tcPr>
          <w:p w14:paraId="07230599"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-0.70 (-3.70, 2.30)</w:t>
            </w:r>
          </w:p>
        </w:tc>
      </w:tr>
      <w:tr w:rsidR="003E5AE2" w:rsidRPr="00E8251D" w14:paraId="63F9C88B" w14:textId="77777777" w:rsidTr="0011417E">
        <w:trPr>
          <w:trHeight w:val="254"/>
        </w:trPr>
        <w:tc>
          <w:tcPr>
            <w:tcW w:w="901" w:type="pct"/>
            <w:vAlign w:val="center"/>
          </w:tcPr>
          <w:p w14:paraId="72EDE5E9" w14:textId="77777777" w:rsidR="003E5AE2" w:rsidRPr="00E8251D" w:rsidRDefault="003E5AE2" w:rsidP="0011417E">
            <w:pPr>
              <w:ind w:left="288"/>
              <w:rPr>
                <w:rFonts w:ascii="Arial" w:hAnsi="Arial" w:cs="Arial"/>
                <w:color w:val="000000" w:themeColor="text1"/>
                <w:sz w:val="22"/>
                <w:szCs w:val="22"/>
                <w:shd w:val="clear" w:color="auto" w:fill="FFFFFF"/>
              </w:rPr>
            </w:pPr>
            <w:r w:rsidRPr="00E8251D">
              <w:rPr>
                <w:rFonts w:ascii="Arial" w:hAnsi="Arial" w:cs="Arial"/>
                <w:color w:val="000000" w:themeColor="text1"/>
                <w:sz w:val="22"/>
                <w:szCs w:val="22"/>
                <w:shd w:val="clear" w:color="auto" w:fill="FFFFFF"/>
              </w:rPr>
              <w:t>Asian</w:t>
            </w:r>
          </w:p>
        </w:tc>
        <w:tc>
          <w:tcPr>
            <w:tcW w:w="805" w:type="pct"/>
          </w:tcPr>
          <w:p w14:paraId="2B9A03B9"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w:t>
            </w:r>
            <w:r>
              <w:rPr>
                <w:rFonts w:ascii="Arial" w:hAnsi="Arial" w:cs="Arial"/>
                <w:color w:val="000000" w:themeColor="text1"/>
                <w:sz w:val="22"/>
                <w:szCs w:val="22"/>
              </w:rPr>
              <w:t>0.26</w:t>
            </w:r>
            <w:r w:rsidRPr="00E8251D">
              <w:rPr>
                <w:rFonts w:ascii="Arial" w:hAnsi="Arial" w:cs="Arial"/>
                <w:color w:val="000000" w:themeColor="text1"/>
                <w:sz w:val="22"/>
                <w:szCs w:val="22"/>
              </w:rPr>
              <w:t xml:space="preserve"> </w:t>
            </w:r>
            <w:r>
              <w:rPr>
                <w:rFonts w:ascii="Arial" w:hAnsi="Arial" w:cs="Arial"/>
                <w:color w:val="000000" w:themeColor="text1"/>
                <w:sz w:val="22"/>
                <w:szCs w:val="22"/>
              </w:rPr>
              <w:t>(</w:t>
            </w:r>
            <w:r w:rsidRPr="00E8251D">
              <w:rPr>
                <w:rFonts w:ascii="Arial" w:hAnsi="Arial" w:cs="Arial"/>
                <w:color w:val="000000" w:themeColor="text1"/>
                <w:sz w:val="22"/>
                <w:szCs w:val="22"/>
              </w:rPr>
              <w:t>-0.</w:t>
            </w:r>
            <w:r>
              <w:rPr>
                <w:rFonts w:ascii="Arial" w:hAnsi="Arial" w:cs="Arial"/>
                <w:color w:val="000000" w:themeColor="text1"/>
                <w:sz w:val="22"/>
                <w:szCs w:val="22"/>
              </w:rPr>
              <w:t>79</w:t>
            </w:r>
            <w:r w:rsidRPr="00E8251D">
              <w:rPr>
                <w:rFonts w:ascii="Arial" w:hAnsi="Arial" w:cs="Arial"/>
                <w:color w:val="000000" w:themeColor="text1"/>
                <w:sz w:val="22"/>
                <w:szCs w:val="22"/>
              </w:rPr>
              <w:t>, 0.2</w:t>
            </w:r>
            <w:r>
              <w:rPr>
                <w:rFonts w:ascii="Arial" w:hAnsi="Arial" w:cs="Arial"/>
                <w:color w:val="000000" w:themeColor="text1"/>
                <w:sz w:val="22"/>
                <w:szCs w:val="22"/>
              </w:rPr>
              <w:t>7</w:t>
            </w:r>
            <w:r w:rsidRPr="00E8251D">
              <w:rPr>
                <w:rFonts w:ascii="Arial" w:hAnsi="Arial" w:cs="Arial"/>
                <w:color w:val="000000" w:themeColor="text1"/>
                <w:sz w:val="22"/>
                <w:szCs w:val="22"/>
              </w:rPr>
              <w:t>)</w:t>
            </w:r>
          </w:p>
        </w:tc>
        <w:tc>
          <w:tcPr>
            <w:tcW w:w="772" w:type="pct"/>
            <w:noWrap/>
          </w:tcPr>
          <w:p w14:paraId="4E8D8F39"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0.07 (-0.89, 1.03)</w:t>
            </w:r>
          </w:p>
        </w:tc>
        <w:tc>
          <w:tcPr>
            <w:tcW w:w="869" w:type="pct"/>
            <w:noWrap/>
          </w:tcPr>
          <w:p w14:paraId="27BC4E55"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-0.11 (-1.02, 0.80)</w:t>
            </w:r>
          </w:p>
        </w:tc>
        <w:tc>
          <w:tcPr>
            <w:tcW w:w="843" w:type="pct"/>
          </w:tcPr>
          <w:p w14:paraId="7E15D76F"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0.65 (-0.33, 1.63)</w:t>
            </w:r>
          </w:p>
        </w:tc>
        <w:tc>
          <w:tcPr>
            <w:tcW w:w="810" w:type="pct"/>
            <w:noWrap/>
          </w:tcPr>
          <w:p w14:paraId="26F6C53F"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-0.72 (-1.70, 0.26)</w:t>
            </w:r>
          </w:p>
        </w:tc>
      </w:tr>
      <w:tr w:rsidR="003E5AE2" w:rsidRPr="00E8251D" w14:paraId="79D15489" w14:textId="77777777" w:rsidTr="0011417E">
        <w:trPr>
          <w:trHeight w:val="254"/>
        </w:trPr>
        <w:tc>
          <w:tcPr>
            <w:tcW w:w="901" w:type="pct"/>
            <w:vAlign w:val="center"/>
          </w:tcPr>
          <w:p w14:paraId="008F615B" w14:textId="77777777" w:rsidR="003E5AE2" w:rsidRPr="00E8251D" w:rsidRDefault="003E5AE2" w:rsidP="0011417E">
            <w:pPr>
              <w:ind w:left="288"/>
              <w:rPr>
                <w:rFonts w:ascii="Arial" w:hAnsi="Arial" w:cs="Arial"/>
                <w:color w:val="000000" w:themeColor="text1"/>
                <w:sz w:val="22"/>
                <w:szCs w:val="22"/>
                <w:shd w:val="clear" w:color="auto" w:fill="FFFFFF"/>
              </w:rPr>
            </w:pPr>
            <w:r w:rsidRPr="00E8251D">
              <w:rPr>
                <w:rFonts w:ascii="Arial" w:hAnsi="Arial" w:cs="Arial"/>
                <w:color w:val="000000" w:themeColor="text1"/>
                <w:sz w:val="22"/>
                <w:szCs w:val="22"/>
                <w:shd w:val="clear" w:color="auto" w:fill="FFFFFF"/>
              </w:rPr>
              <w:t>Black</w:t>
            </w:r>
          </w:p>
        </w:tc>
        <w:tc>
          <w:tcPr>
            <w:tcW w:w="805" w:type="pct"/>
          </w:tcPr>
          <w:p w14:paraId="17967FE8" w14:textId="77777777" w:rsidR="003E5AE2" w:rsidRPr="00E8251D" w:rsidRDefault="003E5AE2" w:rsidP="0011417E">
            <w:pPr>
              <w:jc w:val="center"/>
              <w:rPr>
                <w:rFonts w:ascii="Arial" w:hAnsi="Arial" w:cs="Arial"/>
                <w:color w:val="000000" w:themeColor="text1"/>
                <w:sz w:val="22"/>
                <w:szCs w:val="22"/>
              </w:rPr>
            </w:pPr>
            <w:r>
              <w:rPr>
                <w:rFonts w:ascii="Arial" w:hAnsi="Arial" w:cs="Arial"/>
                <w:color w:val="000000" w:themeColor="text1"/>
                <w:sz w:val="22"/>
                <w:szCs w:val="22"/>
              </w:rPr>
              <w:t>-0.35</w:t>
            </w:r>
            <w:r w:rsidRPr="00E8251D">
              <w:rPr>
                <w:rFonts w:ascii="Arial" w:hAnsi="Arial" w:cs="Arial"/>
                <w:color w:val="000000" w:themeColor="text1"/>
                <w:sz w:val="22"/>
                <w:szCs w:val="22"/>
              </w:rPr>
              <w:t xml:space="preserve"> (-0.</w:t>
            </w:r>
            <w:r>
              <w:rPr>
                <w:rFonts w:ascii="Arial" w:hAnsi="Arial" w:cs="Arial"/>
                <w:color w:val="000000" w:themeColor="text1"/>
                <w:sz w:val="22"/>
                <w:szCs w:val="22"/>
              </w:rPr>
              <w:t>85</w:t>
            </w:r>
            <w:r w:rsidRPr="00E8251D">
              <w:rPr>
                <w:rFonts w:ascii="Arial" w:hAnsi="Arial" w:cs="Arial"/>
                <w:color w:val="000000" w:themeColor="text1"/>
                <w:sz w:val="22"/>
                <w:szCs w:val="22"/>
              </w:rPr>
              <w:t>, 0.</w:t>
            </w:r>
            <w:r>
              <w:rPr>
                <w:rFonts w:ascii="Arial" w:hAnsi="Arial" w:cs="Arial"/>
                <w:color w:val="000000" w:themeColor="text1"/>
                <w:sz w:val="22"/>
                <w:szCs w:val="22"/>
              </w:rPr>
              <w:t>15</w:t>
            </w:r>
            <w:r w:rsidRPr="00E8251D">
              <w:rPr>
                <w:rFonts w:ascii="Arial" w:hAnsi="Arial" w:cs="Arial"/>
                <w:color w:val="000000" w:themeColor="text1"/>
                <w:sz w:val="22"/>
                <w:szCs w:val="22"/>
              </w:rPr>
              <w:t>)</w:t>
            </w:r>
          </w:p>
        </w:tc>
        <w:tc>
          <w:tcPr>
            <w:tcW w:w="772" w:type="pct"/>
            <w:noWrap/>
          </w:tcPr>
          <w:p w14:paraId="03B5A254"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-0.90 (-1.81, 0.0</w:t>
            </w:r>
            <w:r>
              <w:rPr>
                <w:rFonts w:ascii="Arial" w:hAnsi="Arial" w:cs="Arial"/>
                <w:color w:val="000000" w:themeColor="text1"/>
                <w:sz w:val="22"/>
                <w:szCs w:val="22"/>
              </w:rPr>
              <w:t>1</w:t>
            </w:r>
            <w:r w:rsidRPr="00E8251D">
              <w:rPr>
                <w:rFonts w:ascii="Arial" w:hAnsi="Arial" w:cs="Arial"/>
                <w:color w:val="000000" w:themeColor="text1"/>
                <w:sz w:val="22"/>
                <w:szCs w:val="22"/>
              </w:rPr>
              <w:t>)</w:t>
            </w:r>
          </w:p>
        </w:tc>
        <w:tc>
          <w:tcPr>
            <w:tcW w:w="869" w:type="pct"/>
            <w:noWrap/>
          </w:tcPr>
          <w:p w14:paraId="6A213496"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-0.75 (-1.61, 0.11)</w:t>
            </w:r>
          </w:p>
        </w:tc>
        <w:tc>
          <w:tcPr>
            <w:tcW w:w="843" w:type="pct"/>
          </w:tcPr>
          <w:p w14:paraId="16EB4C4D"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-0.92 (-1.83, -0.01)</w:t>
            </w:r>
          </w:p>
        </w:tc>
        <w:tc>
          <w:tcPr>
            <w:tcW w:w="810" w:type="pct"/>
            <w:noWrap/>
          </w:tcPr>
          <w:p w14:paraId="5BDAF40C"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0.09 (-0.79, 0.97)</w:t>
            </w:r>
          </w:p>
        </w:tc>
      </w:tr>
      <w:tr w:rsidR="003E5AE2" w:rsidRPr="00E8251D" w14:paraId="2F950F59" w14:textId="77777777" w:rsidTr="0011417E">
        <w:trPr>
          <w:trHeight w:val="254"/>
        </w:trPr>
        <w:tc>
          <w:tcPr>
            <w:tcW w:w="901" w:type="pct"/>
            <w:tcBorders>
              <w:bottom w:val="single" w:sz="4" w:space="0" w:color="auto"/>
            </w:tcBorders>
            <w:vAlign w:val="center"/>
          </w:tcPr>
          <w:p w14:paraId="6EA5065A" w14:textId="77777777" w:rsidR="003E5AE2" w:rsidRPr="00E8251D" w:rsidRDefault="003E5AE2" w:rsidP="0011417E">
            <w:pPr>
              <w:ind w:left="288"/>
              <w:rPr>
                <w:rFonts w:ascii="Arial" w:hAnsi="Arial" w:cs="Arial"/>
                <w:color w:val="000000" w:themeColor="text1"/>
                <w:sz w:val="22"/>
                <w:szCs w:val="22"/>
                <w:shd w:val="clear" w:color="auto" w:fill="FFFFFF"/>
              </w:rPr>
            </w:pPr>
            <w:r w:rsidRPr="00E8251D">
              <w:rPr>
                <w:rFonts w:ascii="Arial" w:hAnsi="Arial" w:cs="Arial"/>
                <w:color w:val="000000" w:themeColor="text1"/>
                <w:sz w:val="22"/>
                <w:szCs w:val="22"/>
                <w:shd w:val="clear" w:color="auto" w:fill="FFFFFF"/>
              </w:rPr>
              <w:t>White</w:t>
            </w:r>
          </w:p>
        </w:tc>
        <w:tc>
          <w:tcPr>
            <w:tcW w:w="805" w:type="pct"/>
            <w:tcBorders>
              <w:bottom w:val="single" w:sz="4" w:space="0" w:color="auto"/>
            </w:tcBorders>
          </w:tcPr>
          <w:p w14:paraId="4BF18AD4" w14:textId="77777777" w:rsidR="003E5AE2" w:rsidRPr="00E8251D" w:rsidRDefault="003E5AE2" w:rsidP="0011417E">
            <w:pPr>
              <w:jc w:val="center"/>
              <w:rPr>
                <w:rFonts w:ascii="Arial" w:hAnsi="Arial" w:cs="Arial"/>
                <w:color w:val="000000" w:themeColor="text1"/>
                <w:sz w:val="22"/>
                <w:szCs w:val="22"/>
              </w:rPr>
            </w:pPr>
            <w:r>
              <w:rPr>
                <w:rFonts w:ascii="Arial" w:hAnsi="Arial" w:cs="Arial"/>
                <w:color w:val="000000" w:themeColor="text1"/>
                <w:sz w:val="22"/>
                <w:szCs w:val="22"/>
              </w:rPr>
              <w:t>0.99</w:t>
            </w:r>
            <w:r w:rsidRPr="00E8251D">
              <w:rPr>
                <w:rFonts w:ascii="Arial" w:hAnsi="Arial" w:cs="Arial"/>
                <w:color w:val="000000" w:themeColor="text1"/>
                <w:sz w:val="22"/>
                <w:szCs w:val="22"/>
              </w:rPr>
              <w:t xml:space="preserve"> (0.</w:t>
            </w:r>
            <w:r>
              <w:rPr>
                <w:rFonts w:ascii="Arial" w:hAnsi="Arial" w:cs="Arial"/>
                <w:color w:val="000000" w:themeColor="text1"/>
                <w:sz w:val="22"/>
                <w:szCs w:val="22"/>
              </w:rPr>
              <w:t>48</w:t>
            </w:r>
            <w:r w:rsidRPr="00E8251D">
              <w:rPr>
                <w:rFonts w:ascii="Arial" w:hAnsi="Arial" w:cs="Arial"/>
                <w:color w:val="000000" w:themeColor="text1"/>
                <w:sz w:val="22"/>
                <w:szCs w:val="22"/>
              </w:rPr>
              <w:t xml:space="preserve">, </w:t>
            </w:r>
            <w:r>
              <w:rPr>
                <w:rFonts w:ascii="Arial" w:hAnsi="Arial" w:cs="Arial"/>
                <w:color w:val="000000" w:themeColor="text1"/>
                <w:sz w:val="22"/>
                <w:szCs w:val="22"/>
              </w:rPr>
              <w:t>1.49</w:t>
            </w:r>
            <w:r w:rsidRPr="00E8251D">
              <w:rPr>
                <w:rFonts w:ascii="Arial" w:hAnsi="Arial" w:cs="Arial"/>
                <w:color w:val="000000" w:themeColor="text1"/>
                <w:sz w:val="22"/>
                <w:szCs w:val="22"/>
              </w:rPr>
              <w:t>)</w:t>
            </w:r>
          </w:p>
        </w:tc>
        <w:tc>
          <w:tcPr>
            <w:tcW w:w="772" w:type="pct"/>
            <w:tcBorders>
              <w:bottom w:val="single" w:sz="4" w:space="0" w:color="auto"/>
            </w:tcBorders>
            <w:noWrap/>
          </w:tcPr>
          <w:p w14:paraId="0C67C2A8" w14:textId="77777777" w:rsidR="003E5AE2" w:rsidRPr="00E8251D" w:rsidRDefault="003E5AE2" w:rsidP="0011417E">
            <w:pPr>
              <w:jc w:val="center"/>
              <w:rPr>
                <w:rFonts w:ascii="Arial" w:hAnsi="Arial" w:cs="Arial"/>
                <w:color w:val="000000" w:themeColor="text1"/>
                <w:sz w:val="22"/>
                <w:szCs w:val="22"/>
              </w:rPr>
            </w:pPr>
            <w:r w:rsidRPr="00E8251D">
              <w:rPr>
                <w:rFonts w:ascii="Arial" w:hAnsi="Arial" w:cs="Arial"/>
                <w:color w:val="000000" w:themeColor="text1"/>
                <w:sz w:val="22"/>
                <w:szCs w:val="22"/>
              </w:rPr>
              <w:t>-0.56 (-1.48, 0.35)</w:t>
            </w:r>
          </w:p>
        </w:tc>
        <w:tc>
          <w:tcPr>
            <w:tcW w:w="869" w:type="pct"/>
            <w:tcBorders>
              <w:bottom w:val="single" w:sz="4" w:space="0" w:color="auto"/>
            </w:tcBorders>
            <w:noWrap/>
          </w:tcPr>
          <w:p w14:paraId="03A36021"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-0.89 (-1.76, -0.02)</w:t>
            </w:r>
          </w:p>
        </w:tc>
        <w:tc>
          <w:tcPr>
            <w:tcW w:w="843" w:type="pct"/>
            <w:tcBorders>
              <w:bottom w:val="single" w:sz="4" w:space="0" w:color="auto"/>
            </w:tcBorders>
          </w:tcPr>
          <w:p w14:paraId="2DAB9533"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-1.06 (-1.97, -0.15)</w:t>
            </w:r>
          </w:p>
        </w:tc>
        <w:tc>
          <w:tcPr>
            <w:tcW w:w="810" w:type="pct"/>
            <w:tcBorders>
              <w:bottom w:val="single" w:sz="4" w:space="0" w:color="auto"/>
            </w:tcBorders>
            <w:noWrap/>
          </w:tcPr>
          <w:p w14:paraId="2A879CBF" w14:textId="77777777" w:rsidR="003E5AE2" w:rsidRPr="0094712A" w:rsidRDefault="003E5AE2" w:rsidP="0011417E">
            <w:pPr>
              <w:jc w:val="center"/>
              <w:rPr>
                <w:rFonts w:ascii="Arial" w:hAnsi="Arial" w:cs="Arial"/>
                <w:color w:val="000000" w:themeColor="text1"/>
                <w:sz w:val="22"/>
                <w:szCs w:val="22"/>
              </w:rPr>
            </w:pPr>
            <w:r w:rsidRPr="0094712A">
              <w:rPr>
                <w:rFonts w:ascii="Arial" w:hAnsi="Arial" w:cs="Arial"/>
                <w:color w:val="000000" w:themeColor="text1"/>
                <w:sz w:val="22"/>
                <w:szCs w:val="22"/>
              </w:rPr>
              <w:t>-0.93 (-1.81, -0.04)</w:t>
            </w:r>
          </w:p>
        </w:tc>
      </w:tr>
    </w:tbl>
    <w:p w14:paraId="047A9982" w14:textId="77777777" w:rsidR="003E5AE2" w:rsidRPr="00E8251D" w:rsidRDefault="003E5AE2" w:rsidP="003E5AE2">
      <w:pPr>
        <w:rPr>
          <w:rFonts w:ascii="Arial" w:hAnsi="Arial" w:cs="Arial"/>
          <w:strike/>
          <w:color w:val="000000" w:themeColor="text1"/>
          <w:sz w:val="22"/>
          <w:szCs w:val="22"/>
        </w:rPr>
      </w:pPr>
      <w:r w:rsidRPr="00E8251D">
        <w:rPr>
          <w:rFonts w:ascii="Arial" w:hAnsi="Arial" w:cs="Arial"/>
          <w:color w:val="000000" w:themeColor="text1"/>
          <w:sz w:val="22"/>
          <w:szCs w:val="22"/>
        </w:rPr>
        <w:t>Note. SOPI=Safe Opioid Prescribing Initiative; STOP Act=Strengthen Opioid Misuse Prevention Act; CI=confidence interval.</w:t>
      </w:r>
      <w:r w:rsidRPr="00E8251D">
        <w:rPr>
          <w:rFonts w:ascii="Arial" w:hAnsi="Arial" w:cs="Arial"/>
          <w:strike/>
          <w:color w:val="000000" w:themeColor="text1"/>
          <w:sz w:val="22"/>
          <w:szCs w:val="22"/>
        </w:rPr>
        <w:t xml:space="preserve"> </w:t>
      </w:r>
    </w:p>
    <w:p w14:paraId="6E5FD156" w14:textId="77777777" w:rsidR="003E5AE2" w:rsidRPr="00E8251D" w:rsidRDefault="003E5AE2" w:rsidP="003E5AE2">
      <w:pPr>
        <w:rPr>
          <w:rFonts w:ascii="Arial" w:hAnsi="Arial" w:cs="Arial"/>
          <w:color w:val="000000" w:themeColor="text1"/>
          <w:sz w:val="22"/>
          <w:szCs w:val="22"/>
        </w:rPr>
      </w:pPr>
      <w:proofErr w:type="spellStart"/>
      <w:r w:rsidRPr="00E8251D">
        <w:rPr>
          <w:rFonts w:ascii="Arial" w:hAnsi="Arial" w:cs="Arial"/>
          <w:color w:val="000000" w:themeColor="text1"/>
          <w:sz w:val="22"/>
          <w:szCs w:val="22"/>
          <w:vertAlign w:val="superscript"/>
        </w:rPr>
        <w:t>a</w:t>
      </w:r>
      <w:r w:rsidRPr="00E8251D">
        <w:rPr>
          <w:rFonts w:ascii="Arial" w:hAnsi="Arial" w:cs="Arial"/>
          <w:color w:val="000000" w:themeColor="text1"/>
          <w:sz w:val="22"/>
          <w:szCs w:val="22"/>
        </w:rPr>
        <w:t>Prescribing</w:t>
      </w:r>
      <w:proofErr w:type="spellEnd"/>
      <w:r w:rsidRPr="00E8251D">
        <w:rPr>
          <w:rFonts w:ascii="Arial" w:hAnsi="Arial" w:cs="Arial"/>
          <w:color w:val="000000" w:themeColor="text1"/>
          <w:sz w:val="22"/>
          <w:szCs w:val="22"/>
        </w:rPr>
        <w:t xml:space="preserve"> rates per 100 insured person-months;</w:t>
      </w:r>
      <w:r w:rsidRPr="00E8251D">
        <w:rPr>
          <w:rFonts w:ascii="Arial" w:hAnsi="Arial" w:cs="Arial"/>
          <w:b/>
          <w:bCs/>
          <w:color w:val="000000" w:themeColor="text1"/>
          <w:sz w:val="22"/>
          <w:szCs w:val="22"/>
        </w:rPr>
        <w:t xml:space="preserve"> </w:t>
      </w:r>
      <w:r w:rsidRPr="00E8251D">
        <w:rPr>
          <w:rFonts w:ascii="Arial" w:hAnsi="Arial" w:cs="Arial"/>
          <w:color w:val="000000" w:themeColor="text1"/>
          <w:sz w:val="22"/>
          <w:szCs w:val="22"/>
        </w:rPr>
        <w:t>trends calculated per 100 per year.</w:t>
      </w:r>
      <w:r>
        <w:rPr>
          <w:rFonts w:ascii="Arial" w:hAnsi="Arial" w:cs="Arial"/>
          <w:color w:val="000000" w:themeColor="text1"/>
          <w:sz w:val="22"/>
          <w:szCs w:val="22"/>
        </w:rPr>
        <w:t xml:space="preserve"> </w:t>
      </w:r>
      <w:r w:rsidRPr="00E8251D">
        <w:rPr>
          <w:rFonts w:ascii="Arial" w:hAnsi="Arial" w:cs="Arial"/>
          <w:color w:val="000000" w:themeColor="text1"/>
          <w:sz w:val="22"/>
          <w:szCs w:val="22"/>
        </w:rPr>
        <w:t>* - annualized estimates</w:t>
      </w:r>
      <w:r>
        <w:rPr>
          <w:rFonts w:ascii="Arial" w:hAnsi="Arial" w:cs="Arial"/>
          <w:color w:val="000000" w:themeColor="text1"/>
          <w:sz w:val="22"/>
          <w:szCs w:val="22"/>
        </w:rPr>
        <w:t xml:space="preserve">, calculated </w:t>
      </w:r>
      <w:r w:rsidRPr="00E8251D">
        <w:rPr>
          <w:rFonts w:ascii="Arial" w:hAnsi="Arial" w:cs="Arial"/>
          <w:color w:val="000000" w:themeColor="text1"/>
          <w:sz w:val="22"/>
          <w:szCs w:val="22"/>
        </w:rPr>
        <w:t xml:space="preserve">by multiplying monthly </w:t>
      </w:r>
      <w:r>
        <w:rPr>
          <w:rFonts w:ascii="Arial" w:hAnsi="Arial" w:cs="Arial"/>
          <w:color w:val="000000" w:themeColor="text1"/>
          <w:sz w:val="22"/>
          <w:szCs w:val="22"/>
        </w:rPr>
        <w:t xml:space="preserve">trend </w:t>
      </w:r>
      <w:r w:rsidRPr="00E8251D">
        <w:rPr>
          <w:rFonts w:ascii="Arial" w:hAnsi="Arial" w:cs="Arial"/>
          <w:color w:val="000000" w:themeColor="text1"/>
          <w:sz w:val="22"/>
          <w:szCs w:val="22"/>
        </w:rPr>
        <w:t>change estimates to 12</w:t>
      </w:r>
      <w:r>
        <w:rPr>
          <w:rFonts w:ascii="Arial" w:hAnsi="Arial" w:cs="Arial"/>
          <w:color w:val="000000" w:themeColor="text1"/>
          <w:sz w:val="22"/>
          <w:szCs w:val="22"/>
        </w:rPr>
        <w:t>.</w:t>
      </w:r>
    </w:p>
    <w:p w14:paraId="35B1A4B8" w14:textId="77777777" w:rsidR="00CD7EBC" w:rsidRPr="00A623C6" w:rsidRDefault="00CD7EBC" w:rsidP="00A623C6">
      <w:pPr>
        <w:rPr>
          <w:rFonts w:ascii="Arial" w:hAnsi="Arial" w:cs="Arial"/>
          <w:b/>
          <w:bCs/>
          <w:color w:val="000000" w:themeColor="text1"/>
          <w:sz w:val="22"/>
          <w:szCs w:val="22"/>
        </w:rPr>
      </w:pPr>
    </w:p>
    <w:sectPr w:rsidR="00CD7EBC" w:rsidRPr="00A623C6" w:rsidSect="003E5AE2">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39384" w14:textId="77777777" w:rsidR="00632215" w:rsidRDefault="00632215">
      <w:r>
        <w:separator/>
      </w:r>
    </w:p>
  </w:endnote>
  <w:endnote w:type="continuationSeparator" w:id="0">
    <w:p w14:paraId="51782A89" w14:textId="77777777" w:rsidR="00632215" w:rsidRDefault="00632215">
      <w:r>
        <w:continuationSeparator/>
      </w:r>
    </w:p>
  </w:endnote>
  <w:endnote w:type="continuationNotice" w:id="1">
    <w:p w14:paraId="6DFA155E" w14:textId="77777777" w:rsidR="00632215" w:rsidRDefault="006322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59EEC" w14:textId="77777777" w:rsidR="00632215" w:rsidRDefault="00632215">
      <w:r>
        <w:separator/>
      </w:r>
    </w:p>
  </w:footnote>
  <w:footnote w:type="continuationSeparator" w:id="0">
    <w:p w14:paraId="2681A3D5" w14:textId="77777777" w:rsidR="00632215" w:rsidRDefault="00632215">
      <w:r>
        <w:continuationSeparator/>
      </w:r>
    </w:p>
  </w:footnote>
  <w:footnote w:type="continuationNotice" w:id="1">
    <w:p w14:paraId="281C628D" w14:textId="77777777" w:rsidR="00632215" w:rsidRDefault="0063221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103"/>
    <w:multiLevelType w:val="multilevel"/>
    <w:tmpl w:val="DFF41B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4A4799"/>
    <w:multiLevelType w:val="hybridMultilevel"/>
    <w:tmpl w:val="52948164"/>
    <w:lvl w:ilvl="0" w:tplc="4FD64B3E">
      <w:start w:val="1"/>
      <w:numFmt w:val="lowerLetter"/>
      <w:lvlText w:val="%1."/>
      <w:lvlJc w:val="left"/>
      <w:pPr>
        <w:ind w:left="720" w:hanging="360"/>
      </w:pPr>
      <w:rPr>
        <w:rFonts w:ascii="Times New Roman" w:hAnsi="Times New Roman" w:cs="Times New Roman" w:hint="default"/>
        <w:b w:val="0"/>
        <w:bCs w:val="0"/>
        <w:vertAlign w:val="superscrip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1FC1778E"/>
    <w:multiLevelType w:val="hybridMultilevel"/>
    <w:tmpl w:val="7C40FF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152A8D"/>
    <w:multiLevelType w:val="hybridMultilevel"/>
    <w:tmpl w:val="FAFAF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554069"/>
    <w:multiLevelType w:val="hybridMultilevel"/>
    <w:tmpl w:val="712ADBCE"/>
    <w:lvl w:ilvl="0" w:tplc="2154E6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C21B0C"/>
    <w:multiLevelType w:val="hybridMultilevel"/>
    <w:tmpl w:val="52948164"/>
    <w:lvl w:ilvl="0" w:tplc="4FD64B3E">
      <w:start w:val="1"/>
      <w:numFmt w:val="lowerLetter"/>
      <w:lvlText w:val="%1."/>
      <w:lvlJc w:val="left"/>
      <w:pPr>
        <w:ind w:left="720" w:hanging="360"/>
      </w:pPr>
      <w:rPr>
        <w:rFonts w:ascii="Times New Roman" w:hAnsi="Times New Roman" w:cs="Times New Roman" w:hint="default"/>
        <w:b w:val="0"/>
        <w:bCs w:val="0"/>
        <w:vertAlign w:val="superscrip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30270982"/>
    <w:multiLevelType w:val="hybridMultilevel"/>
    <w:tmpl w:val="D0140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594FEB"/>
    <w:multiLevelType w:val="hybridMultilevel"/>
    <w:tmpl w:val="52948164"/>
    <w:lvl w:ilvl="0" w:tplc="4FD64B3E">
      <w:start w:val="1"/>
      <w:numFmt w:val="lowerLetter"/>
      <w:lvlText w:val="%1."/>
      <w:lvlJc w:val="left"/>
      <w:pPr>
        <w:ind w:left="720" w:hanging="360"/>
      </w:pPr>
      <w:rPr>
        <w:rFonts w:ascii="Times New Roman" w:hAnsi="Times New Roman" w:cs="Times New Roman" w:hint="default"/>
        <w:b w:val="0"/>
        <w:bCs w:val="0"/>
        <w:vertAlign w:val="superscrip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15:restartNumberingAfterBreak="0">
    <w:nsid w:val="4CCE3534"/>
    <w:multiLevelType w:val="hybridMultilevel"/>
    <w:tmpl w:val="DCB6BB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1EE701A"/>
    <w:multiLevelType w:val="hybridMultilevel"/>
    <w:tmpl w:val="3CAE334C"/>
    <w:lvl w:ilvl="0" w:tplc="3E440F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6B2917"/>
    <w:multiLevelType w:val="hybridMultilevel"/>
    <w:tmpl w:val="7160D964"/>
    <w:lvl w:ilvl="0" w:tplc="8026979E">
      <w:start w:val="1"/>
      <w:numFmt w:val="decimal"/>
      <w:lvlText w:val="%1."/>
      <w:lvlJc w:val="left"/>
      <w:pPr>
        <w:ind w:left="720" w:hanging="360"/>
      </w:pPr>
      <w:rPr>
        <w:rFonts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73248E0"/>
    <w:multiLevelType w:val="hybridMultilevel"/>
    <w:tmpl w:val="EAE01AA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2" w15:restartNumberingAfterBreak="0">
    <w:nsid w:val="6E8523A6"/>
    <w:multiLevelType w:val="hybridMultilevel"/>
    <w:tmpl w:val="9CEEC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855D87"/>
    <w:multiLevelType w:val="hybridMultilevel"/>
    <w:tmpl w:val="48BEF568"/>
    <w:lvl w:ilvl="0" w:tplc="5324FC76">
      <w:start w:val="1"/>
      <w:numFmt w:val="lowerLetter"/>
      <w:lvlText w:val="%1."/>
      <w:lvlJc w:val="left"/>
      <w:pPr>
        <w:ind w:left="720" w:hanging="360"/>
      </w:pPr>
      <w:rPr>
        <w:rFonts w:cs="Times New Roman"/>
        <w:vertAlign w:val="superscrip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566763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3859768">
    <w:abstractNumId w:val="1"/>
  </w:num>
  <w:num w:numId="3" w16cid:durableId="2138988775">
    <w:abstractNumId w:val="7"/>
  </w:num>
  <w:num w:numId="4" w16cid:durableId="1482112847">
    <w:abstractNumId w:val="13"/>
  </w:num>
  <w:num w:numId="5" w16cid:durableId="396977373">
    <w:abstractNumId w:val="6"/>
  </w:num>
  <w:num w:numId="6" w16cid:durableId="820776912">
    <w:abstractNumId w:val="4"/>
  </w:num>
  <w:num w:numId="7" w16cid:durableId="1955599947">
    <w:abstractNumId w:val="2"/>
  </w:num>
  <w:num w:numId="8" w16cid:durableId="1867717879">
    <w:abstractNumId w:val="8"/>
  </w:num>
  <w:num w:numId="9" w16cid:durableId="1970042236">
    <w:abstractNumId w:val="9"/>
  </w:num>
  <w:num w:numId="10" w16cid:durableId="184639416">
    <w:abstractNumId w:val="3"/>
  </w:num>
  <w:num w:numId="11" w16cid:durableId="1958022193">
    <w:abstractNumId w:val="10"/>
  </w:num>
  <w:num w:numId="12" w16cid:durableId="849488484">
    <w:abstractNumId w:val="0"/>
  </w:num>
  <w:num w:numId="13" w16cid:durableId="1925608084">
    <w:abstractNumId w:val="12"/>
  </w:num>
  <w:num w:numId="14" w16cid:durableId="122247538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0F3B"/>
    <w:rsid w:val="00001F8D"/>
    <w:rsid w:val="00002DC7"/>
    <w:rsid w:val="00004526"/>
    <w:rsid w:val="00004BC3"/>
    <w:rsid w:val="000051B2"/>
    <w:rsid w:val="00005A49"/>
    <w:rsid w:val="00011B74"/>
    <w:rsid w:val="00011DC5"/>
    <w:rsid w:val="00011F3A"/>
    <w:rsid w:val="000137A9"/>
    <w:rsid w:val="00014E26"/>
    <w:rsid w:val="00016C4E"/>
    <w:rsid w:val="00016F01"/>
    <w:rsid w:val="00017FAB"/>
    <w:rsid w:val="000221D1"/>
    <w:rsid w:val="00024318"/>
    <w:rsid w:val="00025E37"/>
    <w:rsid w:val="00025F7A"/>
    <w:rsid w:val="00026D4C"/>
    <w:rsid w:val="000311A7"/>
    <w:rsid w:val="000312E4"/>
    <w:rsid w:val="00031556"/>
    <w:rsid w:val="00031E16"/>
    <w:rsid w:val="00032310"/>
    <w:rsid w:val="0003282F"/>
    <w:rsid w:val="0003499C"/>
    <w:rsid w:val="00037AEC"/>
    <w:rsid w:val="000412D6"/>
    <w:rsid w:val="00042841"/>
    <w:rsid w:val="00042D2A"/>
    <w:rsid w:val="00044F81"/>
    <w:rsid w:val="00045416"/>
    <w:rsid w:val="00045FE7"/>
    <w:rsid w:val="000462F8"/>
    <w:rsid w:val="000478A3"/>
    <w:rsid w:val="00051870"/>
    <w:rsid w:val="00054419"/>
    <w:rsid w:val="00054FDC"/>
    <w:rsid w:val="00056D1B"/>
    <w:rsid w:val="00062FDA"/>
    <w:rsid w:val="00064AE8"/>
    <w:rsid w:val="000658C7"/>
    <w:rsid w:val="00065EBB"/>
    <w:rsid w:val="0006687F"/>
    <w:rsid w:val="00067355"/>
    <w:rsid w:val="000678B9"/>
    <w:rsid w:val="00070776"/>
    <w:rsid w:val="0007084D"/>
    <w:rsid w:val="000714FD"/>
    <w:rsid w:val="00072085"/>
    <w:rsid w:val="00072E17"/>
    <w:rsid w:val="000737F5"/>
    <w:rsid w:val="00075508"/>
    <w:rsid w:val="00075BED"/>
    <w:rsid w:val="000771D3"/>
    <w:rsid w:val="00082FB3"/>
    <w:rsid w:val="000835A4"/>
    <w:rsid w:val="00083C8D"/>
    <w:rsid w:val="000841D3"/>
    <w:rsid w:val="00084A0E"/>
    <w:rsid w:val="00085290"/>
    <w:rsid w:val="0008551C"/>
    <w:rsid w:val="00085D60"/>
    <w:rsid w:val="00090CB3"/>
    <w:rsid w:val="0009121B"/>
    <w:rsid w:val="00095A4B"/>
    <w:rsid w:val="00096BA6"/>
    <w:rsid w:val="00096C5A"/>
    <w:rsid w:val="00097946"/>
    <w:rsid w:val="000A0080"/>
    <w:rsid w:val="000A115E"/>
    <w:rsid w:val="000A1F7B"/>
    <w:rsid w:val="000B339C"/>
    <w:rsid w:val="000B5679"/>
    <w:rsid w:val="000B5E76"/>
    <w:rsid w:val="000C04EB"/>
    <w:rsid w:val="000C22D2"/>
    <w:rsid w:val="000C2FF3"/>
    <w:rsid w:val="000C4CDB"/>
    <w:rsid w:val="000C4D79"/>
    <w:rsid w:val="000C5B82"/>
    <w:rsid w:val="000C5FD3"/>
    <w:rsid w:val="000C660B"/>
    <w:rsid w:val="000C7A33"/>
    <w:rsid w:val="000D003D"/>
    <w:rsid w:val="000D0F9B"/>
    <w:rsid w:val="000D1B51"/>
    <w:rsid w:val="000D1C53"/>
    <w:rsid w:val="000D2F52"/>
    <w:rsid w:val="000D44D3"/>
    <w:rsid w:val="000D5382"/>
    <w:rsid w:val="000D5E95"/>
    <w:rsid w:val="000D706A"/>
    <w:rsid w:val="000E1678"/>
    <w:rsid w:val="000E2B0F"/>
    <w:rsid w:val="000E2F55"/>
    <w:rsid w:val="000E500E"/>
    <w:rsid w:val="000E5900"/>
    <w:rsid w:val="000E6B30"/>
    <w:rsid w:val="000E6E66"/>
    <w:rsid w:val="000E739B"/>
    <w:rsid w:val="000E790B"/>
    <w:rsid w:val="000F0431"/>
    <w:rsid w:val="000F2103"/>
    <w:rsid w:val="000F213A"/>
    <w:rsid w:val="000F3DD0"/>
    <w:rsid w:val="000F59AD"/>
    <w:rsid w:val="000F664E"/>
    <w:rsid w:val="00101453"/>
    <w:rsid w:val="00101A0C"/>
    <w:rsid w:val="00101EB8"/>
    <w:rsid w:val="001023C6"/>
    <w:rsid w:val="0010319F"/>
    <w:rsid w:val="001040F6"/>
    <w:rsid w:val="00104615"/>
    <w:rsid w:val="001069FB"/>
    <w:rsid w:val="001103F8"/>
    <w:rsid w:val="00110D54"/>
    <w:rsid w:val="00111A80"/>
    <w:rsid w:val="001128A9"/>
    <w:rsid w:val="001144CA"/>
    <w:rsid w:val="001144DF"/>
    <w:rsid w:val="001146A9"/>
    <w:rsid w:val="00115774"/>
    <w:rsid w:val="00116851"/>
    <w:rsid w:val="00116F37"/>
    <w:rsid w:val="00117BD9"/>
    <w:rsid w:val="00121F63"/>
    <w:rsid w:val="00123943"/>
    <w:rsid w:val="00123AC4"/>
    <w:rsid w:val="00124E12"/>
    <w:rsid w:val="00124F52"/>
    <w:rsid w:val="001250DF"/>
    <w:rsid w:val="00127E99"/>
    <w:rsid w:val="0013058A"/>
    <w:rsid w:val="001305E9"/>
    <w:rsid w:val="001315C1"/>
    <w:rsid w:val="00132D7C"/>
    <w:rsid w:val="0013719B"/>
    <w:rsid w:val="00137468"/>
    <w:rsid w:val="001426F7"/>
    <w:rsid w:val="00142D69"/>
    <w:rsid w:val="00145126"/>
    <w:rsid w:val="001476DE"/>
    <w:rsid w:val="0015090A"/>
    <w:rsid w:val="00152261"/>
    <w:rsid w:val="00155D2E"/>
    <w:rsid w:val="00157940"/>
    <w:rsid w:val="0016359A"/>
    <w:rsid w:val="0016365C"/>
    <w:rsid w:val="00163FA6"/>
    <w:rsid w:val="00167DC3"/>
    <w:rsid w:val="0017087E"/>
    <w:rsid w:val="00172312"/>
    <w:rsid w:val="00172918"/>
    <w:rsid w:val="00173324"/>
    <w:rsid w:val="00177E47"/>
    <w:rsid w:val="001807BA"/>
    <w:rsid w:val="00182429"/>
    <w:rsid w:val="00183296"/>
    <w:rsid w:val="00184615"/>
    <w:rsid w:val="00184D3E"/>
    <w:rsid w:val="001871FC"/>
    <w:rsid w:val="00190478"/>
    <w:rsid w:val="0019227E"/>
    <w:rsid w:val="00193142"/>
    <w:rsid w:val="00193E5D"/>
    <w:rsid w:val="00194831"/>
    <w:rsid w:val="00194B47"/>
    <w:rsid w:val="00195D82"/>
    <w:rsid w:val="001A0C05"/>
    <w:rsid w:val="001A149A"/>
    <w:rsid w:val="001A37F0"/>
    <w:rsid w:val="001A3903"/>
    <w:rsid w:val="001A3A1D"/>
    <w:rsid w:val="001A3A82"/>
    <w:rsid w:val="001A635A"/>
    <w:rsid w:val="001A6DD4"/>
    <w:rsid w:val="001B179D"/>
    <w:rsid w:val="001B197E"/>
    <w:rsid w:val="001B1BBD"/>
    <w:rsid w:val="001B2708"/>
    <w:rsid w:val="001B40DF"/>
    <w:rsid w:val="001B553B"/>
    <w:rsid w:val="001B60E9"/>
    <w:rsid w:val="001B6C5B"/>
    <w:rsid w:val="001B737D"/>
    <w:rsid w:val="001B7C8F"/>
    <w:rsid w:val="001C115A"/>
    <w:rsid w:val="001C26CD"/>
    <w:rsid w:val="001C37C9"/>
    <w:rsid w:val="001C7C7B"/>
    <w:rsid w:val="001D0622"/>
    <w:rsid w:val="001D3169"/>
    <w:rsid w:val="001D38BA"/>
    <w:rsid w:val="001D4287"/>
    <w:rsid w:val="001D4CA8"/>
    <w:rsid w:val="001D5EB2"/>
    <w:rsid w:val="001E0019"/>
    <w:rsid w:val="001E0491"/>
    <w:rsid w:val="001E14C7"/>
    <w:rsid w:val="001E32F8"/>
    <w:rsid w:val="001E45A4"/>
    <w:rsid w:val="001E5039"/>
    <w:rsid w:val="001E5453"/>
    <w:rsid w:val="001F0E8F"/>
    <w:rsid w:val="001F10DF"/>
    <w:rsid w:val="001F265F"/>
    <w:rsid w:val="001F2663"/>
    <w:rsid w:val="001F2C3A"/>
    <w:rsid w:val="001F4D4D"/>
    <w:rsid w:val="001F6277"/>
    <w:rsid w:val="00202999"/>
    <w:rsid w:val="0020321C"/>
    <w:rsid w:val="00203CA4"/>
    <w:rsid w:val="00204599"/>
    <w:rsid w:val="00206BCA"/>
    <w:rsid w:val="00210473"/>
    <w:rsid w:val="002104A7"/>
    <w:rsid w:val="0021055E"/>
    <w:rsid w:val="00210B00"/>
    <w:rsid w:val="0021154F"/>
    <w:rsid w:val="00212439"/>
    <w:rsid w:val="0021289D"/>
    <w:rsid w:val="00212A87"/>
    <w:rsid w:val="00215DB2"/>
    <w:rsid w:val="00216634"/>
    <w:rsid w:val="0021775C"/>
    <w:rsid w:val="00217D51"/>
    <w:rsid w:val="00217DBD"/>
    <w:rsid w:val="0022119C"/>
    <w:rsid w:val="00222F47"/>
    <w:rsid w:val="0022371D"/>
    <w:rsid w:val="002242AB"/>
    <w:rsid w:val="0022661A"/>
    <w:rsid w:val="0023145C"/>
    <w:rsid w:val="002346D0"/>
    <w:rsid w:val="00234B24"/>
    <w:rsid w:val="00235295"/>
    <w:rsid w:val="0024039F"/>
    <w:rsid w:val="0024327F"/>
    <w:rsid w:val="0024377B"/>
    <w:rsid w:val="0024408E"/>
    <w:rsid w:val="002442DE"/>
    <w:rsid w:val="0024562A"/>
    <w:rsid w:val="00247D73"/>
    <w:rsid w:val="00250615"/>
    <w:rsid w:val="00251D24"/>
    <w:rsid w:val="00251E82"/>
    <w:rsid w:val="0025219B"/>
    <w:rsid w:val="00252454"/>
    <w:rsid w:val="002525E2"/>
    <w:rsid w:val="00252846"/>
    <w:rsid w:val="00253927"/>
    <w:rsid w:val="00260BE8"/>
    <w:rsid w:val="002636DA"/>
    <w:rsid w:val="002656DC"/>
    <w:rsid w:val="00266AE1"/>
    <w:rsid w:val="00266E15"/>
    <w:rsid w:val="002713A7"/>
    <w:rsid w:val="00273463"/>
    <w:rsid w:val="002740A7"/>
    <w:rsid w:val="00275E1F"/>
    <w:rsid w:val="002770CD"/>
    <w:rsid w:val="00277349"/>
    <w:rsid w:val="00277A0E"/>
    <w:rsid w:val="00280F19"/>
    <w:rsid w:val="00282CDA"/>
    <w:rsid w:val="00283EA9"/>
    <w:rsid w:val="0028468F"/>
    <w:rsid w:val="0028475F"/>
    <w:rsid w:val="00284C60"/>
    <w:rsid w:val="00285734"/>
    <w:rsid w:val="00286267"/>
    <w:rsid w:val="0028632D"/>
    <w:rsid w:val="0028664D"/>
    <w:rsid w:val="0029275B"/>
    <w:rsid w:val="00294399"/>
    <w:rsid w:val="002A02F2"/>
    <w:rsid w:val="002A7376"/>
    <w:rsid w:val="002B0243"/>
    <w:rsid w:val="002B127C"/>
    <w:rsid w:val="002B26CC"/>
    <w:rsid w:val="002B427A"/>
    <w:rsid w:val="002B51D9"/>
    <w:rsid w:val="002B5D47"/>
    <w:rsid w:val="002B61B4"/>
    <w:rsid w:val="002C09F6"/>
    <w:rsid w:val="002C313C"/>
    <w:rsid w:val="002C4161"/>
    <w:rsid w:val="002C4E6C"/>
    <w:rsid w:val="002C5796"/>
    <w:rsid w:val="002C5C11"/>
    <w:rsid w:val="002C7846"/>
    <w:rsid w:val="002C7EF0"/>
    <w:rsid w:val="002D0056"/>
    <w:rsid w:val="002D1BB7"/>
    <w:rsid w:val="002D1D74"/>
    <w:rsid w:val="002D36C8"/>
    <w:rsid w:val="002D37AE"/>
    <w:rsid w:val="002D468C"/>
    <w:rsid w:val="002D7915"/>
    <w:rsid w:val="002D7EDD"/>
    <w:rsid w:val="002E01FC"/>
    <w:rsid w:val="002E5378"/>
    <w:rsid w:val="002E5A9B"/>
    <w:rsid w:val="002E6F56"/>
    <w:rsid w:val="002E7174"/>
    <w:rsid w:val="002E7DED"/>
    <w:rsid w:val="002F250D"/>
    <w:rsid w:val="002F2926"/>
    <w:rsid w:val="002F32A3"/>
    <w:rsid w:val="002F32DB"/>
    <w:rsid w:val="002F525F"/>
    <w:rsid w:val="002F5D12"/>
    <w:rsid w:val="002F655A"/>
    <w:rsid w:val="002F6EA9"/>
    <w:rsid w:val="002F7587"/>
    <w:rsid w:val="002F7A34"/>
    <w:rsid w:val="002F7C08"/>
    <w:rsid w:val="002F7C1F"/>
    <w:rsid w:val="003004A2"/>
    <w:rsid w:val="00300B3C"/>
    <w:rsid w:val="00300C42"/>
    <w:rsid w:val="00301789"/>
    <w:rsid w:val="00302190"/>
    <w:rsid w:val="00304300"/>
    <w:rsid w:val="003059D3"/>
    <w:rsid w:val="00305C98"/>
    <w:rsid w:val="0030675C"/>
    <w:rsid w:val="003071E3"/>
    <w:rsid w:val="0031152A"/>
    <w:rsid w:val="003131A2"/>
    <w:rsid w:val="00313305"/>
    <w:rsid w:val="003133DE"/>
    <w:rsid w:val="00317E2F"/>
    <w:rsid w:val="00317FDF"/>
    <w:rsid w:val="0032141A"/>
    <w:rsid w:val="00321BB5"/>
    <w:rsid w:val="00321C09"/>
    <w:rsid w:val="0032223F"/>
    <w:rsid w:val="003234F9"/>
    <w:rsid w:val="003240C0"/>
    <w:rsid w:val="00324699"/>
    <w:rsid w:val="00326B31"/>
    <w:rsid w:val="003304A0"/>
    <w:rsid w:val="003318B6"/>
    <w:rsid w:val="00331951"/>
    <w:rsid w:val="003324C5"/>
    <w:rsid w:val="00332E3E"/>
    <w:rsid w:val="00333DA1"/>
    <w:rsid w:val="00335F6C"/>
    <w:rsid w:val="00337AE3"/>
    <w:rsid w:val="00340C45"/>
    <w:rsid w:val="003412C0"/>
    <w:rsid w:val="00341B2B"/>
    <w:rsid w:val="00341DCB"/>
    <w:rsid w:val="003425DE"/>
    <w:rsid w:val="00342A40"/>
    <w:rsid w:val="00342A5C"/>
    <w:rsid w:val="00347BD1"/>
    <w:rsid w:val="00350F8C"/>
    <w:rsid w:val="00354626"/>
    <w:rsid w:val="003553A4"/>
    <w:rsid w:val="003574EE"/>
    <w:rsid w:val="00362060"/>
    <w:rsid w:val="003627EC"/>
    <w:rsid w:val="00363E88"/>
    <w:rsid w:val="0036424F"/>
    <w:rsid w:val="00365250"/>
    <w:rsid w:val="00366754"/>
    <w:rsid w:val="00366D43"/>
    <w:rsid w:val="00367325"/>
    <w:rsid w:val="00371165"/>
    <w:rsid w:val="0037204F"/>
    <w:rsid w:val="00372291"/>
    <w:rsid w:val="0037432B"/>
    <w:rsid w:val="00374B2D"/>
    <w:rsid w:val="00374D6F"/>
    <w:rsid w:val="003750AF"/>
    <w:rsid w:val="00375488"/>
    <w:rsid w:val="003770EF"/>
    <w:rsid w:val="00377636"/>
    <w:rsid w:val="00381074"/>
    <w:rsid w:val="003817F0"/>
    <w:rsid w:val="00381E9B"/>
    <w:rsid w:val="003859A3"/>
    <w:rsid w:val="00387F75"/>
    <w:rsid w:val="003952F3"/>
    <w:rsid w:val="00395B68"/>
    <w:rsid w:val="003A1F0C"/>
    <w:rsid w:val="003A212A"/>
    <w:rsid w:val="003A3991"/>
    <w:rsid w:val="003A4DB9"/>
    <w:rsid w:val="003A7053"/>
    <w:rsid w:val="003B135D"/>
    <w:rsid w:val="003B5C81"/>
    <w:rsid w:val="003B647D"/>
    <w:rsid w:val="003B67D3"/>
    <w:rsid w:val="003B6CF5"/>
    <w:rsid w:val="003B705C"/>
    <w:rsid w:val="003B72F8"/>
    <w:rsid w:val="003C01F3"/>
    <w:rsid w:val="003C101C"/>
    <w:rsid w:val="003C1D4B"/>
    <w:rsid w:val="003C466D"/>
    <w:rsid w:val="003C5515"/>
    <w:rsid w:val="003C5A4D"/>
    <w:rsid w:val="003C7118"/>
    <w:rsid w:val="003C7151"/>
    <w:rsid w:val="003C7D21"/>
    <w:rsid w:val="003D008A"/>
    <w:rsid w:val="003D15F2"/>
    <w:rsid w:val="003D3175"/>
    <w:rsid w:val="003D48F6"/>
    <w:rsid w:val="003D5AED"/>
    <w:rsid w:val="003D5D6D"/>
    <w:rsid w:val="003D7769"/>
    <w:rsid w:val="003E023E"/>
    <w:rsid w:val="003E030D"/>
    <w:rsid w:val="003E1DB6"/>
    <w:rsid w:val="003E323B"/>
    <w:rsid w:val="003E412C"/>
    <w:rsid w:val="003E4571"/>
    <w:rsid w:val="003E5AE2"/>
    <w:rsid w:val="003E646A"/>
    <w:rsid w:val="003E64C3"/>
    <w:rsid w:val="003E70B1"/>
    <w:rsid w:val="003F26B6"/>
    <w:rsid w:val="003F3924"/>
    <w:rsid w:val="003F450D"/>
    <w:rsid w:val="003F4BA1"/>
    <w:rsid w:val="003F6643"/>
    <w:rsid w:val="004012CB"/>
    <w:rsid w:val="00405A17"/>
    <w:rsid w:val="00406117"/>
    <w:rsid w:val="00406DEB"/>
    <w:rsid w:val="00407BBC"/>
    <w:rsid w:val="00407C6E"/>
    <w:rsid w:val="00407FCC"/>
    <w:rsid w:val="004136B5"/>
    <w:rsid w:val="00414E8E"/>
    <w:rsid w:val="00415A90"/>
    <w:rsid w:val="00415C52"/>
    <w:rsid w:val="00416011"/>
    <w:rsid w:val="00417DFA"/>
    <w:rsid w:val="00417F4F"/>
    <w:rsid w:val="00421232"/>
    <w:rsid w:val="00422D15"/>
    <w:rsid w:val="00424E79"/>
    <w:rsid w:val="00430217"/>
    <w:rsid w:val="00430CF0"/>
    <w:rsid w:val="004313B2"/>
    <w:rsid w:val="00435D64"/>
    <w:rsid w:val="00436D91"/>
    <w:rsid w:val="00440E72"/>
    <w:rsid w:val="0044162C"/>
    <w:rsid w:val="00441D21"/>
    <w:rsid w:val="0044264F"/>
    <w:rsid w:val="00445E8A"/>
    <w:rsid w:val="004469FA"/>
    <w:rsid w:val="004478EB"/>
    <w:rsid w:val="004523E4"/>
    <w:rsid w:val="0045298D"/>
    <w:rsid w:val="004537F0"/>
    <w:rsid w:val="004546F8"/>
    <w:rsid w:val="004575BD"/>
    <w:rsid w:val="00460452"/>
    <w:rsid w:val="0046063C"/>
    <w:rsid w:val="0046099A"/>
    <w:rsid w:val="00460ADC"/>
    <w:rsid w:val="00462833"/>
    <w:rsid w:val="00462E7C"/>
    <w:rsid w:val="004634AA"/>
    <w:rsid w:val="00464375"/>
    <w:rsid w:val="004646D9"/>
    <w:rsid w:val="00464DA8"/>
    <w:rsid w:val="0047362B"/>
    <w:rsid w:val="00477A5A"/>
    <w:rsid w:val="00480C1A"/>
    <w:rsid w:val="0048164A"/>
    <w:rsid w:val="0048476A"/>
    <w:rsid w:val="00484DDD"/>
    <w:rsid w:val="00485FE4"/>
    <w:rsid w:val="0048763B"/>
    <w:rsid w:val="00487885"/>
    <w:rsid w:val="00491792"/>
    <w:rsid w:val="00492256"/>
    <w:rsid w:val="00493769"/>
    <w:rsid w:val="00494097"/>
    <w:rsid w:val="004955ED"/>
    <w:rsid w:val="0049597D"/>
    <w:rsid w:val="00496D53"/>
    <w:rsid w:val="00497B95"/>
    <w:rsid w:val="00497CE5"/>
    <w:rsid w:val="004A074E"/>
    <w:rsid w:val="004A0E32"/>
    <w:rsid w:val="004A0FF2"/>
    <w:rsid w:val="004A148E"/>
    <w:rsid w:val="004A148F"/>
    <w:rsid w:val="004A28AD"/>
    <w:rsid w:val="004A55EF"/>
    <w:rsid w:val="004A66E8"/>
    <w:rsid w:val="004B083C"/>
    <w:rsid w:val="004B0FE0"/>
    <w:rsid w:val="004B313D"/>
    <w:rsid w:val="004B3354"/>
    <w:rsid w:val="004B60C5"/>
    <w:rsid w:val="004B60FF"/>
    <w:rsid w:val="004B6224"/>
    <w:rsid w:val="004B645C"/>
    <w:rsid w:val="004B7C68"/>
    <w:rsid w:val="004C16EE"/>
    <w:rsid w:val="004C3DB2"/>
    <w:rsid w:val="004C434E"/>
    <w:rsid w:val="004C63EF"/>
    <w:rsid w:val="004C7CBC"/>
    <w:rsid w:val="004D030F"/>
    <w:rsid w:val="004D0D9E"/>
    <w:rsid w:val="004D4B48"/>
    <w:rsid w:val="004D5CE9"/>
    <w:rsid w:val="004E2235"/>
    <w:rsid w:val="004E3B5B"/>
    <w:rsid w:val="004E43F7"/>
    <w:rsid w:val="004E4711"/>
    <w:rsid w:val="004E4B8E"/>
    <w:rsid w:val="004E63D2"/>
    <w:rsid w:val="004E6AFD"/>
    <w:rsid w:val="004E78BB"/>
    <w:rsid w:val="004E7CCB"/>
    <w:rsid w:val="004F06CE"/>
    <w:rsid w:val="004F0F3B"/>
    <w:rsid w:val="004F20C0"/>
    <w:rsid w:val="004F20D1"/>
    <w:rsid w:val="004F36F5"/>
    <w:rsid w:val="004F51BE"/>
    <w:rsid w:val="004F711C"/>
    <w:rsid w:val="004F7683"/>
    <w:rsid w:val="004F790C"/>
    <w:rsid w:val="005035F2"/>
    <w:rsid w:val="00504178"/>
    <w:rsid w:val="0051002E"/>
    <w:rsid w:val="0051280B"/>
    <w:rsid w:val="00512E0C"/>
    <w:rsid w:val="00513609"/>
    <w:rsid w:val="00513714"/>
    <w:rsid w:val="00514E98"/>
    <w:rsid w:val="0051578D"/>
    <w:rsid w:val="005159DC"/>
    <w:rsid w:val="0051604D"/>
    <w:rsid w:val="00516BCB"/>
    <w:rsid w:val="00517A20"/>
    <w:rsid w:val="00517A3A"/>
    <w:rsid w:val="00520C05"/>
    <w:rsid w:val="00521A0B"/>
    <w:rsid w:val="0052258E"/>
    <w:rsid w:val="005229D2"/>
    <w:rsid w:val="00522A6C"/>
    <w:rsid w:val="0052415D"/>
    <w:rsid w:val="005242D0"/>
    <w:rsid w:val="0052570C"/>
    <w:rsid w:val="00526B3E"/>
    <w:rsid w:val="005277CF"/>
    <w:rsid w:val="005304F7"/>
    <w:rsid w:val="00530EB2"/>
    <w:rsid w:val="005321C8"/>
    <w:rsid w:val="005322DF"/>
    <w:rsid w:val="005328CC"/>
    <w:rsid w:val="005353E4"/>
    <w:rsid w:val="00536A7A"/>
    <w:rsid w:val="00540199"/>
    <w:rsid w:val="0054277C"/>
    <w:rsid w:val="005429E6"/>
    <w:rsid w:val="00544CEA"/>
    <w:rsid w:val="005454E8"/>
    <w:rsid w:val="00545F00"/>
    <w:rsid w:val="00546F64"/>
    <w:rsid w:val="005522B8"/>
    <w:rsid w:val="0055297F"/>
    <w:rsid w:val="005532B1"/>
    <w:rsid w:val="00553BA3"/>
    <w:rsid w:val="00553FC7"/>
    <w:rsid w:val="005542AD"/>
    <w:rsid w:val="00554C4A"/>
    <w:rsid w:val="0055519B"/>
    <w:rsid w:val="00555EE2"/>
    <w:rsid w:val="00557472"/>
    <w:rsid w:val="00560764"/>
    <w:rsid w:val="0056085B"/>
    <w:rsid w:val="00560F0E"/>
    <w:rsid w:val="00561E47"/>
    <w:rsid w:val="0056505E"/>
    <w:rsid w:val="0056730D"/>
    <w:rsid w:val="00567719"/>
    <w:rsid w:val="00574851"/>
    <w:rsid w:val="00574A04"/>
    <w:rsid w:val="0057599B"/>
    <w:rsid w:val="00577CE1"/>
    <w:rsid w:val="005807AC"/>
    <w:rsid w:val="00582C05"/>
    <w:rsid w:val="005835BE"/>
    <w:rsid w:val="0058454D"/>
    <w:rsid w:val="00585F76"/>
    <w:rsid w:val="00586349"/>
    <w:rsid w:val="00590370"/>
    <w:rsid w:val="005905E6"/>
    <w:rsid w:val="005913D8"/>
    <w:rsid w:val="005919E9"/>
    <w:rsid w:val="005934B8"/>
    <w:rsid w:val="005945BC"/>
    <w:rsid w:val="005965AB"/>
    <w:rsid w:val="00597991"/>
    <w:rsid w:val="005A031A"/>
    <w:rsid w:val="005A0938"/>
    <w:rsid w:val="005A660B"/>
    <w:rsid w:val="005A661E"/>
    <w:rsid w:val="005A7251"/>
    <w:rsid w:val="005B186C"/>
    <w:rsid w:val="005B2B48"/>
    <w:rsid w:val="005B464B"/>
    <w:rsid w:val="005C07CC"/>
    <w:rsid w:val="005C29BC"/>
    <w:rsid w:val="005D2B33"/>
    <w:rsid w:val="005D3526"/>
    <w:rsid w:val="005D35E7"/>
    <w:rsid w:val="005D4884"/>
    <w:rsid w:val="005D7B37"/>
    <w:rsid w:val="005E108F"/>
    <w:rsid w:val="005E2EDD"/>
    <w:rsid w:val="005E341E"/>
    <w:rsid w:val="005E35B0"/>
    <w:rsid w:val="005E3EB3"/>
    <w:rsid w:val="005E477B"/>
    <w:rsid w:val="005E52E6"/>
    <w:rsid w:val="005E69EC"/>
    <w:rsid w:val="005E77FB"/>
    <w:rsid w:val="005F2F9D"/>
    <w:rsid w:val="005F64E1"/>
    <w:rsid w:val="005F64FF"/>
    <w:rsid w:val="005F71D0"/>
    <w:rsid w:val="00600AE9"/>
    <w:rsid w:val="0060169E"/>
    <w:rsid w:val="00601D07"/>
    <w:rsid w:val="0060403A"/>
    <w:rsid w:val="006052B5"/>
    <w:rsid w:val="006060B1"/>
    <w:rsid w:val="006079EB"/>
    <w:rsid w:val="00611063"/>
    <w:rsid w:val="006112E3"/>
    <w:rsid w:val="0061494C"/>
    <w:rsid w:val="00614CA6"/>
    <w:rsid w:val="006153CD"/>
    <w:rsid w:val="006168D8"/>
    <w:rsid w:val="006233F2"/>
    <w:rsid w:val="00623A91"/>
    <w:rsid w:val="0062431E"/>
    <w:rsid w:val="00624552"/>
    <w:rsid w:val="006258D5"/>
    <w:rsid w:val="00626621"/>
    <w:rsid w:val="00627F6C"/>
    <w:rsid w:val="00630842"/>
    <w:rsid w:val="0063105E"/>
    <w:rsid w:val="00632215"/>
    <w:rsid w:val="006344A1"/>
    <w:rsid w:val="00634A93"/>
    <w:rsid w:val="0063624C"/>
    <w:rsid w:val="00637438"/>
    <w:rsid w:val="00637BCB"/>
    <w:rsid w:val="00640FB8"/>
    <w:rsid w:val="0064100C"/>
    <w:rsid w:val="00641B42"/>
    <w:rsid w:val="00642712"/>
    <w:rsid w:val="00642D6E"/>
    <w:rsid w:val="00650938"/>
    <w:rsid w:val="00651130"/>
    <w:rsid w:val="0065376B"/>
    <w:rsid w:val="00654780"/>
    <w:rsid w:val="00654AA9"/>
    <w:rsid w:val="00654AEE"/>
    <w:rsid w:val="006571A8"/>
    <w:rsid w:val="00657EA5"/>
    <w:rsid w:val="00660AC1"/>
    <w:rsid w:val="00660DAF"/>
    <w:rsid w:val="006616F2"/>
    <w:rsid w:val="00663458"/>
    <w:rsid w:val="00663D68"/>
    <w:rsid w:val="00664223"/>
    <w:rsid w:val="0066577F"/>
    <w:rsid w:val="00667109"/>
    <w:rsid w:val="00670270"/>
    <w:rsid w:val="00670AA6"/>
    <w:rsid w:val="00672112"/>
    <w:rsid w:val="006721BC"/>
    <w:rsid w:val="00672A64"/>
    <w:rsid w:val="0067594E"/>
    <w:rsid w:val="00677307"/>
    <w:rsid w:val="00680084"/>
    <w:rsid w:val="00680494"/>
    <w:rsid w:val="0068234F"/>
    <w:rsid w:val="006825C0"/>
    <w:rsid w:val="00682920"/>
    <w:rsid w:val="00682F93"/>
    <w:rsid w:val="0068330E"/>
    <w:rsid w:val="0068356F"/>
    <w:rsid w:val="00685D17"/>
    <w:rsid w:val="006867C7"/>
    <w:rsid w:val="00686F14"/>
    <w:rsid w:val="00687DEE"/>
    <w:rsid w:val="00691C32"/>
    <w:rsid w:val="00692587"/>
    <w:rsid w:val="00693F04"/>
    <w:rsid w:val="00694F2E"/>
    <w:rsid w:val="006A0460"/>
    <w:rsid w:val="006A40A1"/>
    <w:rsid w:val="006A5463"/>
    <w:rsid w:val="006A5CA7"/>
    <w:rsid w:val="006A68C3"/>
    <w:rsid w:val="006A7062"/>
    <w:rsid w:val="006A7A5B"/>
    <w:rsid w:val="006B002C"/>
    <w:rsid w:val="006B2719"/>
    <w:rsid w:val="006B2AAA"/>
    <w:rsid w:val="006B554E"/>
    <w:rsid w:val="006B62CF"/>
    <w:rsid w:val="006B7DDA"/>
    <w:rsid w:val="006C1428"/>
    <w:rsid w:val="006C29AD"/>
    <w:rsid w:val="006C2C3A"/>
    <w:rsid w:val="006C388B"/>
    <w:rsid w:val="006C4EEE"/>
    <w:rsid w:val="006C6042"/>
    <w:rsid w:val="006D2571"/>
    <w:rsid w:val="006D3FF3"/>
    <w:rsid w:val="006D4580"/>
    <w:rsid w:val="006D4D0F"/>
    <w:rsid w:val="006D52BC"/>
    <w:rsid w:val="006D6455"/>
    <w:rsid w:val="006D7416"/>
    <w:rsid w:val="006E211C"/>
    <w:rsid w:val="006E25F7"/>
    <w:rsid w:val="006E38B6"/>
    <w:rsid w:val="006E54DA"/>
    <w:rsid w:val="006E6B83"/>
    <w:rsid w:val="006F1A31"/>
    <w:rsid w:val="006F33B8"/>
    <w:rsid w:val="006F3490"/>
    <w:rsid w:val="006F37EB"/>
    <w:rsid w:val="006F48C4"/>
    <w:rsid w:val="006F55B1"/>
    <w:rsid w:val="006F689D"/>
    <w:rsid w:val="00703103"/>
    <w:rsid w:val="00703C4D"/>
    <w:rsid w:val="00706289"/>
    <w:rsid w:val="007064A4"/>
    <w:rsid w:val="00706926"/>
    <w:rsid w:val="00706DD6"/>
    <w:rsid w:val="007114EC"/>
    <w:rsid w:val="00714991"/>
    <w:rsid w:val="007156AB"/>
    <w:rsid w:val="00715707"/>
    <w:rsid w:val="00716987"/>
    <w:rsid w:val="00716D58"/>
    <w:rsid w:val="007217C5"/>
    <w:rsid w:val="007268BA"/>
    <w:rsid w:val="00727998"/>
    <w:rsid w:val="00732FC6"/>
    <w:rsid w:val="007342C0"/>
    <w:rsid w:val="00737D80"/>
    <w:rsid w:val="00737EA9"/>
    <w:rsid w:val="00743064"/>
    <w:rsid w:val="0074324F"/>
    <w:rsid w:val="00745FDA"/>
    <w:rsid w:val="0074629F"/>
    <w:rsid w:val="00750D87"/>
    <w:rsid w:val="00753B88"/>
    <w:rsid w:val="00753B93"/>
    <w:rsid w:val="00754361"/>
    <w:rsid w:val="007549C2"/>
    <w:rsid w:val="0075584E"/>
    <w:rsid w:val="0075704A"/>
    <w:rsid w:val="00757317"/>
    <w:rsid w:val="00761FB2"/>
    <w:rsid w:val="007636CD"/>
    <w:rsid w:val="00764560"/>
    <w:rsid w:val="007656C0"/>
    <w:rsid w:val="0076768E"/>
    <w:rsid w:val="00767D2F"/>
    <w:rsid w:val="007719AF"/>
    <w:rsid w:val="0077246F"/>
    <w:rsid w:val="00773B0F"/>
    <w:rsid w:val="0077776D"/>
    <w:rsid w:val="00777B0A"/>
    <w:rsid w:val="00780383"/>
    <w:rsid w:val="00780EE1"/>
    <w:rsid w:val="0078113A"/>
    <w:rsid w:val="007811A5"/>
    <w:rsid w:val="007813F6"/>
    <w:rsid w:val="0078373B"/>
    <w:rsid w:val="00785618"/>
    <w:rsid w:val="0079051A"/>
    <w:rsid w:val="00794DF9"/>
    <w:rsid w:val="00796AFB"/>
    <w:rsid w:val="007A5A0E"/>
    <w:rsid w:val="007A7F71"/>
    <w:rsid w:val="007B0941"/>
    <w:rsid w:val="007B18AA"/>
    <w:rsid w:val="007B2B5F"/>
    <w:rsid w:val="007B468F"/>
    <w:rsid w:val="007B4A8D"/>
    <w:rsid w:val="007B4EBD"/>
    <w:rsid w:val="007C3772"/>
    <w:rsid w:val="007C4A6B"/>
    <w:rsid w:val="007C4FAC"/>
    <w:rsid w:val="007C5C3E"/>
    <w:rsid w:val="007C7CF1"/>
    <w:rsid w:val="007D0EE3"/>
    <w:rsid w:val="007D1BB4"/>
    <w:rsid w:val="007D1F99"/>
    <w:rsid w:val="007D2287"/>
    <w:rsid w:val="007D2B7C"/>
    <w:rsid w:val="007D31BB"/>
    <w:rsid w:val="007D6371"/>
    <w:rsid w:val="007E1C40"/>
    <w:rsid w:val="007E4E41"/>
    <w:rsid w:val="007E4FD0"/>
    <w:rsid w:val="007E52F9"/>
    <w:rsid w:val="007E5FDF"/>
    <w:rsid w:val="007E75FC"/>
    <w:rsid w:val="007E7DCD"/>
    <w:rsid w:val="007F013D"/>
    <w:rsid w:val="007F0D18"/>
    <w:rsid w:val="007F17D3"/>
    <w:rsid w:val="007F2187"/>
    <w:rsid w:val="007F28D6"/>
    <w:rsid w:val="007F32FA"/>
    <w:rsid w:val="007F37EF"/>
    <w:rsid w:val="007F3A48"/>
    <w:rsid w:val="007F453E"/>
    <w:rsid w:val="007F49B3"/>
    <w:rsid w:val="007F4D33"/>
    <w:rsid w:val="007F50D5"/>
    <w:rsid w:val="007F655D"/>
    <w:rsid w:val="007F719A"/>
    <w:rsid w:val="00800857"/>
    <w:rsid w:val="00800E31"/>
    <w:rsid w:val="008014AF"/>
    <w:rsid w:val="008033D4"/>
    <w:rsid w:val="00805CDC"/>
    <w:rsid w:val="00805E2E"/>
    <w:rsid w:val="00806F26"/>
    <w:rsid w:val="00811698"/>
    <w:rsid w:val="0081207B"/>
    <w:rsid w:val="008133EE"/>
    <w:rsid w:val="008134F3"/>
    <w:rsid w:val="00813A98"/>
    <w:rsid w:val="0081473F"/>
    <w:rsid w:val="00815E35"/>
    <w:rsid w:val="00816DC1"/>
    <w:rsid w:val="00820832"/>
    <w:rsid w:val="00821023"/>
    <w:rsid w:val="0082383E"/>
    <w:rsid w:val="00825035"/>
    <w:rsid w:val="008259A9"/>
    <w:rsid w:val="00826076"/>
    <w:rsid w:val="00831973"/>
    <w:rsid w:val="0083284C"/>
    <w:rsid w:val="00833FDF"/>
    <w:rsid w:val="00835876"/>
    <w:rsid w:val="00836871"/>
    <w:rsid w:val="00837443"/>
    <w:rsid w:val="0084022D"/>
    <w:rsid w:val="00840375"/>
    <w:rsid w:val="0084051A"/>
    <w:rsid w:val="00842AD9"/>
    <w:rsid w:val="0084343F"/>
    <w:rsid w:val="00844893"/>
    <w:rsid w:val="00850057"/>
    <w:rsid w:val="00850CF1"/>
    <w:rsid w:val="00851012"/>
    <w:rsid w:val="00852262"/>
    <w:rsid w:val="0085299F"/>
    <w:rsid w:val="00853D30"/>
    <w:rsid w:val="00854AAB"/>
    <w:rsid w:val="008579D7"/>
    <w:rsid w:val="00857A5E"/>
    <w:rsid w:val="008602C0"/>
    <w:rsid w:val="008611C0"/>
    <w:rsid w:val="00866120"/>
    <w:rsid w:val="0086616D"/>
    <w:rsid w:val="0087007A"/>
    <w:rsid w:val="00871144"/>
    <w:rsid w:val="0087206A"/>
    <w:rsid w:val="00872283"/>
    <w:rsid w:val="008733CE"/>
    <w:rsid w:val="0087340F"/>
    <w:rsid w:val="00875028"/>
    <w:rsid w:val="00876524"/>
    <w:rsid w:val="008804A9"/>
    <w:rsid w:val="00884EFD"/>
    <w:rsid w:val="008859ED"/>
    <w:rsid w:val="00885E95"/>
    <w:rsid w:val="008867C8"/>
    <w:rsid w:val="00887801"/>
    <w:rsid w:val="00887C39"/>
    <w:rsid w:val="00891E93"/>
    <w:rsid w:val="00891EB3"/>
    <w:rsid w:val="00892749"/>
    <w:rsid w:val="00892B18"/>
    <w:rsid w:val="00894112"/>
    <w:rsid w:val="00895CB8"/>
    <w:rsid w:val="008966C6"/>
    <w:rsid w:val="008A17FE"/>
    <w:rsid w:val="008A1B16"/>
    <w:rsid w:val="008A1B9B"/>
    <w:rsid w:val="008A2581"/>
    <w:rsid w:val="008A6B50"/>
    <w:rsid w:val="008B00F3"/>
    <w:rsid w:val="008B08B3"/>
    <w:rsid w:val="008B1E30"/>
    <w:rsid w:val="008B248C"/>
    <w:rsid w:val="008B4072"/>
    <w:rsid w:val="008B494A"/>
    <w:rsid w:val="008B5AC6"/>
    <w:rsid w:val="008B65F2"/>
    <w:rsid w:val="008B7DA8"/>
    <w:rsid w:val="008C29CF"/>
    <w:rsid w:val="008C54BB"/>
    <w:rsid w:val="008C7561"/>
    <w:rsid w:val="008C7927"/>
    <w:rsid w:val="008D045F"/>
    <w:rsid w:val="008D2515"/>
    <w:rsid w:val="008D2A08"/>
    <w:rsid w:val="008D4361"/>
    <w:rsid w:val="008D4EE0"/>
    <w:rsid w:val="008D509F"/>
    <w:rsid w:val="008D5D50"/>
    <w:rsid w:val="008E130C"/>
    <w:rsid w:val="008E2415"/>
    <w:rsid w:val="008E254A"/>
    <w:rsid w:val="008E3258"/>
    <w:rsid w:val="008E4F8E"/>
    <w:rsid w:val="008E5893"/>
    <w:rsid w:val="008E6844"/>
    <w:rsid w:val="008F0602"/>
    <w:rsid w:val="008F1521"/>
    <w:rsid w:val="008F181F"/>
    <w:rsid w:val="008F213A"/>
    <w:rsid w:val="008F3778"/>
    <w:rsid w:val="008F4E38"/>
    <w:rsid w:val="008F7A5E"/>
    <w:rsid w:val="00900405"/>
    <w:rsid w:val="0090395E"/>
    <w:rsid w:val="009044F1"/>
    <w:rsid w:val="00904E0A"/>
    <w:rsid w:val="00905891"/>
    <w:rsid w:val="00905CAF"/>
    <w:rsid w:val="00905D68"/>
    <w:rsid w:val="009079BA"/>
    <w:rsid w:val="0091098F"/>
    <w:rsid w:val="00910DBB"/>
    <w:rsid w:val="00911ECA"/>
    <w:rsid w:val="00913F99"/>
    <w:rsid w:val="009165F1"/>
    <w:rsid w:val="00916B29"/>
    <w:rsid w:val="00920B0D"/>
    <w:rsid w:val="009228CB"/>
    <w:rsid w:val="00922956"/>
    <w:rsid w:val="0092332C"/>
    <w:rsid w:val="00923B40"/>
    <w:rsid w:val="00924F3D"/>
    <w:rsid w:val="009262F9"/>
    <w:rsid w:val="00927104"/>
    <w:rsid w:val="00927890"/>
    <w:rsid w:val="0092793A"/>
    <w:rsid w:val="009279DC"/>
    <w:rsid w:val="009316DB"/>
    <w:rsid w:val="00931ECE"/>
    <w:rsid w:val="00932121"/>
    <w:rsid w:val="00932DFB"/>
    <w:rsid w:val="009368E5"/>
    <w:rsid w:val="00937BED"/>
    <w:rsid w:val="00937C4C"/>
    <w:rsid w:val="00941D90"/>
    <w:rsid w:val="0094202C"/>
    <w:rsid w:val="009427BC"/>
    <w:rsid w:val="00943E05"/>
    <w:rsid w:val="00944C2F"/>
    <w:rsid w:val="00944D7B"/>
    <w:rsid w:val="009452D4"/>
    <w:rsid w:val="0094569C"/>
    <w:rsid w:val="00946195"/>
    <w:rsid w:val="00947135"/>
    <w:rsid w:val="0095157D"/>
    <w:rsid w:val="00952000"/>
    <w:rsid w:val="00952EE5"/>
    <w:rsid w:val="00953409"/>
    <w:rsid w:val="00954261"/>
    <w:rsid w:val="00955377"/>
    <w:rsid w:val="00955647"/>
    <w:rsid w:val="0095715F"/>
    <w:rsid w:val="0095759D"/>
    <w:rsid w:val="009579AF"/>
    <w:rsid w:val="00957F05"/>
    <w:rsid w:val="0096032F"/>
    <w:rsid w:val="00962F5D"/>
    <w:rsid w:val="00963914"/>
    <w:rsid w:val="00963A62"/>
    <w:rsid w:val="00965AB8"/>
    <w:rsid w:val="0096634C"/>
    <w:rsid w:val="009664F4"/>
    <w:rsid w:val="009673D6"/>
    <w:rsid w:val="00967CDA"/>
    <w:rsid w:val="00970EF7"/>
    <w:rsid w:val="009718D6"/>
    <w:rsid w:val="00972769"/>
    <w:rsid w:val="00973009"/>
    <w:rsid w:val="0097333D"/>
    <w:rsid w:val="009739D3"/>
    <w:rsid w:val="0097563C"/>
    <w:rsid w:val="0097577B"/>
    <w:rsid w:val="00976699"/>
    <w:rsid w:val="00976E1D"/>
    <w:rsid w:val="00977AFF"/>
    <w:rsid w:val="00980103"/>
    <w:rsid w:val="00980950"/>
    <w:rsid w:val="00983020"/>
    <w:rsid w:val="0098448A"/>
    <w:rsid w:val="00984592"/>
    <w:rsid w:val="009849EA"/>
    <w:rsid w:val="00984C6C"/>
    <w:rsid w:val="009862B9"/>
    <w:rsid w:val="00987119"/>
    <w:rsid w:val="00990D2E"/>
    <w:rsid w:val="00992301"/>
    <w:rsid w:val="00992BAF"/>
    <w:rsid w:val="00992C36"/>
    <w:rsid w:val="00992D74"/>
    <w:rsid w:val="009A5B3A"/>
    <w:rsid w:val="009A61F3"/>
    <w:rsid w:val="009A7436"/>
    <w:rsid w:val="009A76E1"/>
    <w:rsid w:val="009B054C"/>
    <w:rsid w:val="009B0F49"/>
    <w:rsid w:val="009B163E"/>
    <w:rsid w:val="009B1937"/>
    <w:rsid w:val="009B1A82"/>
    <w:rsid w:val="009B287B"/>
    <w:rsid w:val="009B31BB"/>
    <w:rsid w:val="009B3B4B"/>
    <w:rsid w:val="009B4A19"/>
    <w:rsid w:val="009B58B3"/>
    <w:rsid w:val="009B7A74"/>
    <w:rsid w:val="009C15E4"/>
    <w:rsid w:val="009C5562"/>
    <w:rsid w:val="009C63AB"/>
    <w:rsid w:val="009D03B9"/>
    <w:rsid w:val="009D1045"/>
    <w:rsid w:val="009D152D"/>
    <w:rsid w:val="009D1E05"/>
    <w:rsid w:val="009D1FEB"/>
    <w:rsid w:val="009D313E"/>
    <w:rsid w:val="009D3FEF"/>
    <w:rsid w:val="009D4FD1"/>
    <w:rsid w:val="009D5164"/>
    <w:rsid w:val="009D7608"/>
    <w:rsid w:val="009E12CA"/>
    <w:rsid w:val="009E135C"/>
    <w:rsid w:val="009E1BB4"/>
    <w:rsid w:val="009E1C01"/>
    <w:rsid w:val="009E1DF2"/>
    <w:rsid w:val="009E30DF"/>
    <w:rsid w:val="009E3836"/>
    <w:rsid w:val="009E4710"/>
    <w:rsid w:val="009E741B"/>
    <w:rsid w:val="009F2330"/>
    <w:rsid w:val="009F2D3C"/>
    <w:rsid w:val="009F3B9C"/>
    <w:rsid w:val="009F506A"/>
    <w:rsid w:val="009F695B"/>
    <w:rsid w:val="009F6E74"/>
    <w:rsid w:val="00A0025C"/>
    <w:rsid w:val="00A007E9"/>
    <w:rsid w:val="00A00C24"/>
    <w:rsid w:val="00A00E07"/>
    <w:rsid w:val="00A01319"/>
    <w:rsid w:val="00A01F3E"/>
    <w:rsid w:val="00A04DED"/>
    <w:rsid w:val="00A0618C"/>
    <w:rsid w:val="00A069F2"/>
    <w:rsid w:val="00A06BB6"/>
    <w:rsid w:val="00A10FED"/>
    <w:rsid w:val="00A111D9"/>
    <w:rsid w:val="00A12F75"/>
    <w:rsid w:val="00A16E47"/>
    <w:rsid w:val="00A16F27"/>
    <w:rsid w:val="00A17620"/>
    <w:rsid w:val="00A22168"/>
    <w:rsid w:val="00A227EA"/>
    <w:rsid w:val="00A25449"/>
    <w:rsid w:val="00A257BC"/>
    <w:rsid w:val="00A25A6B"/>
    <w:rsid w:val="00A26C80"/>
    <w:rsid w:val="00A30355"/>
    <w:rsid w:val="00A30950"/>
    <w:rsid w:val="00A3166E"/>
    <w:rsid w:val="00A337DA"/>
    <w:rsid w:val="00A33DF3"/>
    <w:rsid w:val="00A34441"/>
    <w:rsid w:val="00A356D5"/>
    <w:rsid w:val="00A3627B"/>
    <w:rsid w:val="00A36729"/>
    <w:rsid w:val="00A36989"/>
    <w:rsid w:val="00A377EB"/>
    <w:rsid w:val="00A40011"/>
    <w:rsid w:val="00A4233A"/>
    <w:rsid w:val="00A44350"/>
    <w:rsid w:val="00A44BCC"/>
    <w:rsid w:val="00A45699"/>
    <w:rsid w:val="00A46057"/>
    <w:rsid w:val="00A475E7"/>
    <w:rsid w:val="00A47D48"/>
    <w:rsid w:val="00A51101"/>
    <w:rsid w:val="00A51AA7"/>
    <w:rsid w:val="00A52411"/>
    <w:rsid w:val="00A5271C"/>
    <w:rsid w:val="00A5426B"/>
    <w:rsid w:val="00A569F4"/>
    <w:rsid w:val="00A57A94"/>
    <w:rsid w:val="00A61141"/>
    <w:rsid w:val="00A61522"/>
    <w:rsid w:val="00A623C6"/>
    <w:rsid w:val="00A62461"/>
    <w:rsid w:val="00A62977"/>
    <w:rsid w:val="00A63ECA"/>
    <w:rsid w:val="00A6755E"/>
    <w:rsid w:val="00A70363"/>
    <w:rsid w:val="00A72566"/>
    <w:rsid w:val="00A7273C"/>
    <w:rsid w:val="00A74665"/>
    <w:rsid w:val="00A7470F"/>
    <w:rsid w:val="00A750FE"/>
    <w:rsid w:val="00A7611B"/>
    <w:rsid w:val="00A76DD5"/>
    <w:rsid w:val="00A77311"/>
    <w:rsid w:val="00A803F6"/>
    <w:rsid w:val="00A80F74"/>
    <w:rsid w:val="00A81E83"/>
    <w:rsid w:val="00A82FB7"/>
    <w:rsid w:val="00A85303"/>
    <w:rsid w:val="00A87A74"/>
    <w:rsid w:val="00A905FD"/>
    <w:rsid w:val="00A91099"/>
    <w:rsid w:val="00A9160A"/>
    <w:rsid w:val="00A93D2E"/>
    <w:rsid w:val="00A9448B"/>
    <w:rsid w:val="00A95B6C"/>
    <w:rsid w:val="00A972DC"/>
    <w:rsid w:val="00A97A26"/>
    <w:rsid w:val="00AA0120"/>
    <w:rsid w:val="00AA0E82"/>
    <w:rsid w:val="00AA222D"/>
    <w:rsid w:val="00AA286A"/>
    <w:rsid w:val="00AA2A44"/>
    <w:rsid w:val="00AA2E6F"/>
    <w:rsid w:val="00AA3217"/>
    <w:rsid w:val="00AA35D3"/>
    <w:rsid w:val="00AA37DA"/>
    <w:rsid w:val="00AA513C"/>
    <w:rsid w:val="00AA544D"/>
    <w:rsid w:val="00AA572B"/>
    <w:rsid w:val="00AA634E"/>
    <w:rsid w:val="00AA63AD"/>
    <w:rsid w:val="00AA673B"/>
    <w:rsid w:val="00AB06D5"/>
    <w:rsid w:val="00AB0926"/>
    <w:rsid w:val="00AB23F7"/>
    <w:rsid w:val="00AB3A9B"/>
    <w:rsid w:val="00AB3D07"/>
    <w:rsid w:val="00AB3D9C"/>
    <w:rsid w:val="00AB3ED4"/>
    <w:rsid w:val="00AB41B1"/>
    <w:rsid w:val="00AB43EE"/>
    <w:rsid w:val="00AB4544"/>
    <w:rsid w:val="00AB4A77"/>
    <w:rsid w:val="00AB6A6E"/>
    <w:rsid w:val="00AB6CA2"/>
    <w:rsid w:val="00AB6CF0"/>
    <w:rsid w:val="00AC01D9"/>
    <w:rsid w:val="00AC0892"/>
    <w:rsid w:val="00AC15B6"/>
    <w:rsid w:val="00AC3C06"/>
    <w:rsid w:val="00AC65C5"/>
    <w:rsid w:val="00AC72AC"/>
    <w:rsid w:val="00AC7624"/>
    <w:rsid w:val="00AC7946"/>
    <w:rsid w:val="00AD020F"/>
    <w:rsid w:val="00AD329F"/>
    <w:rsid w:val="00AD53EE"/>
    <w:rsid w:val="00AD5807"/>
    <w:rsid w:val="00AE01B5"/>
    <w:rsid w:val="00AE0BB4"/>
    <w:rsid w:val="00AE0DC4"/>
    <w:rsid w:val="00AE1A92"/>
    <w:rsid w:val="00AE2BD5"/>
    <w:rsid w:val="00AE2DEC"/>
    <w:rsid w:val="00AE385D"/>
    <w:rsid w:val="00AE40F4"/>
    <w:rsid w:val="00AE43F2"/>
    <w:rsid w:val="00AE5C34"/>
    <w:rsid w:val="00AE5C92"/>
    <w:rsid w:val="00AE6672"/>
    <w:rsid w:val="00AE7538"/>
    <w:rsid w:val="00AF05F3"/>
    <w:rsid w:val="00AF0AA6"/>
    <w:rsid w:val="00AF1186"/>
    <w:rsid w:val="00AF1D25"/>
    <w:rsid w:val="00AF217B"/>
    <w:rsid w:val="00AF2C76"/>
    <w:rsid w:val="00AF5C92"/>
    <w:rsid w:val="00AF5EAB"/>
    <w:rsid w:val="00AF5F12"/>
    <w:rsid w:val="00B0045A"/>
    <w:rsid w:val="00B01162"/>
    <w:rsid w:val="00B01C38"/>
    <w:rsid w:val="00B02C3A"/>
    <w:rsid w:val="00B02F69"/>
    <w:rsid w:val="00B04276"/>
    <w:rsid w:val="00B068D1"/>
    <w:rsid w:val="00B078B1"/>
    <w:rsid w:val="00B12D79"/>
    <w:rsid w:val="00B14097"/>
    <w:rsid w:val="00B14AFF"/>
    <w:rsid w:val="00B14DDB"/>
    <w:rsid w:val="00B15F3B"/>
    <w:rsid w:val="00B213CD"/>
    <w:rsid w:val="00B218AE"/>
    <w:rsid w:val="00B2245E"/>
    <w:rsid w:val="00B22EB8"/>
    <w:rsid w:val="00B306BC"/>
    <w:rsid w:val="00B3095A"/>
    <w:rsid w:val="00B31EB8"/>
    <w:rsid w:val="00B3331A"/>
    <w:rsid w:val="00B34CED"/>
    <w:rsid w:val="00B366B3"/>
    <w:rsid w:val="00B36D53"/>
    <w:rsid w:val="00B4029C"/>
    <w:rsid w:val="00B411C2"/>
    <w:rsid w:val="00B420AA"/>
    <w:rsid w:val="00B438B8"/>
    <w:rsid w:val="00B44172"/>
    <w:rsid w:val="00B45EDF"/>
    <w:rsid w:val="00B460AA"/>
    <w:rsid w:val="00B478E6"/>
    <w:rsid w:val="00B479F2"/>
    <w:rsid w:val="00B504B0"/>
    <w:rsid w:val="00B50CBE"/>
    <w:rsid w:val="00B5313A"/>
    <w:rsid w:val="00B53197"/>
    <w:rsid w:val="00B54F8A"/>
    <w:rsid w:val="00B55D8D"/>
    <w:rsid w:val="00B56409"/>
    <w:rsid w:val="00B566D3"/>
    <w:rsid w:val="00B5749E"/>
    <w:rsid w:val="00B6078A"/>
    <w:rsid w:val="00B60FF9"/>
    <w:rsid w:val="00B61223"/>
    <w:rsid w:val="00B62824"/>
    <w:rsid w:val="00B66989"/>
    <w:rsid w:val="00B66D12"/>
    <w:rsid w:val="00B70C0A"/>
    <w:rsid w:val="00B714F2"/>
    <w:rsid w:val="00B71562"/>
    <w:rsid w:val="00B72F44"/>
    <w:rsid w:val="00B73DC7"/>
    <w:rsid w:val="00B741BB"/>
    <w:rsid w:val="00B743C1"/>
    <w:rsid w:val="00B74531"/>
    <w:rsid w:val="00B74AC5"/>
    <w:rsid w:val="00B75505"/>
    <w:rsid w:val="00B75C91"/>
    <w:rsid w:val="00B766C9"/>
    <w:rsid w:val="00B76741"/>
    <w:rsid w:val="00B77651"/>
    <w:rsid w:val="00B83DFC"/>
    <w:rsid w:val="00B852DA"/>
    <w:rsid w:val="00B864DD"/>
    <w:rsid w:val="00B91D70"/>
    <w:rsid w:val="00B92622"/>
    <w:rsid w:val="00B929C4"/>
    <w:rsid w:val="00B932DB"/>
    <w:rsid w:val="00B943B9"/>
    <w:rsid w:val="00B974DF"/>
    <w:rsid w:val="00B975E7"/>
    <w:rsid w:val="00B977FD"/>
    <w:rsid w:val="00BA09DF"/>
    <w:rsid w:val="00BA0D74"/>
    <w:rsid w:val="00BA0FB0"/>
    <w:rsid w:val="00BA328A"/>
    <w:rsid w:val="00BA4955"/>
    <w:rsid w:val="00BA4FFC"/>
    <w:rsid w:val="00BA5045"/>
    <w:rsid w:val="00BA5B04"/>
    <w:rsid w:val="00BA5B55"/>
    <w:rsid w:val="00BA645E"/>
    <w:rsid w:val="00BA71DB"/>
    <w:rsid w:val="00BB0B9D"/>
    <w:rsid w:val="00BB1978"/>
    <w:rsid w:val="00BB38EC"/>
    <w:rsid w:val="00BB4095"/>
    <w:rsid w:val="00BB41E6"/>
    <w:rsid w:val="00BB52B2"/>
    <w:rsid w:val="00BB67A6"/>
    <w:rsid w:val="00BC0A6C"/>
    <w:rsid w:val="00BC0B53"/>
    <w:rsid w:val="00BC172A"/>
    <w:rsid w:val="00BC2BAD"/>
    <w:rsid w:val="00BC3B9D"/>
    <w:rsid w:val="00BC3EF9"/>
    <w:rsid w:val="00BC42AC"/>
    <w:rsid w:val="00BC478C"/>
    <w:rsid w:val="00BC4A45"/>
    <w:rsid w:val="00BC4FC6"/>
    <w:rsid w:val="00BC523C"/>
    <w:rsid w:val="00BC5D96"/>
    <w:rsid w:val="00BC6178"/>
    <w:rsid w:val="00BC6B04"/>
    <w:rsid w:val="00BC6CD4"/>
    <w:rsid w:val="00BC723C"/>
    <w:rsid w:val="00BC79BB"/>
    <w:rsid w:val="00BC7B0D"/>
    <w:rsid w:val="00BD0CE4"/>
    <w:rsid w:val="00BD13D9"/>
    <w:rsid w:val="00BD1610"/>
    <w:rsid w:val="00BD2AEC"/>
    <w:rsid w:val="00BD306A"/>
    <w:rsid w:val="00BD403B"/>
    <w:rsid w:val="00BD6291"/>
    <w:rsid w:val="00BD7B6F"/>
    <w:rsid w:val="00BD7CAE"/>
    <w:rsid w:val="00BE00B9"/>
    <w:rsid w:val="00BE03D2"/>
    <w:rsid w:val="00BE076E"/>
    <w:rsid w:val="00BE0937"/>
    <w:rsid w:val="00BE0C9E"/>
    <w:rsid w:val="00BE1ABF"/>
    <w:rsid w:val="00BE249B"/>
    <w:rsid w:val="00BE3DDE"/>
    <w:rsid w:val="00BE4CCA"/>
    <w:rsid w:val="00BE4FD1"/>
    <w:rsid w:val="00BE5426"/>
    <w:rsid w:val="00BE734A"/>
    <w:rsid w:val="00BE7BDA"/>
    <w:rsid w:val="00BF13FC"/>
    <w:rsid w:val="00BF1560"/>
    <w:rsid w:val="00BF1E62"/>
    <w:rsid w:val="00BF1E8F"/>
    <w:rsid w:val="00BF1EE0"/>
    <w:rsid w:val="00BF21AC"/>
    <w:rsid w:val="00BF2EA4"/>
    <w:rsid w:val="00BF4720"/>
    <w:rsid w:val="00BF7CD9"/>
    <w:rsid w:val="00BF7DA7"/>
    <w:rsid w:val="00C02E59"/>
    <w:rsid w:val="00C039BC"/>
    <w:rsid w:val="00C0584D"/>
    <w:rsid w:val="00C05DFC"/>
    <w:rsid w:val="00C06B0C"/>
    <w:rsid w:val="00C06D20"/>
    <w:rsid w:val="00C075D8"/>
    <w:rsid w:val="00C1253F"/>
    <w:rsid w:val="00C1350C"/>
    <w:rsid w:val="00C14878"/>
    <w:rsid w:val="00C20239"/>
    <w:rsid w:val="00C22A4C"/>
    <w:rsid w:val="00C22BC0"/>
    <w:rsid w:val="00C232E8"/>
    <w:rsid w:val="00C233FE"/>
    <w:rsid w:val="00C23953"/>
    <w:rsid w:val="00C245AB"/>
    <w:rsid w:val="00C2603B"/>
    <w:rsid w:val="00C312A6"/>
    <w:rsid w:val="00C31442"/>
    <w:rsid w:val="00C31A8F"/>
    <w:rsid w:val="00C31C36"/>
    <w:rsid w:val="00C31D45"/>
    <w:rsid w:val="00C32538"/>
    <w:rsid w:val="00C34CAE"/>
    <w:rsid w:val="00C360C1"/>
    <w:rsid w:val="00C37367"/>
    <w:rsid w:val="00C3772C"/>
    <w:rsid w:val="00C378AD"/>
    <w:rsid w:val="00C37992"/>
    <w:rsid w:val="00C37FCF"/>
    <w:rsid w:val="00C407B6"/>
    <w:rsid w:val="00C42908"/>
    <w:rsid w:val="00C4292A"/>
    <w:rsid w:val="00C44842"/>
    <w:rsid w:val="00C451CF"/>
    <w:rsid w:val="00C459AC"/>
    <w:rsid w:val="00C465FA"/>
    <w:rsid w:val="00C466F3"/>
    <w:rsid w:val="00C46A96"/>
    <w:rsid w:val="00C50415"/>
    <w:rsid w:val="00C50EE8"/>
    <w:rsid w:val="00C51A11"/>
    <w:rsid w:val="00C522E3"/>
    <w:rsid w:val="00C54160"/>
    <w:rsid w:val="00C561A2"/>
    <w:rsid w:val="00C57A59"/>
    <w:rsid w:val="00C57AFD"/>
    <w:rsid w:val="00C57D62"/>
    <w:rsid w:val="00C6113C"/>
    <w:rsid w:val="00C63FC4"/>
    <w:rsid w:val="00C64C05"/>
    <w:rsid w:val="00C661FC"/>
    <w:rsid w:val="00C67701"/>
    <w:rsid w:val="00C71F73"/>
    <w:rsid w:val="00C7277A"/>
    <w:rsid w:val="00C73B03"/>
    <w:rsid w:val="00C73E7E"/>
    <w:rsid w:val="00C74AE1"/>
    <w:rsid w:val="00C771CA"/>
    <w:rsid w:val="00C803D4"/>
    <w:rsid w:val="00C814FF"/>
    <w:rsid w:val="00C823C2"/>
    <w:rsid w:val="00C838B6"/>
    <w:rsid w:val="00C85534"/>
    <w:rsid w:val="00C857EC"/>
    <w:rsid w:val="00C86620"/>
    <w:rsid w:val="00C86FA6"/>
    <w:rsid w:val="00C9229E"/>
    <w:rsid w:val="00C9420D"/>
    <w:rsid w:val="00C94838"/>
    <w:rsid w:val="00C953C1"/>
    <w:rsid w:val="00CA06D6"/>
    <w:rsid w:val="00CA1577"/>
    <w:rsid w:val="00CA28AD"/>
    <w:rsid w:val="00CA35D2"/>
    <w:rsid w:val="00CA5120"/>
    <w:rsid w:val="00CA5632"/>
    <w:rsid w:val="00CA6002"/>
    <w:rsid w:val="00CA6210"/>
    <w:rsid w:val="00CA667F"/>
    <w:rsid w:val="00CA67C5"/>
    <w:rsid w:val="00CA7905"/>
    <w:rsid w:val="00CA7A29"/>
    <w:rsid w:val="00CB1206"/>
    <w:rsid w:val="00CB5606"/>
    <w:rsid w:val="00CB7A36"/>
    <w:rsid w:val="00CC0953"/>
    <w:rsid w:val="00CC1E67"/>
    <w:rsid w:val="00CC3C91"/>
    <w:rsid w:val="00CC683D"/>
    <w:rsid w:val="00CC6957"/>
    <w:rsid w:val="00CD0083"/>
    <w:rsid w:val="00CD1871"/>
    <w:rsid w:val="00CD284B"/>
    <w:rsid w:val="00CD47A6"/>
    <w:rsid w:val="00CD4F8B"/>
    <w:rsid w:val="00CD5769"/>
    <w:rsid w:val="00CD6A0A"/>
    <w:rsid w:val="00CD7EBC"/>
    <w:rsid w:val="00CE085E"/>
    <w:rsid w:val="00CE1B3B"/>
    <w:rsid w:val="00CE22DE"/>
    <w:rsid w:val="00CE2724"/>
    <w:rsid w:val="00CE3771"/>
    <w:rsid w:val="00CE41CF"/>
    <w:rsid w:val="00CE66C9"/>
    <w:rsid w:val="00CE6A08"/>
    <w:rsid w:val="00CF23E3"/>
    <w:rsid w:val="00CF38A8"/>
    <w:rsid w:val="00CF38ED"/>
    <w:rsid w:val="00CF5494"/>
    <w:rsid w:val="00CF5A63"/>
    <w:rsid w:val="00CF7E6B"/>
    <w:rsid w:val="00D000E9"/>
    <w:rsid w:val="00D01A17"/>
    <w:rsid w:val="00D01FF9"/>
    <w:rsid w:val="00D03C5B"/>
    <w:rsid w:val="00D10D78"/>
    <w:rsid w:val="00D11F27"/>
    <w:rsid w:val="00D124D8"/>
    <w:rsid w:val="00D12646"/>
    <w:rsid w:val="00D1318D"/>
    <w:rsid w:val="00D13221"/>
    <w:rsid w:val="00D150DC"/>
    <w:rsid w:val="00D15C58"/>
    <w:rsid w:val="00D2002B"/>
    <w:rsid w:val="00D20366"/>
    <w:rsid w:val="00D21E0C"/>
    <w:rsid w:val="00D233C0"/>
    <w:rsid w:val="00D25081"/>
    <w:rsid w:val="00D25E62"/>
    <w:rsid w:val="00D26915"/>
    <w:rsid w:val="00D269B0"/>
    <w:rsid w:val="00D2746C"/>
    <w:rsid w:val="00D27B14"/>
    <w:rsid w:val="00D326BC"/>
    <w:rsid w:val="00D32DB6"/>
    <w:rsid w:val="00D344CF"/>
    <w:rsid w:val="00D345DB"/>
    <w:rsid w:val="00D350C7"/>
    <w:rsid w:val="00D3550A"/>
    <w:rsid w:val="00D36FEF"/>
    <w:rsid w:val="00D41794"/>
    <w:rsid w:val="00D418DC"/>
    <w:rsid w:val="00D443F7"/>
    <w:rsid w:val="00D44A99"/>
    <w:rsid w:val="00D451C6"/>
    <w:rsid w:val="00D462BE"/>
    <w:rsid w:val="00D47971"/>
    <w:rsid w:val="00D50EFF"/>
    <w:rsid w:val="00D51A02"/>
    <w:rsid w:val="00D5216F"/>
    <w:rsid w:val="00D527C9"/>
    <w:rsid w:val="00D53D93"/>
    <w:rsid w:val="00D53E5E"/>
    <w:rsid w:val="00D54DDA"/>
    <w:rsid w:val="00D613CE"/>
    <w:rsid w:val="00D620D3"/>
    <w:rsid w:val="00D62589"/>
    <w:rsid w:val="00D62FA1"/>
    <w:rsid w:val="00D6343B"/>
    <w:rsid w:val="00D63FB5"/>
    <w:rsid w:val="00D645D2"/>
    <w:rsid w:val="00D64BAE"/>
    <w:rsid w:val="00D65501"/>
    <w:rsid w:val="00D67C9F"/>
    <w:rsid w:val="00D72DB5"/>
    <w:rsid w:val="00D74DC2"/>
    <w:rsid w:val="00D7529C"/>
    <w:rsid w:val="00D757B0"/>
    <w:rsid w:val="00D761C6"/>
    <w:rsid w:val="00D7682D"/>
    <w:rsid w:val="00D76CF3"/>
    <w:rsid w:val="00D77A6A"/>
    <w:rsid w:val="00D81A50"/>
    <w:rsid w:val="00D8331E"/>
    <w:rsid w:val="00D8399E"/>
    <w:rsid w:val="00D84F21"/>
    <w:rsid w:val="00D85E41"/>
    <w:rsid w:val="00D85F70"/>
    <w:rsid w:val="00D86C7F"/>
    <w:rsid w:val="00D908D2"/>
    <w:rsid w:val="00D91188"/>
    <w:rsid w:val="00D927FC"/>
    <w:rsid w:val="00D93947"/>
    <w:rsid w:val="00D954E9"/>
    <w:rsid w:val="00D96BBC"/>
    <w:rsid w:val="00D96E34"/>
    <w:rsid w:val="00D9703C"/>
    <w:rsid w:val="00DA044B"/>
    <w:rsid w:val="00DA07C4"/>
    <w:rsid w:val="00DA1702"/>
    <w:rsid w:val="00DA262B"/>
    <w:rsid w:val="00DA3F11"/>
    <w:rsid w:val="00DA43D7"/>
    <w:rsid w:val="00DA47F6"/>
    <w:rsid w:val="00DA4E3D"/>
    <w:rsid w:val="00DA5422"/>
    <w:rsid w:val="00DA6189"/>
    <w:rsid w:val="00DA7993"/>
    <w:rsid w:val="00DB07B3"/>
    <w:rsid w:val="00DB129F"/>
    <w:rsid w:val="00DB3F06"/>
    <w:rsid w:val="00DB5434"/>
    <w:rsid w:val="00DB64D4"/>
    <w:rsid w:val="00DB6775"/>
    <w:rsid w:val="00DC067E"/>
    <w:rsid w:val="00DC10E6"/>
    <w:rsid w:val="00DC1257"/>
    <w:rsid w:val="00DC154E"/>
    <w:rsid w:val="00DC2F68"/>
    <w:rsid w:val="00DC465D"/>
    <w:rsid w:val="00DC7FF2"/>
    <w:rsid w:val="00DD21E7"/>
    <w:rsid w:val="00DD2BDF"/>
    <w:rsid w:val="00DD5F23"/>
    <w:rsid w:val="00DD753A"/>
    <w:rsid w:val="00DD78FB"/>
    <w:rsid w:val="00DE1E73"/>
    <w:rsid w:val="00DE2B32"/>
    <w:rsid w:val="00DE409A"/>
    <w:rsid w:val="00DE5683"/>
    <w:rsid w:val="00DE6032"/>
    <w:rsid w:val="00DF189C"/>
    <w:rsid w:val="00DF18F1"/>
    <w:rsid w:val="00DF2D74"/>
    <w:rsid w:val="00DF3504"/>
    <w:rsid w:val="00DF55A1"/>
    <w:rsid w:val="00DF565D"/>
    <w:rsid w:val="00E019D4"/>
    <w:rsid w:val="00E02347"/>
    <w:rsid w:val="00E028A4"/>
    <w:rsid w:val="00E0331B"/>
    <w:rsid w:val="00E04C5F"/>
    <w:rsid w:val="00E04CD5"/>
    <w:rsid w:val="00E04D7C"/>
    <w:rsid w:val="00E06E13"/>
    <w:rsid w:val="00E07C8E"/>
    <w:rsid w:val="00E11974"/>
    <w:rsid w:val="00E13057"/>
    <w:rsid w:val="00E21E02"/>
    <w:rsid w:val="00E2452B"/>
    <w:rsid w:val="00E2458E"/>
    <w:rsid w:val="00E24EA2"/>
    <w:rsid w:val="00E25816"/>
    <w:rsid w:val="00E2716B"/>
    <w:rsid w:val="00E274B9"/>
    <w:rsid w:val="00E279B6"/>
    <w:rsid w:val="00E27CD6"/>
    <w:rsid w:val="00E31258"/>
    <w:rsid w:val="00E32811"/>
    <w:rsid w:val="00E329F2"/>
    <w:rsid w:val="00E334A1"/>
    <w:rsid w:val="00E34D83"/>
    <w:rsid w:val="00E3643B"/>
    <w:rsid w:val="00E408D2"/>
    <w:rsid w:val="00E43A55"/>
    <w:rsid w:val="00E45C56"/>
    <w:rsid w:val="00E4664E"/>
    <w:rsid w:val="00E469DD"/>
    <w:rsid w:val="00E46AAA"/>
    <w:rsid w:val="00E4779F"/>
    <w:rsid w:val="00E511E2"/>
    <w:rsid w:val="00E51948"/>
    <w:rsid w:val="00E51E28"/>
    <w:rsid w:val="00E5213A"/>
    <w:rsid w:val="00E5469F"/>
    <w:rsid w:val="00E54AD1"/>
    <w:rsid w:val="00E556DC"/>
    <w:rsid w:val="00E618C8"/>
    <w:rsid w:val="00E62B41"/>
    <w:rsid w:val="00E637E3"/>
    <w:rsid w:val="00E6536E"/>
    <w:rsid w:val="00E655B0"/>
    <w:rsid w:val="00E67673"/>
    <w:rsid w:val="00E708C0"/>
    <w:rsid w:val="00E71A97"/>
    <w:rsid w:val="00E73323"/>
    <w:rsid w:val="00E73C17"/>
    <w:rsid w:val="00E75250"/>
    <w:rsid w:val="00E75ABF"/>
    <w:rsid w:val="00E75AE8"/>
    <w:rsid w:val="00E76E03"/>
    <w:rsid w:val="00E80114"/>
    <w:rsid w:val="00E84C6E"/>
    <w:rsid w:val="00E8661B"/>
    <w:rsid w:val="00E93547"/>
    <w:rsid w:val="00E95848"/>
    <w:rsid w:val="00E96813"/>
    <w:rsid w:val="00E972A0"/>
    <w:rsid w:val="00E97466"/>
    <w:rsid w:val="00E97F43"/>
    <w:rsid w:val="00EA0438"/>
    <w:rsid w:val="00EA0C89"/>
    <w:rsid w:val="00EA1D30"/>
    <w:rsid w:val="00EA1D60"/>
    <w:rsid w:val="00EA2F47"/>
    <w:rsid w:val="00EA5543"/>
    <w:rsid w:val="00EA5F02"/>
    <w:rsid w:val="00EA6BCC"/>
    <w:rsid w:val="00EA772A"/>
    <w:rsid w:val="00EB0A4B"/>
    <w:rsid w:val="00EB10CB"/>
    <w:rsid w:val="00EB1FF1"/>
    <w:rsid w:val="00EB3118"/>
    <w:rsid w:val="00EB3A69"/>
    <w:rsid w:val="00EB63FB"/>
    <w:rsid w:val="00EC1E87"/>
    <w:rsid w:val="00EC3198"/>
    <w:rsid w:val="00EC336F"/>
    <w:rsid w:val="00EC36B3"/>
    <w:rsid w:val="00EC4C3F"/>
    <w:rsid w:val="00EC7D6C"/>
    <w:rsid w:val="00ED2F68"/>
    <w:rsid w:val="00ED41F7"/>
    <w:rsid w:val="00ED4AAD"/>
    <w:rsid w:val="00ED5980"/>
    <w:rsid w:val="00EE0757"/>
    <w:rsid w:val="00EE0C2C"/>
    <w:rsid w:val="00EE2AFD"/>
    <w:rsid w:val="00EE360D"/>
    <w:rsid w:val="00EE6A01"/>
    <w:rsid w:val="00EE6AD7"/>
    <w:rsid w:val="00EE6E7B"/>
    <w:rsid w:val="00EF0FB4"/>
    <w:rsid w:val="00EF127E"/>
    <w:rsid w:val="00EF1803"/>
    <w:rsid w:val="00EF25FA"/>
    <w:rsid w:val="00EF3EBD"/>
    <w:rsid w:val="00EF4E0B"/>
    <w:rsid w:val="00EF54CF"/>
    <w:rsid w:val="00EF5FE8"/>
    <w:rsid w:val="00EF6F50"/>
    <w:rsid w:val="00EF71A2"/>
    <w:rsid w:val="00EF7D0D"/>
    <w:rsid w:val="00F007FB"/>
    <w:rsid w:val="00F0178D"/>
    <w:rsid w:val="00F03A83"/>
    <w:rsid w:val="00F043AE"/>
    <w:rsid w:val="00F04C2E"/>
    <w:rsid w:val="00F04D08"/>
    <w:rsid w:val="00F054CE"/>
    <w:rsid w:val="00F06594"/>
    <w:rsid w:val="00F0722E"/>
    <w:rsid w:val="00F0748F"/>
    <w:rsid w:val="00F104C5"/>
    <w:rsid w:val="00F109C2"/>
    <w:rsid w:val="00F10FB0"/>
    <w:rsid w:val="00F1370D"/>
    <w:rsid w:val="00F14C62"/>
    <w:rsid w:val="00F15517"/>
    <w:rsid w:val="00F16A0A"/>
    <w:rsid w:val="00F1721D"/>
    <w:rsid w:val="00F17253"/>
    <w:rsid w:val="00F17F75"/>
    <w:rsid w:val="00F221BF"/>
    <w:rsid w:val="00F225E0"/>
    <w:rsid w:val="00F24F01"/>
    <w:rsid w:val="00F254E1"/>
    <w:rsid w:val="00F256D3"/>
    <w:rsid w:val="00F26802"/>
    <w:rsid w:val="00F3094F"/>
    <w:rsid w:val="00F34C8C"/>
    <w:rsid w:val="00F34E8C"/>
    <w:rsid w:val="00F35709"/>
    <w:rsid w:val="00F35C8B"/>
    <w:rsid w:val="00F37E7C"/>
    <w:rsid w:val="00F40FCF"/>
    <w:rsid w:val="00F43463"/>
    <w:rsid w:val="00F439A3"/>
    <w:rsid w:val="00F45FB6"/>
    <w:rsid w:val="00F52451"/>
    <w:rsid w:val="00F527F6"/>
    <w:rsid w:val="00F52ADC"/>
    <w:rsid w:val="00F542DD"/>
    <w:rsid w:val="00F553C6"/>
    <w:rsid w:val="00F562C4"/>
    <w:rsid w:val="00F564AF"/>
    <w:rsid w:val="00F56BD5"/>
    <w:rsid w:val="00F57636"/>
    <w:rsid w:val="00F61434"/>
    <w:rsid w:val="00F628B7"/>
    <w:rsid w:val="00F62A62"/>
    <w:rsid w:val="00F62F7D"/>
    <w:rsid w:val="00F6323C"/>
    <w:rsid w:val="00F634D5"/>
    <w:rsid w:val="00F63A1D"/>
    <w:rsid w:val="00F65541"/>
    <w:rsid w:val="00F67044"/>
    <w:rsid w:val="00F67F4F"/>
    <w:rsid w:val="00F735FD"/>
    <w:rsid w:val="00F7630B"/>
    <w:rsid w:val="00F768D7"/>
    <w:rsid w:val="00F7729C"/>
    <w:rsid w:val="00F80157"/>
    <w:rsid w:val="00F8045B"/>
    <w:rsid w:val="00F819B4"/>
    <w:rsid w:val="00F851B8"/>
    <w:rsid w:val="00F862F3"/>
    <w:rsid w:val="00F86A56"/>
    <w:rsid w:val="00F87C86"/>
    <w:rsid w:val="00F87ECB"/>
    <w:rsid w:val="00F9005A"/>
    <w:rsid w:val="00F90D45"/>
    <w:rsid w:val="00F910A7"/>
    <w:rsid w:val="00F929A3"/>
    <w:rsid w:val="00F92D22"/>
    <w:rsid w:val="00F937C6"/>
    <w:rsid w:val="00F946A6"/>
    <w:rsid w:val="00F96586"/>
    <w:rsid w:val="00FA0875"/>
    <w:rsid w:val="00FA4448"/>
    <w:rsid w:val="00FA448E"/>
    <w:rsid w:val="00FA45A4"/>
    <w:rsid w:val="00FA70C7"/>
    <w:rsid w:val="00FB061F"/>
    <w:rsid w:val="00FB125C"/>
    <w:rsid w:val="00FB5480"/>
    <w:rsid w:val="00FB554B"/>
    <w:rsid w:val="00FB74C5"/>
    <w:rsid w:val="00FC0C3C"/>
    <w:rsid w:val="00FC0DAC"/>
    <w:rsid w:val="00FC2439"/>
    <w:rsid w:val="00FC537F"/>
    <w:rsid w:val="00FC5CA1"/>
    <w:rsid w:val="00FC67D3"/>
    <w:rsid w:val="00FC7E73"/>
    <w:rsid w:val="00FD4835"/>
    <w:rsid w:val="00FD66CE"/>
    <w:rsid w:val="00FE0FB8"/>
    <w:rsid w:val="00FE1ED7"/>
    <w:rsid w:val="00FE39A0"/>
    <w:rsid w:val="00FE3E3B"/>
    <w:rsid w:val="00FE50AB"/>
    <w:rsid w:val="00FE567B"/>
    <w:rsid w:val="00FE6047"/>
    <w:rsid w:val="00FF08C0"/>
    <w:rsid w:val="00FF1A03"/>
    <w:rsid w:val="00FF1EA0"/>
    <w:rsid w:val="00FF36CF"/>
    <w:rsid w:val="00FF3A23"/>
    <w:rsid w:val="00FF64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DC0EC5"/>
  <w15:docId w15:val="{344B3297-460C-43F3-BD0F-DB51AAC5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061F"/>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F0F3B"/>
    <w:pPr>
      <w:tabs>
        <w:tab w:val="center" w:pos="4680"/>
        <w:tab w:val="right" w:pos="9360"/>
      </w:tabs>
    </w:pPr>
  </w:style>
  <w:style w:type="character" w:customStyle="1" w:styleId="FooterChar">
    <w:name w:val="Footer Char"/>
    <w:basedOn w:val="DefaultParagraphFont"/>
    <w:link w:val="Footer"/>
    <w:uiPriority w:val="99"/>
    <w:rsid w:val="004F0F3B"/>
  </w:style>
  <w:style w:type="character" w:styleId="PageNumber">
    <w:name w:val="page number"/>
    <w:basedOn w:val="DefaultParagraphFont"/>
    <w:uiPriority w:val="99"/>
    <w:semiHidden/>
    <w:unhideWhenUsed/>
    <w:rsid w:val="004F0F3B"/>
  </w:style>
  <w:style w:type="table" w:styleId="TableGrid">
    <w:name w:val="Table Grid"/>
    <w:basedOn w:val="TableNormal"/>
    <w:uiPriority w:val="39"/>
    <w:rsid w:val="004F0F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C0DAC"/>
    <w:pPr>
      <w:tabs>
        <w:tab w:val="center" w:pos="4680"/>
        <w:tab w:val="right" w:pos="9360"/>
      </w:tabs>
    </w:pPr>
  </w:style>
  <w:style w:type="character" w:customStyle="1" w:styleId="HeaderChar">
    <w:name w:val="Header Char"/>
    <w:basedOn w:val="DefaultParagraphFont"/>
    <w:link w:val="Header"/>
    <w:uiPriority w:val="99"/>
    <w:rsid w:val="00FC0DAC"/>
  </w:style>
  <w:style w:type="paragraph" w:styleId="BalloonText">
    <w:name w:val="Balloon Text"/>
    <w:basedOn w:val="Normal"/>
    <w:link w:val="BalloonTextChar"/>
    <w:uiPriority w:val="99"/>
    <w:semiHidden/>
    <w:unhideWhenUsed/>
    <w:rsid w:val="00AB0926"/>
    <w:rPr>
      <w:sz w:val="18"/>
      <w:szCs w:val="18"/>
    </w:rPr>
  </w:style>
  <w:style w:type="character" w:customStyle="1" w:styleId="BalloonTextChar">
    <w:name w:val="Balloon Text Char"/>
    <w:basedOn w:val="DefaultParagraphFont"/>
    <w:link w:val="BalloonText"/>
    <w:uiPriority w:val="99"/>
    <w:semiHidden/>
    <w:rsid w:val="00AB0926"/>
    <w:rPr>
      <w:rFonts w:ascii="Times New Roman" w:hAnsi="Times New Roman" w:cs="Times New Roman"/>
      <w:sz w:val="18"/>
      <w:szCs w:val="18"/>
    </w:rPr>
  </w:style>
  <w:style w:type="character" w:styleId="Hyperlink">
    <w:name w:val="Hyperlink"/>
    <w:basedOn w:val="DefaultParagraphFont"/>
    <w:uiPriority w:val="99"/>
    <w:unhideWhenUsed/>
    <w:rsid w:val="0061494C"/>
    <w:rPr>
      <w:color w:val="0563C1" w:themeColor="hyperlink"/>
      <w:u w:val="single"/>
    </w:rPr>
  </w:style>
  <w:style w:type="character" w:customStyle="1" w:styleId="UnresolvedMention1">
    <w:name w:val="Unresolved Mention1"/>
    <w:basedOn w:val="DefaultParagraphFont"/>
    <w:uiPriority w:val="99"/>
    <w:semiHidden/>
    <w:unhideWhenUsed/>
    <w:rsid w:val="0061494C"/>
    <w:rPr>
      <w:color w:val="605E5C"/>
      <w:shd w:val="clear" w:color="auto" w:fill="E1DFDD"/>
    </w:rPr>
  </w:style>
  <w:style w:type="character" w:styleId="CommentReference">
    <w:name w:val="annotation reference"/>
    <w:basedOn w:val="DefaultParagraphFont"/>
    <w:uiPriority w:val="99"/>
    <w:semiHidden/>
    <w:unhideWhenUsed/>
    <w:rsid w:val="0086616D"/>
    <w:rPr>
      <w:sz w:val="16"/>
      <w:szCs w:val="16"/>
    </w:rPr>
  </w:style>
  <w:style w:type="paragraph" w:styleId="CommentText">
    <w:name w:val="annotation text"/>
    <w:basedOn w:val="Normal"/>
    <w:link w:val="CommentTextChar"/>
    <w:uiPriority w:val="99"/>
    <w:unhideWhenUsed/>
    <w:rsid w:val="0086616D"/>
    <w:rPr>
      <w:sz w:val="20"/>
      <w:szCs w:val="20"/>
    </w:rPr>
  </w:style>
  <w:style w:type="character" w:customStyle="1" w:styleId="CommentTextChar">
    <w:name w:val="Comment Text Char"/>
    <w:basedOn w:val="DefaultParagraphFont"/>
    <w:link w:val="CommentText"/>
    <w:uiPriority w:val="99"/>
    <w:rsid w:val="0086616D"/>
    <w:rPr>
      <w:sz w:val="20"/>
      <w:szCs w:val="20"/>
    </w:rPr>
  </w:style>
  <w:style w:type="paragraph" w:styleId="CommentSubject">
    <w:name w:val="annotation subject"/>
    <w:basedOn w:val="CommentText"/>
    <w:next w:val="CommentText"/>
    <w:link w:val="CommentSubjectChar"/>
    <w:uiPriority w:val="99"/>
    <w:semiHidden/>
    <w:unhideWhenUsed/>
    <w:rsid w:val="0086616D"/>
    <w:rPr>
      <w:b/>
      <w:bCs/>
    </w:rPr>
  </w:style>
  <w:style w:type="character" w:customStyle="1" w:styleId="CommentSubjectChar">
    <w:name w:val="Comment Subject Char"/>
    <w:basedOn w:val="CommentTextChar"/>
    <w:link w:val="CommentSubject"/>
    <w:uiPriority w:val="99"/>
    <w:semiHidden/>
    <w:rsid w:val="0086616D"/>
    <w:rPr>
      <w:b/>
      <w:bCs/>
      <w:sz w:val="20"/>
      <w:szCs w:val="20"/>
    </w:rPr>
  </w:style>
  <w:style w:type="paragraph" w:styleId="ListParagraph">
    <w:name w:val="List Paragraph"/>
    <w:basedOn w:val="Normal"/>
    <w:uiPriority w:val="34"/>
    <w:qFormat/>
    <w:rsid w:val="00FB061F"/>
    <w:pPr>
      <w:ind w:left="720"/>
      <w:contextualSpacing/>
    </w:pPr>
  </w:style>
  <w:style w:type="paragraph" w:styleId="Bibliography">
    <w:name w:val="Bibliography"/>
    <w:basedOn w:val="Normal"/>
    <w:next w:val="Normal"/>
    <w:uiPriority w:val="37"/>
    <w:unhideWhenUsed/>
    <w:rsid w:val="00D11F27"/>
    <w:pPr>
      <w:tabs>
        <w:tab w:val="left" w:pos="380"/>
      </w:tabs>
      <w:spacing w:after="240"/>
      <w:ind w:left="384" w:hanging="384"/>
    </w:pPr>
  </w:style>
  <w:style w:type="paragraph" w:customStyle="1" w:styleId="Style1">
    <w:name w:val="Style1"/>
    <w:basedOn w:val="Normal"/>
    <w:qFormat/>
    <w:rsid w:val="00FC537F"/>
    <w:pPr>
      <w:tabs>
        <w:tab w:val="left" w:pos="-1440"/>
        <w:tab w:val="left" w:pos="-720"/>
      </w:tabs>
      <w:spacing w:line="240" w:lineRule="exact"/>
      <w:ind w:right="360"/>
    </w:pPr>
    <w:rPr>
      <w:rFonts w:eastAsiaTheme="minorHAnsi"/>
      <w:b/>
      <w:kern w:val="2"/>
      <w:sz w:val="28"/>
      <w:szCs w:val="28"/>
      <w14:ligatures w14:val="standardContextual"/>
    </w:rPr>
  </w:style>
  <w:style w:type="character" w:styleId="LineNumber">
    <w:name w:val="line number"/>
    <w:basedOn w:val="DefaultParagraphFont"/>
    <w:uiPriority w:val="99"/>
    <w:semiHidden/>
    <w:unhideWhenUsed/>
    <w:rsid w:val="008A2581"/>
  </w:style>
  <w:style w:type="paragraph" w:styleId="Revision">
    <w:name w:val="Revision"/>
    <w:hidden/>
    <w:uiPriority w:val="99"/>
    <w:semiHidden/>
    <w:rsid w:val="008C7927"/>
    <w:rPr>
      <w:rFonts w:ascii="Times New Roman" w:eastAsia="Times New Roman" w:hAnsi="Times New Roman" w:cs="Times New Roman"/>
    </w:rPr>
  </w:style>
  <w:style w:type="character" w:styleId="Emphasis">
    <w:name w:val="Emphasis"/>
    <w:basedOn w:val="DefaultParagraphFont"/>
    <w:uiPriority w:val="20"/>
    <w:qFormat/>
    <w:rsid w:val="000658C7"/>
    <w:rPr>
      <w:i/>
      <w:iCs/>
    </w:rPr>
  </w:style>
  <w:style w:type="character" w:customStyle="1" w:styleId="UnresolvedMention2">
    <w:name w:val="Unresolved Mention2"/>
    <w:basedOn w:val="DefaultParagraphFont"/>
    <w:uiPriority w:val="99"/>
    <w:semiHidden/>
    <w:unhideWhenUsed/>
    <w:rsid w:val="00407C6E"/>
    <w:rPr>
      <w:color w:val="605E5C"/>
      <w:shd w:val="clear" w:color="auto" w:fill="E1DFDD"/>
    </w:rPr>
  </w:style>
  <w:style w:type="character" w:styleId="UnresolvedMention">
    <w:name w:val="Unresolved Mention"/>
    <w:basedOn w:val="DefaultParagraphFont"/>
    <w:uiPriority w:val="99"/>
    <w:semiHidden/>
    <w:unhideWhenUsed/>
    <w:rsid w:val="006258D5"/>
    <w:rPr>
      <w:color w:val="605E5C"/>
      <w:shd w:val="clear" w:color="auto" w:fill="E1DFDD"/>
    </w:rPr>
  </w:style>
  <w:style w:type="character" w:styleId="FollowedHyperlink">
    <w:name w:val="FollowedHyperlink"/>
    <w:basedOn w:val="DefaultParagraphFont"/>
    <w:uiPriority w:val="99"/>
    <w:semiHidden/>
    <w:unhideWhenUsed/>
    <w:rsid w:val="00E21E02"/>
    <w:rPr>
      <w:color w:val="954F72" w:themeColor="followedHyperlink"/>
      <w:u w:val="single"/>
    </w:rPr>
  </w:style>
  <w:style w:type="paragraph" w:customStyle="1" w:styleId="Default">
    <w:name w:val="Default"/>
    <w:rsid w:val="000D5382"/>
    <w:pPr>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85777">
      <w:bodyDiv w:val="1"/>
      <w:marLeft w:val="0"/>
      <w:marRight w:val="0"/>
      <w:marTop w:val="0"/>
      <w:marBottom w:val="0"/>
      <w:divBdr>
        <w:top w:val="none" w:sz="0" w:space="0" w:color="auto"/>
        <w:left w:val="none" w:sz="0" w:space="0" w:color="auto"/>
        <w:bottom w:val="none" w:sz="0" w:space="0" w:color="auto"/>
        <w:right w:val="none" w:sz="0" w:space="0" w:color="auto"/>
      </w:divBdr>
    </w:div>
    <w:div w:id="128668764">
      <w:bodyDiv w:val="1"/>
      <w:marLeft w:val="0"/>
      <w:marRight w:val="0"/>
      <w:marTop w:val="0"/>
      <w:marBottom w:val="0"/>
      <w:divBdr>
        <w:top w:val="none" w:sz="0" w:space="0" w:color="auto"/>
        <w:left w:val="none" w:sz="0" w:space="0" w:color="auto"/>
        <w:bottom w:val="none" w:sz="0" w:space="0" w:color="auto"/>
        <w:right w:val="none" w:sz="0" w:space="0" w:color="auto"/>
      </w:divBdr>
    </w:div>
    <w:div w:id="365326772">
      <w:bodyDiv w:val="1"/>
      <w:marLeft w:val="0"/>
      <w:marRight w:val="0"/>
      <w:marTop w:val="0"/>
      <w:marBottom w:val="0"/>
      <w:divBdr>
        <w:top w:val="none" w:sz="0" w:space="0" w:color="auto"/>
        <w:left w:val="none" w:sz="0" w:space="0" w:color="auto"/>
        <w:bottom w:val="none" w:sz="0" w:space="0" w:color="auto"/>
        <w:right w:val="none" w:sz="0" w:space="0" w:color="auto"/>
      </w:divBdr>
    </w:div>
    <w:div w:id="860241383">
      <w:bodyDiv w:val="1"/>
      <w:marLeft w:val="0"/>
      <w:marRight w:val="0"/>
      <w:marTop w:val="0"/>
      <w:marBottom w:val="0"/>
      <w:divBdr>
        <w:top w:val="none" w:sz="0" w:space="0" w:color="auto"/>
        <w:left w:val="none" w:sz="0" w:space="0" w:color="auto"/>
        <w:bottom w:val="none" w:sz="0" w:space="0" w:color="auto"/>
        <w:right w:val="none" w:sz="0" w:space="0" w:color="auto"/>
      </w:divBdr>
    </w:div>
    <w:div w:id="1865702881">
      <w:bodyDiv w:val="1"/>
      <w:marLeft w:val="0"/>
      <w:marRight w:val="0"/>
      <w:marTop w:val="0"/>
      <w:marBottom w:val="0"/>
      <w:divBdr>
        <w:top w:val="none" w:sz="0" w:space="0" w:color="auto"/>
        <w:left w:val="none" w:sz="0" w:space="0" w:color="auto"/>
        <w:bottom w:val="none" w:sz="0" w:space="0" w:color="auto"/>
        <w:right w:val="none" w:sz="0" w:space="0" w:color="auto"/>
      </w:divBdr>
      <w:divsChild>
        <w:div w:id="1878738928">
          <w:marLeft w:val="0"/>
          <w:marRight w:val="0"/>
          <w:marTop w:val="0"/>
          <w:marBottom w:val="0"/>
          <w:divBdr>
            <w:top w:val="none" w:sz="0" w:space="0" w:color="auto"/>
            <w:left w:val="none" w:sz="0" w:space="0" w:color="auto"/>
            <w:bottom w:val="none" w:sz="0" w:space="0" w:color="auto"/>
            <w:right w:val="none" w:sz="0" w:space="0" w:color="auto"/>
          </w:divBdr>
          <w:divsChild>
            <w:div w:id="1056321182">
              <w:marLeft w:val="0"/>
              <w:marRight w:val="0"/>
              <w:marTop w:val="0"/>
              <w:marBottom w:val="0"/>
              <w:divBdr>
                <w:top w:val="none" w:sz="0" w:space="0" w:color="auto"/>
                <w:left w:val="none" w:sz="0" w:space="0" w:color="auto"/>
                <w:bottom w:val="none" w:sz="0" w:space="0" w:color="auto"/>
                <w:right w:val="none" w:sz="0" w:space="0" w:color="auto"/>
              </w:divBdr>
              <w:divsChild>
                <w:div w:id="96130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rana@email.unc.ed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ACFC33C-EC77-634E-ADD1-0E2C7E11BF7B}">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848CF7-488C-4343-922D-7D1F7A64A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13</Pages>
  <Words>19598</Words>
  <Characters>107203</Characters>
  <Application>Microsoft Office Word</Application>
  <DocSecurity>0</DocSecurity>
  <Lines>2977</Lines>
  <Paragraphs>1509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125292</CharactersWithSpaces>
  <SharedDoc>false</SharedDoc>
  <HLinks>
    <vt:vector size="24" baseType="variant">
      <vt:variant>
        <vt:i4>6160447</vt:i4>
      </vt:variant>
      <vt:variant>
        <vt:i4>0</vt:i4>
      </vt:variant>
      <vt:variant>
        <vt:i4>0</vt:i4>
      </vt:variant>
      <vt:variant>
        <vt:i4>5</vt:i4>
      </vt:variant>
      <vt:variant>
        <vt:lpwstr>mailto:theogb@live.unc.edu</vt:lpwstr>
      </vt:variant>
      <vt:variant>
        <vt:lpwstr/>
      </vt:variant>
      <vt:variant>
        <vt:i4>3670138</vt:i4>
      </vt:variant>
      <vt:variant>
        <vt:i4>6</vt:i4>
      </vt:variant>
      <vt:variant>
        <vt:i4>0</vt:i4>
      </vt:variant>
      <vt:variant>
        <vt:i4>5</vt:i4>
      </vt:variant>
      <vt:variant>
        <vt:lpwstr>https://nida.nih.gov/research-topics/trends-statistics/overdose-death-rates</vt:lpwstr>
      </vt:variant>
      <vt:variant>
        <vt:lpwstr>:~:text=Drug%20overdose%20deaths%20involving%20prescription,increase%20to%2016%2C416%20in%202020</vt:lpwstr>
      </vt:variant>
      <vt:variant>
        <vt:i4>2883680</vt:i4>
      </vt:variant>
      <vt:variant>
        <vt:i4>3</vt:i4>
      </vt:variant>
      <vt:variant>
        <vt:i4>0</vt:i4>
      </vt:variant>
      <vt:variant>
        <vt:i4>5</vt:i4>
      </vt:variant>
      <vt:variant>
        <vt:lpwstr>https://www.cdc.gov/nchs/pressroom/nchs_press_releases/2022/202205.htm</vt:lpwstr>
      </vt:variant>
      <vt:variant>
        <vt:lpwstr/>
      </vt:variant>
      <vt:variant>
        <vt:i4>393229</vt:i4>
      </vt:variant>
      <vt:variant>
        <vt:i4>0</vt:i4>
      </vt:variant>
      <vt:variant>
        <vt:i4>0</vt:i4>
      </vt:variant>
      <vt:variant>
        <vt:i4>5</vt:i4>
      </vt:variant>
      <vt:variant>
        <vt:lpwstr>https://pubmed.ncbi.nlm.nih.gov/30626997/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 Maierhofer</dc:creator>
  <cp:keywords/>
  <dc:description/>
  <cp:lastModifiedBy>Ranapurwala, Shabbar I</cp:lastModifiedBy>
  <cp:revision>102</cp:revision>
  <dcterms:created xsi:type="dcterms:W3CDTF">2023-09-14T18:52:00Z</dcterms:created>
  <dcterms:modified xsi:type="dcterms:W3CDTF">2024-01-04T17:15:00Z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zotero-version="6.0.26"&gt;&lt;session id="hOHrNOVy"/&gt;&lt;style id="http://www.zotero.org/styles/american-medical-association" hasBibliography="1" bibliographyStyleHasBeenSet="1"/&gt;&lt;prefs&gt;&lt;pref name="fieldType" value="Field"/&gt;&lt;pref name="auto</vt:lpwstr>
  </property>
  <property fmtid="{D5CDD505-2E9C-101B-9397-08002B2CF9AE}" pid="3" name="ZOTERO_PREF_2">
    <vt:lpwstr>maticJournalAbbreviations" value="true"/&gt;&lt;/prefs&gt;&lt;/data&gt;</vt:lpwstr>
  </property>
  <property fmtid="{D5CDD505-2E9C-101B-9397-08002B2CF9AE}" pid="4" name="grammarly_documentId">
    <vt:lpwstr>documentId_5486</vt:lpwstr>
  </property>
  <property fmtid="{D5CDD505-2E9C-101B-9397-08002B2CF9AE}" pid="5" name="grammarly_documentContext">
    <vt:lpwstr>{"goals":[],"domain":"general","emotions":[],"dialect":"american"}</vt:lpwstr>
  </property>
</Properties>
</file>