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82B66A" w14:textId="77329658" w:rsidR="004E43F2" w:rsidRDefault="00141D59" w:rsidP="004E43F2">
      <w:pPr>
        <w:pStyle w:val="1"/>
        <w:jc w:val="both"/>
      </w:pPr>
      <w:bookmarkStart w:id="0" w:name="_Hlk139646996"/>
      <w:r>
        <w:t>Mock crime application of the concealed information test</w:t>
      </w:r>
      <w:r w:rsidR="004E43F2">
        <w:t xml:space="preserve"> </w:t>
      </w:r>
      <w:r w:rsidR="004E43F2" w:rsidRPr="005A7623">
        <w:t>using fNIRS combined with SCR, HR and RT</w:t>
      </w:r>
    </w:p>
    <w:bookmarkEnd w:id="0"/>
    <w:p w14:paraId="3505EC0D" w14:textId="0FC2D80D" w:rsidR="005B4A34" w:rsidRDefault="005B4A34" w:rsidP="005B4A34">
      <w:pPr>
        <w:ind w:firstLine="0"/>
        <w:rPr>
          <w:color w:val="000000" w:themeColor="text1"/>
        </w:rPr>
      </w:pPr>
      <w:proofErr w:type="spellStart"/>
      <w:r w:rsidRPr="005B4A34">
        <w:rPr>
          <w:color w:val="000000" w:themeColor="text1"/>
        </w:rPr>
        <w:t>Xingyu</w:t>
      </w:r>
      <w:proofErr w:type="spellEnd"/>
      <w:r w:rsidRPr="005B4A34">
        <w:rPr>
          <w:color w:val="000000" w:themeColor="text1"/>
        </w:rPr>
        <w:t xml:space="preserve"> Yi</w:t>
      </w:r>
      <w:r>
        <w:rPr>
          <w:color w:val="000000" w:themeColor="text1"/>
          <w:vertAlign w:val="superscript"/>
        </w:rPr>
        <w:t>1</w:t>
      </w:r>
      <w:r w:rsidR="00535EC0">
        <w:rPr>
          <w:color w:val="000000" w:themeColor="text1"/>
          <w:vertAlign w:val="superscript"/>
        </w:rPr>
        <w:t>23</w:t>
      </w:r>
      <w:r>
        <w:rPr>
          <w:rFonts w:hint="eastAsia"/>
          <w:color w:val="000000" w:themeColor="text1"/>
        </w:rPr>
        <w:t>,</w:t>
      </w:r>
      <w:r>
        <w:rPr>
          <w:color w:val="000000" w:themeColor="text1"/>
        </w:rPr>
        <w:t xml:space="preserve"> Chongxiang Wang</w:t>
      </w:r>
      <w:r>
        <w:rPr>
          <w:color w:val="000000" w:themeColor="text1"/>
          <w:vertAlign w:val="superscript"/>
        </w:rPr>
        <w:t>1</w:t>
      </w:r>
      <w:r w:rsidR="00535EC0">
        <w:rPr>
          <w:color w:val="000000" w:themeColor="text1"/>
          <w:vertAlign w:val="superscript"/>
        </w:rPr>
        <w:t>23</w:t>
      </w:r>
      <w:r>
        <w:rPr>
          <w:color w:val="000000" w:themeColor="text1"/>
        </w:rPr>
        <w:t xml:space="preserve">, </w:t>
      </w:r>
      <w:proofErr w:type="spellStart"/>
      <w:r w:rsidR="0019063A">
        <w:rPr>
          <w:color w:val="000000" w:themeColor="text1"/>
        </w:rPr>
        <w:t>Hongrui</w:t>
      </w:r>
      <w:proofErr w:type="spellEnd"/>
      <w:r w:rsidR="0019063A">
        <w:rPr>
          <w:color w:val="000000" w:themeColor="text1"/>
        </w:rPr>
        <w:t xml:space="preserve"> Li</w:t>
      </w:r>
      <w:r w:rsidR="0019063A">
        <w:rPr>
          <w:color w:val="000000" w:themeColor="text1"/>
          <w:vertAlign w:val="superscript"/>
        </w:rPr>
        <w:t>123</w:t>
      </w:r>
      <w:r w:rsidR="0019063A">
        <w:rPr>
          <w:color w:val="000000" w:themeColor="text1"/>
        </w:rPr>
        <w:t xml:space="preserve">, </w:t>
      </w:r>
      <w:proofErr w:type="spellStart"/>
      <w:r w:rsidRPr="005B4A34">
        <w:rPr>
          <w:color w:val="000000" w:themeColor="text1"/>
        </w:rPr>
        <w:t>Genyue</w:t>
      </w:r>
      <w:proofErr w:type="spellEnd"/>
      <w:r w:rsidRPr="005B4A34">
        <w:rPr>
          <w:color w:val="000000" w:themeColor="text1"/>
        </w:rPr>
        <w:t xml:space="preserve"> Fu</w:t>
      </w:r>
      <w:r w:rsidR="00535EC0">
        <w:rPr>
          <w:color w:val="000000" w:themeColor="text1"/>
          <w:vertAlign w:val="superscript"/>
        </w:rPr>
        <w:t>123</w:t>
      </w:r>
      <w:r w:rsidRPr="005B4A34">
        <w:rPr>
          <w:color w:val="000000" w:themeColor="text1"/>
        </w:rPr>
        <w:t xml:space="preserve">, </w:t>
      </w:r>
      <w:proofErr w:type="spellStart"/>
      <w:r w:rsidRPr="005B4A34">
        <w:rPr>
          <w:color w:val="000000" w:themeColor="text1"/>
        </w:rPr>
        <w:t>Xiaohong</w:t>
      </w:r>
      <w:proofErr w:type="spellEnd"/>
      <w:r w:rsidRPr="005B4A34">
        <w:rPr>
          <w:color w:val="000000" w:themeColor="text1"/>
        </w:rPr>
        <w:t xml:space="preserve"> Allison Lin</w:t>
      </w:r>
      <w:r w:rsidR="00535EC0">
        <w:rPr>
          <w:color w:val="000000" w:themeColor="text1"/>
          <w:vertAlign w:val="superscript"/>
        </w:rPr>
        <w:t>123</w:t>
      </w:r>
      <w:r w:rsidR="007012B6">
        <w:rPr>
          <w:rFonts w:hint="eastAsia"/>
          <w:color w:val="000000" w:themeColor="text1"/>
          <w:vertAlign w:val="superscript"/>
        </w:rPr>
        <w:t>*</w:t>
      </w:r>
    </w:p>
    <w:p w14:paraId="4A440446" w14:textId="6C4BEA44" w:rsidR="00394BAF" w:rsidRPr="00394BAF" w:rsidRDefault="00394BAF" w:rsidP="00394BAF">
      <w:pPr>
        <w:ind w:firstLine="0"/>
        <w:rPr>
          <w:color w:val="000000" w:themeColor="text1"/>
        </w:rPr>
      </w:pPr>
      <w:r>
        <w:rPr>
          <w:color w:val="000000" w:themeColor="text1"/>
          <w:vertAlign w:val="superscript"/>
        </w:rPr>
        <w:t>1</w:t>
      </w:r>
      <w:r w:rsidRPr="00394BAF">
        <w:rPr>
          <w:color w:val="000000" w:themeColor="text1"/>
        </w:rPr>
        <w:t>Zhejiang Philosophy and Social Science Laboratory for Research in Early Development and Childcare, Hangzhou Normal University, Hangzhou, China</w:t>
      </w:r>
    </w:p>
    <w:p w14:paraId="2E64D948" w14:textId="5A65B504" w:rsidR="00394BAF" w:rsidRPr="00394BAF" w:rsidRDefault="00394BAF" w:rsidP="00394BAF">
      <w:pPr>
        <w:ind w:firstLine="0"/>
        <w:rPr>
          <w:color w:val="000000" w:themeColor="text1"/>
        </w:rPr>
      </w:pPr>
      <w:r>
        <w:rPr>
          <w:color w:val="000000" w:themeColor="text1"/>
          <w:vertAlign w:val="superscript"/>
        </w:rPr>
        <w:t>2</w:t>
      </w:r>
      <w:r w:rsidRPr="00394BAF">
        <w:rPr>
          <w:color w:val="000000" w:themeColor="text1"/>
        </w:rPr>
        <w:t>Department of Psychology, Hangzhou Normal University, Hangzhou, China</w:t>
      </w:r>
    </w:p>
    <w:p w14:paraId="69045708" w14:textId="0C09F615" w:rsidR="00394BAF" w:rsidRDefault="00394BAF" w:rsidP="00394BAF">
      <w:pPr>
        <w:ind w:firstLine="0"/>
        <w:rPr>
          <w:rFonts w:cs="Times New Roman"/>
          <w:color w:val="000000" w:themeColor="text1"/>
        </w:rPr>
      </w:pPr>
      <w:r>
        <w:rPr>
          <w:color w:val="000000" w:themeColor="text1"/>
          <w:vertAlign w:val="superscript"/>
        </w:rPr>
        <w:t>3</w:t>
      </w:r>
      <w:r w:rsidRPr="00394BAF">
        <w:rPr>
          <w:color w:val="000000" w:themeColor="text1"/>
        </w:rPr>
        <w:t>Zhejiang Key Laboratory for Research in Assessment of Cognitive Impairments, Hangzhou Normal University, Hangzhou, China</w:t>
      </w:r>
      <w:r w:rsidRPr="00394BAF">
        <w:rPr>
          <w:rFonts w:cs="Times New Roman"/>
          <w:color w:val="000000" w:themeColor="text1"/>
        </w:rPr>
        <w:t xml:space="preserve"> </w:t>
      </w:r>
    </w:p>
    <w:p w14:paraId="411AE1D3" w14:textId="7F5F6FB5" w:rsidR="005B4A34" w:rsidRDefault="007012B6" w:rsidP="00394BAF">
      <w:pPr>
        <w:ind w:firstLine="0"/>
        <w:rPr>
          <w:rFonts w:cs="Times New Roman"/>
          <w:color w:val="000000" w:themeColor="text1"/>
        </w:rPr>
      </w:pPr>
      <w:r>
        <w:rPr>
          <w:rFonts w:cs="Times New Roman" w:hint="eastAsia"/>
          <w:color w:val="000000" w:themeColor="text1"/>
        </w:rPr>
        <w:t>*</w:t>
      </w:r>
      <w:proofErr w:type="spellStart"/>
      <w:r w:rsidR="00FB7EC0" w:rsidRPr="00FB7EC0">
        <w:rPr>
          <w:rFonts w:cs="Times New Roman"/>
          <w:color w:val="000000" w:themeColor="text1"/>
        </w:rPr>
        <w:t>Xiaohong</w:t>
      </w:r>
      <w:proofErr w:type="spellEnd"/>
      <w:r w:rsidR="00FB7EC0" w:rsidRPr="00FB7EC0">
        <w:rPr>
          <w:rFonts w:cs="Times New Roman"/>
          <w:color w:val="000000" w:themeColor="text1"/>
        </w:rPr>
        <w:t xml:space="preserve"> Allison Lin </w:t>
      </w:r>
      <w:r w:rsidR="00FB7EC0">
        <w:rPr>
          <w:rFonts w:cs="Times New Roman"/>
          <w:color w:val="000000" w:themeColor="text1"/>
        </w:rPr>
        <w:t>is the c</w:t>
      </w:r>
      <w:r>
        <w:rPr>
          <w:rFonts w:cs="Times New Roman"/>
          <w:color w:val="000000" w:themeColor="text1"/>
        </w:rPr>
        <w:t>orresponding author</w:t>
      </w:r>
    </w:p>
    <w:p w14:paraId="23889388" w14:textId="2BAA05B5" w:rsidR="00FE40A5" w:rsidRPr="007E1BA5" w:rsidRDefault="00FE40A5" w:rsidP="00394BAF">
      <w:pPr>
        <w:ind w:firstLine="0"/>
        <w:rPr>
          <w:rFonts w:cs="Times New Roman"/>
          <w:color w:val="000000" w:themeColor="text1"/>
        </w:rPr>
      </w:pPr>
      <w:proofErr w:type="spellStart"/>
      <w:r w:rsidRPr="00FE40A5">
        <w:rPr>
          <w:rFonts w:cs="Times New Roman"/>
          <w:color w:val="000000" w:themeColor="text1"/>
        </w:rPr>
        <w:t>Xingyu</w:t>
      </w:r>
      <w:proofErr w:type="spellEnd"/>
      <w:r w:rsidRPr="00FE40A5">
        <w:rPr>
          <w:rFonts w:cs="Times New Roman"/>
          <w:color w:val="000000" w:themeColor="text1"/>
        </w:rPr>
        <w:t xml:space="preserve"> Yi</w:t>
      </w:r>
      <w:r>
        <w:rPr>
          <w:rFonts w:cs="Times New Roman"/>
          <w:color w:val="000000" w:themeColor="text1"/>
        </w:rPr>
        <w:t xml:space="preserve"> </w:t>
      </w:r>
      <w:r>
        <w:rPr>
          <w:rFonts w:cs="Times New Roman" w:hint="eastAsia"/>
          <w:color w:val="000000" w:themeColor="text1"/>
        </w:rPr>
        <w:t>and</w:t>
      </w:r>
      <w:r>
        <w:rPr>
          <w:rFonts w:cs="Times New Roman"/>
          <w:color w:val="000000" w:themeColor="text1"/>
        </w:rPr>
        <w:t xml:space="preserve"> </w:t>
      </w:r>
      <w:r w:rsidRPr="00FE40A5">
        <w:rPr>
          <w:rFonts w:cs="Times New Roman"/>
          <w:color w:val="000000" w:themeColor="text1"/>
        </w:rPr>
        <w:t>Chongxiang Wang</w:t>
      </w:r>
      <w:r>
        <w:rPr>
          <w:rFonts w:cs="Times New Roman"/>
          <w:color w:val="000000" w:themeColor="text1"/>
        </w:rPr>
        <w:t xml:space="preserve"> </w:t>
      </w:r>
      <w:r w:rsidRPr="00FE40A5">
        <w:rPr>
          <w:rFonts w:cs="Times New Roman"/>
          <w:color w:val="000000" w:themeColor="text1"/>
        </w:rPr>
        <w:t xml:space="preserve">are the </w:t>
      </w:r>
      <w:r>
        <w:rPr>
          <w:rFonts w:cs="Times New Roman"/>
          <w:color w:val="000000" w:themeColor="text1"/>
        </w:rPr>
        <w:t xml:space="preserve">co-first </w:t>
      </w:r>
      <w:r w:rsidRPr="00FE40A5">
        <w:rPr>
          <w:rFonts w:cs="Times New Roman"/>
          <w:color w:val="000000" w:themeColor="text1"/>
        </w:rPr>
        <w:t>authors</w:t>
      </w:r>
    </w:p>
    <w:p w14:paraId="3F562D79" w14:textId="77777777" w:rsidR="005B4A34" w:rsidRPr="007E1BA5" w:rsidRDefault="005B4A34" w:rsidP="005B4A34">
      <w:pPr>
        <w:ind w:firstLine="0"/>
        <w:rPr>
          <w:color w:val="000000" w:themeColor="text1"/>
        </w:rPr>
      </w:pPr>
      <w:r w:rsidRPr="007E1BA5">
        <w:rPr>
          <w:color w:val="000000" w:themeColor="text1"/>
        </w:rPr>
        <w:t>E-mail address: xiaohonglin@hznu.edu.cn, zhulin24show@hotmail.com</w:t>
      </w:r>
    </w:p>
    <w:p w14:paraId="3DF9DD4F" w14:textId="106A4F89" w:rsidR="005B4A34" w:rsidRDefault="005B4A34" w:rsidP="005B4A34">
      <w:pPr>
        <w:ind w:firstLine="0"/>
        <w:rPr>
          <w:rFonts w:cs="Times New Roman"/>
          <w:color w:val="000000" w:themeColor="text1"/>
          <w:szCs w:val="24"/>
        </w:rPr>
      </w:pPr>
      <w:r w:rsidRPr="007E1BA5">
        <w:rPr>
          <w:rFonts w:cs="Times New Roman"/>
          <w:color w:val="000000" w:themeColor="text1"/>
          <w:szCs w:val="24"/>
        </w:rPr>
        <w:t xml:space="preserve">Key words: Concealed Information Test, Deception Detection, </w:t>
      </w:r>
      <w:r w:rsidR="0019063A">
        <w:rPr>
          <w:rFonts w:cs="Times New Roman"/>
          <w:color w:val="000000" w:themeColor="text1"/>
          <w:szCs w:val="24"/>
        </w:rPr>
        <w:t xml:space="preserve">Mock Crime, </w:t>
      </w:r>
      <w:r w:rsidRPr="007E1BA5">
        <w:rPr>
          <w:rFonts w:cs="Times New Roman"/>
          <w:color w:val="000000" w:themeColor="text1"/>
          <w:szCs w:val="24"/>
        </w:rPr>
        <w:t>fNIRS, SCR, Heart Rate, Reaction Time</w:t>
      </w:r>
    </w:p>
    <w:p w14:paraId="33B80776" w14:textId="2EAE5102" w:rsidR="005B4A34" w:rsidRPr="005B4A34" w:rsidRDefault="005B4A34" w:rsidP="008D164A">
      <w:pPr>
        <w:ind w:firstLine="0"/>
      </w:pPr>
    </w:p>
    <w:p w14:paraId="7A1FCCEF" w14:textId="54162D33" w:rsidR="00594B31" w:rsidRDefault="00594B31">
      <w:pPr>
        <w:widowControl/>
        <w:spacing w:line="240" w:lineRule="auto"/>
        <w:ind w:firstLine="0"/>
      </w:pPr>
      <w:r>
        <w:br w:type="page"/>
      </w:r>
    </w:p>
    <w:p w14:paraId="15AD7D03" w14:textId="311241B2" w:rsidR="00DF4615" w:rsidRPr="001D7E50" w:rsidRDefault="00FB773F" w:rsidP="0019309E">
      <w:pPr>
        <w:pStyle w:val="2"/>
      </w:pPr>
      <w:r>
        <w:rPr>
          <w:rFonts w:hint="eastAsia"/>
        </w:rPr>
        <w:lastRenderedPageBreak/>
        <w:t>Abstract</w:t>
      </w:r>
    </w:p>
    <w:p w14:paraId="5C9C4DC6" w14:textId="6843E237" w:rsidR="0062765A" w:rsidRPr="00DF4615" w:rsidRDefault="00367C1A">
      <w:r>
        <w:t>To explore the forensic application of neuroimaging</w:t>
      </w:r>
      <w:r w:rsidR="0019309E">
        <w:t>-</w:t>
      </w:r>
      <w:r>
        <w:t>based concealed information test</w:t>
      </w:r>
      <w:r w:rsidR="00AB7519">
        <w:t xml:space="preserve"> (CIT)</w:t>
      </w:r>
      <w:r>
        <w:t xml:space="preserve"> </w:t>
      </w:r>
      <w:r w:rsidR="008D2DD3">
        <w:t xml:space="preserve">with </w:t>
      </w:r>
      <w:r>
        <w:t>combined multiple measurements, the simultaneously recor</w:t>
      </w:r>
      <w:r w:rsidR="00AB7519">
        <w:t>d</w:t>
      </w:r>
      <w:r>
        <w:t xml:space="preserve">ed </w:t>
      </w:r>
      <w:r w:rsidR="00AB7519">
        <w:t xml:space="preserve">data of </w:t>
      </w:r>
      <w:r w:rsidR="0062765A" w:rsidRPr="0062765A">
        <w:t xml:space="preserve">functional near-infrared spectroscopy (fNIRS), skin conductance responses (SCRs), heart rate (HR), and reaction time (RT) is </w:t>
      </w:r>
      <w:r w:rsidR="008D2DD3">
        <w:t>collecte</w:t>
      </w:r>
      <w:r w:rsidR="0062765A" w:rsidRPr="0062765A">
        <w:t xml:space="preserve">d </w:t>
      </w:r>
      <w:r w:rsidR="0019309E">
        <w:t xml:space="preserve">in order </w:t>
      </w:r>
      <w:r w:rsidR="0062765A" w:rsidRPr="0062765A">
        <w:t xml:space="preserve">to detect participants' </w:t>
      </w:r>
      <w:r w:rsidR="0062765A">
        <w:t>concealed information</w:t>
      </w:r>
      <w:r w:rsidR="0062765A" w:rsidRPr="0062765A">
        <w:t xml:space="preserve"> in a standard CIT </w:t>
      </w:r>
      <w:r w:rsidR="00914B0D">
        <w:t>with</w:t>
      </w:r>
      <w:r w:rsidR="0062765A" w:rsidRPr="0062765A">
        <w:t xml:space="preserve"> </w:t>
      </w:r>
      <w:r w:rsidR="002F4AA8">
        <w:t xml:space="preserve">a </w:t>
      </w:r>
      <w:r w:rsidR="0062765A" w:rsidRPr="0062765A">
        <w:t xml:space="preserve">mock crime scenario. We hypothesized </w:t>
      </w:r>
      <w:r w:rsidR="008D2DD3">
        <w:t>the fNIRS</w:t>
      </w:r>
      <w:r w:rsidR="0019309E">
        <w:t>-</w:t>
      </w:r>
      <w:r w:rsidR="008D2DD3">
        <w:t xml:space="preserve">based neuroimaging data could </w:t>
      </w:r>
      <w:r w:rsidR="0019309E">
        <w:t xml:space="preserve">successfully </w:t>
      </w:r>
      <w:r w:rsidR="00D20B8F">
        <w:t xml:space="preserve">detect deception, and </w:t>
      </w:r>
      <w:r w:rsidR="0062765A" w:rsidRPr="0062765A">
        <w:t>the combination of multiple indicators could integrate multidimensional information triggered by deception, thus provid</w:t>
      </w:r>
      <w:r w:rsidR="0019309E">
        <w:t>ing</w:t>
      </w:r>
      <w:r w:rsidR="0062765A" w:rsidRPr="0062765A">
        <w:t xml:space="preserve"> enhanced efficiency in deception detection. </w:t>
      </w:r>
      <w:r w:rsidR="00FE40A5">
        <w:t>The results v</w:t>
      </w:r>
      <w:r w:rsidR="00FE40A5" w:rsidRPr="000A2811">
        <w:t>alidated the hypothes</w:t>
      </w:r>
      <w:r w:rsidR="00FE40A5">
        <w:t>e</w:t>
      </w:r>
      <w:r w:rsidR="00FE40A5" w:rsidRPr="000A2811">
        <w:t>s</w:t>
      </w:r>
      <w:r w:rsidR="00FE40A5">
        <w:t xml:space="preserve"> that </w:t>
      </w:r>
      <w:r w:rsidR="00FE40A5" w:rsidRPr="00FC5560">
        <w:t>fNIRS-based neuroimaging</w:t>
      </w:r>
      <w:r w:rsidR="00FE40A5">
        <w:t xml:space="preserve"> data could e</w:t>
      </w:r>
      <w:r w:rsidR="00FE40A5" w:rsidRPr="0041705B">
        <w:t>ffectively</w:t>
      </w:r>
      <w:r w:rsidR="00FE40A5">
        <w:t xml:space="preserve"> discriminate </w:t>
      </w:r>
      <w:r w:rsidR="00167FC8" w:rsidRPr="00167FC8">
        <w:t xml:space="preserve">between guilty and innocent participants </w:t>
      </w:r>
      <w:r w:rsidR="00FF2CC5">
        <w:t>after a mock crime</w:t>
      </w:r>
      <w:r w:rsidR="00FE40A5">
        <w:t xml:space="preserve">. Furthermore, </w:t>
      </w:r>
      <w:r w:rsidR="00FE40A5" w:rsidRPr="00CD3DEB">
        <w:t>the use of multiple indicators resulted in a much higher detection efficiency (AUC</w:t>
      </w:r>
      <w:r w:rsidR="00FE40A5">
        <w:t xml:space="preserve"> </w:t>
      </w:r>
      <w:r w:rsidR="00FE40A5" w:rsidRPr="00CD3DEB">
        <w:t>=</w:t>
      </w:r>
      <w:r w:rsidR="00FE40A5">
        <w:t xml:space="preserve"> </w:t>
      </w:r>
      <w:r w:rsidR="00FE40A5" w:rsidRPr="00CD3DEB">
        <w:t>0.96 with fNIRS channel 8) compared to the use of a single indicator (AUC = 0.66-0.86).</w:t>
      </w:r>
      <w:r w:rsidR="005A5AEB">
        <w:t xml:space="preserve"> </w:t>
      </w:r>
      <w:r w:rsidR="00D20B8F">
        <w:t xml:space="preserve">These </w:t>
      </w:r>
      <w:r w:rsidR="00D20B8F" w:rsidRPr="00D20B8F">
        <w:t>results illustrate</w:t>
      </w:r>
      <w:r w:rsidR="00D20B8F">
        <w:t xml:space="preserve"> the potential of </w:t>
      </w:r>
      <w:r w:rsidR="00914B0D">
        <w:t>the</w:t>
      </w:r>
      <w:r w:rsidR="00914B0D" w:rsidRPr="00914B0D">
        <w:t xml:space="preserve"> </w:t>
      </w:r>
      <w:r w:rsidR="00914B0D">
        <w:t xml:space="preserve">combination of </w:t>
      </w:r>
      <w:r w:rsidR="00D20B8F">
        <w:t>fNIRS</w:t>
      </w:r>
      <w:r w:rsidR="005A5AEB">
        <w:t xml:space="preserve"> </w:t>
      </w:r>
      <w:r w:rsidR="00B66910">
        <w:t>and multiple indic</w:t>
      </w:r>
      <w:r w:rsidR="0019309E">
        <w:t>a</w:t>
      </w:r>
      <w:r w:rsidR="00B66910">
        <w:t xml:space="preserve">tors </w:t>
      </w:r>
      <w:r w:rsidR="00D20B8F">
        <w:t>for</w:t>
      </w:r>
      <w:r w:rsidR="00FB3D88">
        <w:t xml:space="preserve"> </w:t>
      </w:r>
      <w:r w:rsidR="004E4E35">
        <w:t xml:space="preserve">deception detection </w:t>
      </w:r>
      <w:r w:rsidR="00B66910">
        <w:t xml:space="preserve">with </w:t>
      </w:r>
      <w:r w:rsidR="004E4E35">
        <w:t xml:space="preserve">a </w:t>
      </w:r>
      <w:r w:rsidR="00B66910">
        <w:t>mock crime</w:t>
      </w:r>
      <w:r w:rsidR="004C2283" w:rsidRPr="004C2283">
        <w:t xml:space="preserve"> </w:t>
      </w:r>
      <w:r w:rsidR="004C2283" w:rsidRPr="0062765A">
        <w:t>scenario</w:t>
      </w:r>
      <w:r w:rsidR="00B66910">
        <w:t xml:space="preserve"> </w:t>
      </w:r>
      <w:r w:rsidR="00B66910">
        <w:rPr>
          <w:rFonts w:hint="eastAsia"/>
        </w:rPr>
        <w:t>and</w:t>
      </w:r>
      <w:r w:rsidR="00B66910" w:rsidRPr="00B66910">
        <w:t xml:space="preserve"> </w:t>
      </w:r>
      <w:r w:rsidR="00B66910">
        <w:t xml:space="preserve">further facilitate the forensic application of </w:t>
      </w:r>
      <w:r w:rsidR="004E4E35">
        <w:t>fNIRS</w:t>
      </w:r>
      <w:r w:rsidR="004C2283">
        <w:t>-</w:t>
      </w:r>
      <w:r w:rsidR="00B66910">
        <w:t>based CIT</w:t>
      </w:r>
      <w:r w:rsidR="00B66910">
        <w:rPr>
          <w:rFonts w:hint="eastAsia"/>
        </w:rPr>
        <w:t>.</w:t>
      </w:r>
      <w:r w:rsidR="0062765A" w:rsidRPr="0062765A">
        <w:t xml:space="preserve"> </w:t>
      </w:r>
    </w:p>
    <w:p w14:paraId="2EF3EC75" w14:textId="77777777" w:rsidR="00FB773F" w:rsidRDefault="00FB773F">
      <w:pPr>
        <w:widowControl/>
        <w:spacing w:line="240" w:lineRule="auto"/>
        <w:ind w:firstLine="0"/>
        <w:sectPr w:rsidR="00FB773F" w:rsidSect="005A7623">
          <w:headerReference w:type="default" r:id="rId7"/>
          <w:pgSz w:w="11906" w:h="16838"/>
          <w:pgMar w:top="1440" w:right="1440" w:bottom="1440" w:left="1440" w:header="851" w:footer="992" w:gutter="0"/>
          <w:cols w:space="425"/>
          <w:docGrid w:type="lines" w:linePitch="326"/>
        </w:sectPr>
      </w:pPr>
      <w:r>
        <w:br w:type="page"/>
      </w:r>
    </w:p>
    <w:p w14:paraId="0232A5DC" w14:textId="082D5CFA" w:rsidR="00FB773F" w:rsidRDefault="00594B31" w:rsidP="00594B31">
      <w:pPr>
        <w:pStyle w:val="2"/>
      </w:pPr>
      <w:r>
        <w:lastRenderedPageBreak/>
        <w:t>Introduction</w:t>
      </w:r>
    </w:p>
    <w:p w14:paraId="388771B3" w14:textId="78C00CB4" w:rsidR="00F22817" w:rsidRPr="00F22817" w:rsidRDefault="00B21A37" w:rsidP="00F22817">
      <w:r w:rsidRPr="009749C7">
        <w:t>It has been demonstrated that both physiological measurements and brain imaging technology, which mainly reflect activities of the autonomic nervous system (ANS) and the central nervous system (CNS) respectively, were valid for detecting one’s concealed information</w:t>
      </w:r>
      <w:r w:rsidR="00DD2AE7">
        <w:fldChar w:fldCharType="begin"/>
      </w:r>
      <w:r w:rsidR="004D78E5">
        <w:instrText xml:space="preserve"> ADDIN ZOTERO_ITEM CSL_CITATION {"citationID":"IQzx5cXf","properties":{"formattedCitation":"(Gamer et al., 2007; Gronau et al., 2005; Lin et al., 2018; Sai et al., 2014; Verschuere et al., 2010)","plainCitation":"(Gamer et al., 2007; Gronau et al., 2005; Lin et al., 2018; Sai et al., 2014; Verschuere et al., 2010)","dontUpdate":true,"noteIndex":0},"citationItems":[{"id":728,"uris":["http://zotero.org/users/3334739/items/F6TVQRKQ"],"itemData":{"id":728,"type":"article-journal","abstract":"Imaging techniques have been used to elucidate the neural correlates that underlie deception. The scientifically best understood paradigm for the detection of deception, however, the guilty knowledge test (GKT), was rarely used in imaging studies. By transferring a GKT-paradigm to a functional magnetic resonance imaging (fMRI) study, while additionally quantifying reaction times and skin conductance responses (SCRs), this study aimed at identifying the neural correlates of the behavioral and electrodermal response pattern typically found in GKT examinations. Prior to MR scanning, subjects viewed two specific items (probes) and were instructed to hide their knowledge of these. Two other specific items were designated as targets and required a different behavioral response during the experiment and eight items served as irrelevant stimuli. Reaction times and SCR amplitudes differed significantly between all three item types. The neuroimaging data revealed that right inferior frontal and mid-cingulate regions were more active for probe and target trials compared to irrelevants. Moreover, the differential activation in the right inferior frontal region was modulated by stimulus conflicts. These results were interpreted as an increased top-down influence on the stimulus-response-mapping for concealed and task-relevant items. Additionally, the influence of working memory and retrieval processes on this activation pattern is discussed. Using parametric analyses, reaction times and SCR amplitudes were found to be linearly related to activity in the cerebellum, the right inferior frontal cortex, and the supplementary motor area. This result provides a first link between behavioral measures, sympathetic arousal, and neural activation patterns during a GKT examination. Hum Brain Map</w:instrText>
      </w:r>
      <w:r w:rsidR="004D78E5">
        <w:rPr>
          <w:rFonts w:hint="eastAsia"/>
        </w:rPr>
        <w:instrText>p 2007. © 2007 Wiley-Liss, Inc.","container-title":"Human Brain Mapping","DOI":"10.1002/hbm.20343","ISSN":"1097-0193","issue":"12","journalAbbreviation":"Hum. Brain Mapp.","language":"en","license":"Copyright © 2007 Wiley</w:instrText>
      </w:r>
      <w:r w:rsidR="004D78E5">
        <w:rPr>
          <w:rFonts w:hint="eastAsia"/>
        </w:rPr>
        <w:instrText>‐</w:instrText>
      </w:r>
      <w:r w:rsidR="004D78E5">
        <w:rPr>
          <w:rFonts w:hint="eastAsia"/>
        </w:rPr>
        <w:instrText>Liss, Inc.","note":"number: 12\n_</w:instrText>
      </w:r>
      <w:r w:rsidR="004D78E5">
        <w:instrText xml:space="preserve">eprint: https://onlinelibrary.wiley.com/doi/pdf/10.1002/hbm.20343","page":"1287-1301","source":"Wiley Online Library","title":"Covariations among fMRI, skin conductance, and behavioral data during processing of concealed information","volume":"28","author":[{"family":"Gamer","given":"Matthias"},{"family":"Bauermann","given":"Thomas"},{"family":"Stoeter","given":"Peter"},{"family":"Vossel","given":"Gerhard"}],"issued":{"date-parts":[["2007"]]}},"label":"page"},{"id":7103,"uris":["http://zotero.org/users/3334739/items/CJD7U5J9"],"itemData":{"id":7103,"type":"article-journal","abstract":"The authors examined the incremental validity of the reaction time (RT) measure beyond that of skin conductance response (SCR) in the detection of concealed information. Participants performed a Stroop-like task in which they named the color of critical and neutral words. Results show that the SCR highly differentiated between the relevant and neutral words. However, the RT demonstrated a significant differentiation only when the critical words denoted personally significant items (e.g., one's own name) and not when they denoted crime-relevant items related to a simulated crime. In both cases, combining the 2 measures yielded no advantage over the use of SCR alone. Thus, although behavioral measures may differentiate between relevant and neutral information in some cases, their practical use is questionable. (PsycINFO Database Record (c) 2016 APA, all rights reserved)","container-title":"Journal of Applied Psychology","DOI":"10.1037/0021-9010.90.1.147","ISSN":"1939-1854","note":"publisher-place: US\npublisher: American Psychological Association","page":"147-158","source":"APA PsycNet","title":"Behavioral and Physiological Measures in the Detection of Concealed Information","volume":"90","author":[{"family":"Gronau","given":"Nurit"},{"family":"Ben-Shakhar","given":"Gershon"},{"family":"Cohen","given":"Asher"}],"issued":{"date-parts":[["2005"]]}},"label":"page"},{"id":156,"uris":["http://zotero.org/users/3334739/items/7HBCYYTW"],"itemData":{"id":156,"type":"article-journal","abstract":"In this study, fused electroencephalography (EEG) and functional near-infrared spectroscopy (fNIRS) techniques were utilized to examine the relationship between the ERP (event-related potential) component P300 and fNIRS hemodynamic signals for high-accuracy deception detection. During the performance of a modified concealed information test (CIT) task, a series of Chinese names were presented, which served as the target, irrelevant, or the probe stimuli for both the guilty and innocent groups. For participants in the guilty group, the probe stimulus was their individual name, whereas for the innocent group, the probe stimulus was one irrelevant name. In particular, data from concurrent fNIRS and ERP recordings were carefully inspected for participants from the two groups. Interestingly, we discovered that for the guilty group, the probe stimulus elicited significantly higher P300 amplitude at parietal site and also evoked significantly stronger oxyhemoglobin (HbO) concentration changes in the bilateral superior frontal gyrus and bilateral middle frontal gyrus than the irrelevant stimuli. However, this is not the case for the innocent group, in which participants exhibited no significant differences in both ERP and fNIRS measures between the probe and irrelevant stimuli. More importantly, our findings also demonstrated that the combined ERP and fNIRS feature was able to differentiate the guilty and innocent groups with enhanced sensitivity, in which AUC (the area under Receiver Operating Characteristic curve) is 0.94 for deception detection based on the combined indicator, much higher than that based on the ERP component P300 only (0.85) or HbO measure only (0.84).","container-title":"Neuroscience","DOI":"10.1016/j.neuroscience.2018.06.049","ISSN":"0306-4522","journalAbbreviation":"Neuroscience","language":"en","page":"284-294","source":"ScienceDirect","title":"Detecting Concealed Information with Fused Electroencephalography and Functional Near-infrared Spectroscopy","volume":"386","author":[{"family":"Lin","given":"Xiaohong"},{"family":"Sai","given":"Liyang"},{"family":"Yuan","given":"Zhen"}],"issued":{"date-parts":[["2018",8,21]]}},"label":"page"},{"id":4353,"uris":["http://zotero.org/users/3334739/items/KIXTB5EA"],"itemData":{"id":4353,"type":"article-journal","abstract":"Employing an event-related potential (ERP)-based concealed information test (CIT), the present study investigated (1) the neurocognitive processes when people received feedbacks regarding their deceptive/truthful responses and (2) whether such feedback-related ERP activities can be used to detect concealed information above and beyond the recognition-related P300. During the CIT, participants were presented with rare, meaningful probes (their own names) embedded within a series of frequent yet meaningless irrelevants (others’ names). Participants were instructed to deny their recognition of the probes. Critically, following participants’ responses, they were provided with feedbacks regarding whether they succeeded or failed in the CIT. Replicating previous ERP-based CITs, we found a larger P300 elicited by probe compared to irrelevant. Regarding feedback-related ERPs, a temporospatial Principle Component Analyses found two ERP components that were not only sensitive to feedback manipulations but also can discriminate probe from irrelevant: an earlier, central-distributed positivity that was elicited by “success” feedbacks peaked around 219ms; and a later, right central-distributed positivity that was also elicited by “success” feedbacks, peaked around 400ms. Importantly, the feedback ERPs were not correlated with P300 that was elicited by probe/irrelevant, suggesting that these two ERPs reflect independent processes underlying memory concealment. These findings illustrate the feasibility and promise of using feedback-related ERPs to detect concealed memory and thus deception.","container-title":"Brain and Cognition","DOI":"10.1016/j.bandc.2014.06.012","ISSN":"0278-2626","journalAbbreviation":"Brain and Cognition","language":"en","page":"142-150","source":"ScienceDirect","title":"Detecting concealed information using feedback related event-related brain potentials","volume":"90","author":[{"family":"Sai","given":"Liyang"},{"family":"Lin","given":"Xiaohong"},{"family":"Hu","given":"Xiaoqing"},{"family":"Fu","given":"Genyue"}],"issued":{"date-parts":[["2014",10,1]]}},"label":"page"},{"id":468,"uris":["http://zotero.org/users/3334739/items/WRAD8DYH"],"itemData":{"id":468,"type":"article-journal","abstract":"The Concealed Information Test is used to assess recognition of information that the examinee cannot or does not want to reveal. Physiological measures recorded with the polygraph have shown to be highly valid measures of concealed information. Research suggests that a reaction-time (RT) based test may also successfully reveal concealed information. Due to its simplicity, an RT-based test has great advantages for applied testing. In the present study, we assessed the validity of the RT-based test for concealed information detection, and compared its discriminative power with the polygraph. Thirty two participants in a feigned amnesia study were promised a financial reward when successfully concealing autobiographical information. Participants performed an RT-based test, and a polygraph test. The data support the validity of the RT-based test for concealed information detection, and indicate its discriminative power is similar to the polygraph. Our data confirm the potential of the RT-based test. Copyright © 2009 John Wiley &amp; Sons, Ltd.","container-title":"Applied Cognitive Psychology","DOI":"10.1002/acp.1601","ISSN":"1099-0720","issue":"7","language":"en","note":"_eprint: https://onlinelibrary.wiley.com/doi/pdf/10.1002/acp.1601","page":"991-1002","source":"Wiley Online Library","title":"Detecting concealed information with reaction times: Validity and comparison with the polygraph","title-short":"Detecting concealed information with reaction times","volume":"24","author":[{"family":"Verschuere","given":"Bruno"},{"family":"Crombez","given":"Geert"},{"family":"Degrootte","given":"Tessie"},{"family":"Rosseel","given":"Yves"}],"issued":{"date-parts":[["2010"]]}},"label":"page"}],"schema":"https://github.com/citation-style-language/schema/raw/master/csl-citation.json"} </w:instrText>
      </w:r>
      <w:r w:rsidR="00DD2AE7">
        <w:fldChar w:fldCharType="separate"/>
      </w:r>
      <w:r w:rsidR="00DD2AE7">
        <w:t xml:space="preserve"> </w:t>
      </w:r>
      <w:r w:rsidR="00DD2AE7" w:rsidRPr="00DD2AE7">
        <w:rPr>
          <w:rFonts w:cs="Times New Roman"/>
        </w:rPr>
        <w:t>(Gamer et al., 2007; Gronau et al., 2005; Lin et al., 2018; Sai et al., 2014; Verschuere et al., 2010)</w:t>
      </w:r>
      <w:r w:rsidR="00DD2AE7">
        <w:fldChar w:fldCharType="end"/>
      </w:r>
      <w:r w:rsidRPr="009749C7">
        <w:t xml:space="preserve">. Researchers have also suggested that </w:t>
      </w:r>
      <w:r w:rsidR="00213217">
        <w:t xml:space="preserve">the </w:t>
      </w:r>
      <w:r w:rsidRPr="009749C7">
        <w:t>integration of multiple physiological measurements, as well as combining ANS/CNS measurements, leads to incremental validity in deception detection</w:t>
      </w:r>
      <w:r w:rsidR="00DD2AE7">
        <w:t xml:space="preserve"> </w:t>
      </w:r>
      <w:r w:rsidR="00DD2AE7">
        <w:fldChar w:fldCharType="begin"/>
      </w:r>
      <w:r w:rsidR="00DD2AE7">
        <w:instrText xml:space="preserve"> ADDIN ZOTERO_ITEM CSL_CITATION {"citationID":"OpjSC3Eg","properties":{"formattedCitation":"(Ambach et al., 2010; Bhutta et al., 2015; Gamer et al., 2008; Gamer &amp; Berti, 2010; Kozel et al., 2009; Matsuda et al., 2009)","plainCitation":"(Ambach et al., 2010; Bhutta et al., 2015; Gamer et al., 2008; Gamer &amp; Berti, 2010; Kozel et al., 2009; Matsuda et al., 2009)","noteIndex":0},"citationItems":[{"id":7106,"uris":["http://zotero.org/users/3334739/items/H3R69V34"],"itemData":{"id":7106,"type":"article-journal","abstract":"A Concealed Information Test (CIT) investigates differential physiological responses to deed-related (probe) vs. irrelevant items. The present study focused on the detection of concealed information using simultaneous recordings of autonomic and brain electrical measures. As a secondary issue, verbal and pictorial presentations were compared with respect to their influence on the recorded measures. Thirty-one participants underwent a mock-crime scenario with a combined verbal and pictorial presentation of nine items. The subsequent CIT, designed with respect to event-related potential (ERP) measurement, used a 3–3.5s interstimulus interval. The item presentation modality, i.e. pictures or written words, was varied between subjects; no response was required from the participants. In addition to electroencephalogram (EEG), electrodermal activity (EDA), electrocardiogram (ECG), respiratory activity, and finger plethysmogram were recorded. A significant probe-vs.-irrelevant effect was found for each of the measures. Compared to sole ERP measurement, the combination of ERP and EDA yielded incremental information for detecting concealed information. Although, EDA per se did not reach the predictive value known from studies primarily designed for peripheral physiological measurement. Presentation modality neither influenced the detection accuracy for autonomic measures nor EEG measures; this underpins the equivalence of verbal and pictorial item presentation in a CIT, regardless of the physiological measures recorded. Future studies should further clarify whether the incremental validity observed in the present study reflects a differential sensitivity of ERP and EDA to different sub-processes in a CIT.","container-title":"International Journal of Psychophysiology","DOI":"10.1016/j.ijpsycho.2009.12.007","ISSN":"0167-8760","issue":"3","journalAbbreviation":"International Journal of Psychophysiology","language":"en","page":"258-267","source":"ScienceDirect","title":"A Concealed Information Test with multimodal measurement","volume":"75","author":[{"family":"Ambach","given":"Wolfgang"},{"family":"Bursch","given":"Stephanie"},{"family":"Stark","given":"Rudolf"},{"family":"Vaitl","given":"Dieter"}],"issued":{"date-parts":[["2010",3,1]]}},"label":"page"},{"id":7108,"uris":["http://zotero.org/users/3334739/items/9292LJKF"],"itemData":{"id":7108,"type":"article-journal","abstract":"Deception is a human behavior that many people experience in daily life. It involves complex neuronal activities in addition to several physiological changes in the body. A polygraph, which can measure some of the physiological responses from the body, has been widely employed in lie-detection. Many researchers, however, believe that lie detection can become more precise if the neuronal changes that occur in the process of deception can be isolated and measured. In this study, we combine both measures (i.e., physiological and neuronal changes) for enhanced lie-detection. Specifically, to investigate the deception-related hemodynamic response, functional near-infrared spectroscopy (fNIRS) is applied at the prefrontal cortex besides a commercially available polygraph system. A mock crime scenario with a single-trial stimulus is set up as a deception protocol. The acquired data are classified into “true” and “lie” classes based on the fNIRS-based hemoglobin-concentration changes and polygraph-based physiological signal changes. Linear discriminant analysis is utilized as a classifier. The results indicate that the combined fNIRS-polygraph system delivers much higher classification accuracy than that of a singular system. This study demonstrates a plausible solution toward single-trial lie-detection by combining fNIRS and the polygraph.","container-title":"Frontiers in Psychology","DOI":"10.3389/fpsyg.2015.00709","ISSN":"1664-1078","source":"Frontiers","title":"Single-trial lie detection using a combined fNIRS-polygraph system","URL":"https://www.frontiersin.org/articles/10.3389/fpsyg.2015.00709","volume":"6","author":[{"family":"Bhutta","given":"M. Raheel"},{"family":"Hong","given":"Melissa J."},{"family":"Kim","given":"Yun-Hee"},{"family":"Hong","given":"Keum-Shik"}],"accessed":{"date-parts":[["2023",6,9]]},"issued":{"date-parts":[["2015"]]}},"label":"page"},{"id":471,"uris":["http://zotero.org/users/3334739/items/K6J4Q7UB"],"itemData":{"id":471,"type":"article-journal","abstract":"Meta-analytic research has confirmed that skin conductance response (SCR) measures have high validity for the detection of concealed information. Furthermore, cumulating research has provided evidence for the validity of two other autonomic measures: Heart rate (HR) and Respiration Line Length (RLL). In the present report, we compared SCR detection efficiency with HR and RLL, and investigated whether HR and RLL provide incremental validity to electrodermal responses. Analyses were based on data from 7 different samples covering 275 guilty and 53 innocent examinees. Results revealed that the area under the ROC curve was significantly higher for SCR than for HR and RLL. A weighted combination of these measures using a logistic regression model yielded slightly larger validity coefficients than the best single measure. These results proved to be stable across different protocols and various samples.","container-title":"Physiology &amp; Behavior","DOI":"10.1016/j.physbeh.2008.06.011","ISSN":"0031-9384","issue":"3","journalAbbreviation":"Physiology &amp; Behavior","language":"en","page":"333-340","source":"ScienceDirect","title":"Combining physiological measures in the detection of concealed information","volume":"95","author":[{"family":"Gamer","given":"Matthias"},{"family":"Verschuere","given":"Bruno"},{"family":"Crombez","given":"Geert"},{"family":"Vossel","given":"Gerhard"}],"issued":{"date-parts":[["2008",10,20]]}},"label":"page"},{"id":513,"uris":["http://zotero.org/users/3334739/items/R6IAKZ5X"],"itemData":{"id":513,"type":"article-journal","abstract":"This study aimed at differentiating between memory- and task-related processes and their correlates on the electrodermal and electrocortical level during information concealment. Variations of the Guilty Knowledge Test were implemented in two experiments while we measured skin conductance responses (SCRs) and event-related brain potentials. P300 amplitudes were specifically enhanced for items requiring a deviant behavioral response but they were not sensitive to concealed knowledge. In contrast, N200 amplitudes differed between memorized and irrelevant items in both experiments. SCR measures reflected a combined influence of task relevance and probe recognition, and they provided incremental validity above N200 amplitudes. These results suggest that the P300 mainly reflects task relevance in the given experimental setting whereas the N200 amplitude is sensitive to previously encoded information and potentially linked to response monitoring processes.","container-title":"Psychophysiology","DOI":"10.1111/j.1469-8986.2009.00933.x","ISSN":"1469-8986","issue":"2","language":"en","note":"_eprint: https://onlinelibrary.wiley.com/doi/pdf/10.1111/j.1469-8986.2009.00933.x","page":"355-364","source":"Wiley Online Library","title":"Task relevance and recognition of concealed information have different influences on electrodermal activity and event-related brain potentials","volume":"47","author":[{"family":"Gamer","given":"Matthias"},{"family":"Berti","given":"Stefan"}],"issued":{"date-parts":[["2010"]]}},"label":"page"},{"id":719,"uris":["http://zotero.org/users/3334739/items/HR6W5QFU"],"itemData":{"id":719,"type":"article-journal","abstract":"Abstract: Using Blood Oxygen Level Dependent (BOLD) functional MRI (fMRI) to detect deception is feasible in simple laboratory paradigms. A mock sabotage scenario was used to test whether this technology would also be effective in a scenario closer to a real-world situation. Healthy, nonmedicated adults were recruited from the community, screened, and randomized to either a Mock-crime group or a No-crime group. The Mock-crime group damaged and stole compact discs (CDs), which contained incriminating video footage, while the No-crime group did not perform a task. The Mock-crime group also picked up an envelope from a researcher, while the No-crime group did not perform this task. Both groups were instructed to report that they picked up an envelope, but did not sabotage any video evidence. Participants later went to the imaging center and were scanned while being asked questions regarding the mock crime. Participants also performed a simple laboratory based fMRI deception testing (Ring-Watch testing). The Ring-Watch testing consisted of “stealing” either a watch or a ring. The participants were instructed to report that they stole neither object. We correctly identified deception during the Ring-Watch testing in 25 of 36 participants (Validated Group). In this Validated Group for whom a determination was made, computer-based scoring correctly identified nine of nine Mock-crime participants (100% sensitivity) and five of 15 No-crime participants (33% specificity). BOLD fMRI presently can be used to detect deception concerning past events with high sensitivity, but low specificity.","container-title":"Journal of Forensic Sciences","DOI":"10.1111/j.1556-4029.2008.00927.x","ISSN":"1556-4029","issue":"1","journalAbbreviation":"J. Forensic Sci.","language":"en","license":"© 2008 American Academy of Forensic Sciences","note":"number: 1\n_eprint: https://onlinelibrary.wiley.com/doi/pdf/10.1111/j.1556-4029.2008.00927.x","page":"220-231","source":"Wiley Online Library","title":"Functional MRI Detection of Deception After Committing a Mock Sabotage Crime","volume":"54","author":[{"family":"Kozel","given":"F. Andrew"},{"family":"Johnson","given":"Kevin A."},{"family":"Grenesko","given":"Emily L."},{"family":"Laken","given":"Steven J."},{"family":"Kose","given":"Samet"},{"family":"Lu","given":"Xinghua"},{"family":"Pollina","given":"Dean"},{"family":"Ryan","given":"Andrew"},{"family":"George","given":"Mark S."}],"issued":{"date-parts":[["2009"]]}},"label":"page"},{"id":7110,"uris":["http://zotero.org/users/3334739/items/WJI8BI7N"],"itemData":{"id":7110,"type":"article-journal","abstract":"The concealed information test (CIT) has been used to detect information that examinees possess by means of their autonomic responses. However, the central activities related to these autonomic responses remain unclear. In this study, we simultaneously recorded 128-ch event-related potentials (ERPs) and various autonomic responses (heart rate, respiratory rate, respiratory amplitude, cutaneous blood flow, and skin conductance response) to a critical item (i.e., the item that participants memorized) and to non-critical items (i.e., items other than the critical item) using the standard protocol of the autonomic-based CIT. A topographic analysis of variance and a temporal–spatial principal component analysis revealed that the critical item elicited a larger negative potential (N2b, 205–298 ms) at central regions and a larger positive potential (positive slow wave, 502–744 ms) at parieto-occipital regions, compared to the non-critical items. Correlation analysis across 21 participants showed a significant correlation between N2b increase and heart rate deceleration in response to critical items compared to non-critical items, but there were no autonomic correlates of the positive slow wave. The results suggest that at least two brain processes are involved in the autonomic-based CIT: The first is an attentional-orienting process that facilitates the processing of critical items, to which heart rate deceleration was linked, and the second is an additional process after the identification of critical items.","container-title":"International Journal of Psychophysiology","DOI":"10.1016/j.ijpsycho.2009.07.004","ISSN":"0167-8760","issue":"1","journalAbbreviation":"International Journal of Psychophysiology","language":"en","page":"58-68","source":"ScienceDirect","title":"Event-related brain potentials during the standard autonomic-based concealed information test","volume":"74","author":[{"family":"Matsuda","given":"Izumi"},{"family":"Nittono","given":"Hiroshi"},{"family":"Hirota","given":"Akihisa"},{"family":"Ogawa","given":"Tokihiro"},{"family":"Takasawa","given":"Noriyoshi"}],"issued":{"date-parts":[["2009",10,1]]}},"label":"page"}],"schema":"https://github.com/citation-style-language/schema/raw/master/csl-citation.json"} </w:instrText>
      </w:r>
      <w:r w:rsidR="00DD2AE7">
        <w:fldChar w:fldCharType="separate"/>
      </w:r>
      <w:r w:rsidR="00E910F0" w:rsidRPr="00E910F0">
        <w:rPr>
          <w:rFonts w:cs="Times New Roman"/>
        </w:rPr>
        <w:t>(Ambach et al., 2010; Bhutta et al., 2015; Gamer et al., 2008; Gamer &amp; Berti, 2010; Kozel et al., 2009; Matsuda et al., 2009)</w:t>
      </w:r>
      <w:r w:rsidR="00DD2AE7">
        <w:fldChar w:fldCharType="end"/>
      </w:r>
      <w:r w:rsidRPr="009749C7">
        <w:t>. The superiority of combining multiple measurements lie in that it not only reduces the random error compared to single measurement</w:t>
      </w:r>
      <w:r w:rsidR="0073324E">
        <w:rPr>
          <w:rFonts w:hint="eastAsia"/>
        </w:rPr>
        <w:t>s</w:t>
      </w:r>
      <w:r w:rsidRPr="009749C7">
        <w:t>, maintaining the improved stability of deception detection</w:t>
      </w:r>
      <w:r w:rsidR="00DD2AE7">
        <w:t xml:space="preserve"> </w:t>
      </w:r>
      <w:r w:rsidR="00DD2AE7">
        <w:fldChar w:fldCharType="begin"/>
      </w:r>
      <w:r w:rsidR="00DD2AE7">
        <w:instrText xml:space="preserve"> ADDIN ZOTERO_ITEM CSL_CITATION {"citationID":"a2cNiMGj","properties":{"formattedCitation":"(Gamer et al., 2007; Kozel et al., 2009; Matsuda et al., 2011; Wang et al., 2022)","plainCitation":"(Gamer et al., 2007; Kozel et al., 2009; Matsuda et al., 2011; Wang et al., 2022)","noteIndex":0},"citationItems":[{"id":728,"uris":["http://zotero.org/users/3334739/items/F6TVQRKQ"],"itemData":{"id":728,"type":"article-journal","abstract":"Imaging techniques have been used to elucidate the neural correlates that underlie deception. The scientifically best understood paradigm for the detection of deception, however, the guilty knowledge test (GKT), was rarely used in imaging studies. By transferring a GKT-paradigm to a functional magnetic resonance imaging (fMRI) study, while additionally quantifying reaction times and skin conductance responses (SCRs), this study aimed at identifying the neural correlates of the behavioral and electrodermal response pattern typically found in GKT examinations. Prior to MR scanning, subjects viewed two specific items (probes) and were instructed to hide their knowledge of these. Two other specific items were designated as targets and required a different behavioral response during the experiment and eight items served as irrelevant stimuli. Reaction times and SCR amplitudes differed significantly between all three item types. The neuroimaging data revealed that right inferior frontal and mid-cingulate regions were more active for probe and target trials compared to irrelevants. Moreover, the differential activation in the right inferior frontal region was modulated by stimulus conflicts. These results were interpreted as an increased top-down influence on the stimulus-response-mapping for concealed and task-relevant items. Additionally, the influence of working memory and retrieval processes on this activation pattern is discussed. Using parametric analyses, reaction times and SCR amplitudes were found to be linearly related to activity in the cerebellum, the right inferior frontal cortex, and the supplementary motor area. This result provides a first link between behavioral measures, sympathetic arousal, and neural activation patterns during a GKT examination. Hum Brain Mapp 2007. © 2007 Wiley-Liss, Inc.","container-title":"Human Br</w:instrText>
      </w:r>
      <w:r w:rsidR="00DD2AE7">
        <w:rPr>
          <w:rFonts w:hint="eastAsia"/>
        </w:rPr>
        <w:instrText>ain Mapping","DOI":"10.1002/hbm.20343","ISSN":"1097-0193","issue":"12","journalAbbreviation":"Hum. Brain Mapp.","language":"en","license":"Copyright © 2007 Wiley</w:instrText>
      </w:r>
      <w:r w:rsidR="00DD2AE7">
        <w:rPr>
          <w:rFonts w:hint="eastAsia"/>
        </w:rPr>
        <w:instrText>‐</w:instrText>
      </w:r>
      <w:r w:rsidR="00DD2AE7">
        <w:rPr>
          <w:rFonts w:hint="eastAsia"/>
        </w:rPr>
        <w:instrText>Liss, Inc.","note":"number: 12\n_eprint: https://onlinelibrary.wiley.com/doi/pdf/10.1002/hbm.</w:instrText>
      </w:r>
      <w:r w:rsidR="00DD2AE7">
        <w:instrText xml:space="preserve">20343","page":"1287-1301","source":"Wiley Online Library","title":"Covariations among fMRI, skin conductance, and behavioral data during processing of concealed information","volume":"28","author":[{"family":"Gamer","given":"Matthias"},{"family":"Bauermann","given":"Thomas"},{"family":"Stoeter","given":"Peter"},{"family":"Vossel","given":"Gerhard"}],"issued":{"date-parts":[["2007"]]}},"label":"page"},{"id":719,"uris":["http://zotero.org/users/3334739/items/HR6W5QFU"],"itemData":{"id":719,"type":"article-journal","abstract":"Abstract: Using Blood Oxygen Level Dependent (BOLD) functional MRI (fMRI) to detect deception is feasible in simple laboratory paradigms. A mock sabotage scenario was used to test whether this technology would also be effective in a scenario closer to a real-world situation. Healthy, nonmedicated adults were recruited from the community, screened, and randomized to either a Mock-crime group or a No-crime group. The Mock-crime group damaged and stole compact discs (CDs), which contained incriminating video footage, while the No-crime group did not perform a task. The Mock-crime group also picked up an envelope from a researcher, while the No-crime group did not perform this task. Both groups were instructed to report that they picked up an envelope, but did not sabotage any video evidence. Participants later went to the imaging center and were scanned while being asked questions regarding the mock crime. Participants also performed a simple laboratory based fMRI deception testing (Ring-Watch testing). The Ring-Watch testing consisted of “stealing” either a watch or a ring. The participants were instructed to report that they stole neither object. We correctly identified deception during the Ring-Watch testing in 25 of 36 participants (Validated Group). In this Validated Group for whom a determination was made, computer-based scoring correctly identified nine of nine Mock-crime participants (100% sensitivity) and five of 15 No-crime participants (33% specificity). BOLD fMRI presently can be used to detect deception concerning past events with high sensitivity, but low specificity.","container-title":"Journal of Forensic Sciences","DOI":"10.1111/j.1556-4029.2008.00927.x","ISSN":"1556-4029","issue":"1","journalAbbreviation":"J. Forensic Sci.","language":"en","license":"© 2008 American Academy of Forensic Sciences","note":"number: 1\n_eprint: https://onlinelibrary.wiley.com/doi/pdf/10.1111/j.1556-4029.2008.00927.x","page":"220-231","source":"Wiley Online Library","title":"Functional MRI Detection of Deception After Committing a Mock Sabotage Crime","volume":"54","author":[{"family":"Kozel","given":"F. Andrew"},{"family":"Johnson","given":"Kevin A."},{"family":"Grenesko","given":"Emily L."},{"family":"Laken","given":"Steven J."},{"family":"Kose","given":"Samet"},{"family":"Lu","given":"Xinghua"},{"family":"Pollina","given":"Dean"},{"family":"Ryan","given":"Andrew"},{"family":"George","given":"Mark S."}],"issued":{"date-parts":[["2009"]]}},"label":"page"},{"id":7113,"uris":["http://zotero.org/users/3334739/items/53BXIUGN"],"itemData":{"id":7113,"type":"article-journal","abstract":"The concealed information test (CIT) assesses an examinee's crime-relevant memory on the basis of physiological differences between crime-relevant and irrelevant items. The CIT based on autonomic measures has been used for criminal investigations, while the CIT based on event-related potentials (ERPs) has been suggested as a useful alternative. To combine these two methods, we developed a quantification method of ERPs measured in the autonomic-based CIT where each item was repeated only 5 times. Results showed that the peak amplitude of the ERP difference wave between crime-relevant and irrelevant items could discriminate between guilty and innocent participants effectively even when only 5 trials were used for averaging. This ERP measure could detect some participants who were missed by the autonomic measures. Combining the ERP and autonomic measures significantly improved the discrimination performance of the autonomic-based CIT.","container-title":"Psychophysiology","DOI":"10.1111/j.1469-8986.2011.01266.x","ISSN":"1469-8986","issue":"12","language":"en","license":"Copyright © 2011 Society for Psychophysiological Research","note":"_eprint: https://onlinelibrary.wiley.com/doi/pdf/10.1111/j.1469-8986.2011.01266.x","page":"1701-1710","source":"Wiley Online Library","title":"Event-related potentials increase the discrimination performance of the autonomic-based concealed information test","volume":"48","author":[{"family":"Matsuda","given":"Izumi"},{"family":"Nittono","given":"Hiroshi"},{"family":"Ogawa","given":"Tokihiro"}],"issued":{"date-parts":[["2011"]]}},"label":"page"},{"id":3639,"uris":["http://zotero.org/users/3334739/items/66E9N3B5"],"itemData":{"id":3639,"type":"article-journal","abstract":"In this study, brain imaging data from functional near-infrared spectroscopy (fNIRS) associated with skin conductance response (SCR), heart rate (HR), and reaction time (RT) were combined to determine if the combination of these indicators could improve the efficiency of deception detection in concealed information test (CIT). During the CIT, participants were presented with a series of names and cities that served as target, probe, or irrelevant stimuli. In the guilty group, the probe stimuli were the participants’ own names and hometown cities, and they were asked to deny this information. Our results revealed that probe items were associated with longer RT, larger SCR, slower HR, and higher oxyhemoglobin (HbO) concentration changes in the inferior prefrontal gyrus (IFG), middle frontal gyrus (MFG), and the superior frontal gyrus (SFG) compared with irrelevant items for participants in the guilty group but not in the innocent group. Furthermore, our results suggested that the combination of RT, SCR, HR, and fNIRS indicators could improve the deception detection efficiency to a very high area under the ROC curve (0.94) compared with any of the single indicators (0.74–0.89). The improved deception detection efficiency might be attributed to the reduction of random error and the diversiform underlying the psychophysiological mechanisms reflected by each indicator. These findings demonstrate a feasible way to improve the deception detection efficiency by using combined multiple indicators.","container-title":"Psychophysiology","DOI":"10/gppmbn","ISSN":"1469-8986","issue":"n/a","language":"en","note":"_eprint: https://onlinelibrary.wiley.com/doi/pdf/10.1111/psyp.14029","page":"e14029","source":"Wiley Online Library","title":"Detecting concealed information using functional near-infrared spectroscopy (fNIRS) combined with skin conductance, heart rate, and behavioral measures","volume":"n/a","author":[{"family":"Wang","given":"Di"},{"family":"Wang","given":"Chongxiang"},{"family":"Yi","given":"Xingyu"},{"family":"Sai","given":"Liyang"},{"family":"Fu","given":"Genyue"},{"family":"Lin","given":"Xiaohong Allison"}],"issued":{"date-parts":[["2022",2,22]]}},"label":"page"}],"schema":"https://github.com/citation-style-language/schema/raw/master/csl-citation.json"} </w:instrText>
      </w:r>
      <w:r w:rsidR="00DD2AE7">
        <w:fldChar w:fldCharType="separate"/>
      </w:r>
      <w:r w:rsidR="00E910F0" w:rsidRPr="00E910F0">
        <w:rPr>
          <w:rFonts w:cs="Times New Roman"/>
        </w:rPr>
        <w:t>(Gamer et al., 2007; Kozel et al., 2009; Matsuda et al., 2011; Wang et al., 2022)</w:t>
      </w:r>
      <w:r w:rsidR="00DD2AE7">
        <w:fldChar w:fldCharType="end"/>
      </w:r>
      <w:r w:rsidRPr="009749C7">
        <w:t>. But could also integrate multidimensional information triggered by deception (i.e.</w:t>
      </w:r>
      <w:r>
        <w:t>,</w:t>
      </w:r>
      <w:r w:rsidRPr="009749C7">
        <w:t xml:space="preserve"> the concealed information), and provide enhanced efficiency in deception detection</w:t>
      </w:r>
      <w:r w:rsidR="00DD2AE7">
        <w:t xml:space="preserve"> </w:t>
      </w:r>
      <w:r w:rsidR="00DD2AE7">
        <w:fldChar w:fldCharType="begin"/>
      </w:r>
      <w:r w:rsidR="00E910F0">
        <w:instrText xml:space="preserve"> ADDIN ZOTERO_ITEM CSL_CITATION {"citationID":"YbNyPWYt","properties":{"formattedCitation":"(Klein Selle et al., 2016; Wang et al., 2022)","plainCitation":"(Klein Selle et al., 2016; Wang et al., 2022)","noteIndex":0},"citationItems":[{"id":472,"uris":["http://zotero.org/users/3334739/items/ZJIT8RQL"],"itemData":{"id":472,"type":"article-journal","abstract":"The Concealed Information Test (CIT) provides a valid tool for psychophysiological detection of concealed knowledge. However, its precise theoretical underpinnings remain a matter of debate. The differential physiological responses elicited by concealed, relevant items, relative to control items, were traditionally explained as reflecting an orienting response (OR). According to an alternative account, these responses reflect attempts to inhibit arousal. The present study examined whether and to what extent CIT detection efficiency is affected by instructions aimed at manipulating arousal inhibition (AI). One hundred and forty-eight undergraduate students completed a CIT, while electrodermal, cardiac, and respiratory measures were recorded. Half of the participants were requested to imagine that they are suspected of committing a crime and were motivated to avoid detection (presumably eliciting both OR and AI), while the other half were requested to imagine that they are witnesses of a crime and were motivated to be detected (presumably eliciting OR only). All participants were further requested to remain silent throughout the test. In both conditions, concealed items led to a similar increase in skin conductance as compared to the control items. However, the typically observed heart rate deceleration and respiratory suppression were found in suspects, but not in witnesses. These data imply that different mechanisms drive the responding of different psychophysiological measures used in the CIT, with skin conductance reflecting OR, and heart rate and respiration primarily reflecting AI.","container-title":"Psychophysiology","DOI":"10.1111/psyp.12583","ISSN":"1469-8986","issue":"4","language":"en","note":"_eprint: https://onlinelibrary.wiley.com/doi/pdf/10.1111/psyp.12583","page":"579-590","source":"Wiley Online Library","title":"Orienting versus inhibition in the Concealed Information Test: Different cognitive processes drive different physiological measures","title-short":"Orienting versus inhibition in the Concealed Information Test","volume":"53","author":[{"family":"Klein Selle","given":"Nathalie"},{"family":"Verschuere","given":"Bruno"},{"family":"Kindt","given":"Merel"},{"family":"Meijer","given":"Ewout"},{"family":"Ben-Shakhar","given":"Gershon"}],"issued":{"date-parts":[["2016"]]}},"label":"page"},{"id":3639,"uris":["http://zotero.org/users/3334739/items/66E9N3B5"],"itemData":{"id":3639,"type":"article-journal","abstract":"In this study, brain imaging data from functional near-infrared spectroscopy (fNIRS) associated with skin conductance response (SCR), heart rate (HR), and reaction time (RT) were combined to determine if the combination of these indicators could improve the efficiency of deception detection in concealed information test (CIT). During the CIT, participants were presented with a series of names and cities that served as target, probe, or irrelevant stimuli. In the guilty group, the probe stimuli were the participants’ own names and hometown cities, and they were asked to deny this information. Our results revealed that probe items were associated with longer RT, larger SCR, slower HR, and higher oxyhemoglobin (HbO) concentration changes in the inferior prefrontal gyrus (IFG), middle frontal gyrus (MFG), and the superior frontal gyrus (SFG) compared with irrelevant items for participants in the guilty group but not in the innocent group. Furthermore, our results suggested that the combination of RT, SCR, HR, and fNIRS indicators could improve the deception detection efficiency to a very high area under the ROC curve (0.94) compared with any of the single indicators (0.74–0.89). The improved deception detection efficiency might be attributed to the reduction of random error and the diversiform underlying the psychophysiological mechanisms reflected by each indicator. These findings demonstrate a feasible way to improve the deception detection efficiency by using combined multiple indicators.","container-title":"Psychophysiology","DOI":"10/gppmbn","ISSN":"1469-8986","issue":"n/a","language":"en","note":"_eprint: https://onlinelibrary.wiley.com/doi/pdf/10.1111/psyp.14029","page":"e14029","source":"Wiley Online Library","title":"Detecting concealed information using functional near-infrared spectroscopy (fNIRS) combined with skin conductance, heart rate, and behavioral measures","volume":"n/a","author":[{"family":"Wang","given":"Di"},{"family":"Wang","given":"Chongxiang"},{"family":"Yi","given":"Xingyu"},{"family":"Sai","given":"Liyang"},{"family":"Fu","given":"Genyue"},{"family":"Lin","given":"Xiaohong Allison"}],"issued":{"date-parts":[["2022",2,22]]}},"label":"page"}],"schema":"https://github.com/citation-style-language/schema/raw/master/csl-citation.json"} </w:instrText>
      </w:r>
      <w:r w:rsidR="00DD2AE7">
        <w:fldChar w:fldCharType="separate"/>
      </w:r>
      <w:r w:rsidR="00E910F0" w:rsidRPr="00E910F0">
        <w:rPr>
          <w:rFonts w:cs="Times New Roman"/>
        </w:rPr>
        <w:t>(Klein Selle et al., 2016; Wang et al., 2022)</w:t>
      </w:r>
      <w:r w:rsidR="00DD2AE7">
        <w:fldChar w:fldCharType="end"/>
      </w:r>
      <w:r w:rsidRPr="00925DD9">
        <w:t>.</w:t>
      </w:r>
      <w:r w:rsidRPr="009749C7">
        <w:t xml:space="preserve"> </w:t>
      </w:r>
      <w:r w:rsidR="005C3080">
        <w:t xml:space="preserve">Further, </w:t>
      </w:r>
      <w:r w:rsidR="005C3080">
        <w:rPr>
          <w:rFonts w:hint="eastAsia"/>
        </w:rPr>
        <w:t>i</w:t>
      </w:r>
      <w:r w:rsidR="003F7A9D">
        <w:t>t’s</w:t>
      </w:r>
      <w:r w:rsidR="005C3080">
        <w:t xml:space="preserve"> also</w:t>
      </w:r>
      <w:r w:rsidR="003F7A9D">
        <w:t xml:space="preserve"> essential to</w:t>
      </w:r>
      <w:r w:rsidR="003F7A9D" w:rsidRPr="003F7A9D">
        <w:t xml:space="preserve"> </w:t>
      </w:r>
      <w:r w:rsidR="005C3080">
        <w:t>ex</w:t>
      </w:r>
      <w:r w:rsidR="003F7A9D">
        <w:t>plore the forensic application</w:t>
      </w:r>
      <w:r w:rsidR="005C3080">
        <w:t xml:space="preserve"> </w:t>
      </w:r>
      <w:r w:rsidR="003F7A9D">
        <w:t>of deception detection with multiple indic</w:t>
      </w:r>
      <w:r w:rsidR="00581C4D">
        <w:t>a</w:t>
      </w:r>
      <w:r w:rsidR="003F7A9D">
        <w:t xml:space="preserve">tors. </w:t>
      </w:r>
      <w:r w:rsidR="00492A87">
        <w:t>Therefore, i</w:t>
      </w:r>
      <w:r w:rsidR="00492A87" w:rsidRPr="009749C7">
        <w:t xml:space="preserve">n </w:t>
      </w:r>
      <w:r w:rsidR="00040154">
        <w:t xml:space="preserve">the </w:t>
      </w:r>
      <w:r w:rsidRPr="009749C7">
        <w:t xml:space="preserve">current study, we intend to combine brain imaging, physiological, and behavioral measurements for detecting concealed information in a </w:t>
      </w:r>
      <w:r w:rsidRPr="00922715">
        <w:t>mock crime scenario</w:t>
      </w:r>
      <w:r w:rsidRPr="009749C7">
        <w:t>. The high deception detection efficiency was expected by combing functional near-infrared spectroscopy (fNIRS), skin conductance responses (SCR), heart rate (HR), and reaction time (RT) data.</w:t>
      </w:r>
      <w:r>
        <w:t xml:space="preserve"> </w:t>
      </w:r>
    </w:p>
    <w:p w14:paraId="7C8389DB" w14:textId="783E010F" w:rsidR="00A762BA" w:rsidRDefault="00B21A37" w:rsidP="00B21A37">
      <w:r w:rsidRPr="009749C7">
        <w:t xml:space="preserve">The concealed information test (CIT) has a long-standing and noteworthy history in </w:t>
      </w:r>
      <w:r w:rsidRPr="009749C7">
        <w:lastRenderedPageBreak/>
        <w:t>the domain of deception detection</w:t>
      </w:r>
      <w:r w:rsidR="00581C4D">
        <w:t xml:space="preserve"> </w:t>
      </w:r>
      <w:r w:rsidR="00644918">
        <w:t xml:space="preserve">and </w:t>
      </w:r>
      <w:r w:rsidR="00581C4D" w:rsidRPr="009749C7">
        <w:t>ha</w:t>
      </w:r>
      <w:r w:rsidR="00581C4D">
        <w:t>s</w:t>
      </w:r>
      <w:r w:rsidR="00581C4D" w:rsidRPr="009749C7">
        <w:t xml:space="preserve"> </w:t>
      </w:r>
      <w:r w:rsidRPr="009749C7">
        <w:t>been widely utilized since its inception</w:t>
      </w:r>
      <w:r w:rsidR="00DD2AE7">
        <w:t xml:space="preserve"> </w:t>
      </w:r>
      <w:r w:rsidR="00DD2AE7">
        <w:fldChar w:fldCharType="begin"/>
      </w:r>
      <w:r w:rsidR="00DD2AE7">
        <w:instrText xml:space="preserve"> ADDIN ZOTERO_ITEM CSL_CITATION {"citationID":"rnWiKOZ7","properties":{"formattedCitation":"(Lykken, 1959, 1960)","plainCitation":"(Lykken, 1959, 1960)","noteIndex":0},"citationItems":[{"id":7116,"uris":["http://zotero.org/users/3334739/items/U3RL7ARR"],"itemData":{"id":7116,"type":"article-journal","abstract":"How accurate is a lie detector in determining guilt? \"Forty-nine male college students, after random assortment into four groups, were required to enact one, both, or neither of two mock crimes. All were then given a guilty knowledge test, employing the GSR, which used six standard questions relating to each of the two crimes. A simple, objective, and a priori scoring system was used to determine guilt. Forty-four or 89.8% of the Ss were assigned to their correct group, against a chance expectancy of 25%. Considering the crimes separately, all Ss innocent of a crime were correctly classified, while 44 or 50 interrogations of guilty Ss gave guilty classifications, a total of 93.9% correct classification against a chance expectancy of 50%… . Detection of guilty knowledge… is demonstrably capable of very high validity in those situations where it can be used.\" (PsycINFO Database Record (c) 2016 APA, all rights reserved)","container-title":"Journal of Applied Psychology","DOI":"10.1037/h0046060","ISSN":"1939-1854","note":"publisher-place: US\npublisher: American Psychological Association","page":"385-388","source":"APA PsycNet","title":"The GSR in the detection of guilt","volume":"43","author":[{"family":"Lykken","given":"David T."}],"issued":{"date-parts":[["1959"]]}}},{"id":632,"uris":["http://zotero.org/users/3334739/items/RD6L4HE2"],"itemData":{"id":632,"type":"article-journal","abstract":"In developing an alternative to the lie detector, a questionnaire was given 20 Ss with the GSR. 1 response in each multiple-choice item was a guilty response known to the examiner. Ss were bribed to defeat the GSR after being trained to do so. They failed. Although conventional methods may be used in more instances, this objectively scored, guilt knowledge test offers a valuable alternative. (PsycINFO Database Record (c) 2016 APA, all rights reserved)","container-title":"Journal of Applied Psychology","DOI":"10.1037/h0044413","ISSN":"1939-1854(Electronic),0021-9010(Print)","issue":"4","note":"publisher-place: US\npublisher: American Psychological Association","page":"258-262","title":"The validity of the guilty knowledge technique: The effects of faking.","volume":"44","author":[{"family":"Lykken","given":"David T."}],"issued":{"date-parts":[["1960"]]}},"label":"page"}],"schema":"https://github.com/citation-style-language/schema/raw/master/csl-citation.json"} </w:instrText>
      </w:r>
      <w:r w:rsidR="00DD2AE7">
        <w:fldChar w:fldCharType="separate"/>
      </w:r>
      <w:r w:rsidR="00E910F0" w:rsidRPr="00E910F0">
        <w:rPr>
          <w:rFonts w:cs="Times New Roman"/>
        </w:rPr>
        <w:t>(Lykken, 1959, 1960)</w:t>
      </w:r>
      <w:r w:rsidR="00DD2AE7">
        <w:fldChar w:fldCharType="end"/>
      </w:r>
      <w:r w:rsidRPr="009749C7">
        <w:t xml:space="preserve">. </w:t>
      </w:r>
      <w:r w:rsidR="005C1B88" w:rsidRPr="005C1B88">
        <w:t xml:space="preserve">In Japan, the CIT has been </w:t>
      </w:r>
      <w:r w:rsidR="005C1B88">
        <w:t xml:space="preserve">successfully </w:t>
      </w:r>
      <w:r w:rsidR="005C1B88" w:rsidRPr="005C1B88">
        <w:t xml:space="preserve">applied to practical criminal investigations </w:t>
      </w:r>
      <w:r w:rsidR="00581C4D">
        <w:t>on</w:t>
      </w:r>
      <w:r w:rsidR="00581C4D" w:rsidRPr="005C1B88">
        <w:t xml:space="preserve"> </w:t>
      </w:r>
      <w:r w:rsidR="005C1B88" w:rsidRPr="005C1B88">
        <w:t>a large scale</w:t>
      </w:r>
      <w:r w:rsidR="00DD2AE7">
        <w:t xml:space="preserve"> </w:t>
      </w:r>
      <w:r w:rsidR="00DD2AE7">
        <w:fldChar w:fldCharType="begin"/>
      </w:r>
      <w:r w:rsidR="00DD2AE7">
        <w:instrText xml:space="preserve"> ADDIN ZOTERO_ITEM CSL_CITATION {"citationID":"3RQx3AWS","properties":{"formattedCitation":"(Osugi, 2011)","plainCitation":"(Osugi, 2011)","noteIndex":0},"citationItems":[{"id":6482,"uris":["http://zotero.org/users/3334739/items/U5L5UEEK"],"itemData":{"id":6482,"type":"article-journal","container-title":"Memory detection: Theory and application of the Concealed Information Test","DOI":"10.1017/CBO9780511975196.015","page":"253","source":"Google Scholar","title":"Daily application of the concealed information test: Japan","title-short":"14. Daily application of the concealed information test","author":[{"family":"Osugi","given":"Akemi"}],"issued":{"date-parts":[["2011"]]}}}],"schema":"https://github.com/citation-style-language/schema/raw/master/csl-citation.json"} </w:instrText>
      </w:r>
      <w:r w:rsidR="00DD2AE7">
        <w:fldChar w:fldCharType="separate"/>
      </w:r>
      <w:r w:rsidR="00E910F0" w:rsidRPr="00E910F0">
        <w:rPr>
          <w:rFonts w:cs="Times New Roman"/>
        </w:rPr>
        <w:t>(Osugi, 2011)</w:t>
      </w:r>
      <w:r w:rsidR="00DD2AE7">
        <w:fldChar w:fldCharType="end"/>
      </w:r>
      <w:r w:rsidR="005C1B88" w:rsidRPr="005C1B88">
        <w:t>.</w:t>
      </w:r>
      <w:r w:rsidR="005C1B88">
        <w:t xml:space="preserve"> </w:t>
      </w:r>
      <w:r w:rsidRPr="009749C7">
        <w:t>When implemented in mock crime scenarios, in the CIT, participants are instructed to respon</w:t>
      </w:r>
      <w:r w:rsidR="00785F9A">
        <w:t>d</w:t>
      </w:r>
      <w:r w:rsidRPr="009749C7">
        <w:t xml:space="preserve"> to specific crime-related details (probe items, e.g., the type of weapon used in a murder, a knife) and other irrelative alternatives (irrelative items, e.g., a gun, a rope, a bat, an ice pick). Guilty individuals, who are previously familiar with this crucial piece of information, then be able to differentiate between crime-related and irrelative alternatives. And the discrepancy </w:t>
      </w:r>
      <w:r w:rsidR="00581C4D">
        <w:t>between</w:t>
      </w:r>
      <w:r w:rsidR="00581C4D" w:rsidRPr="009749C7">
        <w:t xml:space="preserve"> </w:t>
      </w:r>
      <w:r w:rsidRPr="009749C7">
        <w:t>the above responses could be detected through behavioral, physiological</w:t>
      </w:r>
      <w:r w:rsidR="00581C4D">
        <w:t>,</w:t>
      </w:r>
      <w:r w:rsidRPr="009749C7">
        <w:t xml:space="preserve"> or neuroimaging </w:t>
      </w:r>
      <w:r w:rsidR="008A187D">
        <w:t>measurements</w:t>
      </w:r>
      <w:r w:rsidR="00DD2AE7">
        <w:t xml:space="preserve"> </w:t>
      </w:r>
      <w:r w:rsidR="00DD2AE7">
        <w:fldChar w:fldCharType="begin"/>
      </w:r>
      <w:r w:rsidR="00DD2AE7">
        <w:instrText xml:space="preserve"> ADDIN ZOTERO_ITEM CSL_CITATION {"citationID":"Q2UeR65d","properties":{"formattedCitation":"(Gamer et al., 2007; Rosenfeld, 2019)","plainCitation":"(Gamer et al., 2007; Rosenfeld, 2019)","noteIndex":0},"citationItems":[{"id":728,"uris":["http://zotero.org/users/3334739/items/F6TVQRKQ"],"itemData":{"id":728,"type":"article-journal","abstract":"Imaging techniques have been used to elucidate the neural correlates that underlie deception. The scientifically best understood paradigm for the detection of deception, however, the guilty knowledge test (GKT), was rarely used in imaging studies. By transferring a GKT-paradigm to a functional magnetic resonance imaging (fMRI) study, while additionally quantifying reaction times and skin conductance responses (SCRs), this study aimed at identifying the neural correlates of the behavioral and electrodermal response pattern typically found in GKT examinations. Prior to MR scanning, subjects viewed two specific items (probes) and were instructed to hide their knowledge of these. Two other specific items were designated as targets and required a different behavioral response during the experiment and eight items served as irrelevant stimuli. Reaction times and SCR amplitudes differed significantly between all three item types. The neuroimaging data revealed that right inferior frontal and mid-cingulate regions were more active for probe and target trials compared to irrelevants. Moreover, the differential activation in the right inferior frontal region was modulated by stimulus conflicts. These results were interpreted as an increased top-down influence on the stimulus-response-mapping for concealed and task-relevant items. Additionally, the influence of working memory and retrieval processes on this activation pattern is discussed. Using parametric analyses, reaction times and SCR amplitudes were found to be linearly related to activity in the cerebellum, the right inferior frontal cortex, and the supplementary motor area. This result provides a first link between behavioral measures, sympathetic arousal, and neural activation patterns during a GKT examination. Hum Brain Mapp 2007. © 2007 Wiley-Liss, Inc.","container-title":"Human Brain Mapping","DOI":"10.1002/hbm.20343","ISSN":"1097-0193","issue":"12","journalAbbreviat</w:instrText>
      </w:r>
      <w:r w:rsidR="00DD2AE7">
        <w:rPr>
          <w:rFonts w:hint="eastAsia"/>
        </w:rPr>
        <w:instrText>ion":"Hum. Brain Mapp.","language":"en","license":"Copyright © 2007 Wiley</w:instrText>
      </w:r>
      <w:r w:rsidR="00DD2AE7">
        <w:rPr>
          <w:rFonts w:hint="eastAsia"/>
        </w:rPr>
        <w:instrText>‐</w:instrText>
      </w:r>
      <w:r w:rsidR="00DD2AE7">
        <w:rPr>
          <w:rFonts w:hint="eastAsia"/>
        </w:rPr>
        <w:instrText>Liss, Inc.","note":"number: 12\n_eprint: https://onlinelibrary.wiley.com/doi/pdf/10.1002/hbm.20343","page":"1287-1301","source":"Wiley Online Library","title":"Covariations among fM</w:instrText>
      </w:r>
      <w:r w:rsidR="00DD2AE7">
        <w:instrText>RI, skin conductance, and behavioral data during processing of concealed information","volume":"28","author":[{"family":"Gamer","given":"Matthias"},{"family":"Bauermann","given":"Thomas"},{"family":"Stoeter","given":"Peter"},{"family":"Vossel","given":"Gerhard"}],"issued":{"date-parts":[["2007"]]}},"label":"page"},{"id":521,"uris":["http://zotero.org/users/3334739/items/YKN72JK3"],"itemData":{"id":521,"type":"article-journal","abstract":"Studies using the P300 ERP in detection of concealed information are reviewed. An overview of the initial findings, methodological issues, and use of bootstrapping methods for data analysis are considered, with various protocols explicated. Applications to forensic issues, employee screening, cognitive deficit malingering</w:instrText>
      </w:r>
      <w:r w:rsidR="00DD2AE7">
        <w:rPr>
          <w:rFonts w:hint="eastAsia"/>
        </w:rPr>
        <w:instrText>, and facial recognition in lineups are outlined. Countermeasures to the original P300</w:instrText>
      </w:r>
      <w:r w:rsidR="00DD2AE7">
        <w:rPr>
          <w:rFonts w:hint="eastAsia"/>
        </w:rPr>
        <w:instrText>‐</w:instrText>
      </w:r>
      <w:r w:rsidR="00DD2AE7">
        <w:rPr>
          <w:rFonts w:hint="eastAsia"/>
        </w:rPr>
        <w:instrText>based tests are described, and a possible approach to this problem using a new complex</w:instrText>
      </w:r>
      <w:r w:rsidR="00DD2AE7">
        <w:rPr>
          <w:rFonts w:hint="eastAsia"/>
        </w:rPr>
        <w:instrText>‐</w:instrText>
      </w:r>
      <w:r w:rsidR="00DD2AE7">
        <w:rPr>
          <w:rFonts w:hint="eastAsia"/>
        </w:rPr>
        <w:instrText>trial protocol is offered. Applications of this protocol to forensic and antiterror scenarios are then presented, along with its first independent replication. Studies of visual versus auditory stimulus presentation in the complex</w:instrText>
      </w:r>
      <w:r w:rsidR="00DD2AE7">
        <w:rPr>
          <w:rFonts w:hint="eastAsia"/>
        </w:rPr>
        <w:instrText>‐</w:instrText>
      </w:r>
      <w:r w:rsidR="00DD2AE7">
        <w:rPr>
          <w:rFonts w:hint="eastAsia"/>
        </w:rPr>
        <w:instrText>trial protocol are evaluated. Findings from attempted voluntary suppression of P300 as a recognition signal are presented, and the effects of motivational manipulations on the P300</w:instrText>
      </w:r>
      <w:r w:rsidR="00DD2AE7">
        <w:rPr>
          <w:rFonts w:hint="eastAsia"/>
        </w:rPr>
        <w:instrText>‐</w:instrText>
      </w:r>
      <w:r w:rsidR="00DD2AE7">
        <w:rPr>
          <w:rFonts w:hint="eastAsia"/>
        </w:rPr>
        <w:instrText>based complex</w:instrText>
      </w:r>
      <w:r w:rsidR="00DD2AE7">
        <w:rPr>
          <w:rFonts w:hint="eastAsia"/>
        </w:rPr>
        <w:instrText>‐</w:instrText>
      </w:r>
      <w:r w:rsidR="00DD2AE7">
        <w:rPr>
          <w:rFonts w:hint="eastAsia"/>
        </w:rPr>
        <w:instrText>trial protocol are summarized. Limitations of the research are reviewed, and, based on this review, future directions of P300 methods for detection of concealed info</w:instrText>
      </w:r>
      <w:r w:rsidR="00DD2AE7">
        <w:instrText xml:space="preserve">rmation and deception are suggested that may guide the development of more precision and reliability of this promising tool. Studies using the P300 ERP in detection of concealed information are reviewed. Methodological issues in terms of protocol types and diagnostic analytic procedures are presented. Various applications to forensic psychology and neuropsychology are also presented. Also discussed are parameters and manipulations—such as motivation, presentation modality, and countermeasures—which impact the accuracy of this novel approach to detection of concealed information and deception.","container-title":"Psychophysiology","DOI":"10.1111/psyp.13362","journalAbbreviation":"Psychophysiology","source":"ResearchGate","title":"P300 in detecting concealed information and deception: A review","title-short":"P300 in detecting concealed information and deception","volume":"57","author":[{"family":"Rosenfeld","given":"J.Peter"}],"issued":{"date-parts":[["2019",3,1]]}},"label":"page"}],"schema":"https://github.com/citation-style-language/schema/raw/master/csl-citation.json"} </w:instrText>
      </w:r>
      <w:r w:rsidR="00DD2AE7">
        <w:fldChar w:fldCharType="separate"/>
      </w:r>
      <w:r w:rsidR="00E910F0" w:rsidRPr="00E910F0">
        <w:rPr>
          <w:rFonts w:cs="Times New Roman"/>
        </w:rPr>
        <w:t>(Gamer et al., 2007; Rosenfeld, 2019)</w:t>
      </w:r>
      <w:r w:rsidR="00DD2AE7">
        <w:fldChar w:fldCharType="end"/>
      </w:r>
      <w:r w:rsidRPr="009749C7">
        <w:t>. Indeed, CIT has been extensively employed with autonomic measurement</w:t>
      </w:r>
      <w:r w:rsidR="00F86A87" w:rsidRPr="00F86A87">
        <w:t xml:space="preserve"> </w:t>
      </w:r>
      <w:r w:rsidR="00F86A87" w:rsidRPr="009749C7">
        <w:t>and</w:t>
      </w:r>
      <w:r w:rsidR="00F86A87" w:rsidRPr="00F86A87">
        <w:t xml:space="preserve"> </w:t>
      </w:r>
      <w:r w:rsidR="00F86A87" w:rsidRPr="009749C7">
        <w:t>electroencephalogram (</w:t>
      </w:r>
      <w:r w:rsidR="00492A87">
        <w:t>EEG</w:t>
      </w:r>
      <w:r w:rsidR="00F86A87" w:rsidRPr="009749C7">
        <w:t>)</w:t>
      </w:r>
      <w:r w:rsidR="00581C4D">
        <w:t xml:space="preserve"> </w:t>
      </w:r>
      <w:r w:rsidRPr="009749C7">
        <w:t>and has demonstrated its significant efficacy in detecting deception</w:t>
      </w:r>
      <w:r w:rsidR="00DD2AE7">
        <w:t xml:space="preserve"> </w:t>
      </w:r>
      <w:r w:rsidR="00DD2AE7">
        <w:fldChar w:fldCharType="begin"/>
      </w:r>
      <w:r w:rsidR="004D78E5">
        <w:instrText xml:space="preserve"> ADDIN ZOTERO_ITEM CSL_CITATION {"citationID":"E6PvE6j4","properties":{"formattedCitation":"(Ben-Shakhar &amp; Elaad, 2003; Matsuda et al., 2011; Rosenfeld et al., 2006; Sai, Lin, et al., 2014; Varga et al., 2014)","plainCitation":"(Ben-Shakhar &amp; Elaad, 2003; Matsuda et al., 2011; Rosenfeld et al., 2006; Sai, Lin, et al., 2014; Varga et al., 2014)","noteIndex":0},"citationItems":[{"id":512,"uris":["http://zotero.org/users/3334739/items/KXJJSSWP"],"itemData":{"id":512,"type":"article-journal","container-title":"Journal of Applied Psychology","DOI":"10.1037/0021-9010.88.1.131","issue":"1","note":"publisher: American Psychological Association","page":"131","source":"Google Scholar","title":"The validity of psychophysiological detection of information with the Guilty Knowledge Test: A meta-analytic review.","title-short":"The validity of psychophysiological detection of information with the Guilty Knowledge Test","volume":"88","author":[{"family":"Ben-Shakhar","given":"Gershon"},{"family":"Elaad","given":"Eitan"}],"issued":{"date-parts":[["2003"]]}},"label":"page"},{"id":7113,"uris":["http://zotero.org/users/3334739/items/53BXIUGN"],"itemData":{"id":7113,"type":"article-journal","abstract":"The concealed information test (CIT) assesses an examinee's crime-relevant memory on the basis of physiological differences between crime-relevant and irrelevant items. The CIT based on autonomic measures has been used for criminal investigations, while the CIT based on event-related potentials (ERPs) has been suggested as a useful alternative. To combine these two methods, we developed a quantification method of ERPs measured in the autonomic-based CIT where each item was repeated only 5 times. Results showed that the peak amplitude of the ERP difference wave between crime-relevant and irrelevant items could discriminate between guilty and innocent participants effectively even when only 5 trials were used for averaging. This ERP measure could detect some participants who were missed by the autonomic measures. Combining the ERP and autonomic measures significantly improved the discrimination performance of the autonomic-based CIT.","container-title":"Psychophysiology","DOI":"10.1111/j.1469-8986.2011.01266.x","ISSN":"1469-8986","issue":"12","language":"en","license":"Copyright © 2011 Society for Psychophysiological Research","note":"_eprint: https://onlinelibrary.wiley.com/doi/pdf/10.1111/j.1469-8986.2011.01266.x","page":"1701-1710","source":"Wiley Online Library","title":"Event-related potentials increase the discrimination performance of the autonomic-based concealed information test","volume":"48","author":[{"family":"Matsuda","given":"Izumi"},{"family":"Nittono","given":"Hiroshi"},{"family":"Ogawa","given":"Tokihiro"}],"issued":{"date-parts":[["2011"]]}},"label":"page"},{"id":644,"uris":["http://zotero.org/users/3334739/items/Y93HBL82"],"itemData":{"id":644,"type":"article-journal","abstract":"The basic rationale of P300-based tests of concealed information compares responses to critical (‘probe’) and non-critical (‘irrelevant’) items. Accuracy, both in the laboratory and the field, is the degree to which responding to probes exceeds that to irrelevants. The present laboratory study assessed the influence of two factors on accuracy. The first, varied between subjects, was whether the paradigm included probes, irrelevants, and target items (as is the case in most P300 preparations), or whether the paradigm included only probe and irrelevant items. The second, orthogonally varied, within-subject factor was whether the probe was an autobiographical item (the subject's name), or incidentally acquired (as in common field applications). Accuracy was greater with the subject's name as probe, perhaps because of the greater potency of autobiographical items than incidentally acquired ones, even when these are learned to a 100% accuracy. On the other hand, contrary to expectations from a work-load interpretation, the removal of the target did not affect accuracy, but rather decreased P300 magnitude to both probes and irrelevants in the non-target group.","container-title":"International Journal of Psychophysiology","DOI":"10.1016/j.ijpsycho.2005.06.002","ISSN":"0167-8760","issue":"3","journalAbbreviation":"International Journal of Psychophysiology","page":"251-259","source":"ScienceDirect","title":"P300-based detection of concealed autobiographical versus incidentally acquired information in target and non-target paradigms","volume":"60","author":[{"family":"Rosenfeld","given":"J. Peter"},{"family":"Biroschak","given":"Julianne R."},{"family":"Furedy","given":"John J."}],"issued":{"date-parts":[["2006",6,1]]}},"label":"page"},{"id":4353,"uris":["http://zotero.org/users/3334739/items/KIXTB5EA"],"itemData":{"id":4353,"type":"article-journal","abstract":"Employing an event-related potential (ERP)-based concealed information test (CIT), the present study investigated (1) the neurocognitive processes when people received feedbacks regarding their deceptive/truthful responses and (2) whether such feedback-related ERP activities can be used to detect concealed information above and beyond the recognition-related P300. During the CIT, participants were presented with rare, meaningful probes (their own names) embedded within a series of frequent yet meaningless irrelevants (others’ names). Participants were instructed to deny their recognition of the probes. Critically, following participants’ responses, they were provided with feedbacks regarding whether they succeeded or failed in the CIT. Replicating previous ERP-based CITs, we found a larger P300 elicited by probe compared to irrelevant. Regarding feedback-related ERPs, a temporospatial Principle Component Analyses found two ERP components that were not only sensitive to feedback manipulations but also can discriminate probe from irrelevant: an earlier, central-distributed positivity that was elicited by “success” feedbacks peaked around 219ms; and a later, right central-distributed positivity that was also elicited by “success” feedbacks, peaked around 400ms. Importantly, the feedback ERPs were not correlated with P300 that was elicited by probe/irrelevant, suggesting that these two ERPs reflect independent processes underlying memory concealment. These findings illustrate the feasibility and promise of using feedback-related ERPs to detect concealed memory and thus deception.","container-title":"Brain and Cognition","DOI":"10.1016/j.bandc.2014.06.012","ISSN":"0278-2626","journalAbbreviation":"Brain and Cognition","language":"en","page":"142-150","source":"ScienceDirect","title":"Detecting concealed information using feedback related event-related brain potentials","volume":"90","author":[{"family":"Sai","given":"Liyang"},{"family":"Lin","given":"Xiaohong"},{"family":"Hu","given":"Xiaoqing"},{"family":"Fu","given":"Genyue"}],"issued":{"date-parts":[["2014",10,1]]}},"label":"page"},{"id":7122,"uris":["http://zotero.org/users/3334739/items/I9MNZ92R"],"itemData":{"id":7122,"type":"article-journal","abstract":"Research interest in deception detection has significantly increased during the past decades. The current overview discusses the validity of specific behavioral measures that can detect concealed information. Thus we reviewed the main theoretical assumptions behind a novel method labeled as Reaction Time-based Concealed Information Test (RT-based CIT) and we presented an overview of the current research in the field. Although the RT-based CIT is a promising method for lie detection, the focus of this article is on its potential value in understanding the cognition of deception. Given the robust theoretical background of the RT-based CIT, we argue for the value of this line of research in uncovering the underlying cognitive mechanisms involved in deceptive behavior.","collection-title":"The International Conference PSYCHOLOGY AND THE REALITIES OF THE CONTEMPORARY WORLD – 4th EDITION - PSIWORLD 2013","container-title":"Procedia - Social and Behavioral Sciences","DOI":"10.1016/j.sbspro.2014.03.335","ISSN":"1877-0428","journalAbbreviation":"Procedia - Social and Behavioral Sciences","language":"en","page":"681-685","source":"ScienceDirect","title":"The RT-based Concealed Information Test: An Overview of Current Research and Future Perspectives","title-short":"The RT-based Concealed Information Test","volume":"127","author":[{"family":"Varga","given":"Mihai"},{"family":"Visu-Petra","given":"George"},{"family":"Miclea","given":"Mircea"},{"family":"Buş","given":"Ioan"}],"issued":{"date-parts":[["2014",4,22]]}},"label":"page"}],"schema":"https://github.com/citation-style-language/schema/raw/master/csl-citation.json"} </w:instrText>
      </w:r>
      <w:r w:rsidR="00DD2AE7">
        <w:fldChar w:fldCharType="separate"/>
      </w:r>
      <w:r w:rsidR="00E910F0" w:rsidRPr="00E910F0">
        <w:rPr>
          <w:rFonts w:cs="Times New Roman"/>
        </w:rPr>
        <w:t>(Ben-Shakhar &amp; Elaad, 2003; Matsuda et al., 2011; Rosenfeld et al., 2006; Sai, Lin, et al., 2014; Varga et al., 2014)</w:t>
      </w:r>
      <w:r w:rsidR="00DD2AE7">
        <w:fldChar w:fldCharType="end"/>
      </w:r>
      <w:r w:rsidRPr="009749C7">
        <w:t>.</w:t>
      </w:r>
    </w:p>
    <w:p w14:paraId="09DEF703" w14:textId="0FC15E23" w:rsidR="0070011A" w:rsidRDefault="00B21A37" w:rsidP="00AB6EA7">
      <w:r w:rsidRPr="009749C7">
        <w:t xml:space="preserve">With the development of brain-based neuroimaging technology, such as functional magnetic resonance imaging (fMRI), neuroimaging techniques can now easily locate the specific brain regions activated in tasks, making it possible to investigate the neural correlates underlying deception </w:t>
      </w:r>
      <w:r w:rsidR="00DD2AE7">
        <w:fldChar w:fldCharType="begin"/>
      </w:r>
      <w:r w:rsidR="00DD2AE7">
        <w:instrText xml:space="preserve"> ADDIN ZOTERO_ITEM CSL_CITATION {"citationID":"IXsSes5B","properties":{"formattedCitation":"(Langleben et al., 2002; Logothetis &amp; Wandell, 2004)","plainCitation":"(Langleben et al., 2002; Logothetis &amp; Wandell, 2004)","noteIndex":0},"citationItems":[{"id":536,"uris":["http://zotero.org/users/3334739/items/5MXRZHUV"],"itemData":{"id":536,"type":"article-journal","container-title":"Neuroimage","DOI":"10.1006/nimg.2001.1003","issue":"3","journalAbbreviation":"Neuroimage","note":"number: 3","page":"727–732","source":"Google Scholar","title":"Brain activity during simulated deception: an event-related functional magnetic resonance study","title-short":"Brain activity during simulated deception","volume":"15","author":[{"family":"Langleben","given":"Daniel D."},{"family":"Schroeder","given":"L."},{"family":"Maldjian","given":"Joseph A."},{"family":"Gur","given":"R. C."},{"family":"McDonald","given":"S."},{"family":"Ragland","given":"John D."},{"family":"O'brien","given":"C. P."},{"family":"Childress","given":"Anna R."}],"issued":{"date-parts":[["2002"]]}},"label":"page"},{"id":7124,"uris":["http://zotero.org/users/3334739/items/JN7JN3EH"],"itemData":{"id":7124,"type":"article-journal","abstract":"The development of functional magnetic resonance imaging (fMRI) has brought together a broad community of scientists interested in measuring the neural basis of the human mind. Because fMRI signals are an indirect measure of neural activity, interpreting these signals to make deductions about the nervous system requires some understanding of the signaling mechanisms. We describe our current understanding of the causal relationships between neural activity and the blood-oxygen-level-dependent (BOLD) signal, and we review how these analyses have challenged some basic assumptions that have guided neuroscience. We conclude with a discussion of how to use the BOLD signal to make inferences about the neural signal.","container-title":"Annual Review of Physiology","DOI":"10.1146/annurev.physiol.66.082602.092845","issue":"1","note":"_eprint: https://doi.org/10.1146/annurev.physiol.66.082602.092845\nPMID: 14977420","page":"735-769","source":"Annual Reviews","title":"Interpreting the BOLD Signal","volume":"66","author":[{"family":"Logothetis","given":"Nikos K."},{"family":"Wandell","given":"Brian A."}],"issued":{"date-parts":[["2004"]]}},"label":"page"}],"schema":"https://github.com/citation-style-language/schema/raw/master/csl-citation.json"} </w:instrText>
      </w:r>
      <w:r w:rsidR="00DD2AE7">
        <w:fldChar w:fldCharType="separate"/>
      </w:r>
      <w:r w:rsidR="00E910F0" w:rsidRPr="00E910F0">
        <w:rPr>
          <w:rFonts w:cs="Times New Roman"/>
        </w:rPr>
        <w:t>(Langleben et al., 2002; Logothetis &amp; Wandell, 2004)</w:t>
      </w:r>
      <w:r w:rsidR="00DD2AE7">
        <w:fldChar w:fldCharType="end"/>
      </w:r>
      <w:r w:rsidRPr="009749C7">
        <w:t>. Prior neuroimaging researches have primarily employed the differentiation of deception paradigm (DDP) to identify the neural correlates of deception, through construction and direct comparison of deceptive/truthful responses</w:t>
      </w:r>
      <w:r w:rsidR="00DD2AE7">
        <w:t xml:space="preserve"> </w:t>
      </w:r>
      <w:r w:rsidR="00DD2AE7">
        <w:fldChar w:fldCharType="begin"/>
      </w:r>
      <w:r w:rsidR="00DD2AE7">
        <w:instrText xml:space="preserve"> ADDIN ZOTERO_ITEM CSL_CITATION {"citationID":"LFHmT4zB","properties":{"formattedCitation":"(Davatzikos et al., 2005; Gamer, 2014; Ito et al., 2011; Kozel et al., 2009)","plainCitation":"(Davatzikos et al., 2005; Gamer, 2014; Ito et al., 2011; Kozel et al., 2009)","noteIndex":0},"citationItems":[{"id":7126,"uris":["http://zotero.org/users/3334739/items/MKSLWJGS"],"itemData":{"id":7126,"type":"article-journal","abstract":"Patterns of brain activity during deception have recently been characterized with fMRI on the multi-subject average group level. The clinical value of fMRI in lie detection will be determined by the ability to detect deception in individual subjects, rather than group averages. High-dimensional non-linear pattern classification methods applied to functional magnetic resonance (fMRI) images were used to discriminate between the spatial patterns of brain activity associated with lie and truth. In 22 participants performing a forced-choice deception task, 99% of the true and false responses were discriminated correctly. Predictive accuracy, assessed by cross-validation in participants not included in training, was 88%. The results demonstrate the potential of non-linear machine learning techniques in lie detection and other possible clinical applications of fMRI in individual subjects, and indicate that accurate clinical tests could be based on measurements of brain function with fMRI.","container-title":"NeuroImage","DOI":"10.1016/j.neuroimage.2005.08.009","ISSN":"1053-8119","issue":"3","journalAbbreviation":"NeuroImage","language":"en","page":"663-668","source":"ScienceDirect","title":"Classifying spatial patterns of brain activity with machine learning methods: Application to lie detection","title-short":"Classifying spatial patterns of brain activity with machine learning methods","volume":"28","author":[{"family":"Davatzikos","given":"C."},{"family":"Ruparel","given":"K."},{"family":"Fan","given":"Y."},{"family":"Shen","given":"D. G."},{"family":"Acharyya","given":"M."},{"family":"Loughead","given":"J. W."},{"family":"Gur","given":"R. C."},{"family":"Langleben","given":"D. D."}],"issued":{"date-parts":[["2005",11,15]]}},"label":"page"},{"id":7129,"uris":["http://zotero.org/users/3334739/items/4WDTIT4G"],"itemData":{"id":7129,"type":"article-journal","abstract":"Traditional lie detection tools, such as the polygraph, voice stress analysis, or special interrogation techniques, rely on behavioral or psychophysiological manifestations of deception. With the advent of neuroimaging techniques, the question emerged whether it would be possible to directly identify deceit in the part of the body where it is generated: the brain. After a few promising studies, these techniques became soon commercially available and there have been attempts to use such results in the court in recent years. The current article reviews the development of neuroimaging techniques in the field of deception detection and critically discusses the potential but also the shortcomings of such methods. Unfortunately, the majority of research in this field was rather unsystematic and neglected the accumulated knowledge regarding methodological pitfalls that were extensively discussed in the scientific community in conjunction with the polygraph. Therefore, neuroimaging studies on deception largely differ with respect to the experimental paradigm (the interrogation technique), the methods for analyzing the data, and the procedures to obtain individual diagnoses. Moreover, most studies used artificial laboratory settings that differ considerably from real-life applications. As a consequence, neuroimaging techniques are not applicable for detecting deception in individual field cases at the moment. However, recent advantages such as multivariate pattern analysis might yield novel neuroimaging applications in the near future that are capable of improving established techniques for detecting deception or concealed knowledge.","container-title":"European Psychologist","DOI":"10.1027/1016-9040/a000193","ISSN":"1016-9040","issue":"3","note":"publisher: Hogrefe Publishing","page":"172-183","source":"econtent.hogrefe.com (Atypon)","title":"Mind Reading Using Neuroimaging","volume":"19","author":[{"family":"Gamer","given":"Matthias"}],"issued":{"date-parts":[["2014",1]]}},"label":"page"},{"id":711,"uris":["http://zotero.org/users/3334739/items/2WSAV388"],"itemData":{"id":711,"type":"article-journal","abstract":"We used functional magnetic resonance imaging (fMRI) to investigate the neural correlates of deception while remembering neutral events and emotional events. Before fMRI, subjects were presented with a series of neutral and emotional pictures and were asked to rate each picture for arousal. During fMRI, subjects were presented with the studied and nonstudied pictures and were asked to make an honest recognition judgment in response to half of the pictures and a dishonest response to the remaining half. We found that deception pertaining to the memory of neutral pictures was associated with increased activity in the bilateral dorsolateral prefrontal cortex, the left ventrolateral prefrontal cortex, and the left orbitofrontal cortex. We also found that deception while remembering emotional pictures was associated with increased activity in the bilateral dorsolateral prefrontal cortex. An overlapping activation between the two types of deception was found in the bilateral dorsolateral prefrontal cortex. Our results indicate that the dorsolateral prefrontal cortex is associated with the executive aspects of deception, regardless of the emotional valence of memory content.","container-title":"Neuroscience Research","DOI":"10.1016/j.neures.2010.11.001","ISSN":"0168-0102","issue":"2","journalAbbreviation":"Neurosci. Res.","language":"en","note":"number: 2","page":"121-128","source":"ScienceDirect","title":"The role of the dorsolateral prefrontal cortex in deception when remembering neutral and emotional events","volume":"69","author":[{"family":"Ito","given":"Ayahito"},{"family":"Abe","given":"Nobuhito"},{"family":"Fujii","given":"Toshikatsu"},{"family":"Ueno","given":"Aya"},{"family":"Koseki","given":"Yuta"},{"family":"Hashimoto","given":"Ryusaku"},{"family":"Mugikura","given":"Shunji"},{"family":"Takahashi","given":"Shoki"},{"family":"Mori","given":"Etsuro"}],"issued":{"date-parts":[["2011",2,1]]}},"label":"page"},{"id":719,"uris":["http://zotero.org/users/3334739/items/HR6W5QFU"],"itemData":{"id":719,"type":"article-journal","abstract":"Abstract: Using Blood Oxygen Level Dependent (BOLD) functional MRI (fMRI) to detect deception is feasible in simple laboratory paradigms. A mock sabotage scenario was used to test whether this technology would also be effective in a scenario closer to a real-world situation. Healthy, nonmedicated adults were recruited from the community, screened, and randomized to either a Mock-crime group or a No-crime group. The Mock-crime group damaged and stole compact discs (CDs), which contained incriminating video footage, while the No-crime group did not perform a task. The Mock-crime group also picked up an envelope from a researcher, while the No-crime group did not perform this task. Both groups were instructed to report that they picked up an envelope, but did not sabotage any video evidence. Participants later went to the imaging center and were scanned while being asked questions regarding the mock crime. Participants also performed a simple laboratory based fMRI deception testing (Ring-Watch testing). The Ring-Watch testing consisted of “stealing” either a watch or a ring. The participants were instructed to report that they stole neither object. We correctly identified deception during the Ring-Watch testing in 25 of 36 participants (Validated Group). In this Validated Group for whom a determination was made, computer-based scoring correctly identified nine of nine Mock-crime participants (100% sensitivity) and five of 15 No-crime participants (33% specificity). BOLD fMRI presently can be used to detect deception concerning past events with high sensitivity, but low specificity.","container-title":"Journal of Forensic Sciences","DOI":"10.1111/j.1556-4029.2008.00927.x","ISSN":"1556-4029","issue":"1","journalAbbreviation":"J. Forensic Sci.","language":"en","license":"© 2008 American Academy of Forensic Sciences","note":"number: 1\n_eprint: https://onlinelibrary.wiley.com/doi/pdf/10.1111/j.1556-4029.2008.00927.x","page":"220-231","source":"Wiley Online Library","title":"Functional MRI Detection of Deception After Committing a Mock Sabotage Crime","volume":"54","author":[{"family":"Kozel","given":"F. Andrew"},{"family":"Johnson","given":"Kevin A."},{"family":"Grenesko","given":"Emily L."},{"family":"Laken","given":"Steven J."},{"family":"Kose","given":"Samet"},{"family":"Lu","given":"Xinghua"},{"family":"Pollina","given":"Dean"},{"family":"Ryan","given":"Andrew"},{"family":"George","given":"Mark S."}],"issued":{"date-parts":[["2009"]]}},"label":"page"}],"schema":"https://github.com/citation-style-language/schema/raw/master/csl-citation.json"} </w:instrText>
      </w:r>
      <w:r w:rsidR="00DD2AE7">
        <w:fldChar w:fldCharType="separate"/>
      </w:r>
      <w:r w:rsidR="00E910F0" w:rsidRPr="00E910F0">
        <w:rPr>
          <w:rFonts w:cs="Times New Roman"/>
        </w:rPr>
        <w:t>(Davatzikos et al., 2005; Gamer, 2014; Ito et al., 2011; Kozel et al., 2009)</w:t>
      </w:r>
      <w:r w:rsidR="00DD2AE7">
        <w:fldChar w:fldCharType="end"/>
      </w:r>
      <w:r w:rsidRPr="009749C7">
        <w:t xml:space="preserve">. With the DDP, participants are typically required to answer </w:t>
      </w:r>
      <w:r w:rsidRPr="009749C7">
        <w:lastRenderedPageBreak/>
        <w:t>questions (usually simple semantic or autobiographic questions) either truthfully or falsely. By systematically comparing patterns of truthful and deceptive responses, researchers can elucidate the brain activities implicated in this discernment</w:t>
      </w:r>
      <w:r w:rsidR="00FF76BE">
        <w:t xml:space="preserve"> </w:t>
      </w:r>
      <w:r w:rsidR="00FF76BE">
        <w:fldChar w:fldCharType="begin"/>
      </w:r>
      <w:r w:rsidR="00FF76BE">
        <w:instrText xml:space="preserve"> ADDIN ZOTERO_ITEM CSL_CITATION {"citationID":"h0FYQ1DF","properties":{"formattedCitation":"(Gamer et al., 2007; Meijer &amp; Verschuere, 2017)","plainCitation":"(Gamer et al., 2007; Meijer &amp; Verschuere, 2017)","noteIndex":0},"citationItems":[{"id":728,"uris":["http://zotero.org/users/3334739/items/F6TVQRKQ"],"itemData":{"id":728,"type":"article-journal","abstract":"Imaging techniques have been used to elucidate the neural correlates that underlie deception. The scientifically best understood paradigm for the detection of deception, however, the guilty knowledge test (GKT), was rarely used in imaging studies. By transferring a GKT-paradigm to a functional magnetic resonance imaging (fMRI) study, while additionally quantifying reaction times and skin conductance responses (SCRs), this study aimed at identifying the neural correlates of the behavioral and electrodermal response pattern typically found in GKT examinations. Prior to MR scanning, subjects viewed two specific items (probes) and were instructed to hide their knowledge of these. Two other specific items were designated as targets and required a different behavioral response during the experiment and eight items served as irrelevant stimuli. Reaction times and SCR amplitudes differed significantly between all three item types. The neuroimaging data revealed that right inferior frontal and mid-cingulate regions were more active for probe and target trials compared to irrelevants. Moreover, the differential activation in the right inferior frontal region was modulated by stimulus conflicts. These results were interpreted as an increased top-down influence on the stimulus-response-mapping for concealed and task-relevant items. Additionally, the influence of working memory and retrieval processes on this activation pattern is discussed. Using parametric analyses, reaction times and SCR amplitudes were found to be linearly related to activity in the cerebellum, the right inferior frontal cortex, and the supplementary motor area. This result provides a first link between behavioral measures, sympathetic arousal, and neural activation patterns during a GKT examination. Hum Brain Mapp 2007. © 2007 Wiley-Liss, Inc.","container-title":"Human Brain Mapping","DOI":"10.1002/hbm.20343","ISSN":"1097-0193","issue":"1</w:instrText>
      </w:r>
      <w:r w:rsidR="00FF76BE">
        <w:rPr>
          <w:rFonts w:hint="eastAsia"/>
        </w:rPr>
        <w:instrText>2","journalAbbreviation":"Hum. Brain Mapp.","language":"en","license":"Copyright © 2007 Wiley</w:instrText>
      </w:r>
      <w:r w:rsidR="00FF76BE">
        <w:rPr>
          <w:rFonts w:hint="eastAsia"/>
        </w:rPr>
        <w:instrText>‐</w:instrText>
      </w:r>
      <w:r w:rsidR="00FF76BE">
        <w:rPr>
          <w:rFonts w:hint="eastAsia"/>
        </w:rPr>
        <w:instrText>Liss, Inc.","note":"number: 12\n_eprint: https://onlinelibrary.wiley.com/doi/pdf/10.1002/hbm.20343","page":"1287-1301","source":"Wiley Online Library","title":"C</w:instrText>
      </w:r>
      <w:r w:rsidR="00FF76BE">
        <w:instrText xml:space="preserve">ovariations among fMRI, skin conductance, and behavioral data during processing of concealed information","volume":"28","author":[{"family":"Gamer","given":"Matthias"},{"family":"Bauermann","given":"Thomas"},{"family":"Stoeter","given":"Peter"},{"family":"Vossel","given":"Gerhard"}],"issued":{"date-parts":[["2007"]]}},"label":"page"},{"id":7131,"uris":["http://zotero.org/users/3334739/items/CDKE7ZEK"],"itemData":{"id":7131,"type":"article-journal","abstract":"Polygraph tests have been used to detect deception for almost a century. Yet for almost as long, the validity of these tests has been criticized. Over the last decade, the use of brain imaging – most notably fMRI - for the detection of deception has attracted increased attention. The expectation is that fMRI can overcome – at least some of - the shortcomings of the polygraph. In this review, we discuss whether this expectation is warranted. Based on our review of the empirical evidence, we argue that fMRI deception research has boosted the theory development of deception. But for practical purposes, fMRI research has thus far done surprisingly little to solve or circumvent the problems than have been associated with deception research for ages.","collection-title":"Special Issue: Papers from the joint ISFRI &amp; IAFR Conference 2016","container-title":"Journal of Forensic Radiology and Imaging","DOI":"10.1016/j.jofri.2017.03.003","ISSN":"2212-4780","journalAbbreviation":"Journal of Forensic Radiology and Imaging","language":"en","page":"17-21","source":"ScienceDirect","title":"Deception detection based on neuroimaging: Better than the polygraph?","title-short":"Deception detection based on neuroimaging","volume":"8","author":[{"family":"Meijer","given":"Ewout H."},{"family":"Verschuere","given":"Bruno"}],"issued":{"date-parts":[["2017",3,1]]}},"label":"page"}],"schema":"https://github.com/citation-style-language/schema/raw/master/csl-citation.json"} </w:instrText>
      </w:r>
      <w:r w:rsidR="00FF76BE">
        <w:fldChar w:fldCharType="separate"/>
      </w:r>
      <w:r w:rsidR="00E910F0" w:rsidRPr="00E910F0">
        <w:rPr>
          <w:rFonts w:cs="Times New Roman"/>
        </w:rPr>
        <w:t>(Gamer et al., 2007; Meijer &amp; Verschuere, 2017)</w:t>
      </w:r>
      <w:r w:rsidR="00FF76BE">
        <w:fldChar w:fldCharType="end"/>
      </w:r>
      <w:r w:rsidRPr="009749C7">
        <w:t>.</w:t>
      </w:r>
      <w:r w:rsidR="00061777">
        <w:t xml:space="preserve"> </w:t>
      </w:r>
      <w:r w:rsidR="00AB6EA7">
        <w:t xml:space="preserve">Although </w:t>
      </w:r>
      <w:r w:rsidR="00AB6EA7" w:rsidRPr="009749C7">
        <w:t xml:space="preserve">numerous researches have focused on exploring the neural mechanisms of deception, the potential use of neuroimaging tools for deception detection has not received adequate attention. </w:t>
      </w:r>
      <w:r w:rsidR="00040154">
        <w:t>A</w:t>
      </w:r>
      <w:r w:rsidR="00040154" w:rsidRPr="00040154">
        <w:t>lthough</w:t>
      </w:r>
      <w:r w:rsidR="00AB6EA7">
        <w:t xml:space="preserve"> </w:t>
      </w:r>
      <w:r w:rsidRPr="00054C92">
        <w:t xml:space="preserve">Gamer et al. </w:t>
      </w:r>
      <w:r w:rsidR="00462853">
        <w:fldChar w:fldCharType="begin"/>
      </w:r>
      <w:r w:rsidR="003376D0">
        <w:instrText xml:space="preserve"> ADDIN ZOTERO_ITEM CSL_CITATION {"citationID":"RybdC9x0","properties":{"formattedCitation":"(Gamer et al., 2007, 2012)","plainCitation":"(Gamer et al., 2007, 2012)","dontUpdate":true,"noteIndex":0},"citationItems":[{"id":728,"uris":["http://zotero.org/users/3334739/items/F6TVQRKQ"],"itemData":{"id":728,"type":"article-journal","abstract":"Imaging techniques have been used to elucidate the neural correlates that underlie deception. The scientifically best understood paradigm for the detection of deception, however, the guilty knowledge test (GKT), was rarely used in imaging studies. By transferring a GKT-paradigm to a functional magnetic resonance imaging (fMRI) study, while additionally quantifying reaction times and skin conductance responses (SCRs), this study aimed at identifying the neural correlates of the behavioral and electrodermal response pattern typically found in GKT examinations. Prior to MR scanning, subjects viewed two specific items (probes) and were instructed to hide their knowledge of these. Two other specific items were designated as targets and required a different behavioral response during the experiment and eight items served as irrelevant stimuli. Reaction times and SCR amplitudes differed significantly between all three item types. The neuroimaging data revealed that right inferior frontal and mid-cingulate regions were more active for probe and target trials compared to irrelevants. Moreover, the differential activation in the right inferior frontal region was modulated by stimulus conflicts. These results were interpreted as an increased top-down influence on the stimulus-response-mapping for concealed and task-relevant items. Additionally, the influence of working memory and retrieval processes on this activation pattern is discussed. Using parametric analyses, reaction times and SCR amplitudes were found to be linearly related to activity in the cerebellum, the right inferior frontal cortex, and the supplementary motor area. This result provides a first link between behavioral measures, sympathetic arousal, and neural activation patterns during a GKT examination. Hum Brain Mapp 2007. © 2007 Wiley-Liss, Inc.","container-title":"Human Brain Mapping","DOI":"10.1002/hbm.20343","ISSN":"1097-0193","issue":"12","journalAbbreviation"</w:instrText>
      </w:r>
      <w:r w:rsidR="003376D0">
        <w:rPr>
          <w:rFonts w:hint="eastAsia"/>
        </w:rPr>
        <w:instrText>:"Hum. Brain Mapp.","language":"en","license":"Copyright © 2007 Wiley</w:instrText>
      </w:r>
      <w:r w:rsidR="003376D0">
        <w:rPr>
          <w:rFonts w:hint="eastAsia"/>
        </w:rPr>
        <w:instrText>‐</w:instrText>
      </w:r>
      <w:r w:rsidR="003376D0">
        <w:rPr>
          <w:rFonts w:hint="eastAsia"/>
        </w:rPr>
        <w:instrText xml:space="preserve">Liss, Inc.","note":"number: 12\n_eprint: https://onlinelibrary.wiley.com/doi/pdf/10.1002/hbm.20343","page":"1287-1301","source":"Wiley Online Library","title":"Covariations among fMRI, </w:instrText>
      </w:r>
      <w:r w:rsidR="003376D0">
        <w:instrText xml:space="preserve">skin conductance, and behavioral data during processing of concealed information","volume":"28","author":[{"family":"Gamer","given":"Matthias"},{"family":"Bauermann","given":"Thomas"},{"family":"Stoeter","given":"Peter"},{"family":"Vossel","given":"Gerhard"}],"issued":{"date-parts":[["2007"]]}}},{"id":709,"uris":["http://zotero.org/users/3334739/items/KLNN3SDQ"],"itemData":{"id":709,"type":"article-journal","abstract":"Abstract.  Recent research on potential applications of fMRI in the detection of concealed knowledge primarily ascribed the reported differences in hemodynamic","container-title":"Social Cognitive and Affective Neuroscience","DOI":"10.1093/scan/nsp005","ISSN":"1749-5016","issue":"5","journalAbbreviation":"Soc. Cogn. Affect Neurosci.","language":"en","note":"number: 5\npublisher: Oxford Academic","page":"506-515","source":"academic.oup.com","title":"fMRI-activation patterns in the detection of concealed information rely on memory-related effects","volume":"7","author":[{"family":"Gamer","given":"Matthias"},{"family":"Klimecki","given":"Olga"},{"family":"Bauermann","given":"Thomas"},{"family":"Stoeter","given":"Peter"},{"family":"Vossel","given":"Gerhard"}],"issued":{"date-parts":[["2012",6,1]]}},"label":"page"}],"schema":"https://github.com/citation-style-language/schema/raw/master/csl-citation.json"} </w:instrText>
      </w:r>
      <w:r w:rsidR="00462853">
        <w:fldChar w:fldCharType="separate"/>
      </w:r>
      <w:r w:rsidR="00462853" w:rsidRPr="00462853">
        <w:rPr>
          <w:rFonts w:cs="Times New Roman"/>
        </w:rPr>
        <w:t>(2007, 2012)</w:t>
      </w:r>
      <w:r w:rsidR="00462853">
        <w:fldChar w:fldCharType="end"/>
      </w:r>
      <w:r w:rsidR="00DE7DDC" w:rsidRPr="00054C92">
        <w:t xml:space="preserve"> </w:t>
      </w:r>
      <w:r w:rsidR="0050172F" w:rsidRPr="00054C92">
        <w:t xml:space="preserve">and </w:t>
      </w:r>
      <w:proofErr w:type="spellStart"/>
      <w:r w:rsidR="0050172F" w:rsidRPr="00054C92">
        <w:rPr>
          <w:kern w:val="0"/>
        </w:rPr>
        <w:t>Suchotzki</w:t>
      </w:r>
      <w:proofErr w:type="spellEnd"/>
      <w:r w:rsidR="0050172F" w:rsidRPr="00054C92">
        <w:rPr>
          <w:kern w:val="0"/>
        </w:rPr>
        <w:t xml:space="preserve"> et al.</w:t>
      </w:r>
      <w:r w:rsidR="00DE7DDC" w:rsidRPr="00054C92">
        <w:t xml:space="preserve"> </w:t>
      </w:r>
      <w:r w:rsidR="00462853">
        <w:fldChar w:fldCharType="begin"/>
      </w:r>
      <w:r w:rsidR="003376D0">
        <w:instrText xml:space="preserve"> ADDIN ZOTERO_ITEM CSL_CITATION {"citationID":"VZZQoJUN","properties":{"formattedCitation":"(Suchotzki et al., 2015)","plainCitation":"(Suchotzki et al., 2015)","dontUpdate":true,"noteIndex":0},"citationItems":[{"id":697,"uris":["http://zotero.org/users/3334739/items/IUYYQN6M"],"itemData":{"id":697,"type":"article-journal","abstract":"Developed as an alternative to traditional deception detection methods, the concealed information test (CIT) assesses recognition of critical (e.g., crime-relevant) “probes.</w:instrText>
      </w:r>
      <w:r w:rsidR="003376D0">
        <w:rPr>
          <w:rFonts w:hint="eastAsia"/>
        </w:rPr>
        <w:instrText>”</w:instrText>
      </w:r>
      <w:r w:rsidR="003376D0">
        <w:instrText xml:space="preserve"> Most often, recognition has been measured as enhanced skin conductance responses (SCRs) to probes compared to irrelevant foils (CIT effect). More recently, also differentially enlarged reaction times (RTs) and increased neural activity in the bilateral inferior frontal gyrus, the right middle frontal gyrus, and the right temporo-parietal junction have been observed. The aims of the current functional magnetic resonance imaging (fMRI) study were to (1) investigate the boundary conditions of the CIT effects in all three measures and thereby (2) gain more insight into the relative contribution of two mechanisms underlying enhanced responding to concealed information (i.e., orienting versus response inhibition). Therefore, we manipulated the proportion of probe versus irrelevant items, and whether suspects were instructed to actively deny recognition of probe knowledge (i.e., deceive) during the test. Results revealed that whereas overt deception was not necessary for the SCR CIT effect, it was crucial for the RT and the fMRI-based CIT effects. The proportion manipulation enhanced the CIT effect in all three measures. The results indicate that different mental processes might underlie the response pattern in the CIT. While skin conductance responding to concealed information may best be explained by orienting theory, it seems that response inhibition drives RT and blood oxygen level dependent responding to concealed information. Hum Brain Mapp 36:427–439, 2015. © 2014 Wiley Periodicals, Inc.","container-title":"Human Brain Mapping","DOI":"10.1002/hbm.22637","ISSN":"1097-0193","issue":"2","journalAbbreviation":"Hum. Brain Mapp.","language":"en","license":"© 2014 Wiley Periodicals, Inc.","note":"number: 2\n_eprint: https://onlinelibrary.wiley.com/doi/pdf/10.1002/hbm.22637","page":"427-439","source":"Wiley Online Library","title":"Manipulating item proportion and deception reveals crucial dissociation between behavioral, autonomic, and neural indices of concealed information","volume":"36","author":[{"family":"Suchotzki","given":"Kristina"},{"family":"Verschuere","given":"Bruno"},{"family":"Peth","given":"Judith"},{"family":"Crombez","given":"Geert"},{"family":"Gamer","given":"Matthias"}],"issued":{"date-parts":[["2015"]]}}}],"schema":"https://github.com/citation-style-language/schema/raw/master/csl-citation.json"} </w:instrText>
      </w:r>
      <w:r w:rsidR="00462853">
        <w:fldChar w:fldCharType="separate"/>
      </w:r>
      <w:r w:rsidR="00462853" w:rsidRPr="00462853">
        <w:rPr>
          <w:rFonts w:cs="Times New Roman"/>
        </w:rPr>
        <w:t>(2015)</w:t>
      </w:r>
      <w:r w:rsidR="00462853">
        <w:fldChar w:fldCharType="end"/>
      </w:r>
      <w:r w:rsidR="00FE40A5">
        <w:t xml:space="preserve"> </w:t>
      </w:r>
      <w:r w:rsidRPr="00054C92">
        <w:t>applied fMRI to identify the neural correlates of</w:t>
      </w:r>
      <w:r w:rsidR="00040154">
        <w:t xml:space="preserve"> </w:t>
      </w:r>
      <w:r w:rsidR="000D194D">
        <w:t xml:space="preserve">the classic deception detection paradigm CIT and found </w:t>
      </w:r>
      <w:r w:rsidR="00B8460D">
        <w:t xml:space="preserve">that </w:t>
      </w:r>
      <w:r w:rsidR="000D194D">
        <w:t>neuroimaging</w:t>
      </w:r>
      <w:r w:rsidR="00581C4D">
        <w:t>-</w:t>
      </w:r>
      <w:r w:rsidR="000D194D">
        <w:t>based deception detection mostly depends on the me</w:t>
      </w:r>
      <w:r w:rsidR="00B8460D">
        <w:t>n</w:t>
      </w:r>
      <w:r w:rsidR="000D194D">
        <w:t>tal process of response inhibition</w:t>
      </w:r>
      <w:r w:rsidR="00183E1A">
        <w:t>. O</w:t>
      </w:r>
      <w:r w:rsidRPr="009749C7">
        <w:t xml:space="preserve">nly </w:t>
      </w:r>
      <w:r w:rsidR="0037392C">
        <w:t>a limited</w:t>
      </w:r>
      <w:r w:rsidR="0037392C" w:rsidRPr="009749C7">
        <w:t xml:space="preserve"> </w:t>
      </w:r>
      <w:r w:rsidR="002F7D0D">
        <w:t xml:space="preserve">number of </w:t>
      </w:r>
      <w:r w:rsidRPr="009749C7">
        <w:t xml:space="preserve">researches have utilized fMRI with </w:t>
      </w:r>
      <w:r w:rsidR="00B8460D">
        <w:t xml:space="preserve">the </w:t>
      </w:r>
      <w:r w:rsidRPr="009749C7">
        <w:t>CIT paradigm to conduct deception detection and have reported on its detection efficiency</w:t>
      </w:r>
      <w:r w:rsidR="00FF76BE">
        <w:t xml:space="preserve"> </w:t>
      </w:r>
      <w:r w:rsidR="00FF76BE">
        <w:fldChar w:fldCharType="begin"/>
      </w:r>
      <w:r w:rsidR="00FF76BE">
        <w:instrText xml:space="preserve"> ADDIN ZOTERO_ITEM CSL_CITATION {"citationID":"FgTjN0vE","properties":{"formattedCitation":"(Ganis et al., 2011; Hsu et al., 2019; Nose et al., 2009; Peth et al., 2015)","plainCitation":"(Ganis et al., 2011; Hsu et al., 2019; Nose et al., 2009; Peth et al., 2015)","noteIndex":0},"citationItems":[{"id":712,"uris":["http://zotero.org/users/3334739/items/D84RNKV5"],"itemData":{"id":712,"type":"article-journal","abstract":"Functional magnetic resonance imaging (fMRI) studies have documented differences between deceptive and honest responses. Capitalizing on this research, companies marketing fMRI-based lie detection services have been founded, generating methodological and ethical concerns in scientific and legal communities. Critically, no fMRI study has examined directly the effect of countermeasures, methods used by prevaricators to defeat deception detection procedures. An fMRI study was conducted to fill this research gap using a concealed information paradigm in which participants were trained to use countermeasures. Robust group fMRI differences between deceptive and honest responses were found without, but not with countermeasures. Furthermore, in single participants, deception detection accuracy was 100% without countermeasures, using activation in ventrolateral and medial prefrontal cortices, but fell to 33% with countermeasures. These findings show that fMRI-based deception detection measures can be vulnerable to countermeasures, calling for caution before applying these methods to real-world situations.","container-title":"NeuroImage","DOI":"10.1016/j.neuroimage.2010.11.025","ISSN":"1053-8119","issue":"1","journalAbbreviation":"NeuroImage","language":"en","note":"number: 1","page":"312-319","source":"ScienceDirect","title":"Lying in the scanner: Covert countermeasures disrupt deception detection by functional magnetic resonance imaging","title-short":"Lying in the scanner","volume":"55","author":[{"family":"Ganis","given":"Giorgio"},{"family":"Rosenfeld","given":"J. Peter"},{"family":"Meixner","given":"John"},{"family":"Kievit","given":"Rogier A."},{"family":"Schendan","given":"Haline E."}],"issued":{"date-parts":[["2011",3,1]]}},"label":"page"},{"id":683,"uris":["http://zotero.org/users/3334739/items/YWI7PSZY"],"itemData":{"id":683,"type":"article-journal","abstract":"During the last decade and a half, functional magnetic resonance imaging (fMRI) has been used to determine whether it is possible to detect concealed knowledge by examining brain activation patterns, with mixed results. Concealed information tests rely on the logic that a familiar item (probe) elicits a stronger response than unfamiliar, but otherwise comparable items (irrelevants). Previous work has shown that physical countermeasures can artificially modulate neural responses in concealed information tests, decreasing the accuracy of these methods. However, the question remains as to whether purely mental countermeasures, which are much more difficult to detect than physical ones, can also be effective. An fMRI study was conducted to address this question by assessing the effect of attentional countermeasures on the accuracy of the classification between knowledge and no-knowledge cases using both univariate and multivariate analyses. Results replicate previous work and show reliable group activation differences between the probe and the irrelevants in fronto-parietal networks. Critically, classification accuracy was generally reduced by the mental countermeasures, but only significantly so with region of interest analyses (both univariate and multivariate). For whole-brain analyses, classification accuracy was relatively low, but it was not significantly reduced by the countermeasures. These results indicate that mental countermeasure need to be addressed before these paradigms can be used in applied settings and that methods to defeat countermeasures, or at least to detect their use, need to be developed. Highlights FMRI-based concealed information tests are vulnerable to mental countermeasures Measures based on regions of interest are affected by mental countermeasures Whole-brain analyses may be more robust than region of interest ones Methods to detect mental countermeasure use are needed for forensic applications","container-title":"Human Brain Mapping","DOI":"10.1002/hbm.24567","ISSN":"1097-0193","issue":"10","journalAbbreviation":"Hum. Brain Mapp.","language":"en","license":"© 2019 Wiley Periodicals, Inc.","note":"number: 10\n_eprint: https://onlinelibrary.wiley.com/doi/pdf/10.1002/hbm.24567","page":"2899-2916","source":"Wiley Online Library","title":"The effect of mental countermeasures on neuroimaging-based concealed information tests","volume":"40","author":[{"family":"Hsu","given":"Chun-Wei"},{"family":"Begliomini","given":"Chiara"},{"family":"Dall'Acqua","given":"Tommaso"},{"family":"Ganis","given":"Giorgio"}],"issued":{"date-parts":[["2019"]]}},"label":"page"},{"id":474,"uris":["http://zotero.org/users/3334739/items/TRHKHZF8"],"itemData":{"id":474,"type":"article-journal","abstract":"Concealed information, which is information only known to oneself is sometimes crucial for criminal investigation. In this study, we examined cortical activations related to incidental responses to concealed information. We found that cortical responses to stimuli related to concealed information were different from those to other stimuli; the bilateral ventrolateral prefrontal (VLPF) areas, left inferior frontal gyrus, right middle frontal gyrus and right inferior parietal lobule were activated, and among those activated areas, the right VLPF was found to be crucial. Furthermore, we examined by discriminant analysis which cortical areas contribute to the determination of whether the subjects had concealed information. On the basis of the activity in the right VLPF, we were able to correctly identify 32 of the 38 subjects (84.21%) as who had concealed information. These results suggest that the right VLPF may play a crucial role in the incidental processing of concealed information, and we were able to determine whether a subject had concealed information without the need for deceptive responses.","container-title":"NeuroImage","DOI":"10.1016/j.neuroimage.2008.11.002","ISSN":"1053-8119","issue":"4","journalAbbreviation":"NeuroImage","language":"en","page":"1380-1386","source":"ScienceDirect","title":"Disclosing concealed information on the basis of cortical activations","volume":"44","author":[{"family":"Nose","given":"Izuru"},{"family":"Murai","given":"Jun'ichiro"},{"family":"Taira","given":"Masato"}],"issued":{"date-parts":[["2009",2,15]]}},"label":"page"},{"id":653,"uris":["http://zotero.org/users/3334739/items/KEF5VPPX"],"itemData":{"id":653,"type":"article-journal","container-title":"NeuroImage","DOI":"10.1016/j.neuroimage.2015.03.051","page":"164–174","source":"Google Scholar","title":"Memory detection using fMRI—Does the encoding context matter?","volume":"113","author":[{"family":"Peth","given":"Judith"},{"family":"Sommer","given":"Tobias"},{"family":"Hebart","given":"Martin N."},{"family":"Vossel","given":"Gerhard"},{"family":"B</w:instrText>
      </w:r>
      <w:r w:rsidR="00FF76BE">
        <w:rPr>
          <w:rFonts w:hint="eastAsia"/>
        </w:rPr>
        <w:instrText>ü</w:instrText>
      </w:r>
      <w:r w:rsidR="00FF76BE">
        <w:instrText xml:space="preserve">chel","given":"Christian"},{"family":"Gamer","given":"Matthias"}],"issued":{"date-parts":[["2015"]]}},"label":"page"}],"schema":"https://github.com/citation-style-language/schema/raw/master/csl-citation.json"} </w:instrText>
      </w:r>
      <w:r w:rsidR="00FF76BE">
        <w:fldChar w:fldCharType="separate"/>
      </w:r>
      <w:r w:rsidR="00E910F0" w:rsidRPr="00E910F0">
        <w:rPr>
          <w:rFonts w:cs="Times New Roman"/>
        </w:rPr>
        <w:t>(Ganis et al., 2011; Hsu et al., 2019; Nose et al., 2009; Peth et al., 2015)</w:t>
      </w:r>
      <w:r w:rsidR="00FF76BE">
        <w:fldChar w:fldCharType="end"/>
      </w:r>
      <w:r w:rsidRPr="009749C7">
        <w:t xml:space="preserve">. </w:t>
      </w:r>
      <w:r w:rsidR="00605EFA">
        <w:t xml:space="preserve">For </w:t>
      </w:r>
      <w:r w:rsidR="00A01F07">
        <w:t xml:space="preserve">example, </w:t>
      </w:r>
      <w:proofErr w:type="spellStart"/>
      <w:r w:rsidR="00A01F07">
        <w:t>Ganis</w:t>
      </w:r>
      <w:proofErr w:type="spellEnd"/>
      <w:r w:rsidR="00A01F07">
        <w:t xml:space="preserve"> and </w:t>
      </w:r>
      <w:r w:rsidR="00A01F07" w:rsidRPr="00A01F07">
        <w:t>collea</w:t>
      </w:r>
      <w:r w:rsidR="00AE547B">
        <w:t>g</w:t>
      </w:r>
      <w:r w:rsidR="00A01F07" w:rsidRPr="00A01F07">
        <w:t>ue</w:t>
      </w:r>
      <w:r w:rsidR="00AE547B">
        <w:t>s</w:t>
      </w:r>
      <w:r w:rsidR="00A01F07">
        <w:t xml:space="preserve"> </w:t>
      </w:r>
      <w:r w:rsidR="001952C8">
        <w:fldChar w:fldCharType="begin"/>
      </w:r>
      <w:r w:rsidR="00A71C06">
        <w:instrText xml:space="preserve"> ADDIN ZOTERO_ITEM CSL_CITATION {"citationID":"nIwyXLcC","properties":{"formattedCitation":"(Ganis et al., 2011)","plainCitation":"(Ganis et al., 2011)","dontUpdate":true,"noteIndex":0},"citationItems":[{"id":712,"uris":["http://zotero.org/users/3334739/items/D84RNKV5"],"itemData":{"id":712,"type":"article-journal","abstract":"Functional magnetic resonance imaging (fMRI) studies have documented differences between deceptive and honest responses. Capitalizing on this research, companies marketing fMRI-based lie detection services have been founded, generating methodological and ethical concerns in scientific and legal communities. Critically, no fMRI study has examined directly the effect of countermeasures, methods used by prevaricators to defeat deception detection procedures. An fMRI study was conducted to fill this research gap using a concealed information paradigm in which participants were trained to use countermeasures. Robust group fMRI differences between deceptive and honest responses were found without, but not with countermeasures. Furthermore, in single participants, deception detection accuracy was 100% without countermeasures, using activation in ventrolateral and medial prefrontal cortices, but fell to 33% with countermeasures. These findings show that fMRI-based deception detection measures can be vulnerable to countermeasures, calling for caution before applying these methods to real-world situations.","container-title":"NeuroImage","DOI":"10.1016/j.neuroimage.2010.11.025","ISSN":"1053-8119","issue":"1","journalAbbreviation":"NeuroImage","language":"en","note":"number: 1","page":"312-319","source":"ScienceDirect","title":"Lying in the scanner: Covert countermeasures disrupt deception detection by functional magnetic resonance imaging","title-short":"Lying in the scanner","volume":"55","author":[{"family":"Ganis","given":"Giorgio"},{"family":"Rosenfeld","given":"J. Peter"},{"family":"Meixner","given":"John"},{"family":"Kievit","given":"Rogier A."},{"family":"Schendan","given":"Haline E."}],"issued":{"date-parts":[["2011",3,1]]}}}],"schema":"https://github.com/citation-style-language/schema/raw/master/csl-citation.json"} </w:instrText>
      </w:r>
      <w:r w:rsidR="001952C8">
        <w:fldChar w:fldCharType="separate"/>
      </w:r>
      <w:r w:rsidR="001952C8" w:rsidRPr="001952C8">
        <w:rPr>
          <w:rFonts w:cs="Times New Roman"/>
        </w:rPr>
        <w:t>(2011)</w:t>
      </w:r>
      <w:r w:rsidR="001952C8">
        <w:fldChar w:fldCharType="end"/>
      </w:r>
      <w:r w:rsidR="00A01F07">
        <w:t xml:space="preserve"> </w:t>
      </w:r>
      <w:r w:rsidR="0010527D">
        <w:t>conducted a classic three-stimuli</w:t>
      </w:r>
      <w:r w:rsidR="006C487C">
        <w:t xml:space="preserve"> CIT</w:t>
      </w:r>
      <w:r w:rsidR="0010527D">
        <w:t xml:space="preserve"> </w:t>
      </w:r>
      <w:r w:rsidR="00AE547B">
        <w:t>in the fMRI scanne</w:t>
      </w:r>
      <w:r w:rsidR="00E711CE">
        <w:t xml:space="preserve">r to test whether </w:t>
      </w:r>
      <w:r w:rsidR="00676647">
        <w:t xml:space="preserve">fMRI could discriminate participants with </w:t>
      </w:r>
      <w:r w:rsidR="0037565F">
        <w:t>certain concealed information</w:t>
      </w:r>
      <w:r w:rsidR="00457544">
        <w:t xml:space="preserve"> (i.e., </w:t>
      </w:r>
      <w:r w:rsidR="003613CE">
        <w:t>exact</w:t>
      </w:r>
      <w:r w:rsidR="00457544">
        <w:t xml:space="preserve"> date)</w:t>
      </w:r>
      <w:r w:rsidR="0037565F">
        <w:t xml:space="preserve"> from those innocent participants.</w:t>
      </w:r>
      <w:r w:rsidR="00E93C57">
        <w:t xml:space="preserve"> Their results found that </w:t>
      </w:r>
      <w:r w:rsidR="006A1F9B">
        <w:t xml:space="preserve">the fMRI-based CIT could </w:t>
      </w:r>
      <w:r w:rsidR="00557721">
        <w:t xml:space="preserve">detect deception </w:t>
      </w:r>
      <w:r w:rsidR="00B8460D">
        <w:t>with an</w:t>
      </w:r>
      <w:r w:rsidR="00557721">
        <w:t xml:space="preserve"> </w:t>
      </w:r>
      <w:r w:rsidR="00557721" w:rsidRPr="00557721">
        <w:t>accuracy</w:t>
      </w:r>
      <w:r w:rsidR="00557721">
        <w:t xml:space="preserve"> of 100%</w:t>
      </w:r>
      <w:r w:rsidR="002B32E1">
        <w:t xml:space="preserve"> using </w:t>
      </w:r>
      <w:r w:rsidR="00D9245D" w:rsidRPr="00D9245D">
        <w:t>ventrolateral and medial prefrontal</w:t>
      </w:r>
      <w:r w:rsidR="00D9245D">
        <w:t xml:space="preserve"> cortex</w:t>
      </w:r>
      <w:r w:rsidR="00183E1A">
        <w:t xml:space="preserve"> (</w:t>
      </w:r>
      <w:proofErr w:type="spellStart"/>
      <w:r w:rsidR="001952C8">
        <w:t>m</w:t>
      </w:r>
      <w:r w:rsidR="00183E1A">
        <w:t>PFC</w:t>
      </w:r>
      <w:proofErr w:type="spellEnd"/>
      <w:r w:rsidR="00183E1A">
        <w:t>)</w:t>
      </w:r>
      <w:r w:rsidR="00D9245D">
        <w:t xml:space="preserve"> activities</w:t>
      </w:r>
      <w:r w:rsidR="00557721">
        <w:t xml:space="preserve">, whereas the detection accuracy would </w:t>
      </w:r>
      <w:r w:rsidR="002B32E1">
        <w:t xml:space="preserve">be </w:t>
      </w:r>
      <w:r w:rsidR="00D9245D">
        <w:t xml:space="preserve">largely </w:t>
      </w:r>
      <w:r w:rsidR="006C6526">
        <w:t xml:space="preserve">injured if participants use trained countermeasures. </w:t>
      </w:r>
      <w:r w:rsidR="00317D9F" w:rsidRPr="00923657">
        <w:t>Hsu</w:t>
      </w:r>
      <w:r w:rsidR="00317D9F">
        <w:t xml:space="preserve"> et al.</w:t>
      </w:r>
      <w:r w:rsidR="00462853">
        <w:t xml:space="preserve"> </w:t>
      </w:r>
      <w:r w:rsidR="00462853">
        <w:fldChar w:fldCharType="begin"/>
      </w:r>
      <w:r w:rsidR="003376D0">
        <w:instrText xml:space="preserve"> ADDIN ZOTERO_ITEM CSL_CITATION {"citationID":"Kpb72dEM","properties":{"formattedCitation":"(Hsu et al., 2019)","plainCitation":"(Hsu et al., 2019)","dontUpdate":true,"noteIndex":0},"citationItems":[{"id":683,"uris":["http://zotero.org/users/3334739/items/YWI7PSZY"],"itemData":{"id":683,"type":"article-journal","abstract":"During the last decade and a half, functional magnetic resonance imaging (fMRI) has been used to determine whether it is possible to detect concealed knowledge by examining brain activation patterns, with mixed results. Concealed information tests rely on the logic that a familiar item (probe) elicits a stronger response than unfamiliar, but otherwise comparable items (irrelevants). Previous work has shown that physical countermeasures can artificially modulate neural responses in concealed information tests, decreasing the accuracy of these methods. However, the question remains as to whether purely mental countermeasures, which are much more difficult to detect than physical ones, can also be effective. An fMRI study was conducted to address this question by assessing the effect of attentional countermeasures on the accuracy of the classification between knowledge and no-knowledge cases using both univariate and multivariate analyses. Results replicate previous work and show reliable group activation differences between the probe and the irrelevants in fronto-parietal networks. Critically, classification accuracy was generally reduced by the mental countermeasures, but only significantly so with region of interest analyses (both univariate and multivariate). For whole-brain analyses, classification accuracy was relatively low, but it was not significantly reduced by the countermeasures. These results indicate that mental countermeasure need to be addressed before these paradigms can be used in applied settings and that methods to defeat countermeasures, or at least to detect their use, need to be developed. Highlights FMRI-based concealed information tests are vulnerable to mental countermeasures Measures based on regions of interest are affected by mental countermeasures Whole-brain analyses may be more robust than region of interest ones Methods to detect mental countermeasure use are needed for forensic applications","container-title":"Human Brain Mapping","DOI":"10.1002/hbm.24567","ISSN":"1097-0193","issue":"10","journalAbbreviation":"Hum. Brain Mapp.","language":"en","license":"© 2019 Wiley Periodicals, Inc.","note":"number: 10\n_eprint: https://onlinelibrary.wiley.com/doi/pdf/10.1002/hbm.24567","page":"2899-2916","source":"Wiley Online Library","title":"The effect of mental countermeasures on neuroimaging-based concealed information tests","volume":"40","author":[{"family":"Hsu","given":"Chun-Wei"},{"family":"Begliomini","given":"Chiara"},{"family":"Dall'Acqua","given":"Tommaso"},{"family":"Ganis","given":"Giorgio"}],"issued":{"date-parts":[["2019"]]}}}],"schema":"https://github.com/citation-style-language/schema/raw/master/csl-citation.json"} </w:instrText>
      </w:r>
      <w:r w:rsidR="00462853">
        <w:fldChar w:fldCharType="separate"/>
      </w:r>
      <w:r w:rsidR="00462853" w:rsidRPr="00462853">
        <w:rPr>
          <w:rFonts w:cs="Times New Roman"/>
        </w:rPr>
        <w:t>(2019)</w:t>
      </w:r>
      <w:r w:rsidR="00462853">
        <w:fldChar w:fldCharType="end"/>
      </w:r>
      <w:r w:rsidR="00317D9F">
        <w:t xml:space="preserve"> also </w:t>
      </w:r>
      <w:r w:rsidR="00B8189D">
        <w:t xml:space="preserve">conducted a similar CIT </w:t>
      </w:r>
      <w:r w:rsidR="00364C11">
        <w:t>in</w:t>
      </w:r>
      <w:r w:rsidR="00B8189D">
        <w:t xml:space="preserve"> </w:t>
      </w:r>
      <w:r w:rsidR="00B8460D">
        <w:t xml:space="preserve">an </w:t>
      </w:r>
      <w:r w:rsidR="005B2E39">
        <w:t xml:space="preserve">fMRI </w:t>
      </w:r>
      <w:r w:rsidR="00364C11">
        <w:t xml:space="preserve">scanner, but using </w:t>
      </w:r>
      <w:r w:rsidR="005B2E39">
        <w:t xml:space="preserve">different digits as </w:t>
      </w:r>
      <w:r w:rsidR="006B2CFB">
        <w:t>probe/irrelevant/target stimuli</w:t>
      </w:r>
      <w:r w:rsidR="005C3386">
        <w:t xml:space="preserve">, and adopted a </w:t>
      </w:r>
      <w:r w:rsidR="0017741F" w:rsidRPr="0017741F">
        <w:t>mental</w:t>
      </w:r>
      <w:r w:rsidR="0017741F" w:rsidRPr="0017741F" w:rsidDel="0017741F">
        <w:t xml:space="preserve"> </w:t>
      </w:r>
      <w:r w:rsidR="004A1602">
        <w:t>countermeasure</w:t>
      </w:r>
      <w:r w:rsidR="006B2CFB">
        <w:t xml:space="preserve">. </w:t>
      </w:r>
      <w:r w:rsidR="004A1602">
        <w:t xml:space="preserve">They reported </w:t>
      </w:r>
      <w:r w:rsidR="006057D3">
        <w:t>over 0.80 detection efficiency</w:t>
      </w:r>
      <w:r w:rsidR="003517F9">
        <w:t xml:space="preserve"> when </w:t>
      </w:r>
      <w:r w:rsidR="00B8460D">
        <w:t xml:space="preserve">adopting </w:t>
      </w:r>
      <w:r w:rsidR="00BB0DEB">
        <w:t>different PFC activity</w:t>
      </w:r>
      <w:r w:rsidR="0017741F">
        <w:t xml:space="preserve">, and </w:t>
      </w:r>
      <w:r w:rsidR="00FA1E5D">
        <w:t xml:space="preserve">almost unchanged </w:t>
      </w:r>
      <w:r w:rsidR="0017741F">
        <w:t>0.79 detection efficiency with mental countermeasure</w:t>
      </w:r>
      <w:r w:rsidR="003060E7">
        <w:t>.</w:t>
      </w:r>
      <w:r w:rsidR="00610993">
        <w:t xml:space="preserve"> </w:t>
      </w:r>
      <w:r w:rsidR="00CE0A6D">
        <w:t xml:space="preserve">Taken together, </w:t>
      </w:r>
      <w:r w:rsidR="00E713B4">
        <w:t>these</w:t>
      </w:r>
      <w:r w:rsidR="00C8170E">
        <w:t xml:space="preserve"> findings </w:t>
      </w:r>
      <w:r w:rsidR="00E713B4" w:rsidRPr="00E713B4">
        <w:t>serve to highlight</w:t>
      </w:r>
      <w:r w:rsidR="00E713B4">
        <w:t xml:space="preserve"> the</w:t>
      </w:r>
      <w:r w:rsidR="00F00E1C">
        <w:t xml:space="preserve"> </w:t>
      </w:r>
      <w:r w:rsidR="00F00E1C" w:rsidRPr="00F00E1C">
        <w:t>reliability</w:t>
      </w:r>
      <w:r w:rsidR="00BB1949">
        <w:t xml:space="preserve"> of brain-</w:t>
      </w:r>
      <w:r w:rsidR="00BB1949">
        <w:lastRenderedPageBreak/>
        <w:t xml:space="preserve">imaging technology </w:t>
      </w:r>
      <w:r w:rsidR="00CB3AC1">
        <w:t xml:space="preserve">when utilized </w:t>
      </w:r>
      <w:r w:rsidR="00BB1949">
        <w:t>in the concealed information test.</w:t>
      </w:r>
    </w:p>
    <w:p w14:paraId="10A1BA94" w14:textId="7B4FD8DD" w:rsidR="00B21A37" w:rsidRDefault="00C527EE" w:rsidP="00B21A37">
      <w:r>
        <w:rPr>
          <w:rFonts w:hint="eastAsia"/>
        </w:rPr>
        <w:t>R</w:t>
      </w:r>
      <w:r>
        <w:t>ecently</w:t>
      </w:r>
      <w:r w:rsidR="00B21A37" w:rsidRPr="009749C7">
        <w:t>, functional near-infrared spectroscopy (fNIRS), an alternative instrument for brain-based neuroimaging, has lately obtained preference in many neuroimaging research</w:t>
      </w:r>
      <w:r w:rsidR="002B46A9">
        <w:t xml:space="preserve"> </w:t>
      </w:r>
      <w:r w:rsidR="002B46A9">
        <w:fldChar w:fldCharType="begin"/>
      </w:r>
      <w:r w:rsidR="00B85E3A">
        <w:instrText xml:space="preserve"> ADDIN ZOTERO_ITEM CSL_CITATION {"citationID":"Ng5CvH7j","properties":{"formattedCitation":"(Dai et al., 2018; Hyde et al., 2018; X. Lin, Lei, et al., 2018; X. A. Lin et al., 2021; Zhang et al., 2021)","plainCitation":"(Dai et al., 2018; Hyde et al., 2018; X. Lin, Lei, et al., 2018; X. A. Lin et al., 2021; Zhang et al., 2021)","noteIndex":0},"citationItems":[{"id":7147,"uris":["http://zotero.org/users/3334739/items/6SMIFK3U"],"itemData":{"id":7147,"type":"article-journal","abstract":"The neural mechanism for selectively tuning in to a target speaker while tuning out the others in a multi-speaker situation (i.e., the cocktail-party effect) remains elusive. Here we addressed this issue by measuring brain activity simultaneously from a listener and from multiple speakers while they were involved in naturalistic conversations. Results consistently show selectively enhanced interpersonal neural synchronization (INS) between the listener and the attended speaker at left temporal–parietal junction, compared with that between the listener and the unattended speaker across different multi-speaker situations. Moreover, INS increases significantly prior to the occurrence of verbal responses, and even when the listener’s brain activity precedes that of the speaker. The INS increase is independent of brain-to-speech synchronization in both the anatomical location and frequency range. These findings suggest that INS underlies the selective process in a multi-speaker situation through neural predictions at the content level but not the sensory level of speech.","container-title":"Nature Communications","DOI":"10.1038/s41467-018-04819-z","ISSN":"2041-1723","issue":"1","journalAbbreviation":"Nat Commun","language":"en","license":"2018 The Author(s)","note":"number: 1\npublisher: Nature Publishing Group","page":"2405","source":"www.nature.com","title":"Neural mechanisms for selectively tuning in to the target speaker in a naturalistic noisy situation","volume":"9","author":[{"family":"Dai","given":"Bohan"},{"family":"Chen","given":"Chuansheng"},{"family":"Long","given":"Yuhang"},{"family":"Zheng","given":"Lifen"},{"family":"Zhao","given":"Hui"},{"family":"Bai","given":"Xialu"},{"family":"Liu","given":"Wenda"},{"family":"Zhang","given":"Yuxuan"},{"family":"Liu","given":"Li"},{"family":"Guo","given":"Taomei"},{"family":"Ding","given":"Guosheng"},{"family":"Lu","given":"Chunming"}],"issued":{"date-parts":[["2018",6,19]]}},"label":"page"},{"id":7149,"uris":["http://zotero.org/users/3334739/items/HGI9J4KG"],"itemData":{"id":7149,"type":"article-journal","abstract":"Successful human social life requires imagining what others believe or think to understand and predict behavior. This ability, often referred to as theory of mind (ToM), reliably engages a specialized network of temporal and prefrontal brain regions in older children and adults, including selective recruitment of the temporal–parietal junction (TPJ). To date, how and when this specialized brain organization for ToM arises is unknown due to limitations in functional neuroimaging at younger ages. Here, we used the emerging technique of functional near-infrared spectroscopy to measure the functional brain response across parietal, temporal, and prefrontal regions in 7-month-old male and female infants as they viewed different video scenarios of a person searching for a hidden object. Over different conditions, we manipulated whether the person held an accurate (true) or inaccurate (false) belief about the location of the hidden object in the videos. In two separate experiments, we observed that activity from the TPJ, but not other temporal and prefrontal regions, spontaneously tracked with the beliefs of the other person, responding more during scenarios when the other person's belief regarding the location of the object was false compared with scenarios when her belief was true. These results mirror those obtained with adults to show that the TPJ already shows some functional organization relevant to high-level social cognition by around 7 months of age. Furthermore, these results suggest that infants may draw on similar core mechanisms to implicitly track beliefs, as adults do when reasoning explicitly about them.\nSIGNIFICANCE STATEMENT Humans selectively engage a network of brain regions, including the temporal–parietal junction (TPJ), to track what others think, an ability referred to as theory of mind. How and when this specialized brain organization for high-level social cognition arises is unknown. Using the emerging technique of near-infrared spectroscopy with 7-month-old infants, we observed that activity of the TPJ, but not other temporal and frontal regions, distinguished between scenarios when another person's belief about the location of the object was false compared with scenarios when the belief was true. These results suggest that a basic neural architecture to understand and predict the actions of others based on their beliefs may be present from the first year of life.","container-title":"Journal of Neuroscience","DOI":"10.1523/JNEUROSCI.0264-17.2018","ISSN":"0270-6474, 1529-2401","issue":"18","journalAbbreviation":"J. Neurosci.","language":"en","license":"Copyright © 2018 the authors 0270-6474/18/384264-11$15.00/0","note":"publisher: Society for Neuroscience\nsection: Research Articles\nPMID: 29593053","page":"4264-4274","source":"www.jneurosci.org","title":"Functional Organization of the Temporal–Parietal Junction for Theory of Mind in Preverbal Infants: A Near-Infrared Spectroscopy Study","title-short":"Functional Organization of the Temporal–Parietal Junction for Theory of Mind in Preverbal Infants","volume":"38","author":[{"family":"Hyde","given":"Daniel C."},{"family":"Simon","given":"Charline E."},{"family":"Ting","given":"Fransisca"},{"family":"Nikolaeva","given":"Julia I."}],"issued":{"date-parts":[["2018",5,2]]}},"label":"page"},{"id":7197,"uris":["http://zotero.org/users/3334739/items/G5X2MLHW"],"itemData":{"id":7197,"type":"article-journal","abstract":"This study examined the neural mechanism underlying two translation strategies associated with Chinese to English simultaneous interpreting (SI) targeting the left prefrontal cortex (PFC), which is generally involved in the control of interference and conflict resolution and has been identified as the brain area that plays a pivotal role in SI. Brain activation associated with the two strategies including “pairing” and “transphrasing” were compared with that from “nontranslation,” which keeps the source language item unchanged in the target language production and is considered as a tactic that does not require complex cognitive operation associated with bilingual processing effort. Our findings revealed that “pairing” elicited the strongest and almost immediate brain activation in the Broca’s area, and “transphrasing” resulted in the most extensive and strongest activation overall in the left PFC. By contrast, “nontranslation” induced very little brain activation in these regions. This work, which represents one of the first efforts in investigating brain activation related to translation strategies involving different levels of cognitive control, will not only pave a new avenue for better understanding of the cognitive mechanism underlying SI but also provide further insight into the role that the Broca’s region plays in domain-general cognitive control.","container-title":"Neurophotonics","DOI":"10.1117/1.NPh.5.2.025010","ISSN":"2329-423X, 2329-4248","issue":"2","journalAbbreviation":"NPh","note":"publisher: SPIE","page":"025010","source":"www.spiedigitallibrary.org","title":"Which is more costly in Chinese to English simultaneous interpreting, “pairing” or “transphrasing”? Evidence from an fNIRS neuroimaging study","title-short":"Which is more costly in Chinese to English simultaneous interpreting, “pairing” or “transphrasing”?","volume":"5","author":[{"family":"Lin","given":"Xiaohong"},{"family":"Lei","given":"Victoria Lai Cheng"},{"family":"Li","given":"Defeng"},{"family":"Yuan","given":"Zhen"}],"issued":{"date-parts":[["2018",6]]}},"label":"page"},{"id":7194,"uris":["http://zotero.org/users/3334739/items/UI75RRIY"],"itemData":{"id":7194,"type":"article-journal","abstract":"This study aims to examine neural correlates of spontaneous deception in a non-competitive interpersonal situation, and the difference in neural correlates between spontaneous deception and instructed deception using functional near-infrared spectroscopy (fNIRS). We used a modified poker game in which participants freely decided whether sending a piece of truthful/deceptive information to other participants. In the instructed session, participants sent truthful/deceptive information per the instructions. In this non-competitive interpersonal situation in the orbitofrontal cortex (OFC) and dorsolateral prefrontal cortex (DLPFC), deception produced higher neural activities than truth-telling. In addition, spontaneous deception exhibited higher neural activities than instructed deception in the frontopolar area, DLPFC, and frontal eye fields. Spontaneous truth-telling produced higher neural activities than instructed truth-telling in frontal eye fields and frontopolar area. This study provides evidence about neural correlates of spontaneous deception during non-competitive interpersonal scenarios and the difference between spontaneous deception and instructed deception.","container-title":"Brain and Cognition","DOI":"10.1016/j.bandc.2021.105704","ISSN":"0278-2626","journalAbbreviation":"Brain and Cognition","language":"en","page":"105704","source":"ScienceDirect","title":"Neural correlates of spontaneous deception in a non-competitive interpersonal scenario: A functional near-infrared spectroscopy (fNIRS) study","title-short":"Neural correlates of spontaneous deception in a non-competitive interpersonal scenario","volume":"150","author":[{"family":"Lin","given":"Xiaohong Allison"},{"family":"Wang","given":"Chongxiang"},{"family":"Zhou","given":"Jie"},{"family":"Sai","given":"Liyang"},{"family":"Fu","given":"Genyue"}],"issued":{"date-parts":[["2021",6,1]]}},"label":"page"},{"id":7196,"uris":["http://zotero.org/users/3334739/items/T36MH3GB"],"itemData":{"id":7196,"type":"article-journal","abstract":"Neuroimaging technologies have improved our understanding of deception and also exhibit their potential in revealing the origins of its neural mechanism. In this study, a quantitative power analysis method that uses the Welch power spectrum estimation of functional near-infrared spectroscopy (fNIRS) signals was proposed to examine the brain activation difference between the spontaneous deceptive behavior and controlled behavior. The power value produced by the model was applied to quantify the activity energy of brain regions, which can serve as a neuromarker for deception detection. Interestingly, the power analysis results generated from the Welch spectrum estimation method demonstrated that the spontaneous deceptive behavior elicited significantly higher power than that from the controlled behavior in the prefrontal cortex. Meanwhile, the power findings also showed significant difference between the spontaneous deceptive behavior and controlled behavior, indicating that the reward system was only involved in the deception. The proposed power analysis method for processing fNIRS data provides us an additional insight to understand the cognitive mechanism of deception.","container-title":"Frontiers in Human Neuroscience","DOI":"10.3389/fnhum.2020.606238","ISSN":"1662-5161","source":"Frontiers","title":"A Look Into the Power of fNIRS Signals by Using the Welch Power Spectral Estimate for Deception Detection","URL":"https://www.frontiersin.org/articles/10.3389/fnhum.2020.606238","volume":"14","author":[{"family":"Zhang","given":"Jiang"},{"family":"Zhang","given":"Jingyue"},{"family":"Ren","given":"Houhua"},{"family":"Liu","given":"Qihong"},{"family":"Du","given":"Zhengcong"},{"family":"Wu","given":"Lan"},{"family":"Sai","given":"Liyang"},{"family":"Yuan","given":"Zhen"},{"family":"Mo","given":"Site"},{"family":"Lin","given":"Xiaohong"}],"accessed":{"date-parts":[["2023",7,4]]},"issued":{"date-parts":[["2021"]]}},"label":"page"}],"schema":"https://github.com/citation-style-language/schema/raw/master/csl-citation.json"} </w:instrText>
      </w:r>
      <w:r w:rsidR="002B46A9">
        <w:fldChar w:fldCharType="separate"/>
      </w:r>
      <w:r w:rsidR="00B85E3A" w:rsidRPr="00B85E3A">
        <w:rPr>
          <w:rFonts w:cs="Times New Roman"/>
        </w:rPr>
        <w:t>(Dai et al., 2018; Hyde et al., 2018; X. Lin, Lei, et al., 2018; X. A. Lin et al., 2021; Zhang et al., 2021)</w:t>
      </w:r>
      <w:r w:rsidR="002B46A9">
        <w:fldChar w:fldCharType="end"/>
      </w:r>
      <w:r w:rsidR="00B21A37" w:rsidRPr="009749C7">
        <w:t>. Compared to fMRI, fNIRS</w:t>
      </w:r>
      <w:r w:rsidR="009959A2">
        <w:t xml:space="preserve"> </w:t>
      </w:r>
      <w:r w:rsidR="00B21A37" w:rsidRPr="009749C7">
        <w:t>is more portable, resilient against motion artifacts, costs less</w:t>
      </w:r>
      <w:r w:rsidR="000F2318">
        <w:t xml:space="preserve">, </w:t>
      </w:r>
      <w:r w:rsidR="00B21A37" w:rsidRPr="009749C7">
        <w:t>imposes fewer restrictions</w:t>
      </w:r>
      <w:r w:rsidR="000F2318">
        <w:t xml:space="preserve">, and </w:t>
      </w:r>
      <w:r w:rsidR="00B8460D">
        <w:t xml:space="preserve">is </w:t>
      </w:r>
      <w:r w:rsidR="000F2318">
        <w:t xml:space="preserve">suitable for a </w:t>
      </w:r>
      <w:r w:rsidR="000F2318" w:rsidRPr="000F2318">
        <w:t>wider range of people</w:t>
      </w:r>
      <w:r w:rsidR="00B336FC">
        <w:t xml:space="preserve"> </w:t>
      </w:r>
      <w:r w:rsidR="004D78E5">
        <w:fldChar w:fldCharType="begin"/>
      </w:r>
      <w:r w:rsidR="004D78E5">
        <w:instrText xml:space="preserve"> ADDIN ZOTERO_ITEM CSL_CITATION {"citationID":"AHuABLPp","properties":{"formattedCitation":"(Ding et al., 2013; Ferrari &amp; Quaresima, 2012)","plainCitation":"(Ding et al., 2013; Ferrari &amp; Quaresima, 2012)","noteIndex":0},"citationItems":[{"id":158,"uris":["http://zotero.org/users/3334739/items/T3RX8D2F"],"itemData":{"id":158,"type":"article-journal","abstract":"Deception is commonly seen in everyday social interactions. However, most of the knowledge about the underlying neural mechanism of deception comes from studies where participants were instructed when and how to lie. To study spontaneous deception, we designed a guessing game modeled after Greene and Paxton (2009) “Proceedings of the National Academy of Sciences, 106(30), 12506–12511”, in which lying is the only way to achieve the performance level needed to end the game. We recorded neural responses during the game using near-infrared spectroscopy (NIRS). We found that when compared to truth-telling, spontaneous deception, like instructed deception, engenders greater involvement of such prefrontal regions as the left superior frontal gyrus. We also found that the correct-truth trials produced greater neural activities in the left middle frontal gyrus and right superior frontal gyrus than the incorrect-truth trials, suggesting the involvement of the reward system. Furthermore, the present study confirmed the feasibility of using NIRS to study spontaneous deception.","container-title":"Neuropsychologia","DOI":"10.1016/j.neuropsychologia.2012.12.018","ISSN":"0028-3932","issue":"4","journalAbbreviation":"Neuropsychologia","language":"en","page":"704-712","source":"ScienceDirect","title":"Neural correlates of spontaneous deception: A functional near-infrared spectroscopy (fNIRS)study","title-short":"Neural correlates of spontaneous deception","volume":"51","author":[{"family":"Ding","given":"Xiao Pan"},{"family":"Gao","given":"Xiaoqing"},{"family":"Fu","given":"Genyue"},{"family":"Lee","given":"Kang"}],"issued":{"date-parts":[["2013",3,1]]}},"label":"page"},{"id":7134,"uris":["http://zotero.org/users/3334739/items/K4LEP6AK"],"itemData":{"id":7134,"type":"article-journal","abstract":"This review is aimed at celebrating the upcoming 20th anniversary of the birth of human functional near-infrared spectroscopy (fNIRS). After the discovery in 1992 that the functional activation of the human cerebral cortex (due to oxygenation and hemodynamic changes) can be explored by NIRS, human functional brain mapping research has gained a new dimension. fNIRS or optical topography, or near-infrared imaging or diffuse optical imaging is used mainly to detect simultaneous changes in optical properties of the human cortex from multiple measurement sites and displays the results in the form of a map or image over a specific area. In order to place current fNIRS research in its proper context, this paper presents a brief historical overview of the events that have shaped the present status of fNIRS. In particular, technological progresses of fNIRS are highlighted (i.e. from single-site to multi-site functional cortical measurements (images)), introduction of the commercial multi-channel systems, recent commercial wireless instrumentation and more advanced prototypes.","container-title":"NeuroImage","DOI":"10.1016/j.neuroimage.2012.03.049","ISSN":"1053-8119","issue":"2","journalAbbreviation":"NeuroImage","language":"en","page":"921-935","source":"ScienceDirect","title":"A brief review on the history of human functional near-infrared spectroscopy (fNIRS) development and fields of application","volume":"63","author":[{"family":"Ferrari","given":"Marco"},{"family":"Quaresima","given":"Valentina"}],"issued":{"date-parts":[["2012",11,1]]}},"label":"page"}],"schema":"https://github.com/citation-style-language/schema/raw/master/csl-citation.json"} </w:instrText>
      </w:r>
      <w:r w:rsidR="004D78E5">
        <w:fldChar w:fldCharType="separate"/>
      </w:r>
      <w:r w:rsidR="00E910F0" w:rsidRPr="00E910F0">
        <w:rPr>
          <w:rFonts w:cs="Times New Roman"/>
        </w:rPr>
        <w:t>(Ding et al., 2013; Ferrari &amp; Quaresima, 2012)</w:t>
      </w:r>
      <w:r w:rsidR="004D78E5">
        <w:fldChar w:fldCharType="end"/>
      </w:r>
      <w:r w:rsidR="00B21A37" w:rsidRPr="009749C7">
        <w:t xml:space="preserve">. </w:t>
      </w:r>
      <w:r w:rsidR="009959A2">
        <w:t>Thus, fNIRS m</w:t>
      </w:r>
      <w:r w:rsidR="00FA1E5D">
        <w:t>ight</w:t>
      </w:r>
      <w:r w:rsidR="009959A2">
        <w:t xml:space="preserve"> be </w:t>
      </w:r>
      <w:r w:rsidR="009959A2">
        <w:rPr>
          <w:rFonts w:hint="eastAsia"/>
        </w:rPr>
        <w:t>a</w:t>
      </w:r>
      <w:r w:rsidR="000F2318">
        <w:t>n</w:t>
      </w:r>
      <w:r w:rsidR="009959A2">
        <w:t xml:space="preserve"> </w:t>
      </w:r>
      <w:r w:rsidR="000F2318">
        <w:t xml:space="preserve">alternative </w:t>
      </w:r>
      <w:r w:rsidR="000F2318" w:rsidRPr="009749C7">
        <w:t>neuroimaging technique</w:t>
      </w:r>
      <w:r w:rsidR="000F2318">
        <w:t xml:space="preserve"> with </w:t>
      </w:r>
      <w:r w:rsidR="009959A2">
        <w:t>more</w:t>
      </w:r>
      <w:r w:rsidR="009959A2" w:rsidRPr="009749C7">
        <w:t xml:space="preserve"> potential for deception detection</w:t>
      </w:r>
      <w:r w:rsidR="009959A2">
        <w:t xml:space="preserve"> application, as </w:t>
      </w:r>
      <w:r w:rsidR="009959A2" w:rsidRPr="0078287A">
        <w:t xml:space="preserve">the </w:t>
      </w:r>
      <w:r w:rsidR="00B21A37" w:rsidRPr="0078287A">
        <w:t xml:space="preserve">discrepancy between </w:t>
      </w:r>
      <w:r w:rsidR="000D3E3C" w:rsidRPr="0078287A">
        <w:t>deception</w:t>
      </w:r>
      <w:r w:rsidR="00B21A37" w:rsidRPr="0078287A">
        <w:t xml:space="preserve"> and </w:t>
      </w:r>
      <w:r w:rsidR="000D3E3C" w:rsidRPr="0078287A">
        <w:t>truth</w:t>
      </w:r>
      <w:r w:rsidR="00B21A37" w:rsidRPr="0078287A">
        <w:t xml:space="preserve"> could be discriminated </w:t>
      </w:r>
      <w:r w:rsidR="00B8460D" w:rsidRPr="00B8460D">
        <w:t xml:space="preserve">against </w:t>
      </w:r>
      <w:r w:rsidR="00B21A37" w:rsidRPr="0078287A">
        <w:t xml:space="preserve">through distinct </w:t>
      </w:r>
      <w:r w:rsidR="00826BC0" w:rsidRPr="002C75F6">
        <w:rPr>
          <w:rFonts w:hint="eastAsia"/>
        </w:rPr>
        <w:t>hemodynamic</w:t>
      </w:r>
      <w:r w:rsidR="00826BC0" w:rsidRPr="002C75F6">
        <w:t xml:space="preserve"> changes</w:t>
      </w:r>
      <w:r w:rsidR="00B21A37" w:rsidRPr="00B85E3A">
        <w:rPr>
          <w:color w:val="000000" w:themeColor="text1"/>
        </w:rPr>
        <w:t>.</w:t>
      </w:r>
      <w:r w:rsidR="00B21A37" w:rsidRPr="00826BC0">
        <w:rPr>
          <w:color w:val="000000" w:themeColor="text1"/>
        </w:rPr>
        <w:t xml:space="preserve"> </w:t>
      </w:r>
      <w:r w:rsidR="000E7233">
        <w:rPr>
          <w:color w:val="000000" w:themeColor="text1"/>
        </w:rPr>
        <w:t xml:space="preserve">For instance, previous researches have shown increased </w:t>
      </w:r>
      <w:r w:rsidR="000E7233" w:rsidRPr="000E7233">
        <w:rPr>
          <w:color w:val="000000" w:themeColor="text1"/>
        </w:rPr>
        <w:t>hemodynamic</w:t>
      </w:r>
      <w:r w:rsidR="000E7233">
        <w:rPr>
          <w:color w:val="000000" w:themeColor="text1"/>
        </w:rPr>
        <w:t xml:space="preserve"> activities in </w:t>
      </w:r>
      <w:r w:rsidR="003A740A">
        <w:rPr>
          <w:color w:val="000000" w:themeColor="text1"/>
        </w:rPr>
        <w:t>PFC</w:t>
      </w:r>
      <w:r w:rsidR="000E7233">
        <w:rPr>
          <w:color w:val="000000" w:themeColor="text1"/>
        </w:rPr>
        <w:t xml:space="preserve"> </w:t>
      </w:r>
      <w:r w:rsidR="003376D0">
        <w:rPr>
          <w:color w:val="000000" w:themeColor="text1"/>
        </w:rPr>
        <w:t>when people are exposed to crime-related stimuli</w:t>
      </w:r>
      <w:r w:rsidR="000E7233">
        <w:rPr>
          <w:color w:val="000000" w:themeColor="text1"/>
        </w:rPr>
        <w:t xml:space="preserve"> </w:t>
      </w:r>
      <w:r w:rsidR="003376D0">
        <w:rPr>
          <w:color w:val="000000" w:themeColor="text1"/>
        </w:rPr>
        <w:t xml:space="preserve">rather than irrelevant stimuli </w:t>
      </w:r>
      <w:r w:rsidR="003376D0">
        <w:rPr>
          <w:color w:val="000000" w:themeColor="text1"/>
        </w:rPr>
        <w:fldChar w:fldCharType="begin"/>
      </w:r>
      <w:r w:rsidR="003376D0">
        <w:rPr>
          <w:color w:val="000000" w:themeColor="text1"/>
        </w:rPr>
        <w:instrText xml:space="preserve"> ADDIN ZOTERO_ITEM CSL_CITATION {"citationID":"CtNmyvtR","properties":{"formattedCitation":"(Ding et al., 2013; Wang et al., 2022)","plainCitation":"(Ding et al., 2013; Wang et al., 2022)","noteIndex":0},"citationItems":[{"id":158,"uris":["http://zotero.org/users/3334739/items/T3RX8D2F"],"itemData":{"id":158,"type":"article-journal","abstract":"Deception is commonly seen in everyday social interactions. However, most of the knowledge about the underlying neural mechanism of deception comes from studies where participants were instructed when and how to lie. To study spontaneous deception, we designed a guessing game modeled after Greene and Paxton (2009) “Proceedings of the National Academy of Sciences, 106(30), 12506–12511”, in which lying is the only way to achieve the performance level needed to end the game. We recorded neural responses during the game using near-infrared spectroscopy (NIRS). We found that when compared to truth-telling, spontaneous deception, like instructed deception, engenders greater involvement of such prefrontal regions as the left superior frontal gyrus. We also found that the correct-truth trials produced greater neural activities in the left middle frontal gyrus and right superior frontal gyrus than the incorrect-truth trials, suggesting the involvement of the reward system. Furthermore, the present study confirmed the feasibility of using NIRS to study spontaneous deception.","container-title":"Neuropsychologia","DOI":"10.1016/j.neuropsychologia.2012.12.018","ISSN":"0028-3932","issue":"4","journalAbbreviation":"Neuropsychologia","language":"en","page":"704-712","source":"ScienceDirect","title":"Neural correlates of spontaneous deception: A functional near-infrared spectroscopy (fNIRS)study","title-short":"Neural correlates of spontaneous deception","volume":"51","author":[{"family":"Ding","given":"Xiao Pan"},{"family":"Gao","given":"Xiaoqing"},{"family":"Fu","given":"Genyue"},{"family":"Lee","given":"Kang"}],"issued":{"date-parts":[["2013",3,1]]}},"label":"page"},{"id":3639,"uris":["http://zotero.org/users/3334739/items/66E9N3B5"],"itemData":{"id":3639,"type":"article-journal","abstract":"In this study, brain imaging data from functional near-infrared spectroscopy (fNIRS) associated with skin conductance response (SCR), heart rate (HR), and reaction time (RT) were combined to determine if the combination of these indicators could improve the efficiency of deception detection in concealed information test (CIT). During the CIT, participants were presented with a series of names and cities that served as target, probe, or irrelevant stimuli. In the guilty group, the probe stimuli were the participants’ own names and hometown cities, and they were asked to deny this information. Our results revealed that probe items were associated with longer RT, larger SCR, slower HR, and higher oxyhemoglobin (HbO) concentration changes in the inferior prefrontal gyrus (IFG), middle frontal gyrus (MFG), and the superior frontal gyrus (SFG) compared with irrelevant items for participants in the guilty group but not in the innocent group. Furthermore, our results suggested that the combination of RT, SCR, HR, and fNIRS indicators could improve the deception detection efficiency to a very high area under the ROC curve (0.94) compared with any of the single indicators (0.74–0.89). The improved deception detection efficiency might be attributed to the reduction of random error and the diversiform underlying the psychophysiological mechanisms reflected by each indicator. These findings demonstrate a feasible way to improve the deception detection efficiency by using combined multiple indicators.","container-title":"Psychophysiology","DOI":"10/gppmbn","ISSN":"1469-8986","issue":"n/a","language":"en","note":"_eprint: https://onlinelibrary.wiley.com/doi/pdf/10.1111/psyp.14029","page":"e14029","source":"Wiley Online Library","title":"Detecting concealed information using functional near-infrared spectroscopy (fNIRS) combined with skin conductance, heart rate, and behavioral measures","volume":"n/a","author":[{"family":"Wang","given":"Di"},{"family":"Wang","given":"Chongxiang"},{"family":"Yi","given":"Xingyu"},{"family":"Sai","given":"Liyang"},{"family":"Fu","given":"Genyue"},{"family":"Lin","given":"Xiaohong Allison"}],"issued":{"date-parts":[["2022",2,22]]}},"label":"page"}],"schema":"https://github.com/citation-style-language/schema/raw/master/csl-citation.json"} </w:instrText>
      </w:r>
      <w:r w:rsidR="003376D0">
        <w:rPr>
          <w:color w:val="000000" w:themeColor="text1"/>
        </w:rPr>
        <w:fldChar w:fldCharType="separate"/>
      </w:r>
      <w:r w:rsidR="003376D0" w:rsidRPr="003376D0">
        <w:rPr>
          <w:rFonts w:cs="Times New Roman"/>
        </w:rPr>
        <w:t>(Ding et al., 2013; Wang et al., 2022)</w:t>
      </w:r>
      <w:r w:rsidR="003376D0">
        <w:rPr>
          <w:color w:val="000000" w:themeColor="text1"/>
        </w:rPr>
        <w:fldChar w:fldCharType="end"/>
      </w:r>
      <w:r w:rsidR="000E7233">
        <w:rPr>
          <w:color w:val="000000" w:themeColor="text1"/>
        </w:rPr>
        <w:t xml:space="preserve">. </w:t>
      </w:r>
      <w:r w:rsidR="009959A2">
        <w:t>However, o</w:t>
      </w:r>
      <w:r w:rsidR="00EE53B3">
        <w:t>nly</w:t>
      </w:r>
      <w:r w:rsidR="00B8460D">
        <w:t xml:space="preserve"> a</w:t>
      </w:r>
      <w:r w:rsidR="00EE53B3">
        <w:t xml:space="preserve"> limited number of</w:t>
      </w:r>
      <w:r w:rsidR="00EE53B3" w:rsidRPr="009749C7">
        <w:t xml:space="preserve"> </w:t>
      </w:r>
      <w:r w:rsidR="00B21A37" w:rsidRPr="009749C7">
        <w:t xml:space="preserve">studies have employed fNIRS </w:t>
      </w:r>
      <w:r w:rsidR="009959A2">
        <w:t xml:space="preserve">in CIT </w:t>
      </w:r>
      <w:r w:rsidR="00C6436A">
        <w:t>with mock crime scenario</w:t>
      </w:r>
      <w:r w:rsidR="00B8460D">
        <w:t>s</w:t>
      </w:r>
      <w:r w:rsidR="008E7F75">
        <w:t xml:space="preserve">, which is </w:t>
      </w:r>
      <w:r w:rsidR="00B8460D">
        <w:t xml:space="preserve">a </w:t>
      </w:r>
      <w:r w:rsidR="008E7F75">
        <w:t xml:space="preserve">more </w:t>
      </w:r>
      <w:r w:rsidR="00400B75" w:rsidRPr="00400B75">
        <w:t>natural</w:t>
      </w:r>
      <w:r w:rsidR="00400B75">
        <w:t xml:space="preserve"> way to let </w:t>
      </w:r>
      <w:r w:rsidR="00FA4EDA">
        <w:t>participants connect certain stimuli with a real crime process</w:t>
      </w:r>
      <w:r w:rsidR="008E7F75">
        <w:t xml:space="preserve">, </w:t>
      </w:r>
      <w:r w:rsidR="00B21A37" w:rsidRPr="009749C7">
        <w:t>to test its potentials for deception detection</w:t>
      </w:r>
      <w:r w:rsidR="004D78E5">
        <w:rPr>
          <w:rFonts w:cs="Times New Roman"/>
        </w:rPr>
        <w:t xml:space="preserve"> </w:t>
      </w:r>
      <w:r w:rsidR="004D78E5">
        <w:rPr>
          <w:rFonts w:cs="Times New Roman"/>
        </w:rPr>
        <w:fldChar w:fldCharType="begin"/>
      </w:r>
      <w:r w:rsidR="004D78E5">
        <w:rPr>
          <w:rFonts w:cs="Times New Roman"/>
        </w:rPr>
        <w:instrText xml:space="preserve"> ADDIN ZOTERO_ITEM CSL_CITATION {"citationID":"b7MDyaag","properties":{"formattedCitation":"(Sai, Zhou, et al., 2014)","plainCitation":"(Sai, Zhou, et al., 2014)","noteIndex":0},"citationItems":[{"id":516,"uris":["http://zotero.org/users/3334739/items/KQYVKXQP"],"itemData":{"id":516,"type":"article-journal","abstract":"The present study focused on the potential application of fNIRS in the detection of concealed information. Participants either committed a mock crime or not and then were presented with a randomized series of probes (crime-related information) and irrelevants (crime-irrelevant information) in a standard concealed information test (CIT). Participants in the guilty group were instructed to conceal crime-related information they obtained from the mock crime, thus making deceptive response to the probes. Meanwhile, their brain activity to probes and irrelevants was recorded by functional near-infrared spectroscopy (fNIRS). At the group level, we found that probe items were associated with longer reaction times and greater activity in bilateral dorsolateral prefrontal cortex and supplementary motor cortex than irrelevant items in the guilty group, but not in the innocent group. These findings provided evidence on neural correlates of recognition during a CIT. Finally, on the basis of the activity in bilateral dorsolateral prefrontal cortex and supplementary motor cortex, the correct classification of guilty versus innocent participants was approximately 75 % and the combination of fNIRS and reaction time measures yielded a better classification rate of 83.3 %. These findings illustrate the feasibility and promise of using fNIRS to detect concealed information.","container-title":"Brain Topography","DOI":"10.1007/s10548-014-0352-z","ISSN":"1573-6792","issue":"5","journalAbbreviation":"Brain Topogr","language":"eng","note":"PMID: 24514911","page":"652-662","source":"PubMed","title":"Detecting concealed information using functional near-infrared spectroscopy","volume":"27","author":[{"family":"Sai","given":"Liyang"},{"family":"Zhou","given":"Xiaomei"},{"family":"Ding","given":"Xiao Pan"},{"family":"Fu","given":"Genyue"},{"family":"Sang","given":"Biao"}],"issued":{"date-parts":[["2014",9]]}},"label":"page"}],"schema":"https://github.com/citation-style-language/schema/raw/master/csl-citation.json"} </w:instrText>
      </w:r>
      <w:r w:rsidR="004D78E5">
        <w:rPr>
          <w:rFonts w:cs="Times New Roman"/>
        </w:rPr>
        <w:fldChar w:fldCharType="separate"/>
      </w:r>
      <w:r w:rsidR="00E910F0" w:rsidRPr="00E910F0">
        <w:rPr>
          <w:rFonts w:cs="Times New Roman"/>
        </w:rPr>
        <w:t>(Sai, Zhou, et al., 2014)</w:t>
      </w:r>
      <w:r w:rsidR="004D78E5">
        <w:rPr>
          <w:rFonts w:cs="Times New Roman"/>
        </w:rPr>
        <w:fldChar w:fldCharType="end"/>
      </w:r>
      <w:r w:rsidR="00B21A37" w:rsidRPr="009749C7">
        <w:t xml:space="preserve">. </w:t>
      </w:r>
      <w:r w:rsidR="00406ACA">
        <w:t>Th</w:t>
      </w:r>
      <w:r w:rsidR="000F2318">
        <w:t>erefore</w:t>
      </w:r>
      <w:r w:rsidR="00B21A37" w:rsidRPr="009749C7">
        <w:t xml:space="preserve">, there is </w:t>
      </w:r>
      <w:r w:rsidR="00B21A37" w:rsidRPr="00B85E3A">
        <w:t>still insufficient</w:t>
      </w:r>
      <w:r w:rsidR="00B21A37" w:rsidRPr="009749C7">
        <w:t xml:space="preserve"> evidence to support its practical applications and more empirical researches are needed.</w:t>
      </w:r>
    </w:p>
    <w:p w14:paraId="78C290AA" w14:textId="22587DFB" w:rsidR="008130F1" w:rsidRPr="004079FF" w:rsidRDefault="00B21A37" w:rsidP="004079FF">
      <w:r w:rsidRPr="009749C7">
        <w:t xml:space="preserve">Regarding deception detection through physiological means, skin conductance responses (SCRs), </w:t>
      </w:r>
      <w:r w:rsidR="00B8460D">
        <w:t xml:space="preserve">and </w:t>
      </w:r>
      <w:r w:rsidRPr="009749C7">
        <w:t>heart rate (HR) are commonly used in psychological measurements</w:t>
      </w:r>
      <w:r w:rsidR="004D78E5">
        <w:rPr>
          <w:rFonts w:cs="Times New Roman"/>
        </w:rPr>
        <w:t xml:space="preserve"> </w:t>
      </w:r>
      <w:r w:rsidR="004D78E5">
        <w:rPr>
          <w:rFonts w:cs="Times New Roman"/>
        </w:rPr>
        <w:fldChar w:fldCharType="begin"/>
      </w:r>
      <w:r w:rsidR="00E910F0">
        <w:rPr>
          <w:rFonts w:cs="Times New Roman"/>
        </w:rPr>
        <w:instrText xml:space="preserve"> ADDIN ZOTERO_ITEM CSL_CITATION {"citationID":"a19m15j3fpa","properties":{"formattedCitation":"(Ben-Shakhar &amp; Elaad, 2003; Farahani &amp; Moradi, 2013; Gamer et al., 2007, 2008; Klein Selle et al., 2017)","plainCitation":"(Ben-Shakhar &amp; Elaad, 2003; Farahani &amp; Moradi, 2013; Gamer et al., 2007, 2008; Klein Selle et al., 2017)","noteIndex":0},"citationItems":[{"id":512,"uris":["http://zotero.org/users/3334739/items/KXJJSSWP"],"itemData":{"id":512,"type":"article-journal","container-title":"Journal of Applied Psychology","DOI":"10.1037/0021-9010.88.1.131","issue":"1","note":"publisher: American Psychological Association","page":"131","source":"Google Scholar","title":"The validity of psychophysiological detection of information with the Guilty Knowledge Test: A meta-analytic review.","title-short":"The validity of psychophysiological detection of information with the Guilty Knowledge Test","volume":"88","author":[{"family":"Ben-Shakhar","given":"Gershon"},{"family":"Elaad","given":"Eitan"}],"issued":{"date-parts":[["2003"]]}},"label":"page"},{"id":7138,"uris":["http://zotero.org/users/3334739/items/2T7SBMEE"],"itemData":{"id":7138,"type":"article-journal","abstract":"The concealed information test (CIT) is based on a comparison between the subject’s physiological responses to a probe and irrelevant items in order to detect concealed information. The main purpose of our study was to investigate the CIT accuracy enhancement related to a combination of recording of event-related potentials (ERPs) and autonomic measurements. We tried to maximally liken the experimental conditions to real ones by the use of a criminal context in the “mock crime” instruction and real innocent subjects instead of hypothetical ones. Fifty-two subjects volunteered and performed just one of the innocent or guilty scenarios. The CIT was designed in five blocks with short interstimulus intervals. In each block, stimuli were presented in the 7th-order balanced sequence. In addition to EEG phenomena, the heart rate, skin conductance responses (SCRs), respiratory activity, and finger plethysmogram were recorded. Statistical analyses showed that there was a significant difference between standardized difference scores of the guilty and innocent groups in both ERP and autonomic measures. The SCR did not achieve the expected results reported in standard autonomic-based CIT studies. A review of the two classification methods showed that the combination of ERP and autonomic measurements enhances the CIT accuracy. The best classification accuracy obtained by the aid of linear discriminant analysis (LDA) was 90.9%. It seems that using a criminal context in the “mock crime” instruction and the reward-punishment system made subjects more attentive and involved in the experiment; therefore, the accuracy was improved compared with that in similar studies.","container-title":"Neurophysiology","DOI":"10.1007/s11062-013-9360-y","ISSN":"1573-9007","issue":"3","journalAbbreviation":"Neurophysiology","language":"en","page":"223-233","source":"Springer Link","title":"A Concealed Information Test with Combination of ERP Recording and Autonomic Measurements","volume":"45","author":[{"family":"Farahani","given":"E. D."},{"family":"Moradi","given":"M. H."}],"issued":{"date-parts":[["2013",5,1]]}},"label":"page"},{"id":728,"uris":["http://zotero.org/users/3334739/items/F6TVQRKQ"],"itemData":{"id":728,"type":"article-journal","abstract":"Imaging techniques have been used to elucidate the neural correlates that underlie deception. The scientifically best understood paradigm for the detection of deception, however, the guilty knowledge test (GKT), was rarely used in imaging studies. By transferring a GKT-paradigm to a functional magnetic resonance imaging (fMRI) study, while additionally quantifying reaction times and skin conductance responses (SCRs), this study aimed at identifying the neural correlates of the behavioral and electrodermal response pattern typically found in GKT examinations. Prior to MR scanning, subjects viewed two specific items (probes) and were instructed to hide their knowledge of these. Two other specific items were designated as targets and required a different behavioral response during the experiment and eight items served as irrelevant stimuli. Reaction times and SCR amplitudes differed significantly between all three item types. The neuroimaging data revealed that right inferior frontal and mid-cingulate regions were more active for probe and target trials compared to irrelevants. Moreover, the differential activation in the right inferior frontal region was modulated by stimulus conflicts. These results were interpreted as an increased top-down influence on the stimulus-response-mapping for concealed and task-relevant items. Additionally, the influence of working memory and retrieval processes on this activation pattern is discussed. Using parametric analyses, reaction times and SCR amplitudes were found to be linearly related to activity in the cerebellum, the right inferior frontal cortex, and the supplementary motor area. This result provides a first link between behavioral measures, sympathetic arousal, and neural activation patterns during a GKT examination. Hum Brain Mapp 2007. © 2007 Wiley-Liss, Inc.","container-title":"Human Brain Mapping","DOI":"10.1002/hbm.20343","ISSN":"1097-01</w:instrText>
      </w:r>
      <w:r w:rsidR="00E910F0">
        <w:rPr>
          <w:rFonts w:cs="Times New Roman" w:hint="eastAsia"/>
        </w:rPr>
        <w:instrText>93","issue":"12","journalAbbreviation":"Hum. Brain Mapp.","language":"en","license":"Copyright © 2007 Wiley</w:instrText>
      </w:r>
      <w:r w:rsidR="00E910F0">
        <w:rPr>
          <w:rFonts w:cs="Times New Roman" w:hint="eastAsia"/>
        </w:rPr>
        <w:instrText>‐</w:instrText>
      </w:r>
      <w:r w:rsidR="00E910F0">
        <w:rPr>
          <w:rFonts w:cs="Times New Roman" w:hint="eastAsia"/>
        </w:rPr>
        <w:instrText>Liss, Inc.","note":"number: 12\n_eprint: https://onlinelibrary.wiley.com/doi/pdf/10.1002/hbm.20343","page":"1287-1301","source":"Wiley Online Libra</w:instrText>
      </w:r>
      <w:r w:rsidR="00E910F0">
        <w:rPr>
          <w:rFonts w:cs="Times New Roman"/>
        </w:rPr>
        <w:instrText xml:space="preserve">ry","title":"Covariations among fMRI, skin conductance, and behavioral data during processing of concealed information","volume":"28","author":[{"family":"Gamer","given":"Matthias"},{"family":"Bauermann","given":"Thomas"},{"family":"Stoeter","given":"Peter"},{"family":"Vossel","given":"Gerhard"}],"issued":{"date-parts":[["2007"]]}},"label":"page"},{"id":471,"uris":["http://zotero.org/users/3334739/items/K6J4Q7UB"],"itemData":{"id":471,"type":"article-journal","abstract":"Meta-analytic research has confirmed that skin conductance response (SCR) measures have high validity for the detection of concealed information. Furthermore, cumulating research has provided evidence for the validity of two other autonomic measures: Heart rate (HR) and Respiration Line Length (RLL). In the present report, we compared SCR detection efficiency with HR and RLL, and investigated whether HR and RLL provide incremental validity to electrodermal responses. Analyses were based on data from 7 different samples covering 275 guilty and 53 innocent examinees. Results revealed that the area under the ROC curve was significantly higher for SCR than for HR and RLL. A weighted combination of these measures using a logistic regression model yielded slightly larger validity coefficients than the best single measure. These results proved to be stable across different protocols and various samples.","container-title":"Physiology &amp; Behavior","DOI":"10.1016/j.physbeh.2008.06.011","ISSN":"0031-9384","issue":"3","journalAbbreviation":"Physiology &amp; Behavior","language":"en","page":"333-340","source":"ScienceDirect","title":"Combining physiological measures in the detection of concealed information","volume":"95","author":[{"family":"Gamer","given":"Matthias"},{"family":"Verschuere","given":"Bruno"},{"family":"Crombez","given":"Geert"},{"family":"Vossel","given":"Gerhard"}],"issued":{"date-parts":[["2008",10,20]]}},"label":"page"},{"id":7139,"uris":["http://zotero.org/users/3334739/items/FGV23A3C"],"itemData":{"id":7139,"type":"article-journal","abstract":"The Concealed Information Test (CIT) is a well-validated tool for physiological and behavioral detection of concealed knowledge. Two distinct theoretical frameworks have been proposed to explain the differential responses to the concealed critical items: orienting response theory versus arousal inhibition theory. klein Selle, Verschuere, Kindt, Meijer, and Ben-Shakhar (2016), however, argued for a response fractionation model and showed that, while the skin conductance reflects pure orienting, both the respiratory and heart rate measures reflect arousal inhibition. The present study intends to (1) provide a constructive replication of klein Selle et al. (2016) using the autobiographical CIT, and (2) extend their work by testing an additional prediction derived from orienting theory, using an item-salience manipulation. One hundred and nine participants were tested on four high salient and four low salient identity items. Half of the participants were motivated to hide their identity (orienting + arousal inhibition), while the other half were motivated to reveal their identity (orienting only). Confirming earlier findings, the results revealed a fractionation between the different measures: while the skin conductance response (SCR) increased to a similar extent in the two motivational conditions, the respiration line length (RLL) shortened and the heart rate (HR) decelerated solely in the conceal condition. Moreover, while the SCR was larger for high than for low salient critical items, the RLL and HR responses were similar for these two item types. These data led us to conclude that, in the CIT, the skin conductance measure reflects orienting and the respiratory and heart rate measures reflect arousal inhibition.","container-title":"Psychophysiology","DOI":"10.1111/psyp.12825","ISSN":"1469-8986","issue":"4","language":"en","license":"© 2017 Society for Psychophysiological Research","note":"_eprint: https://onlinelibrary.wiley.com/doi/pdf/10.1111/psyp.12825","page":"628-639","source":"Wiley Online Library","title":"Unraveling the roles of orienting and inhibition in the Concealed Information Test","volume":"54","author":[{"family":"Klein Selle","given":"Nathalie"},{"family":"Verschuere","given":"Bruno"},{"family":"Kindt","given":"Merel"},{"family":"Meijer","given":"Ewout"},{"family":"Ben-Shakhar","given":"Gershon"}],"issued":{"date-parts":[["2017"]]}},"label":"page"}],"schema":"https://github.com/citation-style-language/schema/raw/master/csl-citation.json"} </w:instrText>
      </w:r>
      <w:r w:rsidR="004D78E5">
        <w:rPr>
          <w:rFonts w:cs="Times New Roman"/>
        </w:rPr>
        <w:fldChar w:fldCharType="separate"/>
      </w:r>
      <w:r w:rsidR="00E910F0" w:rsidRPr="00E910F0">
        <w:rPr>
          <w:rFonts w:cs="Times New Roman"/>
        </w:rPr>
        <w:t>(Ben-Shakhar &amp; Elaad, 2003; Farahani &amp; Moradi, 2013; Gamer et al., 2007, 2008; Klein Selle et al., 2017)</w:t>
      </w:r>
      <w:r w:rsidR="004D78E5">
        <w:rPr>
          <w:rFonts w:cs="Times New Roman"/>
        </w:rPr>
        <w:fldChar w:fldCharType="end"/>
      </w:r>
      <w:r w:rsidRPr="009749C7">
        <w:t>.</w:t>
      </w:r>
      <w:r w:rsidR="00B8460D">
        <w:t xml:space="preserve"> </w:t>
      </w:r>
      <w:r w:rsidRPr="009749C7">
        <w:t>These measurements reflect the activities of ANS and recently be</w:t>
      </w:r>
      <w:r w:rsidR="00AF494A">
        <w:t>en</w:t>
      </w:r>
      <w:r w:rsidRPr="009749C7">
        <w:t xml:space="preserve"> considered to signify different theoretical underpinnings of the CIT</w:t>
      </w:r>
      <w:r w:rsidR="00E910F0">
        <w:rPr>
          <w:rFonts w:cs="Times New Roman"/>
        </w:rPr>
        <w:t xml:space="preserve"> </w:t>
      </w:r>
      <w:r w:rsidR="00E910F0">
        <w:rPr>
          <w:rFonts w:cs="Times New Roman"/>
        </w:rPr>
        <w:fldChar w:fldCharType="begin"/>
      </w:r>
      <w:r w:rsidR="00E910F0">
        <w:rPr>
          <w:rFonts w:cs="Times New Roman"/>
        </w:rPr>
        <w:instrText xml:space="preserve"> ADDIN ZOTERO_ITEM CSL_CITATION {"citationID":"a1cnma85ogd","properties":{"formattedCitation":"(Klein Selle et al., 2016; Klein Selle &amp; Ben-Shakhar, 2023)","plainCitation":"(Klein Selle et al., 2016; Klein Selle &amp; Ben-Shakhar, 2023)","noteIndex":0},"citationItems":[{"id":472,"uris":["http://zotero.org/users/3334739/items/ZJIT8RQL"],"itemData":{"id":472,"type":"article-journal","abstract":"The Concealed Information Test (CIT) provides a valid tool for psychophysiological detection of concealed knowledge. However, its precise theoretical underpinnings remain a matter of debate. The differential physiological responses elicited by concealed, relevant items, relative to control items, were traditionally explained as reflecting an orienting response (OR). According to an alternative account, these responses reflect attempts to inhibit arousal. The present study examined whether and to what extent CIT detection efficiency is affected by instructions aimed at manipulating arousal inhibition (AI). One hundred and forty-eight undergraduate students completed a CIT, while electrodermal, cardiac, and respiratory measures were recorded. Half of the participants were requested to imagine that they are suspected of committing a crime and were motivated to avoid detection (presumably eliciting both OR and AI), while the other half were requested to imagine that they are witnesses of a crime and were motivated to be detected (presumably eliciting OR only). All participants were further requested to remain silent throughout the test. In both conditions, concealed items led to a similar increase in skin conductance as compared to the control items. However, the typically observed heart rate deceleration and respiratory suppression were found in suspects, but not in witnesses. These data imply that different mechanisms drive the responding of different psychophysiological measures used in the CIT, with skin conductance reflecting OR, and heart rate and respiration primarily reflecting AI.","container-title":"Psychophysiology","DOI":"10.1111/psyp.12583","ISSN":"1469-8986","issue":"4","language":"en","note":"_eprint: https://onlinelibrary.wiley.com/doi/pdf/10.1111/psyp.12583","page":"579-590","source":"Wiley Online Library","title":"Orienting versus inhibition in the Concealed Information Test: Different cognitive processes drive different physiological measures","title-short":"Orienting versus inhibition in the Concealed Information Test","volume":"53","author":[{"family":"Klein Selle","given":"Nathalie"},{"family":"Verschuere","given":"Bruno"},{"family":"Kindt","given":"Merel"},{"family":"Meijer","given":"Ewout"},{"family":"Ben-Shakhar","given":"Gershon"}],"issued":{"date-parts":[["2016"]]}}},{"id":7143,"uris":["http://zotero.org/users/3334739/items/LLZ9QH2G"],"itemData":{"id":7143,"type":"article-journal","abstract":"The concealed information test (CIT) was designed to detect concealed knowledge. It does so by measuring differential physiological and behavioral responses to concealed, compared to control, items – i.e., the CIT effect. Although the CIT has gained extensive empirical support in laboratory studies, scientific validity requires also a theoretical understanding of the method's underlying mechanisms. In this article, we present a new theoretical perspective. Specifically, we elaborate and clarify several features of Orienting Response (OR) theory, which has been the dominant theory in this domain. Importantly, we suggest for the first time that the voluntary (rather than the involuntary) OR modulates the CIT effect. Second, we argue that motivational-emotional accounts of the CIT effect are consistent with OR theory and cannot be considered as alternative approaches. Finally, we discuss some more recent developments which highlight the idea that different physiological measures reflect different underlying mechanisms – an idea dubbed as response fractionation.","container-title":"Psychophysiology","DOI":"10.1111/psyp.14187","ISSN":"1469-8986","issue":"3","language":"en","license":"© 2022 The Authors. Psychophysiology published by Wiley Periodicals LLC on behalf of Society for Psychophysiological Research.","note":"_eprint: https://onlinelibrary.wiley.com/doi/pdf/10.1111/psyp.14187","page":"e14187","source":"Wiley Online Library","title":"A new theoretical perspective on concealed information detection","volume":"60","author":[{"family":"Klein Selle","given":"Nathalie"},{"family":"Ben-Shakhar","given":"Gershon"}],"issued":{"date-parts":[["2023"]]}},"label":"page"}],"schema":"https://github.com/citation-style-language/schema/raw/master/csl-citation.json"} </w:instrText>
      </w:r>
      <w:r w:rsidR="00E910F0">
        <w:rPr>
          <w:rFonts w:cs="Times New Roman"/>
        </w:rPr>
        <w:fldChar w:fldCharType="separate"/>
      </w:r>
      <w:r w:rsidR="00E910F0" w:rsidRPr="00E910F0">
        <w:rPr>
          <w:rFonts w:cs="Times New Roman"/>
        </w:rPr>
        <w:t xml:space="preserve">(Klein Selle et al., 2016; </w:t>
      </w:r>
      <w:r w:rsidR="00E910F0" w:rsidRPr="00E910F0">
        <w:rPr>
          <w:rFonts w:cs="Times New Roman"/>
        </w:rPr>
        <w:lastRenderedPageBreak/>
        <w:t>Klein Selle &amp; Ben-Shakhar, 2023)</w:t>
      </w:r>
      <w:r w:rsidR="00E910F0">
        <w:rPr>
          <w:rFonts w:cs="Times New Roman"/>
        </w:rPr>
        <w:fldChar w:fldCharType="end"/>
      </w:r>
      <w:r w:rsidRPr="009749C7">
        <w:t xml:space="preserve">. For instance, SCR may be explicable by the orienting response (OR), </w:t>
      </w:r>
      <w:r w:rsidR="000E7233" w:rsidRPr="000E7233">
        <w:t xml:space="preserve">and those guilty participants are expected to elicit greater SCR when encountering crime-related stimuli compared to the irrelevant stimuli. </w:t>
      </w:r>
      <w:r w:rsidR="000E7233">
        <w:t>W</w:t>
      </w:r>
      <w:r w:rsidRPr="009749C7">
        <w:t>hile HR can be accounted for by the inhibition th</w:t>
      </w:r>
      <w:r w:rsidRPr="007433E5">
        <w:t>eory</w:t>
      </w:r>
      <w:r w:rsidR="000E7233">
        <w:t>, thus</w:t>
      </w:r>
      <w:r w:rsidR="000E7233" w:rsidRPr="000E7233">
        <w:t xml:space="preserve"> those guilty participants are expected to elicit </w:t>
      </w:r>
      <w:r w:rsidR="000E7233">
        <w:t xml:space="preserve">decreased HR in </w:t>
      </w:r>
      <w:r w:rsidR="000E7233" w:rsidRPr="000E7233">
        <w:t xml:space="preserve">crime-related stimuli </w:t>
      </w:r>
      <w:r w:rsidR="003376D0">
        <w:t>rather</w:t>
      </w:r>
      <w:r w:rsidR="000E7233" w:rsidRPr="000E7233">
        <w:t xml:space="preserve"> to the irrelevant stimuli</w:t>
      </w:r>
      <w:r w:rsidRPr="007433E5">
        <w:t xml:space="preserve">. </w:t>
      </w:r>
      <w:r w:rsidR="004079FF" w:rsidRPr="004079FF">
        <w:t xml:space="preserve">In addition, it is worth </w:t>
      </w:r>
      <w:r w:rsidR="007C5A6C">
        <w:t>mentioning</w:t>
      </w:r>
      <w:r w:rsidR="004079FF" w:rsidRPr="004079FF">
        <w:t xml:space="preserve"> that RT is also regarded as a</w:t>
      </w:r>
      <w:r w:rsidR="00BE78A8">
        <w:t>n</w:t>
      </w:r>
      <w:r w:rsidR="004079FF" w:rsidRPr="004079FF">
        <w:t xml:space="preserve"> alternative behavioral indicator for distinguishing participants with and without crime-related knowledge </w:t>
      </w:r>
      <w:r w:rsidR="004079FF">
        <w:fldChar w:fldCharType="begin"/>
      </w:r>
      <w:r w:rsidR="004079FF">
        <w:instrText xml:space="preserve"> ADDIN ZOTERO_ITEM CSL_CITATION {"citationID":"sNGI8F6H","properties":{"formattedCitation":"(Suchotzki et al., 2017)","plainCitation":"(Suchotzki et al., 2017)","noteIndex":0},"citationItems":[{"id":70,"uris":["http://zotero.org/users/3334739/items/W2BBS6KX"],"itemData":{"id":70,"type":"article-journal","abstract":"Lie detection techniques are frequently used, but most of them have been criticized for the lack of empirical support for their predictive validity and presumed underlying mechanisms. This situation has led to increased efforts to unravel the cognitive mechanisms underlying deception and to develop a comprehensive theory of deception. A cognitive approach to deception has reinvigorated interest in reaction time (RT) measures to differentiate lies from truths and to investigate whether lying is more cognitively demanding than truth telling. Here, we provide the results of a meta-analysis of 114 studies (n = 3307) using computerized RT paradigms to assess the cognitive cost of lying. Results revealed a large standardized RT difference, even after correction for publication bias (d = 1.049; 95% CI [0.930; 1.169]), with a large heterogeneity amongst effect sizes. Moderator analyses revealed that the RT deception effect was smaller, yet still large, in studies in which participants received instructions to avoid detection. The autobiographical Implicit Association Test produced smaller effects than the Concealed Information Test, the Sheffield Lie Test, and the Differentiation of Deception paradigm. An additional meta-analysis (17 studies, n = 348) showed that, like other deception measures, RT deception measures are susceptible to countermeasures. Whereas our meta-analysis corroborates current cognitive approaches to deception, the observed heterogeneity calls for further research on the boundary conditions of the cognitive cost of deception. RT-based measures of deception may have potential in applied settings, but countermeasures remain an important challenge. (PsycINFO Database Record (c) 2017 APA, all rights reserved)","container-title":"Psychological Bulletin","DOI":"10.1037/bul0000087","ISSN":"1939-1455(ELECTRONIC),0033-2909(PRINT)","issue":"4","note":"number: 4","page":"428-453","source":"APA PsycNET","title":"Lying takes time: A meta-analysis on reaction time measures of deception","title-short":"Lying takes time","volume":"143","author":[{"family":"Suchotzki","given":"Kristina"},{"family":"Verschuere","given":"Bruno"},{"family":"Van Bockstaele","given":"Bram"},{"family":"Ben-Shakhar","given":"Gershon"},{"family":"Crombez","given":"Geert"}],"issued":{"date-parts":[["2017"]]}}}],"schema":"https://github.com/citation-style-language/schema/raw/master/csl-citation.json"} </w:instrText>
      </w:r>
      <w:r w:rsidR="004079FF">
        <w:fldChar w:fldCharType="separate"/>
      </w:r>
      <w:r w:rsidR="004079FF" w:rsidRPr="004079FF">
        <w:rPr>
          <w:rFonts w:cs="Times New Roman"/>
        </w:rPr>
        <w:t>(Suchotzki et al., 2017)</w:t>
      </w:r>
      <w:r w:rsidR="004079FF">
        <w:fldChar w:fldCharType="end"/>
      </w:r>
      <w:r w:rsidR="004079FF" w:rsidRPr="004079FF">
        <w:t>. The underlying mechanism of reaction time is often attribute</w:t>
      </w:r>
      <w:r w:rsidR="00AF494A">
        <w:t>d</w:t>
      </w:r>
      <w:r w:rsidR="004079FF" w:rsidRPr="004079FF">
        <w:t xml:space="preserve"> to cognitive load</w:t>
      </w:r>
      <w:r w:rsidR="004079FF">
        <w:t xml:space="preserve"> </w:t>
      </w:r>
      <w:r w:rsidR="004079FF">
        <w:fldChar w:fldCharType="begin"/>
      </w:r>
      <w:r w:rsidR="004079FF">
        <w:instrText xml:space="preserve"> ADDIN ZOTERO_ITEM CSL_CITATION {"citationID":"TYEwUzsV","properties":{"formattedCitation":"(Verschuere et al., 2011; Vrij et al., 2006)","plainCitation":"(Verschuere et al., 2011; Vrij et al., 2006)","noteIndex":0},"citationItems":[{"id":634,"uris":["http://zotero.org/users/3334739/items/TMHAXUNI"],"itemData":{"id":634,"type":"book","edition":"1","ISBN":"978-0-521-13615-0","publisher":"Cambridge University Press","source":"Library Genesis","title":"Memory Detection: Theory and Application of the Concealed Information Test","title-short":"Memory Detection","URL":"http://gen.lib.rus.ec/book/index.php?md5=369735b8860e9eebbeab7cc9579152e4","author":[{"family":"Verschuere","given":"Bruno"},{"family":"Ben-Shakhar","given":"Gershon"},{"family":"Meijer","given":"Ewout"}],"accessed":{"date-parts":[["2021",9,8]]},"issued":{"date-parts":[["2011"]]}},"label":"page"},{"id":599,"uris":["http://zotero.org/users/3334739/items/4I55AJGV"],"itemData":{"id":599,"type":"article-journal","archive":"3","container-title":"Trends in Cognitive Sciences","DOI":"10.1016/j.tics.2006.02.003","ISSN":"1364-6613","issue":"4","language":"English","license":"From MEDLINE, a database of the U.S. National Library of Medicine.","note":"PMID: 16516533","page":"141-142","source":"Ovid MEDLINE(R)","title":"Detecting deception by manipulating cognitive load","volume":"10","author":[{"family":"Vrij","given":"Aldert"},{"family":"Fisher","given":"Ronald"},{"family":"Mann","given":"Samantha"},{"family":"Leal","given":"Sharon"}],"issued":{"date-parts":[["2006",4]]}},"label":"page"}],"schema":"https://github.com/citation-style-language/schema/raw/master/csl-citation.json"} </w:instrText>
      </w:r>
      <w:r w:rsidR="004079FF">
        <w:fldChar w:fldCharType="separate"/>
      </w:r>
      <w:r w:rsidR="004079FF" w:rsidRPr="004079FF">
        <w:rPr>
          <w:rFonts w:cs="Times New Roman"/>
        </w:rPr>
        <w:t>(Verschuere et al., 2011; Vrij et al., 2006)</w:t>
      </w:r>
      <w:r w:rsidR="004079FF">
        <w:fldChar w:fldCharType="end"/>
      </w:r>
      <w:r w:rsidR="004079FF" w:rsidRPr="004079FF">
        <w:t>, which assume</w:t>
      </w:r>
      <w:r w:rsidR="00AF494A">
        <w:t>s</w:t>
      </w:r>
      <w:r w:rsidR="004079FF" w:rsidRPr="004079FF">
        <w:t xml:space="preserve"> that deception requires a greater cognitive resource, resulting in a longer reaction time compared to truth-telling.</w:t>
      </w:r>
    </w:p>
    <w:p w14:paraId="62887FC2" w14:textId="35A50162" w:rsidR="00B21A37" w:rsidRDefault="00B21A37" w:rsidP="003376D0">
      <w:r w:rsidRPr="007433E5">
        <w:t xml:space="preserve">Furthermore, </w:t>
      </w:r>
      <w:r w:rsidR="008B7928" w:rsidRPr="007433E5">
        <w:t xml:space="preserve">since </w:t>
      </w:r>
      <w:r w:rsidR="008B7928" w:rsidRPr="007433E5">
        <w:rPr>
          <w:rFonts w:hint="eastAsia"/>
        </w:rPr>
        <w:t>a</w:t>
      </w:r>
      <w:r w:rsidR="008B7928" w:rsidRPr="007433E5">
        <w:t>dopting multiple indicators in CIT can reduce random error and enhance classification results,</w:t>
      </w:r>
      <w:r w:rsidR="008B7928">
        <w:t xml:space="preserve"> </w:t>
      </w:r>
      <w:r w:rsidRPr="007433E5">
        <w:t xml:space="preserve">previous researches have demonstrated that CIT's physiological measures could discriminate between guilty and innocent with </w:t>
      </w:r>
      <w:r w:rsidR="003B5655" w:rsidRPr="007433E5">
        <w:t xml:space="preserve">fine </w:t>
      </w:r>
      <w:r w:rsidRPr="007433E5">
        <w:t>accuracy, and could further be combined with other measurements, obtaining much better detection efficiency</w:t>
      </w:r>
      <w:r w:rsidR="00E910F0">
        <w:rPr>
          <w:rFonts w:cs="Times New Roman"/>
        </w:rPr>
        <w:t xml:space="preserve"> </w:t>
      </w:r>
      <w:r w:rsidR="00E910F0">
        <w:rPr>
          <w:rFonts w:cs="Times New Roman"/>
        </w:rPr>
        <w:fldChar w:fldCharType="begin"/>
      </w:r>
      <w:r w:rsidR="00E910F0">
        <w:rPr>
          <w:rFonts w:cs="Times New Roman"/>
        </w:rPr>
        <w:instrText xml:space="preserve"> ADDIN ZOTERO_ITEM CSL_CITATION {"citationID":"ecM9Xhc7","properties":{"formattedCitation":"(Gamer et al., 2008; Wang et al., 2022)","plainCitation":"(Gamer et al., 2008; Wang et al., 2022)","noteIndex":0},"citationItems":[{"id":471,"uris":["http://zotero.org/users/3334739/items/K6J4Q7UB"],"itemData":{"id":471,"type":"article-journal","abstract":"Meta-analytic research has confirmed that skin conductance response (SCR) measures have high validity for the detection of concealed information. Furthermore, cumulating research has provided evidence for the validity of two other autonomic measures: Heart rate (HR) and Respiration Line Length (RLL). In the present report, we compared SCR detection efficiency with HR and RLL, and investigated whether HR and RLL provide incremental validity to electrodermal responses. Analyses were based on data from 7 different samples covering 275 guilty and 53 innocent examinees. Results revealed that the area under the ROC curve was significantly higher for SCR than for HR and RLL. A weighted combination of these measures using a logistic regression model yielded slightly larger validity coefficients than the best single measure. These results proved to be stable across different protocols and various samples.","container-title":"Physiology &amp; Behavior","DOI":"10.1016/j.physbeh.2008.06.011","ISSN":"0031-9384","issue":"3","journalAbbreviation":"Physiology &amp; Behavior","language":"en","page":"333-340","source":"ScienceDirect","title":"Combining physiological measures in the detection of concealed information","volume":"95","author":[{"family":"Gamer","given":"Matthias"},{"family":"Verschuere","given":"Bruno"},{"family":"Crombez","given":"Geert"},{"family":"Vossel","given":"Gerhard"}],"issued":{"date-parts":[["2008",10,20]]}},"label":"page"},{"id":3639,"uris":["http://zotero.org/users/3334739/items/66E9N3B5"],"itemData":{"id":3639,"type":"article-journal","abstract":"In this study, brain imaging data from functional near-infrared spectroscopy (fNIRS) associated with skin conductance response (SCR), heart rate (HR), and reaction time (RT) were combined to determine if the combination of these indicators could improve the efficiency of deception detection in concealed information test (CIT). During the CIT, participants were presented with a series of names and cities that served as target, probe, or irrelevant stimuli. In the guilty group, the probe stimuli were the participants’ own names and hometown cities, and they were asked to deny this information. Our results revealed that probe items were associated with longer RT, larger SCR, slower HR, and higher oxyhemoglobin (HbO) concentration changes in the inferior prefrontal gyrus (IFG), middle frontal gyrus (MFG), and the superior frontal gyrus (SFG) compared with irrelevant items for participants in the guilty group but not in the innocent group. Furthermore, our results suggested that the combination of RT, SCR, HR, and fNIRS indicators could improve the deception detection efficiency to a very high area under the ROC curve (0.94) compared with any of the single indicators (0.74–0.89). The improved deception detection efficiency might be attributed to the reduction of random error and the diversiform underlying the psychophysiological mechanisms reflected by each indicator. These findings demonstrate a feasible way to improve the deception detection efficiency by using combined multiple indicators.","container-title":"Psychophysiology","DOI":"10/gppmbn","ISSN":"1469-8986","issue":"n/a","language":"en","note":"_eprint: https://onlinelibrary.wiley.com/doi/pdf/10.1111/psyp.14029","page":"e14029","source":"Wiley Online Library","title":"Detecting concealed information using functional near-infrared spectroscopy (fNIRS) combined with skin conductance, heart rate, and behavioral measures","volume":"n/a","author":[{"family":"Wang","given":"Di"},{"family":"Wang","given":"Chongxiang"},{"family":"Yi","given":"Xingyu"},{"family":"Sai","given":"Liyang"},{"family":"Fu","given":"Genyue"},{"family":"Lin","given":"Xiaohong Allison"}],"issued":{"date-parts":[["2022",2,22]]}},"label":"page"}],"schema":"https://github.com/citation-style-language/schema/raw/master/csl-citation.json"} </w:instrText>
      </w:r>
      <w:r w:rsidR="00E910F0">
        <w:rPr>
          <w:rFonts w:cs="Times New Roman"/>
        </w:rPr>
        <w:fldChar w:fldCharType="separate"/>
      </w:r>
      <w:r w:rsidR="00E910F0" w:rsidRPr="00E910F0">
        <w:rPr>
          <w:rFonts w:cs="Times New Roman"/>
        </w:rPr>
        <w:t>(Gamer et al., 2008; Wang et al., 2022)</w:t>
      </w:r>
      <w:r w:rsidR="00E910F0">
        <w:rPr>
          <w:rFonts w:cs="Times New Roman"/>
        </w:rPr>
        <w:fldChar w:fldCharType="end"/>
      </w:r>
      <w:r w:rsidRPr="009749C7">
        <w:t>.</w:t>
      </w:r>
      <w:r w:rsidR="00F430B1">
        <w:t xml:space="preserve"> </w:t>
      </w:r>
      <w:r w:rsidR="006B0341">
        <w:t>Therefore, w</w:t>
      </w:r>
      <w:r w:rsidR="00B86A36" w:rsidRPr="00B86A36">
        <w:t>e hypothesize</w:t>
      </w:r>
      <w:r w:rsidR="008B7928">
        <w:t xml:space="preserve"> </w:t>
      </w:r>
      <w:r w:rsidR="00B86A36" w:rsidRPr="00B86A36">
        <w:t xml:space="preserve">that </w:t>
      </w:r>
      <w:r w:rsidR="006B0341">
        <w:t xml:space="preserve">1) </w:t>
      </w:r>
      <w:r w:rsidR="00B86A36" w:rsidRPr="00B86A36">
        <w:t>higher hemodynamic responses, longer reaction time, increased SCR, and decelerated HR to the probe items than irrelevant items</w:t>
      </w:r>
      <w:r w:rsidR="00671F66">
        <w:t xml:space="preserve"> </w:t>
      </w:r>
      <w:r w:rsidR="00265AC2">
        <w:t xml:space="preserve">were expected </w:t>
      </w:r>
      <w:r w:rsidR="006B0341">
        <w:t xml:space="preserve">only </w:t>
      </w:r>
      <w:r w:rsidR="00671F66">
        <w:t>for</w:t>
      </w:r>
      <w:r w:rsidR="00671F66" w:rsidRPr="00B86A36">
        <w:t xml:space="preserve"> guilty</w:t>
      </w:r>
      <w:r w:rsidR="00671F66">
        <w:t xml:space="preserve"> participant</w:t>
      </w:r>
      <w:r w:rsidR="00AF494A">
        <w:t>s</w:t>
      </w:r>
      <w:r w:rsidR="00671F66">
        <w:rPr>
          <w:rFonts w:hint="eastAsia"/>
        </w:rPr>
        <w:t>,</w:t>
      </w:r>
      <w:r w:rsidR="00671F66">
        <w:t xml:space="preserve"> but</w:t>
      </w:r>
      <w:r w:rsidR="00671F66" w:rsidRPr="00B86A36">
        <w:t xml:space="preserve"> </w:t>
      </w:r>
      <w:r w:rsidR="00B86A36" w:rsidRPr="00B86A36">
        <w:t xml:space="preserve">not innocent participants. </w:t>
      </w:r>
      <w:r w:rsidR="00265AC2">
        <w:t>2)</w:t>
      </w:r>
      <w:r w:rsidR="00B86A36" w:rsidRPr="00B86A36">
        <w:t xml:space="preserve"> </w:t>
      </w:r>
      <w:r w:rsidR="00A91389">
        <w:rPr>
          <w:rFonts w:hint="eastAsia"/>
        </w:rPr>
        <w:t>A</w:t>
      </w:r>
      <w:r w:rsidR="00265AC2">
        <w:t xml:space="preserve">ll measurements including </w:t>
      </w:r>
      <w:r w:rsidR="00B86A36" w:rsidRPr="00B86A36">
        <w:t xml:space="preserve">fNIRS neuroimaging data, RT, SCR, and HR could effectively distinguish between guilty and innocent </w:t>
      </w:r>
      <w:r w:rsidR="009E22FC" w:rsidRPr="00B86A36">
        <w:t>p</w:t>
      </w:r>
      <w:r w:rsidR="009E22FC">
        <w:t>articipant</w:t>
      </w:r>
      <w:r w:rsidR="009E22FC" w:rsidRPr="00B86A36">
        <w:t>s</w:t>
      </w:r>
      <w:r w:rsidR="00B86A36" w:rsidRPr="00B86A36">
        <w:t>.</w:t>
      </w:r>
      <w:r w:rsidRPr="007433E5">
        <w:t xml:space="preserve"> </w:t>
      </w:r>
      <w:r w:rsidR="00265AC2">
        <w:t xml:space="preserve">3) </w:t>
      </w:r>
      <w:r w:rsidR="00A91389">
        <w:t>T</w:t>
      </w:r>
      <w:r w:rsidRPr="005B184D">
        <w:t xml:space="preserve">he combination of fNIRS, SCR, HR, and RT measurements can </w:t>
      </w:r>
      <w:r w:rsidR="00956021">
        <w:t xml:space="preserve">enhance </w:t>
      </w:r>
      <w:r w:rsidRPr="005B184D">
        <w:t xml:space="preserve">deception detection efficiency </w:t>
      </w:r>
      <w:r w:rsidR="005B3BAF">
        <w:t>to a high</w:t>
      </w:r>
      <w:r w:rsidR="00C939A0">
        <w:t>er</w:t>
      </w:r>
      <w:r w:rsidR="005B3BAF">
        <w:t xml:space="preserve"> level</w:t>
      </w:r>
      <w:r w:rsidR="00956021">
        <w:t xml:space="preserve"> </w:t>
      </w:r>
      <w:r w:rsidRPr="005B184D">
        <w:t xml:space="preserve">to detect concealed crime-related information in </w:t>
      </w:r>
      <w:r w:rsidR="00201273" w:rsidRPr="005B184D">
        <w:t>th</w:t>
      </w:r>
      <w:r w:rsidR="00201273">
        <w:t>is</w:t>
      </w:r>
      <w:r w:rsidR="00201273" w:rsidRPr="005B184D">
        <w:t xml:space="preserve"> </w:t>
      </w:r>
      <w:r w:rsidR="005247E0">
        <w:t xml:space="preserve">mock crime </w:t>
      </w:r>
      <w:r w:rsidRPr="005B184D">
        <w:t>CIT.</w:t>
      </w:r>
      <w:r w:rsidR="009744EB">
        <w:t xml:space="preserve"> </w:t>
      </w:r>
    </w:p>
    <w:p w14:paraId="49ED481A" w14:textId="5787B137" w:rsidR="00FB773F" w:rsidRDefault="00594B31" w:rsidP="00594B31">
      <w:pPr>
        <w:pStyle w:val="2"/>
      </w:pPr>
      <w:r>
        <w:rPr>
          <w:rFonts w:hint="eastAsia"/>
        </w:rPr>
        <w:lastRenderedPageBreak/>
        <w:t>M</w:t>
      </w:r>
      <w:r>
        <w:t>ethod</w:t>
      </w:r>
    </w:p>
    <w:p w14:paraId="0CF495BE" w14:textId="47BB449A" w:rsidR="00594B31" w:rsidRDefault="00594B31" w:rsidP="00594B31">
      <w:pPr>
        <w:pStyle w:val="3"/>
      </w:pPr>
      <w:r>
        <w:rPr>
          <w:rFonts w:hint="eastAsia"/>
        </w:rPr>
        <w:t>P</w:t>
      </w:r>
      <w:r>
        <w:t>articipants</w:t>
      </w:r>
    </w:p>
    <w:p w14:paraId="09E6EA42" w14:textId="5181D5F8" w:rsidR="00052691" w:rsidRPr="00583246" w:rsidRDefault="00052691" w:rsidP="00956021">
      <w:r>
        <w:rPr>
          <w:rFonts w:eastAsia="宋体"/>
        </w:rPr>
        <w:t xml:space="preserve">Sixty </w:t>
      </w:r>
      <w:r w:rsidRPr="00583246">
        <w:rPr>
          <w:color w:val="000000"/>
          <w:szCs w:val="24"/>
        </w:rPr>
        <w:t xml:space="preserve">right-handed </w:t>
      </w:r>
      <w:r w:rsidR="00B234C6" w:rsidRPr="00B234C6">
        <w:rPr>
          <w:color w:val="000000"/>
          <w:szCs w:val="24"/>
        </w:rPr>
        <w:t>undergraduate</w:t>
      </w:r>
      <w:r w:rsidR="00C55B6E">
        <w:rPr>
          <w:color w:val="000000"/>
          <w:szCs w:val="24"/>
        </w:rPr>
        <w:t>/</w:t>
      </w:r>
      <w:r w:rsidR="00C55B6E" w:rsidRPr="00B234C6">
        <w:rPr>
          <w:color w:val="000000"/>
          <w:szCs w:val="24"/>
        </w:rPr>
        <w:t>graduate</w:t>
      </w:r>
      <w:r w:rsidR="00B234C6">
        <w:rPr>
          <w:color w:val="000000"/>
          <w:szCs w:val="24"/>
        </w:rPr>
        <w:t xml:space="preserve"> </w:t>
      </w:r>
      <w:r w:rsidRPr="00583246">
        <w:rPr>
          <w:rFonts w:eastAsia="宋体" w:hint="eastAsia"/>
        </w:rPr>
        <w:t xml:space="preserve">students </w:t>
      </w:r>
      <w:r>
        <w:rPr>
          <w:rFonts w:eastAsia="宋体"/>
        </w:rPr>
        <w:t xml:space="preserve">with </w:t>
      </w:r>
      <w:r w:rsidRPr="00E16959">
        <w:rPr>
          <w:rFonts w:eastAsia="宋体"/>
        </w:rPr>
        <w:t>normal or corrected-to-normal vision</w:t>
      </w:r>
      <w:r>
        <w:rPr>
          <w:rFonts w:eastAsia="宋体"/>
        </w:rPr>
        <w:t xml:space="preserve"> were recruited </w:t>
      </w:r>
      <w:r w:rsidRPr="00583246">
        <w:rPr>
          <w:rFonts w:eastAsia="宋体" w:hint="eastAsia"/>
        </w:rPr>
        <w:t>in this study</w:t>
      </w:r>
      <w:r w:rsidRPr="00583246">
        <w:rPr>
          <w:color w:val="000000"/>
          <w:szCs w:val="24"/>
        </w:rPr>
        <w:t>.</w:t>
      </w:r>
      <w:r>
        <w:rPr>
          <w:color w:val="000000"/>
          <w:szCs w:val="24"/>
        </w:rPr>
        <w:t xml:space="preserve"> O</w:t>
      </w:r>
      <w:r>
        <w:rPr>
          <w:rFonts w:hint="eastAsia"/>
          <w:color w:val="000000"/>
          <w:szCs w:val="24"/>
        </w:rPr>
        <w:t>ne</w:t>
      </w:r>
      <w:r>
        <w:rPr>
          <w:color w:val="000000"/>
          <w:szCs w:val="24"/>
        </w:rPr>
        <w:t xml:space="preserve"> of them was excluded for </w:t>
      </w:r>
      <w:r w:rsidR="00AF494A">
        <w:rPr>
          <w:color w:val="000000"/>
          <w:szCs w:val="24"/>
        </w:rPr>
        <w:t xml:space="preserve">the </w:t>
      </w:r>
      <w:r>
        <w:t>low signal quality of the fNIRS data</w:t>
      </w:r>
      <w:r>
        <w:rPr>
          <w:color w:val="000000"/>
          <w:szCs w:val="24"/>
        </w:rPr>
        <w:t xml:space="preserve">, while two </w:t>
      </w:r>
      <w:r w:rsidR="00606ADD">
        <w:rPr>
          <w:color w:val="000000"/>
          <w:szCs w:val="24"/>
        </w:rPr>
        <w:t xml:space="preserve">participants </w:t>
      </w:r>
      <w:r>
        <w:rPr>
          <w:color w:val="000000"/>
          <w:szCs w:val="24"/>
        </w:rPr>
        <w:t xml:space="preserve">were excluded for </w:t>
      </w:r>
      <w:r w:rsidR="00AF494A">
        <w:rPr>
          <w:color w:val="000000"/>
          <w:szCs w:val="24"/>
        </w:rPr>
        <w:t xml:space="preserve">the </w:t>
      </w:r>
      <w:r>
        <w:t>non-responsivity of the SCR data</w:t>
      </w:r>
      <w:r w:rsidRPr="00632831">
        <w:rPr>
          <w:color w:val="000000"/>
          <w:szCs w:val="24"/>
        </w:rPr>
        <w:t>.</w:t>
      </w:r>
      <w:r>
        <w:rPr>
          <w:color w:val="000000"/>
          <w:szCs w:val="24"/>
        </w:rPr>
        <w:t xml:space="preserve"> </w:t>
      </w:r>
      <w:r>
        <w:rPr>
          <w:rFonts w:eastAsia="宋体"/>
        </w:rPr>
        <w:t xml:space="preserve">After exclusion, 57 participants remained (28 guilty </w:t>
      </w:r>
      <w:r w:rsidR="001952C8">
        <w:rPr>
          <w:rFonts w:eastAsia="宋体"/>
        </w:rPr>
        <w:t xml:space="preserve">group </w:t>
      </w:r>
      <w:r>
        <w:rPr>
          <w:rFonts w:eastAsia="宋体"/>
        </w:rPr>
        <w:t>participants; 29 innocent</w:t>
      </w:r>
      <w:r w:rsidR="001952C8">
        <w:rPr>
          <w:rFonts w:eastAsia="宋体"/>
        </w:rPr>
        <w:t xml:space="preserve"> group</w:t>
      </w:r>
      <w:r>
        <w:rPr>
          <w:rFonts w:eastAsia="宋体"/>
        </w:rPr>
        <w:t xml:space="preserve"> participants)</w:t>
      </w:r>
      <w:r w:rsidRPr="008A4029">
        <w:rPr>
          <w:rFonts w:eastAsia="宋体"/>
        </w:rPr>
        <w:t xml:space="preserve">, </w:t>
      </w:r>
      <w:r w:rsidR="008A4029" w:rsidRPr="001952C8">
        <w:rPr>
          <w:rStyle w:val="af4"/>
          <w:b w:val="0"/>
          <w:bCs w:val="0"/>
        </w:rPr>
        <w:t>ranging in age from 17 to 24</w:t>
      </w:r>
      <w:r w:rsidR="001952C8">
        <w:rPr>
          <w:rStyle w:val="af4"/>
          <w:b w:val="0"/>
          <w:bCs w:val="0"/>
        </w:rPr>
        <w:t xml:space="preserve"> </w:t>
      </w:r>
      <w:r w:rsidRPr="00583246">
        <w:rPr>
          <w:rFonts w:eastAsia="宋体" w:hint="eastAsia"/>
        </w:rPr>
        <w:t>(</w:t>
      </w:r>
      <w:r>
        <w:rPr>
          <w:rFonts w:eastAsia="宋体"/>
        </w:rPr>
        <w:t>30</w:t>
      </w:r>
      <w:r w:rsidRPr="00583246">
        <w:rPr>
          <w:rFonts w:eastAsia="宋体" w:hint="eastAsia"/>
        </w:rPr>
        <w:t xml:space="preserve"> </w:t>
      </w:r>
      <w:r>
        <w:rPr>
          <w:rFonts w:eastAsia="宋体"/>
        </w:rPr>
        <w:t>fe</w:t>
      </w:r>
      <w:r w:rsidRPr="00583246">
        <w:rPr>
          <w:rFonts w:eastAsia="宋体" w:hint="eastAsia"/>
        </w:rPr>
        <w:t>males;</w:t>
      </w:r>
      <w:r w:rsidRPr="00FA0152">
        <w:rPr>
          <w:rFonts w:eastAsia="宋体" w:hint="eastAsia"/>
          <w:i/>
          <w:iCs/>
        </w:rPr>
        <w:t xml:space="preserve"> </w:t>
      </w:r>
      <w:r w:rsidRPr="00FA0152">
        <w:rPr>
          <w:rFonts w:eastAsia="宋体"/>
          <w:i/>
          <w:iCs/>
        </w:rPr>
        <w:t xml:space="preserve">M </w:t>
      </w:r>
      <w:r w:rsidRPr="00583246">
        <w:rPr>
          <w:rFonts w:eastAsia="宋体" w:hint="eastAsia"/>
        </w:rPr>
        <w:t>=</w:t>
      </w:r>
      <w:r>
        <w:rPr>
          <w:rFonts w:eastAsia="宋体"/>
        </w:rPr>
        <w:t xml:space="preserve"> 19.8, </w:t>
      </w:r>
      <w:r w:rsidRPr="00FA0152">
        <w:rPr>
          <w:rFonts w:eastAsia="宋体"/>
          <w:i/>
          <w:iCs/>
        </w:rPr>
        <w:t>SD</w:t>
      </w:r>
      <w:r>
        <w:rPr>
          <w:rFonts w:eastAsia="宋体"/>
        </w:rPr>
        <w:t xml:space="preserve"> = 1.6</w:t>
      </w:r>
      <w:r w:rsidRPr="00583246">
        <w:rPr>
          <w:rFonts w:eastAsia="宋体" w:hint="eastAsia"/>
        </w:rPr>
        <w:t>)</w:t>
      </w:r>
      <w:r>
        <w:rPr>
          <w:rFonts w:eastAsia="宋体"/>
        </w:rPr>
        <w:t xml:space="preserve">. </w:t>
      </w:r>
      <w:r w:rsidRPr="00583246">
        <w:rPr>
          <w:rFonts w:hint="eastAsia"/>
        </w:rPr>
        <w:t>None</w:t>
      </w:r>
      <w:r>
        <w:t xml:space="preserve"> </w:t>
      </w:r>
      <w:r w:rsidRPr="00583246">
        <w:rPr>
          <w:rFonts w:hint="eastAsia"/>
        </w:rPr>
        <w:t xml:space="preserve">of them had a history of </w:t>
      </w:r>
      <w:r w:rsidRPr="00583246">
        <w:t>neurological or psychiatric disorders</w:t>
      </w:r>
      <w:r w:rsidRPr="00583246">
        <w:rPr>
          <w:rFonts w:hint="eastAsia"/>
        </w:rPr>
        <w:t xml:space="preserve">. </w:t>
      </w:r>
      <w:r w:rsidR="002D6043">
        <w:t>The study was conducted under</w:t>
      </w:r>
      <w:r w:rsidR="002D6043">
        <w:rPr>
          <w:rFonts w:hint="eastAsia"/>
        </w:rPr>
        <w:t xml:space="preserve"> </w:t>
      </w:r>
      <w:r w:rsidR="002D6043">
        <w:t>guidelines approved by the ethics committee of Hangzhou</w:t>
      </w:r>
      <w:r w:rsidR="002D6043">
        <w:rPr>
          <w:rFonts w:hint="eastAsia"/>
        </w:rPr>
        <w:t xml:space="preserve"> </w:t>
      </w:r>
      <w:r w:rsidR="002D6043">
        <w:t>Normal University</w:t>
      </w:r>
      <w:r w:rsidR="008A4029">
        <w:rPr>
          <w:rFonts w:hint="eastAsia"/>
        </w:rPr>
        <w:t>.</w:t>
      </w:r>
    </w:p>
    <w:p w14:paraId="19B9DAAF" w14:textId="3855222E" w:rsidR="00594B31" w:rsidRDefault="00594B31" w:rsidP="00594B31">
      <w:pPr>
        <w:pStyle w:val="3"/>
      </w:pPr>
      <w:r w:rsidRPr="00594B31">
        <w:t>Procedure</w:t>
      </w:r>
    </w:p>
    <w:p w14:paraId="27C6F57F" w14:textId="48E49D82" w:rsidR="00052691" w:rsidRPr="00583246" w:rsidRDefault="00052691" w:rsidP="004B1E77">
      <w:r w:rsidRPr="00583246">
        <w:t>T</w:t>
      </w:r>
      <w:r w:rsidRPr="00583246">
        <w:rPr>
          <w:rFonts w:hint="eastAsia"/>
        </w:rPr>
        <w:t>his study</w:t>
      </w:r>
      <w:r w:rsidRPr="00583246">
        <w:t xml:space="preserve"> was conducted </w:t>
      </w:r>
      <w:r w:rsidR="003C1722">
        <w:t>with</w:t>
      </w:r>
      <w:r w:rsidRPr="00583246">
        <w:t xml:space="preserve"> two </w:t>
      </w:r>
      <w:r w:rsidR="005F65DC" w:rsidRPr="005F65DC">
        <w:t xml:space="preserve">interrelated </w:t>
      </w:r>
      <w:r w:rsidR="00B234C6">
        <w:t>sub-tasks</w:t>
      </w:r>
      <w:r w:rsidRPr="00583246">
        <w:t xml:space="preserve">: </w:t>
      </w:r>
      <w:r w:rsidR="00B234C6">
        <w:t>Task</w:t>
      </w:r>
      <w:r w:rsidR="00B234C6" w:rsidRPr="00583246">
        <w:rPr>
          <w:rFonts w:hint="eastAsia"/>
        </w:rPr>
        <w:t xml:space="preserve"> </w:t>
      </w:r>
      <w:r w:rsidRPr="00583246">
        <w:rPr>
          <w:rFonts w:hint="eastAsia"/>
        </w:rPr>
        <w:t xml:space="preserve">1 was </w:t>
      </w:r>
      <w:r w:rsidR="00E176A8">
        <w:t xml:space="preserve">a </w:t>
      </w:r>
      <w:r w:rsidRPr="00583246">
        <w:t>mock crime</w:t>
      </w:r>
      <w:r w:rsidRPr="00583246">
        <w:rPr>
          <w:rFonts w:hint="eastAsia"/>
        </w:rPr>
        <w:t xml:space="preserve"> </w:t>
      </w:r>
      <w:r w:rsidR="00E176A8">
        <w:t>task</w:t>
      </w:r>
      <w:r w:rsidRPr="00583246">
        <w:rPr>
          <w:rFonts w:hint="eastAsia"/>
        </w:rPr>
        <w:t xml:space="preserve">; </w:t>
      </w:r>
      <w:r w:rsidR="00B234C6">
        <w:t>Task</w:t>
      </w:r>
      <w:r w:rsidRPr="00583246">
        <w:rPr>
          <w:rFonts w:hint="eastAsia"/>
        </w:rPr>
        <w:t xml:space="preserve"> 2 was </w:t>
      </w:r>
      <w:r w:rsidR="0063611F">
        <w:t xml:space="preserve">a </w:t>
      </w:r>
      <w:r w:rsidRPr="00583246">
        <w:rPr>
          <w:rFonts w:hint="eastAsia"/>
        </w:rPr>
        <w:t xml:space="preserve">CIT </w:t>
      </w:r>
      <w:r w:rsidR="007C66B6">
        <w:t>task</w:t>
      </w:r>
      <w:r w:rsidR="00525726">
        <w:t xml:space="preserve"> with multi-measurements</w:t>
      </w:r>
      <w:r w:rsidRPr="00583246">
        <w:rPr>
          <w:rFonts w:hint="eastAsia"/>
        </w:rPr>
        <w:t xml:space="preserve">. </w:t>
      </w:r>
      <w:r w:rsidR="005F65DC" w:rsidRPr="005F65DC">
        <w:t xml:space="preserve">The purpose and procedure of this study were explained to all participants upon their initial arrival at the laboratory, followed by a random distribution (draw lots) of </w:t>
      </w:r>
      <w:r w:rsidR="007A5B26">
        <w:t>participant</w:t>
      </w:r>
      <w:r w:rsidR="005F65DC" w:rsidRPr="005F65DC">
        <w:t>s into the guilty or innocent group.</w:t>
      </w:r>
    </w:p>
    <w:p w14:paraId="3F572DFA" w14:textId="6852F804" w:rsidR="007D62BD" w:rsidRPr="00583246" w:rsidRDefault="007D62BD" w:rsidP="007D62BD">
      <w:r w:rsidRPr="007D62BD">
        <w:t xml:space="preserve">In </w:t>
      </w:r>
      <w:r w:rsidR="005F65DC">
        <w:t>task one</w:t>
      </w:r>
      <w:r w:rsidRPr="007D62BD">
        <w:t xml:space="preserve">, participants from </w:t>
      </w:r>
      <w:r w:rsidR="00AF494A">
        <w:t xml:space="preserve">the </w:t>
      </w:r>
      <w:r w:rsidRPr="007D62BD">
        <w:t xml:space="preserve">guilty group committed a mock crime by being instructed to steal </w:t>
      </w:r>
      <w:r w:rsidR="000547E4">
        <w:t>some</w:t>
      </w:r>
      <w:r w:rsidRPr="007D62BD">
        <w:t xml:space="preserve"> valuable item</w:t>
      </w:r>
      <w:r w:rsidR="000547E4">
        <w:t>s</w:t>
      </w:r>
      <w:r w:rsidRPr="007D62BD">
        <w:t xml:space="preserve"> from a laboratory. Participants were unknown about what they need</w:t>
      </w:r>
      <w:r w:rsidR="00AF494A">
        <w:t>ed</w:t>
      </w:r>
      <w:r w:rsidRPr="007D62BD">
        <w:t xml:space="preserve"> to steal but </w:t>
      </w:r>
      <w:r w:rsidR="00AF494A">
        <w:t xml:space="preserve">were </w:t>
      </w:r>
      <w:r w:rsidRPr="007D62BD">
        <w:t>just instructed to find and take them out like real stealer</w:t>
      </w:r>
      <w:r w:rsidR="00AF494A">
        <w:t>s</w:t>
      </w:r>
      <w:r w:rsidRPr="007D62BD">
        <w:t xml:space="preserve">. In </w:t>
      </w:r>
      <w:r w:rsidR="00CF7585">
        <w:t xml:space="preserve">the </w:t>
      </w:r>
      <w:r w:rsidRPr="007D62BD">
        <w:t>laboratory, an envelope containing</w:t>
      </w:r>
      <w:r w:rsidR="00BC32B5">
        <w:t xml:space="preserve"> a banknote valued</w:t>
      </w:r>
      <w:r w:rsidRPr="007D62BD">
        <w:t xml:space="preserve"> 20 RMB (about 3.2 US dollars, probe1) and </w:t>
      </w:r>
      <w:r w:rsidR="002B3ECD">
        <w:t>the</w:t>
      </w:r>
      <w:r w:rsidR="00B63BCF">
        <w:t xml:space="preserve"> Jack of Spades</w:t>
      </w:r>
      <w:r w:rsidRPr="007D62BD">
        <w:t xml:space="preserve"> (probe2) could be found in the bottom drawer of a table, and participants were instructed to hide what they steal in their pocket throughout the entire experiment. To make sure that participants memorized the probe item correctly, an additional </w:t>
      </w:r>
      <w:r w:rsidRPr="007D62BD">
        <w:lastRenderedPageBreak/>
        <w:t xml:space="preserve">memory check was conducted after </w:t>
      </w:r>
      <w:r w:rsidR="00AF494A">
        <w:t xml:space="preserve">the </w:t>
      </w:r>
      <w:r w:rsidRPr="007D62BD">
        <w:t xml:space="preserve">mock crime. But for those participants from innocent group, they were asked to visit the same laboratory room without committing any crime. What's more, a paper of </w:t>
      </w:r>
      <w:r w:rsidR="000547E4">
        <w:t>notification</w:t>
      </w:r>
      <w:r w:rsidRPr="007D62BD">
        <w:t xml:space="preserve"> about another theft crime was provided to all participants, indicating that someone entered the same laboratory, opened the drawer</w:t>
      </w:r>
      <w:r w:rsidR="00AF494A">
        <w:t>,</w:t>
      </w:r>
      <w:r w:rsidRPr="007D62BD">
        <w:t xml:space="preserve"> and stole an envelope containing </w:t>
      </w:r>
      <w:r w:rsidR="00C5198A">
        <w:t xml:space="preserve">a banknote valued </w:t>
      </w:r>
      <w:r w:rsidRPr="007D62BD">
        <w:t xml:space="preserve">10RMB and a </w:t>
      </w:r>
      <w:r w:rsidR="00B63BCF">
        <w:t>King of S</w:t>
      </w:r>
      <w:r w:rsidRPr="007D62BD">
        <w:t>pade</w:t>
      </w:r>
      <w:r w:rsidR="00B63BCF">
        <w:t>s</w:t>
      </w:r>
      <w:r w:rsidRPr="007D62BD">
        <w:t>, which were used as target items in the following CIT. In order to make sure that all participants memorized the target stimuli, a memory check regarding the</w:t>
      </w:r>
      <w:r w:rsidR="000547E4">
        <w:t xml:space="preserve"> above</w:t>
      </w:r>
      <w:r w:rsidRPr="007D62BD">
        <w:t xml:space="preserve"> theft crime was conducted </w:t>
      </w:r>
      <w:r w:rsidR="00AF494A">
        <w:t>at</w:t>
      </w:r>
      <w:r w:rsidR="00AF494A" w:rsidRPr="007D62BD">
        <w:t xml:space="preserve"> </w:t>
      </w:r>
      <w:r w:rsidRPr="007D62BD">
        <w:t xml:space="preserve">the end of </w:t>
      </w:r>
      <w:r w:rsidR="000547E4">
        <w:t>task one</w:t>
      </w:r>
      <w:r w:rsidRPr="007D62BD">
        <w:t>.</w:t>
      </w:r>
    </w:p>
    <w:p w14:paraId="381FA862" w14:textId="224FAD93" w:rsidR="002D6CC2" w:rsidRPr="00583246" w:rsidRDefault="002D6CC2" w:rsidP="002D6CC2">
      <w:r w:rsidRPr="002D6CC2">
        <w:t>In the following CIT (</w:t>
      </w:r>
      <w:r w:rsidR="000547E4">
        <w:t>task two</w:t>
      </w:r>
      <w:r w:rsidRPr="002D6CC2">
        <w:t xml:space="preserve">), there were three types of stimuli: </w:t>
      </w:r>
      <w:r w:rsidR="000547E4">
        <w:t>P</w:t>
      </w:r>
      <w:r w:rsidRPr="002D6CC2">
        <w:t xml:space="preserve">robes, </w:t>
      </w:r>
      <w:r w:rsidR="000547E4">
        <w:t>T</w:t>
      </w:r>
      <w:r w:rsidRPr="002D6CC2">
        <w:t>argets</w:t>
      </w:r>
      <w:r w:rsidR="008A4029">
        <w:t>,</w:t>
      </w:r>
      <w:r w:rsidRPr="002D6CC2">
        <w:t xml:space="preserve"> and </w:t>
      </w:r>
      <w:r w:rsidR="000547E4">
        <w:t>I</w:t>
      </w:r>
      <w:r w:rsidRPr="002D6CC2">
        <w:t xml:space="preserve">rrelevants. Target items were a banknote valued 10RMB and a </w:t>
      </w:r>
      <w:r w:rsidR="00B63BCF">
        <w:t>King of S</w:t>
      </w:r>
      <w:r w:rsidR="00B63BCF" w:rsidRPr="007D62BD">
        <w:t>pade</w:t>
      </w:r>
      <w:r w:rsidR="00B63BCF">
        <w:t>s</w:t>
      </w:r>
      <w:r>
        <w:t xml:space="preserve"> (see </w:t>
      </w:r>
      <w:r w:rsidRPr="0078287A">
        <w:rPr>
          <w:color w:val="4472C4" w:themeColor="accent1"/>
        </w:rPr>
        <w:t>Figure 1</w:t>
      </w:r>
      <w:r w:rsidR="009719E9">
        <w:rPr>
          <w:color w:val="4472C4" w:themeColor="accent1"/>
        </w:rPr>
        <w:t>a</w:t>
      </w:r>
      <w:r>
        <w:t xml:space="preserve"> for details)</w:t>
      </w:r>
      <w:r w:rsidRPr="002D6CC2">
        <w:t xml:space="preserve">, which were known by all participants through </w:t>
      </w:r>
      <w:r w:rsidR="00DD63F5">
        <w:t xml:space="preserve">the </w:t>
      </w:r>
      <w:r w:rsidRPr="002D6CC2">
        <w:t xml:space="preserve">theft crime </w:t>
      </w:r>
      <w:r w:rsidR="000547E4">
        <w:t>notification</w:t>
      </w:r>
      <w:r w:rsidRPr="002D6CC2">
        <w:t xml:space="preserve">. Probe items were a banknote </w:t>
      </w:r>
      <w:r w:rsidR="0098744E">
        <w:t>valued 20RMB</w:t>
      </w:r>
      <w:r w:rsidRPr="002D6CC2">
        <w:t xml:space="preserve"> and </w:t>
      </w:r>
      <w:r w:rsidR="002B3ECD">
        <w:t>the</w:t>
      </w:r>
      <w:r w:rsidRPr="002D6CC2">
        <w:t xml:space="preserve"> </w:t>
      </w:r>
      <w:r w:rsidR="00B63BCF">
        <w:t>Jack of Spades</w:t>
      </w:r>
      <w:r w:rsidRPr="002D6CC2">
        <w:t xml:space="preserve">, </w:t>
      </w:r>
      <w:r w:rsidR="008A3019">
        <w:t xml:space="preserve">and </w:t>
      </w:r>
      <w:r w:rsidRPr="002D6CC2">
        <w:t xml:space="preserve">only guilty group participants were exposed to them. Irrelevant items were four </w:t>
      </w:r>
      <w:r w:rsidR="00DD63F5" w:rsidRPr="002D6CC2">
        <w:t>banknote</w:t>
      </w:r>
      <w:r w:rsidR="00DD63F5">
        <w:t>s</w:t>
      </w:r>
      <w:r w:rsidR="00DD63F5" w:rsidRPr="002D6CC2">
        <w:t xml:space="preserve"> valued different</w:t>
      </w:r>
      <w:r w:rsidR="008A4029">
        <w:t>ly</w:t>
      </w:r>
      <w:r w:rsidR="00DD63F5" w:rsidRPr="002D6CC2">
        <w:t xml:space="preserve"> (1, 5, 50, and 100 RMB)</w:t>
      </w:r>
      <w:r w:rsidR="00DD63F5" w:rsidRPr="00DD63F5">
        <w:t xml:space="preserve"> </w:t>
      </w:r>
      <w:r w:rsidR="00DD63F5" w:rsidRPr="002D6CC2">
        <w:t xml:space="preserve">and four </w:t>
      </w:r>
      <w:r w:rsidRPr="002D6CC2">
        <w:t xml:space="preserve">playing cards (9, 10, </w:t>
      </w:r>
      <w:r w:rsidR="00B63BCF">
        <w:t>Q</w:t>
      </w:r>
      <w:r w:rsidRPr="002D6CC2">
        <w:t xml:space="preserve">ueen, and </w:t>
      </w:r>
      <w:r w:rsidR="000547E4">
        <w:t xml:space="preserve">the </w:t>
      </w:r>
      <w:r w:rsidR="00B63BCF">
        <w:t>A</w:t>
      </w:r>
      <w:r w:rsidRPr="002D6CC2">
        <w:t xml:space="preserve">ce of </w:t>
      </w:r>
      <w:r w:rsidR="00B63BCF">
        <w:t>S</w:t>
      </w:r>
      <w:r w:rsidRPr="002D6CC2">
        <w:t xml:space="preserve">pades), which were unfamiliar to all participants. Before the CIT, </w:t>
      </w:r>
      <w:r w:rsidRPr="000547E4">
        <w:t xml:space="preserve">all participants received a cover story, indicating </w:t>
      </w:r>
      <w:r w:rsidR="000547E4">
        <w:t xml:space="preserve">that </w:t>
      </w:r>
      <w:r w:rsidRPr="000547E4">
        <w:t>due to recent theft crime</w:t>
      </w:r>
      <w:r w:rsidR="00F723A7" w:rsidRPr="000547E4">
        <w:t>s</w:t>
      </w:r>
      <w:r w:rsidR="008A4029">
        <w:t>,</w:t>
      </w:r>
      <w:r w:rsidRPr="000547E4">
        <w:t xml:space="preserve"> all people are required to</w:t>
      </w:r>
      <w:r w:rsidR="004A31BB">
        <w:t xml:space="preserve"> undergo</w:t>
      </w:r>
      <w:r w:rsidRPr="000547E4">
        <w:t xml:space="preserve"> the lie detector</w:t>
      </w:r>
      <w:r w:rsidR="004A31BB">
        <w:t xml:space="preserve"> </w:t>
      </w:r>
      <w:r w:rsidR="004A31BB" w:rsidRPr="004A31BB">
        <w:t>examination</w:t>
      </w:r>
      <w:r w:rsidRPr="000547E4">
        <w:t xml:space="preserve"> to </w:t>
      </w:r>
      <w:r w:rsidR="004A31BB">
        <w:t>affirm</w:t>
      </w:r>
      <w:r w:rsidRPr="000547E4">
        <w:t xml:space="preserve"> their innocence</w:t>
      </w:r>
      <w:r w:rsidRPr="002D6CC2">
        <w:t xml:space="preserve">. Participants were informed that in the CIT, they would be presented with different items and need to press </w:t>
      </w:r>
      <w:r w:rsidR="008E606B">
        <w:t xml:space="preserve">the </w:t>
      </w:r>
      <w:r w:rsidRPr="002D6CC2">
        <w:t xml:space="preserve">left or right button to indicate whether they recognized the items or not (the meaning of buttons </w:t>
      </w:r>
      <w:r w:rsidR="008E606B" w:rsidRPr="002D6CC2">
        <w:t>w</w:t>
      </w:r>
      <w:r w:rsidR="008E606B">
        <w:t>as</w:t>
      </w:r>
      <w:r w:rsidR="008E606B" w:rsidRPr="002D6CC2">
        <w:t xml:space="preserve"> </w:t>
      </w:r>
      <w:r w:rsidRPr="002D6CC2">
        <w:t>counter-balanced across participants). Stimuli were presented in a pseudo-random order to avoid the consecutive presentation of the same items. In the CIT, there were two probes, two targets</w:t>
      </w:r>
      <w:r w:rsidR="008E606B">
        <w:t>,</w:t>
      </w:r>
      <w:r w:rsidRPr="002D6CC2">
        <w:t xml:space="preserve"> and eight </w:t>
      </w:r>
      <w:r w:rsidRPr="002D6CC2">
        <w:lastRenderedPageBreak/>
        <w:t xml:space="preserve">irrelevant items and each of them </w:t>
      </w:r>
      <w:r w:rsidR="008E606B" w:rsidRPr="002D6CC2">
        <w:t>w</w:t>
      </w:r>
      <w:r w:rsidR="008E606B">
        <w:t>as</w:t>
      </w:r>
      <w:r w:rsidR="008E606B" w:rsidRPr="002D6CC2">
        <w:t xml:space="preserve"> </w:t>
      </w:r>
      <w:r w:rsidRPr="002D6CC2">
        <w:t xml:space="preserve">presented eight times. Accordingly, participants completed 96 (12×8) trials. </w:t>
      </w:r>
      <w:r w:rsidR="002846F3" w:rsidRPr="003F6DA0">
        <w:t xml:space="preserve">At the beginning of each trial, a </w:t>
      </w:r>
      <w:r w:rsidR="002422D3">
        <w:t xml:space="preserve">red </w:t>
      </w:r>
      <w:r w:rsidR="002846F3" w:rsidRPr="003F6DA0">
        <w:t>fixation was presented for 1 s</w:t>
      </w:r>
      <w:r w:rsidR="002422D3">
        <w:t xml:space="preserve">, </w:t>
      </w:r>
      <w:r w:rsidR="002846F3" w:rsidRPr="003F6DA0">
        <w:t>and the stimulus item was presented for 1 s</w:t>
      </w:r>
      <w:r w:rsidR="00DC2D76">
        <w:t>,</w:t>
      </w:r>
      <w:r w:rsidR="002422D3">
        <w:t xml:space="preserve"> followed by</w:t>
      </w:r>
      <w:r w:rsidR="002846F3" w:rsidRPr="003F6DA0">
        <w:t xml:space="preserve"> an</w:t>
      </w:r>
      <w:r w:rsidR="002422D3">
        <w:t xml:space="preserve">other </w:t>
      </w:r>
      <w:r w:rsidR="002422D3" w:rsidRPr="00F3415E">
        <w:t>fixation</w:t>
      </w:r>
      <w:r w:rsidR="002846F3" w:rsidRPr="003F6DA0">
        <w:t xml:space="preserve"> of </w:t>
      </w:r>
      <w:r w:rsidR="004A31BB" w:rsidRPr="0078287A">
        <w:t>1</w:t>
      </w:r>
      <w:r w:rsidR="00560859">
        <w:t>3</w:t>
      </w:r>
      <w:r w:rsidR="002846F3" w:rsidRPr="003F6DA0">
        <w:t xml:space="preserve"> s</w:t>
      </w:r>
      <w:r w:rsidR="000813AA">
        <w:t xml:space="preserve"> (</w:t>
      </w:r>
      <w:r w:rsidR="000813AA" w:rsidRPr="0078287A">
        <w:rPr>
          <w:color w:val="4472C4" w:themeColor="accent1"/>
        </w:rPr>
        <w:t>Figure 1</w:t>
      </w:r>
      <w:r w:rsidR="009719E9">
        <w:rPr>
          <w:color w:val="4472C4" w:themeColor="accent1"/>
        </w:rPr>
        <w:t>b</w:t>
      </w:r>
      <w:r w:rsidR="000813AA">
        <w:t>)</w:t>
      </w:r>
      <w:r w:rsidR="00436504">
        <w:t xml:space="preserve">. </w:t>
      </w:r>
      <w:r w:rsidR="004A31BB">
        <w:t>In addition, i</w:t>
      </w:r>
      <w:r w:rsidR="00436504" w:rsidRPr="003F6DA0">
        <w:t xml:space="preserve">f </w:t>
      </w:r>
      <w:r w:rsidR="004A31BB">
        <w:rPr>
          <w:rFonts w:hint="eastAsia"/>
        </w:rPr>
        <w:t>participants</w:t>
      </w:r>
      <w:r w:rsidR="00436504" w:rsidRPr="003F6DA0">
        <w:t xml:space="preserve"> did not respond within 1 s, feedback (“TOO SLOW”) was presented for 4 s. The experiment ended automatically if the participants missed five responses. The whole experiment lasted for approximately 26 min.</w:t>
      </w:r>
    </w:p>
    <w:p w14:paraId="5F7BF396" w14:textId="1A7A5E26" w:rsidR="00052691" w:rsidRDefault="00052691" w:rsidP="00052691">
      <w:pPr>
        <w:ind w:firstLine="0"/>
      </w:pPr>
      <w:r>
        <w:rPr>
          <w:noProof/>
        </w:rPr>
        <w:drawing>
          <wp:inline distT="0" distB="0" distL="0" distR="0" wp14:anchorId="637AAA73" wp14:editId="0BD3B65C">
            <wp:extent cx="5464104" cy="3073558"/>
            <wp:effectExtent l="0" t="0" r="381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5464104" cy="3073558"/>
                    </a:xfrm>
                    <a:prstGeom prst="rect">
                      <a:avLst/>
                    </a:prstGeom>
                    <a:noFill/>
                    <a:ln>
                      <a:noFill/>
                    </a:ln>
                  </pic:spPr>
                </pic:pic>
              </a:graphicData>
            </a:graphic>
          </wp:inline>
        </w:drawing>
      </w:r>
    </w:p>
    <w:p w14:paraId="7B7DC980" w14:textId="05CAEA00" w:rsidR="00052691" w:rsidRPr="00583246" w:rsidRDefault="00145F1B" w:rsidP="00AD4AB0">
      <w:pPr>
        <w:ind w:firstLine="0"/>
      </w:pPr>
      <w:r w:rsidRPr="0078287A">
        <w:rPr>
          <w:b/>
          <w:color w:val="4472C4" w:themeColor="accent1"/>
        </w:rPr>
        <w:t>Fig</w:t>
      </w:r>
      <w:r w:rsidR="002D6CC2" w:rsidRPr="0078287A">
        <w:rPr>
          <w:b/>
          <w:color w:val="4472C4" w:themeColor="accent1"/>
        </w:rPr>
        <w:t>ure</w:t>
      </w:r>
      <w:r w:rsidRPr="0078287A">
        <w:rPr>
          <w:b/>
          <w:color w:val="4472C4" w:themeColor="accent1"/>
        </w:rPr>
        <w:t xml:space="preserve"> 1</w:t>
      </w:r>
      <w:r w:rsidRPr="006164FB">
        <w:rPr>
          <w:b/>
        </w:rPr>
        <w:t>.</w:t>
      </w:r>
      <w:r w:rsidRPr="00583246">
        <w:t xml:space="preserve"> </w:t>
      </w:r>
      <w:r w:rsidR="00FE40A5" w:rsidRPr="00FE40A5">
        <w:t>(a)</w:t>
      </w:r>
      <w:r w:rsidR="00433DE8" w:rsidRPr="00433DE8">
        <w:t xml:space="preserve"> </w:t>
      </w:r>
      <w:r w:rsidR="00433DE8">
        <w:t>T</w:t>
      </w:r>
      <w:r w:rsidR="00433DE8" w:rsidRPr="00FE40A5">
        <w:t>he probe, irrelevant and target stimuli presented in the CIT.</w:t>
      </w:r>
      <w:r w:rsidR="00FE40A5" w:rsidRPr="00FE40A5">
        <w:t xml:space="preserve"> (b)</w:t>
      </w:r>
      <w:r w:rsidR="00433DE8" w:rsidRPr="00433DE8">
        <w:t xml:space="preserve"> </w:t>
      </w:r>
      <w:r w:rsidR="00433DE8" w:rsidRPr="00FE40A5">
        <w:t xml:space="preserve">An example of a single trial of the CIT. </w:t>
      </w:r>
      <w:r w:rsidR="005F6DBD" w:rsidRPr="00FE40A5">
        <w:t>(</w:t>
      </w:r>
      <w:r w:rsidR="005F6DBD">
        <w:t>c</w:t>
      </w:r>
      <w:r w:rsidR="005F6DBD" w:rsidRPr="00FE40A5">
        <w:t>)</w:t>
      </w:r>
      <w:r w:rsidR="005F6DBD">
        <w:t xml:space="preserve"> The head patch covering the prefrontal cortex of one participant.</w:t>
      </w:r>
      <w:r w:rsidR="005F6DBD" w:rsidRPr="00FE40A5">
        <w:t xml:space="preserve"> </w:t>
      </w:r>
      <w:r w:rsidR="00FE40A5" w:rsidRPr="00FE40A5">
        <w:t>(</w:t>
      </w:r>
      <w:r w:rsidR="005F6DBD">
        <w:rPr>
          <w:rFonts w:hint="eastAsia"/>
        </w:rPr>
        <w:t>d</w:t>
      </w:r>
      <w:r w:rsidR="00FE40A5" w:rsidRPr="00FE40A5">
        <w:t xml:space="preserve">) The arrangements of </w:t>
      </w:r>
      <w:proofErr w:type="spellStart"/>
      <w:r w:rsidR="00FE40A5" w:rsidRPr="00FE40A5">
        <w:t>optodes</w:t>
      </w:r>
      <w:proofErr w:type="spellEnd"/>
      <w:r w:rsidR="00FE40A5" w:rsidRPr="00FE40A5">
        <w:t xml:space="preserve"> and channels for the fNIRS system (red circles represent sources, blue circles represent detectors, and green rectangles represent the fNIRS channels). (</w:t>
      </w:r>
      <w:r w:rsidR="005F6DBD">
        <w:t>e</w:t>
      </w:r>
      <w:r w:rsidR="00FE40A5" w:rsidRPr="00FE40A5">
        <w:t>) The estimated locations of the 24 fNIRS channels along the prefrontal cortex.</w:t>
      </w:r>
    </w:p>
    <w:p w14:paraId="4FADAAD6" w14:textId="3AE57AB7" w:rsidR="00594B31" w:rsidRDefault="00594B31" w:rsidP="00594B31">
      <w:pPr>
        <w:pStyle w:val="3"/>
      </w:pPr>
      <w:r w:rsidRPr="00594B31">
        <w:t xml:space="preserve">Data acquisition for concurrent fNIRS and </w:t>
      </w:r>
      <w:r w:rsidR="00E218CC" w:rsidRPr="00E218CC">
        <w:t>physiological</w:t>
      </w:r>
      <w:r w:rsidRPr="00594B31">
        <w:t xml:space="preserve"> recordings</w:t>
      </w:r>
    </w:p>
    <w:p w14:paraId="3B37FD7E" w14:textId="373501A9" w:rsidR="00145F1B" w:rsidRPr="00583246" w:rsidRDefault="00145F1B" w:rsidP="00145F1B">
      <w:r w:rsidRPr="00583246">
        <w:t xml:space="preserve">For the </w:t>
      </w:r>
      <w:r>
        <w:t>fNIRS</w:t>
      </w:r>
      <w:r w:rsidRPr="00583246">
        <w:t xml:space="preserve"> recordings, the experiment was performed using a continuous</w:t>
      </w:r>
      <w:r>
        <w:t xml:space="preserve"> </w:t>
      </w:r>
      <w:r w:rsidRPr="00583246">
        <w:t>wave (CW</w:t>
      </w:r>
      <w:r w:rsidR="000C7016">
        <w:t>6</w:t>
      </w:r>
      <w:r w:rsidRPr="00583246">
        <w:t xml:space="preserve">) </w:t>
      </w:r>
      <w:r>
        <w:t>fNIRS</w:t>
      </w:r>
      <w:r w:rsidRPr="00583246">
        <w:t xml:space="preserve"> system (</w:t>
      </w:r>
      <w:proofErr w:type="spellStart"/>
      <w:r w:rsidRPr="00583246">
        <w:t>Techen</w:t>
      </w:r>
      <w:proofErr w:type="spellEnd"/>
      <w:r w:rsidRPr="00583246">
        <w:t xml:space="preserve">, Inc., Milford, MA, USA) with six laser sources and fourteen </w:t>
      </w:r>
      <w:r w:rsidRPr="00583246">
        <w:lastRenderedPageBreak/>
        <w:t xml:space="preserve">optical detectors, </w:t>
      </w:r>
      <w:r w:rsidR="00F924CC">
        <w:t xml:space="preserve">generating 24 channels, </w:t>
      </w:r>
      <w:r w:rsidRPr="00583246">
        <w:rPr>
          <w:szCs w:val="24"/>
        </w:rPr>
        <w:t xml:space="preserve">which </w:t>
      </w:r>
      <w:r w:rsidR="00FA339D">
        <w:rPr>
          <w:szCs w:val="24"/>
        </w:rPr>
        <w:t>were</w:t>
      </w:r>
      <w:r w:rsidR="00FA339D" w:rsidRPr="00583246">
        <w:rPr>
          <w:szCs w:val="24"/>
        </w:rPr>
        <w:t xml:space="preserve"> </w:t>
      </w:r>
      <w:r w:rsidRPr="00583246">
        <w:rPr>
          <w:szCs w:val="24"/>
        </w:rPr>
        <w:t>able to detect the change</w:t>
      </w:r>
      <w:r w:rsidR="00883A02">
        <w:rPr>
          <w:szCs w:val="24"/>
        </w:rPr>
        <w:t>s</w:t>
      </w:r>
      <w:r w:rsidRPr="00583246">
        <w:rPr>
          <w:szCs w:val="24"/>
        </w:rPr>
        <w:t xml:space="preserve"> of </w:t>
      </w:r>
      <w:r w:rsidR="00883A02" w:rsidRPr="00583246">
        <w:t>oxyhemoglobin</w:t>
      </w:r>
      <w:r w:rsidR="00883A02" w:rsidRPr="00583246">
        <w:rPr>
          <w:szCs w:val="24"/>
        </w:rPr>
        <w:t xml:space="preserve"> </w:t>
      </w:r>
      <w:r w:rsidR="00883A02">
        <w:rPr>
          <w:szCs w:val="24"/>
        </w:rPr>
        <w:t>(</w:t>
      </w:r>
      <w:r w:rsidRPr="00583246">
        <w:rPr>
          <w:szCs w:val="24"/>
        </w:rPr>
        <w:t>HbO</w:t>
      </w:r>
      <w:r w:rsidR="00883A02">
        <w:rPr>
          <w:szCs w:val="24"/>
        </w:rPr>
        <w:t>)</w:t>
      </w:r>
      <w:r w:rsidRPr="00583246">
        <w:rPr>
          <w:szCs w:val="24"/>
        </w:rPr>
        <w:t xml:space="preserve"> and </w:t>
      </w:r>
      <w:r w:rsidR="00883A02" w:rsidRPr="00583246">
        <w:t>deoxyhemoglobin</w:t>
      </w:r>
      <w:r w:rsidR="00883A02" w:rsidRPr="00583246">
        <w:rPr>
          <w:szCs w:val="24"/>
        </w:rPr>
        <w:t xml:space="preserve"> </w:t>
      </w:r>
      <w:r w:rsidR="00883A02">
        <w:rPr>
          <w:szCs w:val="24"/>
        </w:rPr>
        <w:t>(</w:t>
      </w:r>
      <w:r w:rsidRPr="00583246">
        <w:rPr>
          <w:szCs w:val="24"/>
        </w:rPr>
        <w:t>HbR</w:t>
      </w:r>
      <w:r w:rsidR="00883A02">
        <w:rPr>
          <w:szCs w:val="24"/>
        </w:rPr>
        <w:t>)</w:t>
      </w:r>
      <w:r w:rsidRPr="00583246">
        <w:rPr>
          <w:szCs w:val="24"/>
        </w:rPr>
        <w:t xml:space="preserve"> concentration in </w:t>
      </w:r>
      <w:r w:rsidR="008E606B">
        <w:rPr>
          <w:szCs w:val="24"/>
        </w:rPr>
        <w:t xml:space="preserve">the </w:t>
      </w:r>
      <w:r>
        <w:rPr>
          <w:rFonts w:hint="eastAsia"/>
          <w:szCs w:val="24"/>
        </w:rPr>
        <w:t>pref</w:t>
      </w:r>
      <w:r>
        <w:rPr>
          <w:szCs w:val="24"/>
        </w:rPr>
        <w:t>rontal cortex</w:t>
      </w:r>
      <w:r w:rsidRPr="00583246">
        <w:rPr>
          <w:szCs w:val="24"/>
        </w:rPr>
        <w:t xml:space="preserve">. </w:t>
      </w:r>
      <w:proofErr w:type="spellStart"/>
      <w:r w:rsidR="00C127C6" w:rsidRPr="0078287A">
        <w:rPr>
          <w:szCs w:val="24"/>
        </w:rPr>
        <w:t>O</w:t>
      </w:r>
      <w:r w:rsidR="000C7016" w:rsidRPr="0078287A">
        <w:rPr>
          <w:szCs w:val="24"/>
        </w:rPr>
        <w:t>ptode</w:t>
      </w:r>
      <w:r w:rsidRPr="0078287A">
        <w:rPr>
          <w:szCs w:val="24"/>
        </w:rPr>
        <w:t>s</w:t>
      </w:r>
      <w:proofErr w:type="spellEnd"/>
      <w:r w:rsidRPr="00583246">
        <w:rPr>
          <w:szCs w:val="24"/>
        </w:rPr>
        <w:t xml:space="preserve"> were symmetrically arranged in an area of </w:t>
      </w:r>
      <w:r w:rsidRPr="00583246">
        <w:rPr>
          <w:rFonts w:hint="eastAsia"/>
        </w:rPr>
        <w:t>7</w:t>
      </w:r>
      <w:r w:rsidR="007E23EC" w:rsidRPr="007E23EC">
        <w:rPr>
          <w:rFonts w:hint="eastAsia"/>
        </w:rPr>
        <w:t>×</w:t>
      </w:r>
      <w:r w:rsidRPr="00583246">
        <w:rPr>
          <w:rFonts w:hint="eastAsia"/>
        </w:rPr>
        <w:t>30</w:t>
      </w:r>
      <w:r w:rsidRPr="00583246">
        <w:t>cm²</w:t>
      </w:r>
      <w:r w:rsidRPr="00583246">
        <w:rPr>
          <w:szCs w:val="24"/>
        </w:rPr>
        <w:t xml:space="preserve">, with the distance between each source and detector </w:t>
      </w:r>
      <w:r w:rsidR="00581C4D">
        <w:rPr>
          <w:szCs w:val="24"/>
        </w:rPr>
        <w:t>being</w:t>
      </w:r>
      <w:r w:rsidR="00581C4D" w:rsidRPr="00583246">
        <w:rPr>
          <w:szCs w:val="24"/>
        </w:rPr>
        <w:t xml:space="preserve"> </w:t>
      </w:r>
      <w:r w:rsidRPr="00583246">
        <w:rPr>
          <w:szCs w:val="24"/>
        </w:rPr>
        <w:t>3cm (</w:t>
      </w:r>
      <w:r w:rsidR="00A02A9D" w:rsidRPr="0078287A">
        <w:rPr>
          <w:color w:val="4472C4" w:themeColor="accent1"/>
          <w:szCs w:val="24"/>
        </w:rPr>
        <w:t>Figure 1</w:t>
      </w:r>
      <w:r w:rsidR="005F6DBD">
        <w:rPr>
          <w:color w:val="4472C4" w:themeColor="accent1"/>
          <w:szCs w:val="24"/>
        </w:rPr>
        <w:t>c &amp; d</w:t>
      </w:r>
      <w:r w:rsidRPr="00583246">
        <w:rPr>
          <w:szCs w:val="24"/>
        </w:rPr>
        <w:t>). The diffuse NIR light from each source through cortical region</w:t>
      </w:r>
      <w:r w:rsidR="009D04C1">
        <w:rPr>
          <w:szCs w:val="24"/>
        </w:rPr>
        <w:t>s</w:t>
      </w:r>
      <w:r w:rsidRPr="00583246">
        <w:rPr>
          <w:szCs w:val="24"/>
        </w:rPr>
        <w:t xml:space="preserve"> was acquired at its nearest detectors</w:t>
      </w:r>
      <w:r w:rsidR="009D04C1">
        <w:rPr>
          <w:szCs w:val="24"/>
        </w:rPr>
        <w:t>,</w:t>
      </w:r>
      <w:r w:rsidRPr="00583246">
        <w:rPr>
          <w:szCs w:val="24"/>
        </w:rPr>
        <w:t xml:space="preserve"> and 24 source-detector pairs (channels) in total were measured</w:t>
      </w:r>
      <w:r w:rsidR="00946AFF">
        <w:rPr>
          <w:szCs w:val="24"/>
        </w:rPr>
        <w:t xml:space="preserve"> with </w:t>
      </w:r>
      <w:r w:rsidR="008E606B">
        <w:rPr>
          <w:szCs w:val="24"/>
        </w:rPr>
        <w:t xml:space="preserve">a </w:t>
      </w:r>
      <w:r w:rsidR="00946AFF">
        <w:rPr>
          <w:szCs w:val="24"/>
        </w:rPr>
        <w:t>25Hz sample rate</w:t>
      </w:r>
      <w:r w:rsidRPr="00583246">
        <w:rPr>
          <w:szCs w:val="24"/>
        </w:rPr>
        <w:t xml:space="preserve">. </w:t>
      </w:r>
      <w:r w:rsidR="009D04C1">
        <w:rPr>
          <w:szCs w:val="24"/>
        </w:rPr>
        <w:t>P</w:t>
      </w:r>
      <w:r w:rsidRPr="00583246">
        <w:rPr>
          <w:szCs w:val="24"/>
        </w:rPr>
        <w:t>robe</w:t>
      </w:r>
      <w:r>
        <w:rPr>
          <w:szCs w:val="24"/>
        </w:rPr>
        <w:t>s</w:t>
      </w:r>
      <w:r w:rsidRPr="00583246">
        <w:rPr>
          <w:szCs w:val="24"/>
        </w:rPr>
        <w:t xml:space="preserve"> w</w:t>
      </w:r>
      <w:r>
        <w:rPr>
          <w:szCs w:val="24"/>
        </w:rPr>
        <w:t>ere</w:t>
      </w:r>
      <w:r w:rsidRPr="00583246">
        <w:rPr>
          <w:szCs w:val="24"/>
        </w:rPr>
        <w:t xml:space="preserve"> positioned according to international 10</w:t>
      </w:r>
      <w:r>
        <w:rPr>
          <w:szCs w:val="24"/>
        </w:rPr>
        <w:t>-</w:t>
      </w:r>
      <w:r w:rsidRPr="00583246">
        <w:rPr>
          <w:szCs w:val="24"/>
        </w:rPr>
        <w:t>20 coordinates</w:t>
      </w:r>
      <w:r>
        <w:rPr>
          <w:szCs w:val="24"/>
        </w:rPr>
        <w:t>,</w:t>
      </w:r>
      <w:r w:rsidRPr="00583246">
        <w:rPr>
          <w:szCs w:val="24"/>
        </w:rPr>
        <w:t xml:space="preserve"> so the lowest </w:t>
      </w:r>
      <w:proofErr w:type="spellStart"/>
      <w:r w:rsidR="000C7016">
        <w:rPr>
          <w:szCs w:val="24"/>
        </w:rPr>
        <w:t>optode</w:t>
      </w:r>
      <w:r w:rsidRPr="00583246">
        <w:rPr>
          <w:szCs w:val="24"/>
        </w:rPr>
        <w:t>s</w:t>
      </w:r>
      <w:proofErr w:type="spellEnd"/>
      <w:r w:rsidRPr="00583246">
        <w:rPr>
          <w:szCs w:val="24"/>
        </w:rPr>
        <w:t xml:space="preserve"> were aligned with Fp1- Fp2 line. </w:t>
      </w:r>
      <w:r w:rsidR="009D04C1">
        <w:rPr>
          <w:szCs w:val="24"/>
        </w:rPr>
        <w:t xml:space="preserve">The </w:t>
      </w:r>
      <w:r w:rsidRPr="00583246">
        <w:t>3D-magnetic space digitizer Patriot Digitizer (</w:t>
      </w:r>
      <w:proofErr w:type="spellStart"/>
      <w:r w:rsidRPr="00583246">
        <w:t>Polhemus</w:t>
      </w:r>
      <w:proofErr w:type="spellEnd"/>
      <w:r w:rsidRPr="00583246">
        <w:t xml:space="preserve"> Inc., Colchester, Vermont, US) was </w:t>
      </w:r>
      <w:r w:rsidR="00946AFF">
        <w:t xml:space="preserve">also </w:t>
      </w:r>
      <w:r w:rsidRPr="00583246">
        <w:t xml:space="preserve">used to obtain 3D spatial information of each optode for </w:t>
      </w:r>
      <w:r>
        <w:t>a represented</w:t>
      </w:r>
      <w:r w:rsidRPr="00583246">
        <w:t xml:space="preserve"> </w:t>
      </w:r>
      <w:r w:rsidR="000C7016">
        <w:t xml:space="preserve">Chinese </w:t>
      </w:r>
      <w:r w:rsidRPr="00583246">
        <w:t>participant</w:t>
      </w:r>
      <w:r>
        <w:t xml:space="preserve"> (head size 54)</w:t>
      </w:r>
      <w:r w:rsidRPr="00583246">
        <w:t>. The NIRS-SPM software was used to estimate the 3D location in the Montreal Neurological Institute (MNI) space</w:t>
      </w:r>
      <w:r w:rsidR="00E910F0">
        <w:rPr>
          <w:rFonts w:cs="Times New Roman"/>
        </w:rPr>
        <w:t xml:space="preserve"> </w:t>
      </w:r>
      <w:r w:rsidR="00E910F0">
        <w:rPr>
          <w:rFonts w:cs="Times New Roman"/>
        </w:rPr>
        <w:fldChar w:fldCharType="begin"/>
      </w:r>
      <w:r w:rsidR="00E910F0">
        <w:rPr>
          <w:rFonts w:cs="Times New Roman"/>
        </w:rPr>
        <w:instrText xml:space="preserve"> ADDIN ZOTERO_ITEM CSL_CITATION {"citationID":"zh8h57Se","properties":{"formattedCitation":"(Singh et al., 2005)","plainCitation":"(Singh et al., 2005)","noteIndex":0},"citationItems":[{"id":489,"uris":["http://zotero.org/users/3334739/items/F6G9PTPA"],"itemData":{"id":489,"type":"article-journal","abstract":"The registration of functional brain data to the common brain space offers great advantages for inter-modal data integration and sharing. However, this is difficult to achieve in functional near-infrared spectroscopy (fNIRS) because fNIRS data are primary obtained from the head surface and lack structural information of the measured brain. Therefore, in our previous articles, we presented a method for probabilistic registration of fNIRS data to the standard Montreal Neurological Institute (MNI) template through international 10–20 system without using the subject's magnetic resonance image (MRI). In the current study, we demonstrate our method with a new statistical model to facilitate group studies and provide information on different components of variability. We adopt an analysis similar to the single-factor one-way classification analysis of variance based on random effects model to examine the variability involved in our improvised method of probabilistic registration of fNIRS data. We tested this method by registering head surface data of twelve subjects to seventeen reference MRI data sets and found that the standard deviation in probabilistic registration thus performed for given head surface points is approximately within the range of 4.7 to 7.0 mm. This means that, if the spatial registration error is within an acceptable tolerance limit, it is possible to perform multi-subject fNIRS analysis to make inference at the population level and to provide information on positional variability in the population, even when subjects' MRIs are not available. In essence, the current method enables the multi-subject fNIRS data to be presented in the MNI space with clear description of associated positional variability. Such data presentation on a common platform, will not only strengthen the validity of the population analysis of fNIRS studies, but will also facilitate both intra- and inter-modal data sharing among the neuroimaging community.","container-title":"NeuroImage","DOI":"10.1016/j.neuroimage.2005.05.019","ISSN":"1053-8119","issue":"4","journalAbbreviation":"NeuroImage","language":"en","page":"842-851","source":"ScienceDirect","title":"Spatial registration of multichannel multi-subject fNIRS data to MNI space without MRI","volume":"27","author":[{"family":"Singh","given":"Archana K."},{"family":"Okamoto","given":"Masako"},{"family":"Dan","given":"Haruka"},{"family":"Jurcak","given":"Valer"},{"family":"Dan","given":"Ippeita"}],"issued":{"date-parts":[["2005",10,1]]}}}],"schema":"https://github.com/citation-style-language/schema/raw/master/csl-citation.json"} </w:instrText>
      </w:r>
      <w:r w:rsidR="00E910F0">
        <w:rPr>
          <w:rFonts w:cs="Times New Roman"/>
        </w:rPr>
        <w:fldChar w:fldCharType="separate"/>
      </w:r>
      <w:r w:rsidR="00E910F0" w:rsidRPr="00E910F0">
        <w:rPr>
          <w:rFonts w:cs="Times New Roman"/>
        </w:rPr>
        <w:t>(Singh et al., 2005)</w:t>
      </w:r>
      <w:r w:rsidR="00E910F0">
        <w:rPr>
          <w:rFonts w:cs="Times New Roman"/>
        </w:rPr>
        <w:fldChar w:fldCharType="end"/>
      </w:r>
      <w:r w:rsidR="00946AFF">
        <w:t xml:space="preserve">. </w:t>
      </w:r>
      <w:r w:rsidRPr="00583246">
        <w:t xml:space="preserve">3D spatial coordinates of 24 channels are shown in </w:t>
      </w:r>
      <w:r w:rsidR="00946AFF" w:rsidRPr="0078287A">
        <w:rPr>
          <w:color w:val="4472C4" w:themeColor="accent1"/>
        </w:rPr>
        <w:t>Figure 1</w:t>
      </w:r>
      <w:r w:rsidR="005F6DBD">
        <w:rPr>
          <w:color w:val="4472C4" w:themeColor="accent1"/>
        </w:rPr>
        <w:t>e</w:t>
      </w:r>
      <w:r w:rsidRPr="00583246">
        <w:t>.</w:t>
      </w:r>
    </w:p>
    <w:p w14:paraId="6E049E64" w14:textId="0799CC70" w:rsidR="00145F1B" w:rsidRPr="00583246" w:rsidRDefault="00E218CC" w:rsidP="00145F1B">
      <w:pPr>
        <w:rPr>
          <w:rFonts w:eastAsia="宋体"/>
        </w:rPr>
      </w:pPr>
      <w:r>
        <w:t xml:space="preserve">For </w:t>
      </w:r>
      <w:r w:rsidRPr="00E218CC">
        <w:t>physiological recording</w:t>
      </w:r>
      <w:r>
        <w:t xml:space="preserve">, </w:t>
      </w:r>
      <w:r w:rsidR="00145F1B" w:rsidRPr="00583246">
        <w:t>BIOPAC MP160 (BIOPAC Systems, Inc., Goleta, CA,</w:t>
      </w:r>
      <w:r w:rsidR="00145F1B" w:rsidRPr="00583246">
        <w:rPr>
          <w:rFonts w:eastAsia="宋体" w:hint="eastAsia"/>
        </w:rPr>
        <w:t xml:space="preserve"> </w:t>
      </w:r>
      <w:r w:rsidR="00145F1B" w:rsidRPr="00583246">
        <w:t xml:space="preserve">United States) </w:t>
      </w:r>
      <w:r>
        <w:t>was used</w:t>
      </w:r>
      <w:r w:rsidR="00145F1B" w:rsidRPr="00583246">
        <w:t>.</w:t>
      </w:r>
      <w:r w:rsidR="00252E6C">
        <w:t xml:space="preserve"> SCR</w:t>
      </w:r>
      <w:r w:rsidR="00145F1B" w:rsidRPr="00583246">
        <w:t xml:space="preserve"> was measured using two Ag/AgCl electrodes (TSD203) filled with GEL101 </w:t>
      </w:r>
      <w:r w:rsidR="00145F1B" w:rsidRPr="00583246">
        <w:rPr>
          <w:rFonts w:eastAsia="宋体" w:hint="eastAsia"/>
        </w:rPr>
        <w:t>that</w:t>
      </w:r>
      <w:r w:rsidR="00145F1B" w:rsidRPr="00583246">
        <w:t xml:space="preserve"> were placed on the phalanges of the index and middle</w:t>
      </w:r>
      <w:r w:rsidR="00145F1B" w:rsidRPr="00583246">
        <w:rPr>
          <w:rFonts w:eastAsia="宋体" w:hint="eastAsia"/>
        </w:rPr>
        <w:t xml:space="preserve"> </w:t>
      </w:r>
      <w:r w:rsidR="00145F1B" w:rsidRPr="00583246">
        <w:t xml:space="preserve">fingers of the left hand. </w:t>
      </w:r>
      <w:r w:rsidR="00252E6C" w:rsidRPr="007E1BA5">
        <w:rPr>
          <w:color w:val="000000" w:themeColor="text1"/>
        </w:rPr>
        <w:t>All the participants washed their hands prior to the attachment of the electrodes.</w:t>
      </w:r>
      <w:r w:rsidR="00145F1B" w:rsidRPr="00583246">
        <w:rPr>
          <w:color w:val="000000"/>
        </w:rPr>
        <w:t xml:space="preserve"> </w:t>
      </w:r>
      <w:r w:rsidR="00145F1B" w:rsidRPr="00583246">
        <w:t xml:space="preserve">ECG measurement was acquired by three electrodes placed in a lead II configuration: the negative electrode was placed below the right clavicle, the positive electrode on the left lower abdomen, and the ground electrode was placed on the right lower abdomen. </w:t>
      </w:r>
      <w:r w:rsidR="00145F1B" w:rsidRPr="00583246">
        <w:rPr>
          <w:rFonts w:hint="eastAsia"/>
          <w:color w:val="000000"/>
        </w:rPr>
        <w:t>BIOPAC MP1</w:t>
      </w:r>
      <w:r w:rsidR="00145F1B" w:rsidRPr="00583246">
        <w:rPr>
          <w:rFonts w:eastAsia="宋体" w:hint="eastAsia"/>
          <w:color w:val="000000"/>
        </w:rPr>
        <w:t>6</w:t>
      </w:r>
      <w:r w:rsidR="00145F1B" w:rsidRPr="00583246">
        <w:rPr>
          <w:rFonts w:hint="eastAsia"/>
          <w:color w:val="000000"/>
        </w:rPr>
        <w:t>0 system was set at</w:t>
      </w:r>
      <w:r w:rsidR="00145F1B" w:rsidRPr="00583246">
        <w:rPr>
          <w:rFonts w:eastAsia="宋体" w:hint="eastAsia"/>
          <w:color w:val="000000"/>
        </w:rPr>
        <w:t xml:space="preserve"> 1</w:t>
      </w:r>
      <w:r w:rsidR="00145F1B" w:rsidRPr="00583246">
        <w:rPr>
          <w:rFonts w:hint="eastAsia"/>
          <w:color w:val="000000"/>
        </w:rPr>
        <w:t>Hz</w:t>
      </w:r>
      <w:r w:rsidR="00145F1B" w:rsidRPr="00583246">
        <w:rPr>
          <w:rFonts w:eastAsia="宋体" w:hint="eastAsia"/>
          <w:color w:val="000000"/>
        </w:rPr>
        <w:t xml:space="preserve"> low-pass </w:t>
      </w:r>
      <w:r w:rsidR="00145F1B" w:rsidRPr="00583246">
        <w:rPr>
          <w:rFonts w:hint="eastAsia"/>
          <w:color w:val="000000"/>
        </w:rPr>
        <w:t>band</w:t>
      </w:r>
      <w:r w:rsidR="00145F1B" w:rsidRPr="00583246">
        <w:rPr>
          <w:rFonts w:eastAsia="宋体" w:hint="eastAsia"/>
          <w:color w:val="000000"/>
        </w:rPr>
        <w:t xml:space="preserve"> for SCR signal and at 1-35Hz for ECG signals</w:t>
      </w:r>
      <w:r w:rsidR="00145F1B" w:rsidRPr="00583246">
        <w:rPr>
          <w:rFonts w:eastAsia="宋体" w:hint="eastAsia"/>
        </w:rPr>
        <w:t xml:space="preserve">. SCR and ECG </w:t>
      </w:r>
      <w:r w:rsidR="00145F1B" w:rsidRPr="00583246">
        <w:t>signal</w:t>
      </w:r>
      <w:r w:rsidR="00145F1B" w:rsidRPr="00583246">
        <w:rPr>
          <w:rFonts w:eastAsia="宋体" w:hint="eastAsia"/>
        </w:rPr>
        <w:t>s</w:t>
      </w:r>
      <w:r w:rsidR="00145F1B" w:rsidRPr="00583246">
        <w:t xml:space="preserve"> </w:t>
      </w:r>
      <w:r w:rsidR="00145F1B" w:rsidRPr="00583246">
        <w:rPr>
          <w:rFonts w:eastAsia="宋体" w:hint="eastAsia"/>
        </w:rPr>
        <w:t xml:space="preserve">were sampled at 1000Hz using </w:t>
      </w:r>
      <w:proofErr w:type="spellStart"/>
      <w:r w:rsidR="00145F1B" w:rsidRPr="00583246">
        <w:t>AcqKnowledge</w:t>
      </w:r>
      <w:proofErr w:type="spellEnd"/>
      <w:r w:rsidR="00145F1B" w:rsidRPr="00583246">
        <w:t xml:space="preserve"> v. </w:t>
      </w:r>
      <w:r w:rsidR="00145F1B">
        <w:t>5</w:t>
      </w:r>
      <w:r w:rsidR="00145F1B" w:rsidRPr="00583246">
        <w:t>.</w:t>
      </w:r>
      <w:r w:rsidR="00145F1B">
        <w:t>0</w:t>
      </w:r>
      <w:r w:rsidR="00145F1B" w:rsidRPr="00583246">
        <w:t xml:space="preserve"> (BIOPAC Systems, </w:t>
      </w:r>
      <w:r w:rsidR="00145F1B" w:rsidRPr="00583246">
        <w:lastRenderedPageBreak/>
        <w:t>Inc.,</w:t>
      </w:r>
      <w:r w:rsidR="00AF494A">
        <w:t xml:space="preserve"> </w:t>
      </w:r>
      <w:r w:rsidR="00145F1B" w:rsidRPr="00583246">
        <w:t>Goleta, CA, United States)</w:t>
      </w:r>
      <w:r w:rsidR="00145F1B" w:rsidRPr="00583246">
        <w:rPr>
          <w:rFonts w:eastAsia="宋体" w:hint="eastAsia"/>
        </w:rPr>
        <w:t xml:space="preserve">. </w:t>
      </w:r>
      <w:r w:rsidR="00145F1B" w:rsidRPr="00583246">
        <w:t xml:space="preserve">E-prime </w:t>
      </w:r>
      <w:r w:rsidR="00570C02">
        <w:t>2.0 (</w:t>
      </w:r>
      <w:r w:rsidR="00570C02" w:rsidRPr="00570C02">
        <w:t>Psychology</w:t>
      </w:r>
      <w:r w:rsidR="00570C02">
        <w:t xml:space="preserve"> </w:t>
      </w:r>
      <w:r w:rsidR="00CC187B" w:rsidRPr="00CC187B">
        <w:t>Software Tools, Sharpsburg, PA</w:t>
      </w:r>
      <w:r w:rsidR="00570C02">
        <w:t xml:space="preserve">) </w:t>
      </w:r>
      <w:r w:rsidR="00145F1B" w:rsidRPr="00583246">
        <w:t>software was used to present stimul</w:t>
      </w:r>
      <w:r w:rsidR="00570C02">
        <w:t>i.</w:t>
      </w:r>
    </w:p>
    <w:p w14:paraId="48FC2FE1" w14:textId="331123CD" w:rsidR="00594B31" w:rsidRDefault="00594B31" w:rsidP="00E56B12">
      <w:pPr>
        <w:pStyle w:val="3"/>
      </w:pPr>
      <w:r w:rsidRPr="00594B31">
        <w:t>Data analysis</w:t>
      </w:r>
    </w:p>
    <w:p w14:paraId="3E400B70" w14:textId="4C30EB25" w:rsidR="00594B31" w:rsidRDefault="00594B31" w:rsidP="00E56B12">
      <w:pPr>
        <w:pStyle w:val="4"/>
      </w:pPr>
      <w:r w:rsidRPr="00594B31">
        <w:t>Behavioral data analysis</w:t>
      </w:r>
    </w:p>
    <w:p w14:paraId="48B493E3" w14:textId="63380403" w:rsidR="00F77A51" w:rsidRDefault="0032316E" w:rsidP="0032316E">
      <w:r>
        <w:t>False</w:t>
      </w:r>
      <w:r w:rsidRPr="00D1732B">
        <w:t xml:space="preserve"> responses (3%</w:t>
      </w:r>
      <w:r w:rsidR="001D4D94">
        <w:t xml:space="preserve"> among </w:t>
      </w:r>
      <w:r w:rsidR="00BE6DE1">
        <w:t>total responses</w:t>
      </w:r>
      <w:r w:rsidRPr="00D1732B">
        <w:t xml:space="preserve">) and </w:t>
      </w:r>
      <w:r w:rsidR="005711DC" w:rsidRPr="005711DC">
        <w:t>irregular</w:t>
      </w:r>
      <w:r w:rsidR="005711DC">
        <w:t xml:space="preserve"> </w:t>
      </w:r>
      <w:r w:rsidRPr="00D1732B">
        <w:t>responses (i.e., Z-scores</w:t>
      </w:r>
      <w:r w:rsidR="00EF334B">
        <w:t xml:space="preserve"> of RT</w:t>
      </w:r>
      <w:r w:rsidRPr="00D1732B">
        <w:t xml:space="preserve"> were l</w:t>
      </w:r>
      <w:r w:rsidRPr="00D1732B">
        <w:rPr>
          <w:rFonts w:hint="eastAsia"/>
        </w:rPr>
        <w:t>arg</w:t>
      </w:r>
      <w:r w:rsidRPr="00D1732B">
        <w:t>er than 3 or smaller than</w:t>
      </w:r>
      <w:r w:rsidRPr="00451032">
        <w:t xml:space="preserve"> -3; 1.35%</w:t>
      </w:r>
      <w:r w:rsidR="00EF334B">
        <w:t xml:space="preserve"> among total responses</w:t>
      </w:r>
      <w:r w:rsidRPr="00451032">
        <w:t xml:space="preserve">) </w:t>
      </w:r>
      <w:r w:rsidRPr="00D1732B">
        <w:t>were excluded</w:t>
      </w:r>
      <w:r w:rsidR="00876FB0">
        <w:t xml:space="preserve">. Then </w:t>
      </w:r>
      <w:r w:rsidR="00F77A51">
        <w:t>t</w:t>
      </w:r>
      <w:r w:rsidR="00A61BA5">
        <w:t>he</w:t>
      </w:r>
      <w:r w:rsidRPr="00D1732B">
        <w:t xml:space="preserve"> </w:t>
      </w:r>
      <w:r w:rsidRPr="0019536D">
        <w:t>CIT effect</w:t>
      </w:r>
      <w:r w:rsidR="00A61BA5">
        <w:t xml:space="preserve"> of RT</w:t>
      </w:r>
      <w:r w:rsidRPr="00D1732B">
        <w:t xml:space="preserve"> (</w:t>
      </w:r>
      <w:proofErr w:type="spellStart"/>
      <w:r w:rsidRPr="00D1732B">
        <w:t>M</w:t>
      </w:r>
      <w:r w:rsidR="00F77A51" w:rsidRPr="006A1ECD">
        <w:rPr>
          <w:vertAlign w:val="subscript"/>
        </w:rPr>
        <w:t>RT_</w:t>
      </w:r>
      <w:r w:rsidRPr="00D1732B">
        <w:rPr>
          <w:i/>
          <w:iCs/>
          <w:vertAlign w:val="subscript"/>
        </w:rPr>
        <w:t>probes</w:t>
      </w:r>
      <w:proofErr w:type="spellEnd"/>
      <w:r w:rsidRPr="00D1732B">
        <w:t xml:space="preserve"> </w:t>
      </w:r>
      <w:r w:rsidR="00F77A51">
        <w:t>–</w:t>
      </w:r>
      <w:r w:rsidRPr="00D1732B">
        <w:t xml:space="preserve"> </w:t>
      </w:r>
      <w:proofErr w:type="spellStart"/>
      <w:r w:rsidRPr="00D1732B">
        <w:t>M</w:t>
      </w:r>
      <w:r w:rsidR="00F77A51" w:rsidRPr="006A1ECD">
        <w:rPr>
          <w:vertAlign w:val="subscript"/>
        </w:rPr>
        <w:t>RT_</w:t>
      </w:r>
      <w:r w:rsidRPr="00D1732B">
        <w:rPr>
          <w:i/>
          <w:iCs/>
          <w:vertAlign w:val="subscript"/>
        </w:rPr>
        <w:t>irrelevants</w:t>
      </w:r>
      <w:proofErr w:type="spellEnd"/>
      <w:r w:rsidRPr="00D1732B">
        <w:t>) was computed</w:t>
      </w:r>
      <w:r w:rsidR="00F77A51">
        <w:t xml:space="preserve"> for </w:t>
      </w:r>
      <w:r w:rsidR="00F77A51">
        <w:rPr>
          <w:kern w:val="0"/>
        </w:rPr>
        <w:t xml:space="preserve">subsequent RT </w:t>
      </w:r>
      <w:r w:rsidR="00DF6424">
        <w:rPr>
          <w:kern w:val="0"/>
        </w:rPr>
        <w:t>analyses</w:t>
      </w:r>
      <w:r w:rsidRPr="00D1732B">
        <w:t>.</w:t>
      </w:r>
      <w:r>
        <w:t xml:space="preserve"> </w:t>
      </w:r>
      <w:r w:rsidR="00F77A51">
        <w:t>Finally, an i</w:t>
      </w:r>
      <w:r w:rsidR="00F77A51" w:rsidRPr="00F77A51">
        <w:t xml:space="preserve">ndependent </w:t>
      </w:r>
      <w:r w:rsidR="00F77A51">
        <w:t>s</w:t>
      </w:r>
      <w:r w:rsidR="00F77A51" w:rsidRPr="00F77A51">
        <w:t>amples t-test</w:t>
      </w:r>
      <w:r w:rsidR="00F77A51">
        <w:t xml:space="preserve"> was conducted to compare the CIT effect of RT </w:t>
      </w:r>
      <w:r w:rsidR="00876FB0">
        <w:t xml:space="preserve">between the </w:t>
      </w:r>
      <w:r w:rsidR="00F77A51">
        <w:t>guilty and innocent group</w:t>
      </w:r>
      <w:r w:rsidR="00876FB0">
        <w:t>s</w:t>
      </w:r>
      <w:r w:rsidR="00F77A51">
        <w:t xml:space="preserve">. </w:t>
      </w:r>
    </w:p>
    <w:p w14:paraId="75978C4B" w14:textId="77777777" w:rsidR="00E23484" w:rsidRDefault="00E23484" w:rsidP="00E23484">
      <w:pPr>
        <w:pStyle w:val="4"/>
      </w:pPr>
      <w:r w:rsidRPr="00E56B12">
        <w:t>Physiological responses</w:t>
      </w:r>
    </w:p>
    <w:p w14:paraId="51EE1D32" w14:textId="249BC5FE" w:rsidR="00E23484" w:rsidRPr="00CF040E" w:rsidRDefault="00E23484" w:rsidP="00E23484">
      <w:r w:rsidRPr="00583246">
        <w:t xml:space="preserve">For SCR data, </w:t>
      </w:r>
      <w:proofErr w:type="spellStart"/>
      <w:r w:rsidRPr="00583246">
        <w:rPr>
          <w:rFonts w:eastAsia="Meiryo"/>
        </w:rPr>
        <w:t>AcqKnowledge</w:t>
      </w:r>
      <w:proofErr w:type="spellEnd"/>
      <w:r w:rsidRPr="00583246">
        <w:rPr>
          <w:rFonts w:eastAsia="Meiryo"/>
        </w:rPr>
        <w:t xml:space="preserve"> v.</w:t>
      </w:r>
      <w:r>
        <w:rPr>
          <w:rFonts w:eastAsia="Meiryo"/>
        </w:rPr>
        <w:t>5.0</w:t>
      </w:r>
      <w:r w:rsidRPr="00583246">
        <w:rPr>
          <w:rFonts w:eastAsia="Meiryo"/>
        </w:rPr>
        <w:t xml:space="preserve"> (BIOPAC Systems, Inc., Goleta, CA, United States)</w:t>
      </w:r>
      <w:r w:rsidRPr="00583246">
        <w:t xml:space="preserve"> was used to calculate the peak-to-peak amplitudes defined as the maximal change between the peaks </w:t>
      </w:r>
      <w:r>
        <w:fldChar w:fldCharType="begin"/>
      </w:r>
      <w:r>
        <w:instrText xml:space="preserve"> ADDIN ZOTERO_ITEM CSL_CITATION {"citationID":"a1dse06im9i","properties":{"formattedCitation":"(Yu et al., 2019)","plainCitation":"(Yu et al., 2019)","noteIndex":0},"citationItems":[{"id":555,"uris":["http://zotero.org/users/3334739/items/54TG7JCY"],"itemData":{"id":555,"type":"article-journal","abstract":"Previous research has highlighted the potential of fMRI in discriminating between truth and falsehood. However, falsehoods may not necessarily represent a deliberate intention to deceive; they can be a result of false memory too. It is important to show that fMRI can discriminate between deception and false memory, before it can be applied in legal contexts for deception detection. To this end, we performed a meta-analytic comparison of brain activation between deception and false memory. Activation likelihood estimation meta-analyses were conducted separately on 49 deception (61 contrasts; Ntotal = 991) and 28 false memory (32 contrasts; Ntotal = 484) studies. The contrasts obtained from these meta-analyses were entered into subsequent conjunction and contrast analyses. Deception and false memory tasks activated several frontoparietal regions. Both tasks activated the left superior frontal gyrus. Deception, relative to false memory, was associated with increased activation in the right superior temporal gyrus, right insula, left inferior parietal lobule and right superior frontal gyrus. These results provide some evidence to suggest that fMRI can discriminate between deception and false memory.","archive":"6","container-title":"Neuroscience &amp; Biobehavioral Reviews","DOI":"10.1016/j.neubiorev.2019.06.027","ISSN":"0149-7634","journalAbbreviation":"Neuroscience &amp; Biobehavioral Reviews","page":"43-55","source":"ScienceDirect","title":"Can fMRI discriminate between deception and false memory? A meta-analytic comparison between deception and false memory studies","title-short":"Can fMRI discriminate between deception and false memory?","volume":"104","author":[{"family":"Yu","given":"Junhong"},{"family":"Tao","given":"Qian"},{"family":"Zhang","given":"Ruibin"},{"family":"Chan","given":"Chetwyn C. H."},{"family":"Lee","given":"Tatia M. C."}],"issued":{"date-parts":[["2019",9,1]]}}}],"schema":"https://github.com/citation-style-language/schema/raw/master/csl-citation.json"} </w:instrText>
      </w:r>
      <w:r>
        <w:fldChar w:fldCharType="separate"/>
      </w:r>
      <w:r w:rsidRPr="00E910F0">
        <w:rPr>
          <w:rFonts w:cs="Times New Roman"/>
          <w:kern w:val="0"/>
          <w:szCs w:val="24"/>
        </w:rPr>
        <w:t>(Yu et al., 2019)</w:t>
      </w:r>
      <w:r>
        <w:fldChar w:fldCharType="end"/>
      </w:r>
      <w:r w:rsidRPr="00583246">
        <w:t xml:space="preserve">. For each participant, the mean value of the peak-to-peak amplitude during 1-5 s was calculated. Participants whose standard deviation of the raw SCR scores was below 0.01 during the procedure were considered to be non-responders and the data were </w:t>
      </w:r>
      <w:r w:rsidRPr="008F07AF">
        <w:t>eliminated from all SCR analyses</w:t>
      </w:r>
      <w:r>
        <w:rPr>
          <w:rFonts w:cs="Times New Roman"/>
        </w:rPr>
        <w:t xml:space="preserve"> </w:t>
      </w:r>
      <w:r>
        <w:rPr>
          <w:rFonts w:cs="Times New Roman"/>
        </w:rPr>
        <w:fldChar w:fldCharType="begin"/>
      </w:r>
      <w:r w:rsidR="002C5BEF">
        <w:rPr>
          <w:rFonts w:cs="Times New Roman"/>
        </w:rPr>
        <w:instrText xml:space="preserve"> ADDIN ZOTERO_ITEM CSL_CITATION {"citationID":"asvjc88s7q","properties":{"formattedCitation":"(Geven et al., 2018)","plainCitation":"(Geven et al., 2018)","noteIndex":0},"citationItems":[{"id":656,"uris":["http://zotero.org/users/3334739/items/96RHUUA5"],"itemData":{"id":656,"type":"article-journal","abstract":"The validity of the Concealed Information Test (CIT) to detect recognition of critical details has been demonstrated in hundreds of laboratory studies. These studies, however, lack the factor of deliberate intent to deceive. This disparity between research and practice may affect the generalizability of laboratory based CIT findings. In the current study, 65 out of 174 participants cheated on their own initiative in a trivia quiz. These self-initiated cheaters were compared to 68 participants who were explicitly requested to cheat. Skin conductance, heart rate, and respiration were found to detect concealed information related to cheating. No significant differences emerged between self-initiated and instructed cheaters, supported by Bayesian statistics showing substantial evidence for the null hypothesis. The data demonstrate that the validity of the CIT is not restricted to instructed deception. This finding is encouraging from an ecological validity perspective and may pave the way for further field implementation of memory detection.","container-title":"Biological Psychology","DOI":"10.1016/j.biopsycho.2018.09.005","ISSN":"0301-0511","journalAbbreviation":"Biological Psychology","page":"146-155","source":"ScienceDirect","title":"Self-initiated versus instructed cheating in the physiological Concealed Information Test","volume":"138","author":[{"family":"Geven","given":"Linda Marjoleine"},{"family":"Klein Selle","given":"Nathalie"},{"family":"Ben-Shakhar","given":"Gershon"},{"family":"Kindt","given":"Merel"},{"family":"Verschuere","given":"Bruno"}],"issued":{"date-parts":[["2018",10,1]]}}}],"schema":"https://github.com/citation-style-language/schema/raw/master/csl-citation.json"} </w:instrText>
      </w:r>
      <w:r>
        <w:rPr>
          <w:rFonts w:cs="Times New Roman"/>
        </w:rPr>
        <w:fldChar w:fldCharType="separate"/>
      </w:r>
      <w:r w:rsidRPr="00E910F0">
        <w:rPr>
          <w:rFonts w:cs="Times New Roman"/>
          <w:kern w:val="0"/>
          <w:szCs w:val="24"/>
        </w:rPr>
        <w:t>(Geven et al., 2018)</w:t>
      </w:r>
      <w:r>
        <w:rPr>
          <w:rFonts w:cs="Times New Roman"/>
        </w:rPr>
        <w:fldChar w:fldCharType="end"/>
      </w:r>
      <w:r w:rsidRPr="008F07AF">
        <w:t xml:space="preserve">. </w:t>
      </w:r>
    </w:p>
    <w:p w14:paraId="36E2F2FD" w14:textId="77777777" w:rsidR="00E23484" w:rsidRDefault="00E23484" w:rsidP="00E23484">
      <w:pPr>
        <w:rPr>
          <w:rFonts w:eastAsia="Meiryo"/>
          <w:color w:val="000000" w:themeColor="text1"/>
        </w:rPr>
      </w:pPr>
      <w:r w:rsidRPr="00E955D9">
        <w:rPr>
          <w:color w:val="000000" w:themeColor="text1"/>
        </w:rPr>
        <w:t xml:space="preserve">For ECG data, </w:t>
      </w:r>
      <w:r w:rsidRPr="0049376A">
        <w:rPr>
          <w:color w:val="000000" w:themeColor="text1"/>
        </w:rPr>
        <w:t>R waves and R peaks</w:t>
      </w:r>
      <w:r>
        <w:rPr>
          <w:color w:val="000000" w:themeColor="text1"/>
        </w:rPr>
        <w:t xml:space="preserve"> were </w:t>
      </w:r>
      <w:r w:rsidRPr="0049376A">
        <w:rPr>
          <w:color w:val="000000" w:themeColor="text1"/>
        </w:rPr>
        <w:t>detect</w:t>
      </w:r>
      <w:r>
        <w:rPr>
          <w:color w:val="000000" w:themeColor="text1"/>
        </w:rPr>
        <w:t xml:space="preserve">ed and </w:t>
      </w:r>
      <w:r w:rsidRPr="00B87ADA">
        <w:rPr>
          <w:color w:val="000000" w:themeColor="text1"/>
        </w:rPr>
        <w:t xml:space="preserve">the distance between them </w:t>
      </w:r>
      <w:r>
        <w:rPr>
          <w:color w:val="000000" w:themeColor="text1"/>
        </w:rPr>
        <w:t xml:space="preserve">was </w:t>
      </w:r>
      <w:r w:rsidRPr="00B87ADA">
        <w:rPr>
          <w:color w:val="000000" w:themeColor="text1"/>
        </w:rPr>
        <w:t>calculate</w:t>
      </w:r>
      <w:r>
        <w:rPr>
          <w:color w:val="000000" w:themeColor="text1"/>
        </w:rPr>
        <w:t>d</w:t>
      </w:r>
      <w:r w:rsidRPr="00B87ADA">
        <w:rPr>
          <w:color w:val="000000" w:themeColor="text1"/>
        </w:rPr>
        <w:t xml:space="preserve"> with an artifact detection and rejection procedure</w:t>
      </w:r>
      <w:r>
        <w:rPr>
          <w:color w:val="000000" w:themeColor="text1"/>
        </w:rPr>
        <w:t xml:space="preserve"> </w:t>
      </w:r>
      <w:r>
        <w:rPr>
          <w:color w:val="000000" w:themeColor="text1"/>
        </w:rPr>
        <w:fldChar w:fldCharType="begin"/>
      </w:r>
      <w:r>
        <w:rPr>
          <w:color w:val="000000" w:themeColor="text1"/>
        </w:rPr>
        <w:instrText xml:space="preserve"> ADDIN ZOTERO_ITEM CSL_CITATION {"citationID":"VTWnOlss","properties":{"formattedCitation":"(De Clercq et al., 2006; Klein Selle et al., 2016)","plainCitation":"(De Clercq et al., 2006; Klein Selle et al., 2016)","noteIndex":0},"citationItems":[{"id":3645,"uris":["http://zotero.org/users/3334739/items/CXV9UYJA"],"itemData":{"id":3645,"type":"article-journal","abstract":"In psychophysiological research, complex tailor-made and interactive analyses of biosignals (e.g., skin conductance, heart rate, and respiration) are often required. Moreover, a synchronization between experimental stimuli and psychophysiolgical responses is necessary. In this article, we present Psychophysiological Analysis (PSPHA), a modular script-based program for analyzing biosignals in the time domain. The modules can be integrated in a VBScript, and a wizard allows easy adaption of parameters. PSPHA is a free, interactive, and flexible program for analyzing the data of psychophysiological experiments.","container-title":"Behavior Research Methods","DOI":"10/cftfzt","ISSN":"1554-3528","issue":"3","journalAbbreviation":"Behavior Research Methods","language":"en","page":"504-510","source":"Springer Link","title":"Psychophysiological Analysis (PSPHA): A modular script-based program for analyzing psychophysiological data","title-short":"Psychophysiological Analysis (PSPHA)","volume":"38","author":[{"family":"De Clercq","given":"Armand"},{"family":"Verschuere","given":"Bruno"},{"family":"De Vlieger","given":"Petra"},{"family":"Crombez","given":"Geert"}],"issued":{"date-parts":[["2006",8,1]]}},"label":"page"},{"id":472,"uris":["http://zotero.org/users/3334739/items/ZJIT8RQL"],"itemData":{"id":472,"type":"article-journal","abstract":"The Concealed Information Test (CIT) provides a valid tool for psychophysiological detection of concealed knowledge. However, its precise theoretical underpinnings remain a matter of debate. The differential physiological responses elicited by concealed, relevant items, relative to control items, were traditionally explained as reflecting an orienting response (OR). According to an alternative account, these responses reflect attempts to inhibit arousal. The present study examined whether and to what extent CIT detection efficiency is affected by instructions aimed at manipulating arousal inhibition (AI). One hundred and forty-eight undergraduate students completed a CIT, while electrodermal, cardiac, and respiratory measures were recorded. Half of the participants were requested to imagine that they are suspected of committing a crime and were motivated to avoid detection (presumably eliciting both OR and AI), while the other half were requested to imagine that they are witnesses of a crime and were motivated to be detected (presumably eliciting OR only). All participants were further requested to remain silent throughout the test. In both conditions, concealed items led to a similar increase in skin conductance as compared to the control items. However, the typically observed heart rate deceleration and respiratory suppression were found in suspects, but not in witnesses. These data imply that different mechanisms drive the responding of different psychophysiological measures used in the CIT, with skin conductance reflecting OR, and heart rate and respiration primarily reflecting AI.","container-title":"Psychophysiology","DOI":"10.1111/psyp.12583","ISSN":"1469-8986","issue":"4","language":"en","note":"_eprint: https://onlinelibrary.wiley.com/doi/pdf/10.1111/psyp.12583","page":"579-590","source":"Wiley Online Library","title":"Orienting versus inhibition in the Concealed Information Test: Different cognitive processes drive different physiological measures","title-short":"Orienting versus inhibition in the Concealed Information Test","volume":"53","author":[{"family":"Klein Selle","given":"Nathalie"},{"family":"Verschuere","given":"Bruno"},{"family":"Kindt","given":"Merel"},{"family":"Meijer","given":"Ewout"},{"family":"Ben-Shakhar","given":"Gershon"}],"issued":{"date-parts":[["2016"]]}},"label":"page"}],"schema":"https://github.com/citation-style-language/schema/raw/master/csl-citation.json"} </w:instrText>
      </w:r>
      <w:r>
        <w:rPr>
          <w:color w:val="000000" w:themeColor="text1"/>
        </w:rPr>
        <w:fldChar w:fldCharType="separate"/>
      </w:r>
      <w:r w:rsidRPr="00E910F0">
        <w:rPr>
          <w:rFonts w:cs="Times New Roman"/>
        </w:rPr>
        <w:t>(De Clercq et al., 2006; Klein Selle et al., 2016)</w:t>
      </w:r>
      <w:r>
        <w:rPr>
          <w:color w:val="000000" w:themeColor="text1"/>
        </w:rPr>
        <w:fldChar w:fldCharType="end"/>
      </w:r>
      <w:r>
        <w:rPr>
          <w:color w:val="000000" w:themeColor="text1"/>
        </w:rPr>
        <w:t xml:space="preserve"> using </w:t>
      </w:r>
      <w:proofErr w:type="spellStart"/>
      <w:r w:rsidRPr="0049376A">
        <w:rPr>
          <w:color w:val="000000" w:themeColor="text1"/>
        </w:rPr>
        <w:t>AcqKnowledge</w:t>
      </w:r>
      <w:proofErr w:type="spellEnd"/>
      <w:r w:rsidRPr="0049376A">
        <w:rPr>
          <w:color w:val="000000" w:themeColor="text1"/>
        </w:rPr>
        <w:t xml:space="preserve"> v.</w:t>
      </w:r>
      <w:r>
        <w:rPr>
          <w:color w:val="000000" w:themeColor="text1"/>
        </w:rPr>
        <w:t>5</w:t>
      </w:r>
      <w:r w:rsidRPr="0049376A">
        <w:rPr>
          <w:color w:val="000000" w:themeColor="text1"/>
        </w:rPr>
        <w:t>.</w:t>
      </w:r>
      <w:r>
        <w:rPr>
          <w:color w:val="000000" w:themeColor="text1"/>
        </w:rPr>
        <w:t>0 (</w:t>
      </w:r>
      <w:r>
        <w:t>BIOPAC Systems, Inc., Goleta, CA, United States</w:t>
      </w:r>
      <w:r>
        <w:rPr>
          <w:color w:val="000000" w:themeColor="text1"/>
        </w:rPr>
        <w:t>) and MATLAB</w:t>
      </w:r>
      <w:r w:rsidRPr="003F20CA">
        <w:t xml:space="preserve">2018a (The MathWorks, Natick, MA, USA). Afterwards, the R-R intervals were converted to HR in beats per minute (bpm) per real-time epoch (1s). These </w:t>
      </w:r>
      <w:r w:rsidRPr="003F20CA">
        <w:lastRenderedPageBreak/>
        <w:t>second-by-second post-stimulus HR values were baseline-corrected by subtracting the average HR value in the 3-s preceding stimulus onset, resulting in 10 post-stimulus difference scores (</w:t>
      </w:r>
      <w:r w:rsidRPr="003F20CA">
        <w:rPr>
          <w:rFonts w:ascii="宋体" w:eastAsia="宋体" w:hAnsi="宋体" w:cs="宋体" w:hint="eastAsia"/>
        </w:rPr>
        <w:t>△</w:t>
      </w:r>
      <w:r w:rsidRPr="003F20CA">
        <w:t xml:space="preserve">HR). Notably, The average of all </w:t>
      </w:r>
      <w:r w:rsidRPr="003F20CA">
        <w:rPr>
          <w:rFonts w:ascii="宋体" w:eastAsia="宋体" w:hAnsi="宋体" w:cs="宋体" w:hint="eastAsia"/>
        </w:rPr>
        <w:t>△</w:t>
      </w:r>
      <w:r w:rsidRPr="003F20CA">
        <w:t xml:space="preserve">HR scores has been demonstrated to be better than the largest deceleration of all </w:t>
      </w:r>
      <w:r w:rsidRPr="003F20CA">
        <w:rPr>
          <w:rFonts w:ascii="宋体" w:eastAsia="宋体" w:hAnsi="宋体" w:cs="宋体" w:hint="eastAsia"/>
        </w:rPr>
        <w:t>△</w:t>
      </w:r>
      <w:r w:rsidRPr="003F20CA">
        <w:t>HR scores as a detection measure</w:t>
      </w:r>
      <w:r>
        <w:rPr>
          <w:rFonts w:cs="Times New Roman"/>
        </w:rPr>
        <w:t xml:space="preserve"> </w:t>
      </w:r>
      <w:r>
        <w:rPr>
          <w:rFonts w:cs="Times New Roman"/>
        </w:rPr>
        <w:fldChar w:fldCharType="begin"/>
      </w:r>
      <w:r>
        <w:rPr>
          <w:rFonts w:cs="Times New Roman"/>
        </w:rPr>
        <w:instrText xml:space="preserve"> ADDIN ZOTERO_ITEM CSL_CITATION {"citationID":"LHqfCmvU","properties":{"formattedCitation":"(Gamer et al., 2008; Klein Selle et al., 2016, 2017)","plainCitation":"(Gamer et al., 2008; Klein Selle et al., 2016, 2017)","noteIndex":0},"citationItems":[{"id":471,"uris":["http://zotero.org/users/3334739/items/K6J4Q7UB"],"itemData":{"id":471,"type":"article-journal","abstract":"Meta-analytic research has confirmed that skin conductance response (SCR) measures have high validity for the detection of concealed information. Furthermore, cumulating research has provided evidence for the validity of two other autonomic measures: Heart rate (HR) and Respiration Line Length (RLL). In the present report, we compared SCR detection efficiency with HR and RLL, and investigated whether HR and RLL provide incremental validity to electrodermal responses. Analyses were based on data from 7 different samples covering 275 guilty and 53 innocent examinees. Results revealed that the area under the ROC curve was significantly higher for SCR than for HR and RLL. A weighted combination of these measures using a logistic regression model yielded slightly larger validity coefficients than the best single measure. These results proved to be stable across different protocols and various samples.","container-title":"Physiology &amp; Behavior","DOI":"10.1016/j.physbeh.2008.06.011","ISSN":"0031-9384","issue":"3","journalAbbreviation":"Physiology &amp; Behavior","language":"en","page":"333-340","source":"ScienceDirect","title":"Combining physiological measures in the detection of concealed information","volume":"95","author":[{"family":"Gamer","given":"Matthias"},{"family":"Verschuere","given":"Bruno"},{"family":"Crombez","given":"Geert"},{"family":"Vossel","given":"Gerhard"}],"issued":{"date-parts":[["2008",10,20]]}},"label":"page"},{"id":472,"uris":["http://zotero.org/users/3334739/items/ZJIT8RQL"],"itemData":{"id":472,"type":"article-journal","abstract":"The Concealed Information Test (CIT) provides a valid tool for psychophysiological detection of concealed knowledge. However, its precise theoretical underpinnings remain a matter of debate. The differential physiological responses elicited by concealed, relevant items, relative to control items, were traditionally explained as reflecting an orienting response (OR). According to an alternative account, these responses reflect attempts to inhibit arousal. The present study examined whether and to what extent CIT detection efficiency is affected by instructions aimed at manipulating arousal inhibition (AI). One hundred and forty-eight undergraduate students completed a CIT, while electrodermal, cardiac, and respiratory measures were recorded. Half of the participants were requested to imagine that they are suspected of committing a crime and were motivated to avoid detection (presumably eliciting both OR and AI), while the other half were requested to imagine that they are witnesses of a crime and were motivated to be detected (presumably eliciting OR only). All participants were further requested to remain silent throughout the test. In both conditions, concealed items led to a similar increase in skin conductance as compared to the control items. However, the typically observed heart rate deceleration and respiratory suppression were found in suspects, but not in witnesses. These data imply that different mechanisms drive the responding of different psychophysiological measures used in the CIT, with skin conductance reflecting OR, and heart rate and respiration primarily reflecting AI.","container-title":"Psychophysiology","DOI":"10.1111/psyp.12583","ISSN":"1469-8986","issue":"4","language":"en","note":"_eprint: https://onlinelibrary.wiley.com/doi/pdf/10.1111/psyp.12583","page":"579-590","source":"Wiley Online Library","title":"Orienting versus inhibition in the Concealed Information Test: Different cognitive processes drive different physiological measures","title-short":"Orienting versus inhibition in the Concealed Information Test","volume":"53","author":[{"family":"Klein Selle","given":"Nathalie"},{"family":"Verschuere","given":"Bruno"},{"family":"Kindt","given":"Merel"},{"family":"Meijer","given":"Ewout"},{"family":"Ben-Shakhar","given":"Gershon"}],"issued":{"date-parts":[["2016"]]}},"label":"page"},{"id":7139,"uris":["http://zotero.org/users/3334739/items/FGV23A3C"],"itemData":{"id":7139,"type":"article-journal","abstract":"The Concealed Information Test (CIT) is a well-validated tool for physiological and behavioral detection of concealed knowledge. Two distinct theoretical frameworks have been proposed to explain the differential responses to the concealed critical items: orienting response theory versus arousal inhibition theory. klein Selle, Verschuere, Kindt, Meijer, and Ben-Shakhar (2016), however, argued for a response fractionation model and showed that, while the skin conductance reflects pure orienting, both the respiratory and heart rate measures reflect arousal inhibition. The present study intends to (1) provide a constructive replication of klein Selle et al. (2016) using the autobiographical CIT, and (2) extend their work by testing an additional prediction derived from orienting theory, using an item-salience manipulation. One hundred and nine participants were tested on four high salient and four low salient identity items. Half of the participants were motivated to hide their identity (orienting + arousal inhibition), while the other half were motivated to reveal their identity (orienting only). Confirming earlier findings, the results revealed a fractionation between the different measures: while the skin conductance response (SCR) increased to a similar extent in the two motivational conditions, the respiration line length (RLL) shortened and the heart rate (HR) decelerated solely in the conceal condition. Moreover, while the SCR was larger for high than for low salient critical items, the RLL and HR responses were similar for these two item types. These data led us to conclude that, in the CIT, the skin conductance measure reflects orienting and the respiratory and heart rate measures reflect arousal inhibition.","container-title":"Psychophysiology","DOI":"10.1111/psyp.12825","ISSN":"1469-8986","issue":"4","language":"en","license":"© 2017 Society for Psychophysiological Research","note":"_eprint: https://onlinelibrary.wiley.com/doi/pdf/10.1111/psyp.12825","page":"628-639","source":"Wiley Online Library","title":"Unraveling the roles of orienting and inhibition in the Concealed Information Test","volume":"54","author":[{"family":"Klein Selle","given":"Nathalie"},{"family":"Verschuere","given":"Bruno"},{"family":"Kindt","given":"Merel"},{"family":"Meijer","given":"Ewout"},{"family":"Ben-Shakhar","given":"Gershon"}],"issued":{"date-parts":[["2017"]]}},"label":"page"}],"schema":"https://github.com/citation-style-language/schema/raw/master/csl-citation.json"} </w:instrText>
      </w:r>
      <w:r>
        <w:rPr>
          <w:rFonts w:cs="Times New Roman"/>
        </w:rPr>
        <w:fldChar w:fldCharType="separate"/>
      </w:r>
      <w:r w:rsidRPr="00E910F0">
        <w:rPr>
          <w:rFonts w:cs="Times New Roman"/>
        </w:rPr>
        <w:t>(Gamer et al., 2008; Klein Selle et al., 2016, 2017)</w:t>
      </w:r>
      <w:r>
        <w:rPr>
          <w:rFonts w:cs="Times New Roman"/>
        </w:rPr>
        <w:fldChar w:fldCharType="end"/>
      </w:r>
      <w:r w:rsidRPr="003F20CA">
        <w:rPr>
          <w:rFonts w:eastAsia="Meiryo"/>
        </w:rPr>
        <w:t>.</w:t>
      </w:r>
    </w:p>
    <w:p w14:paraId="3B9095FF" w14:textId="77777777" w:rsidR="00E23484" w:rsidRDefault="00E23484" w:rsidP="00E23484">
      <w:r w:rsidRPr="00583246">
        <w:t xml:space="preserve">The data </w:t>
      </w:r>
      <w:r>
        <w:t>from the two</w:t>
      </w:r>
      <w:r w:rsidRPr="00583246">
        <w:t xml:space="preserve"> measurements were converted to a standard z-score to eliminate individual differences. The mean standard scores of the probe and irrelevant items of </w:t>
      </w:r>
      <w:r>
        <w:t>two</w:t>
      </w:r>
      <w:r w:rsidRPr="00583246">
        <w:t xml:space="preserve"> measurements for each </w:t>
      </w:r>
      <w:r>
        <w:t xml:space="preserve">participant </w:t>
      </w:r>
      <w:r w:rsidRPr="00583246">
        <w:t>were calculated. Standard scores larger than 5 or smaller than -5 were discarded</w:t>
      </w:r>
      <w:r>
        <w:rPr>
          <w:rFonts w:cs="Times New Roman"/>
        </w:rPr>
        <w:t xml:space="preserve"> </w:t>
      </w:r>
      <w:r>
        <w:rPr>
          <w:rFonts w:cs="Times New Roman"/>
        </w:rPr>
        <w:fldChar w:fldCharType="begin"/>
      </w:r>
      <w:r>
        <w:rPr>
          <w:rFonts w:cs="Times New Roman"/>
        </w:rPr>
        <w:instrText xml:space="preserve"> ADDIN ZOTERO_ITEM CSL_CITATION {"citationID":"5uCqPTds","properties":{"formattedCitation":"(Klein Selle et al., 2016)","plainCitation":"(Klein Selle et al., 2016)","noteIndex":0},"citationItems":[{"id":472,"uris":["http://zotero.org/users/3334739/items/ZJIT8RQL"],"itemData":{"id":472,"type":"article-journal","abstract":"The Concealed Information Test (CIT) provides a valid tool for psychophysiological detection of concealed knowledge. However, its precise theoretical underpinnings remain a matter of debate. The differential physiological responses elicited by concealed, relevant items, relative to control items, were traditionally explained as reflecting an orienting response (OR). According to an alternative account, these responses reflect attempts to inhibit arousal. The present study examined whether and to what extent CIT detection efficiency is affected by instructions aimed at manipulating arousal inhibition (AI). One hundred and forty-eight undergraduate students completed a CIT, while electrodermal, cardiac, and respiratory measures were recorded. Half of the participants were requested to imagine that they are suspected of committing a crime and were motivated to avoid detection (presumably eliciting both OR and AI), while the other half were requested to imagine that they are witnesses of a crime and were motivated to be detected (presumably eliciting OR only). All participants were further requested to remain silent throughout the test. In both conditions, concealed items led to a similar increase in skin conductance as compared to the control items. However, the typically observed heart rate deceleration and respiratory suppression were found in suspects, but not in witnesses. These data imply that different mechanisms drive the responding of different psychophysiological measures used in the CIT, with skin conductance reflecting OR, and heart rate and respiration primarily reflecting AI.","container-title":"Psychophysiology","DOI":"10.1111/psyp.12583","ISSN":"1469-8986","issue":"4","language":"en","note":"_eprint: https://onlinelibrary.wiley.com/doi/pdf/10.1111/psyp.12583","page":"579-590","source":"Wiley Online Library","title":"Orienting versus inhibition in the Concealed Information Test: Different cognitive processes drive different physiological measures","title-short":"Orienting versus inhibition in the Concealed Information Test","volume":"53","author":[{"family":"Klein Selle","given":"Nathalie"},{"family":"Verschuere","given":"Bruno"},{"family":"Kindt","given":"Merel"},{"family":"Meijer","given":"Ewout"},{"family":"Ben-Shakhar","given":"Gershon"}],"issued":{"date-parts":[["2016"]]}}}],"schema":"https://github.com/citation-style-language/schema/raw/master/csl-citation.json"} </w:instrText>
      </w:r>
      <w:r>
        <w:rPr>
          <w:rFonts w:cs="Times New Roman"/>
        </w:rPr>
        <w:fldChar w:fldCharType="separate"/>
      </w:r>
      <w:r w:rsidRPr="00E910F0">
        <w:rPr>
          <w:rFonts w:cs="Times New Roman"/>
        </w:rPr>
        <w:t>(Klein Selle et al., 2016)</w:t>
      </w:r>
      <w:r>
        <w:rPr>
          <w:rFonts w:cs="Times New Roman"/>
        </w:rPr>
        <w:fldChar w:fldCharType="end"/>
      </w:r>
      <w:r w:rsidRPr="00583246">
        <w:t>.</w:t>
      </w:r>
    </w:p>
    <w:p w14:paraId="7FFE9ED7" w14:textId="7364ADF4" w:rsidR="004F3E4D" w:rsidRDefault="004F3E4D" w:rsidP="00E56B12">
      <w:pPr>
        <w:pStyle w:val="4"/>
      </w:pPr>
      <w:r w:rsidRPr="004F3E4D">
        <w:t>fNIRS data analysis</w:t>
      </w:r>
    </w:p>
    <w:p w14:paraId="45CB939A" w14:textId="2B3E73A8" w:rsidR="00C76FC0" w:rsidRDefault="00817DB7" w:rsidP="0032316E">
      <w:r>
        <w:t xml:space="preserve">The </w:t>
      </w:r>
      <w:r w:rsidR="0032316E">
        <w:t>fNIRS</w:t>
      </w:r>
      <w:r w:rsidR="0032316E" w:rsidRPr="00583246">
        <w:t xml:space="preserve"> data preprocessing</w:t>
      </w:r>
      <w:r w:rsidR="0032316E">
        <w:t xml:space="preserve"> </w:t>
      </w:r>
      <w:r w:rsidR="00AF494A">
        <w:t xml:space="preserve">was </w:t>
      </w:r>
      <w:r w:rsidR="0032316E">
        <w:t xml:space="preserve">conducted using </w:t>
      </w:r>
      <w:r w:rsidR="0032316E" w:rsidRPr="00583246">
        <w:t>Homer2 software</w:t>
      </w:r>
      <w:r w:rsidR="00C76FC0">
        <w:t xml:space="preserve"> </w:t>
      </w:r>
      <w:r w:rsidR="0032316E" w:rsidRPr="008B552B">
        <w:rPr>
          <w:rFonts w:cs="Times New Roman"/>
        </w:rPr>
        <w:t>(Huppert et al., 2009)</w:t>
      </w:r>
      <w:r w:rsidR="0032316E" w:rsidRPr="00583246">
        <w:t xml:space="preserve">. The raw data were </w:t>
      </w:r>
      <w:r w:rsidR="0032316E">
        <w:t>c</w:t>
      </w:r>
      <w:r w:rsidR="0032316E" w:rsidRPr="00583246">
        <w:t>onverted to optical density changes and then converted to HbO and HbR</w:t>
      </w:r>
      <w:r w:rsidR="00883A02">
        <w:t xml:space="preserve"> </w:t>
      </w:r>
      <w:r w:rsidR="0032316E" w:rsidRPr="00583246">
        <w:t>concentration changes using the modified Beer–Lambert Law</w:t>
      </w:r>
      <w:r w:rsidR="00E910F0">
        <w:t xml:space="preserve"> </w:t>
      </w:r>
      <w:r w:rsidR="00E910F0">
        <w:fldChar w:fldCharType="begin"/>
      </w:r>
      <w:r w:rsidR="00E910F0">
        <w:instrText xml:space="preserve"> ADDIN ZOTERO_ITEM CSL_CITATION {"citationID":"ZhUVKCOR","properties":{"formattedCitation":"(Cope &amp; Delpy, 1988)","plainCitation":"(Cope &amp; Delpy, 1988)","noteIndex":0},"citationItems":[{"id":7155,"uris":["http://zotero.org/users/3334739/items/XAWIQAXL"],"itemData":{"id":7155,"type":"article-journal","abstract":"The technique of near-infra-red spectroscopy allows safe continuous monitoring of changes in blood and tissue oxygenation on an intact organ. This is made possible by observing spectral changes in the tissues caused by oxygenated haemoglobin [HbO2], deoxygenated haemoglobin [Hb] and cytochrome aa3 [Cyt aa3]. The paper describes the design and performance of an instrument that has been developed to apply this technique to the monitoring of the brain in newborn infants. The instrument monitors optical transmission changes across a newborn infant's brain at four wavelengths. A standard deviation in error of 1 per cent (0·01 optical density OD) is achieved on measurements of transmission changes at 20s intervals. This performance is obtained at a mean attenuation of 10 OD, the approximate attenuation across a term infant's head. Long-term monitoring is possible as instrumental drift is less than 0·004 OD per hour.","container-title":"Medical and Biological Engineering and Computing","DOI":"10.1007/BF02447083","ISSN":"1741-0444","issue":"3","journalAbbreviation":"Med. Biol. Eng. Comput.","language":"en","page":"289-294","source":"Springer Link","title":"System for long-term measurement of cerebral blood and tissue oxygenation on newborn infants by near infra-red transillumination","volume":"26","author":[{"family":"Cope","given":"M."},{"family":"Delpy","given":"D. T."}],"issued":{"date-parts":[["1988",5,1]]}}}],"schema":"https://github.com/citation-style-language/schema/raw/master/csl-citation.json"} </w:instrText>
      </w:r>
      <w:r w:rsidR="00E910F0">
        <w:fldChar w:fldCharType="separate"/>
      </w:r>
      <w:r w:rsidR="00E910F0" w:rsidRPr="00E910F0">
        <w:rPr>
          <w:rFonts w:cs="Times New Roman"/>
        </w:rPr>
        <w:t>(Cope &amp; Delpy, 1988)</w:t>
      </w:r>
      <w:r w:rsidR="00E910F0">
        <w:fldChar w:fldCharType="end"/>
      </w:r>
      <w:r w:rsidR="0032316E" w:rsidRPr="00583246">
        <w:t>. The HbO and HbR signals were processed using a low pass filter at 0.2 Hz followed by a high pass filter at 0.01 Hz. Only HbO signals were analyzed as the change in HbO is the most sensitive indicator of regional cerebral blood flow changes</w:t>
      </w:r>
      <w:r w:rsidR="00E910F0">
        <w:rPr>
          <w:rFonts w:cs="Times New Roman"/>
        </w:rPr>
        <w:t xml:space="preserve"> </w:t>
      </w:r>
      <w:r w:rsidR="00E910F0">
        <w:rPr>
          <w:rFonts w:cs="Times New Roman"/>
        </w:rPr>
        <w:fldChar w:fldCharType="begin"/>
      </w:r>
      <w:r w:rsidR="00E910F0">
        <w:rPr>
          <w:rFonts w:cs="Times New Roman"/>
        </w:rPr>
        <w:instrText xml:space="preserve"> ADDIN ZOTERO_ITEM CSL_CITATION {"citationID":"0mp7MVdY","properties":{"formattedCitation":"(Homae et al., 2007)","plainCitation":"(Homae et al., 2007)","noteIndex":0},"citationItems":[{"id":280,"uris":["http://zotero.org/users/3334739/items/3JM984S6"],"itemData":{"id":280,"type":"article-journal","abstract":"Speech prosody is considered to be one of the most important sources of information for infants in acquiring their native language. Using multi-channel near-infrared spectroscopy in 10-month-old infants, we examined cortical activation when normal and flattened speech sounds were presented to the infants. The flattened speech sound was generated by eliminating changes in the pitch contours of the original utterance. We found bilateral activation under both speech conditions. In a direct comparison between the two conditions, the right temporal and temporoparietal regions, and bilateral prefrontal regions showed more prominent activation in response to flattened speech than to normal speech. These results demonstrate that the unfamiliar pitch contours of flattened speech induce additional processing in the cortical regions of 10-month-old infants, suggesting that 10-month-old infants already have neural mechanisms for the processing of at least a part of the prosodic structures in their native language. To investigate developmental changes in cortical activation patterns, we compared the present results with those of our previous study using the same paradigm with 3-month-old infants. We propose that speech processing in the infant brain develops from analyzing pitch information per se, to comparing and integrating information in input speech sounds with acquired prosodic structures.","container-title":"Neuroscience Research","DOI":"10.1016/j.neures.2007.05.005","ISSN":"0168-0102","issue":"1","journalAbbreviation":"Neuroscience Research","language":"en","page":"29-39","source":"ScienceDirect","title":"Prosodic processing in the developing brain","volume":"59","author":[{"family":"Homae","given":"Fumitaka"},{"family":"Watanabe","given":"Hama"},{"family":"Nakano","given":"Tamami"},{"family":"Taga","given":"Gentaro"}],"issued":{"date-parts":[["2007",9,1]]}}}],"schema":"https://github.com/citation-style-language/schema/raw/master/csl-citation.json"} </w:instrText>
      </w:r>
      <w:r w:rsidR="00E910F0">
        <w:rPr>
          <w:rFonts w:cs="Times New Roman"/>
        </w:rPr>
        <w:fldChar w:fldCharType="separate"/>
      </w:r>
      <w:r w:rsidR="00E910F0" w:rsidRPr="00E910F0">
        <w:rPr>
          <w:rFonts w:cs="Times New Roman"/>
        </w:rPr>
        <w:t>(Homae et al., 2007)</w:t>
      </w:r>
      <w:r w:rsidR="00E910F0">
        <w:rPr>
          <w:rFonts w:cs="Times New Roman"/>
        </w:rPr>
        <w:fldChar w:fldCharType="end"/>
      </w:r>
      <w:r w:rsidR="0032316E" w:rsidRPr="00583246">
        <w:t xml:space="preserve">. The duration of each trial was 15 s </w:t>
      </w:r>
      <w:r w:rsidR="0032316E">
        <w:t>which included</w:t>
      </w:r>
      <w:r w:rsidR="0032316E" w:rsidRPr="00583246">
        <w:t xml:space="preserve"> 1 s period prior </w:t>
      </w:r>
      <w:r w:rsidR="00AF494A">
        <w:t>to</w:t>
      </w:r>
      <w:r w:rsidR="00AF494A" w:rsidRPr="00583246">
        <w:t xml:space="preserve"> </w:t>
      </w:r>
      <w:r w:rsidR="0032316E" w:rsidRPr="00583246">
        <w:t>the stimulus onset</w:t>
      </w:r>
      <w:r w:rsidR="0032316E">
        <w:t>, 1s for stimulus presenting</w:t>
      </w:r>
      <w:r w:rsidR="00AF494A">
        <w:t>,</w:t>
      </w:r>
      <w:r w:rsidR="0032316E" w:rsidRPr="00583246">
        <w:t xml:space="preserve"> and a 13 s </w:t>
      </w:r>
      <w:r w:rsidR="0032316E">
        <w:t xml:space="preserve">for </w:t>
      </w:r>
      <w:r w:rsidR="0032316E" w:rsidRPr="00583246">
        <w:t>stimulus and recovery. We then calculated the run-averaged HbO concentration</w:t>
      </w:r>
      <w:r w:rsidR="00801892">
        <w:t xml:space="preserve"> changes</w:t>
      </w:r>
      <w:r w:rsidR="0032316E" w:rsidRPr="00583246">
        <w:t xml:space="preserve"> and the grand-averaged HbO data for the probe and irrelevant stimuli of </w:t>
      </w:r>
      <w:r>
        <w:t xml:space="preserve">the </w:t>
      </w:r>
      <w:r w:rsidR="0032316E" w:rsidRPr="00583246">
        <w:t>two groups. Finally,</w:t>
      </w:r>
      <w:r w:rsidR="0032316E">
        <w:t xml:space="preserve"> </w:t>
      </w:r>
      <w:r w:rsidR="0032316E" w:rsidRPr="00583246">
        <w:t xml:space="preserve">the </w:t>
      </w:r>
      <w:r w:rsidR="0032316E">
        <w:t xml:space="preserve">mean </w:t>
      </w:r>
      <w:r w:rsidR="0032316E" w:rsidRPr="00583246">
        <w:t>value</w:t>
      </w:r>
      <w:r w:rsidR="0032316E" w:rsidRPr="00675641">
        <w:t xml:space="preserve">s of </w:t>
      </w:r>
      <w:r w:rsidR="005862CE" w:rsidRPr="00675641">
        <w:t>4</w:t>
      </w:r>
      <w:r w:rsidR="0032316E" w:rsidRPr="00675641">
        <w:t>-</w:t>
      </w:r>
      <w:r w:rsidR="005862CE" w:rsidRPr="00675641">
        <w:t>8</w:t>
      </w:r>
      <w:r w:rsidR="0032316E" w:rsidRPr="00675641">
        <w:t xml:space="preserve">, </w:t>
      </w:r>
      <w:r w:rsidR="005862CE" w:rsidRPr="00675641">
        <w:t>5</w:t>
      </w:r>
      <w:r w:rsidR="0032316E" w:rsidRPr="00675641">
        <w:t>-</w:t>
      </w:r>
      <w:r w:rsidR="005862CE" w:rsidRPr="00675641">
        <w:t>9</w:t>
      </w:r>
      <w:r w:rsidR="0032316E" w:rsidRPr="00675641">
        <w:t xml:space="preserve">, and </w:t>
      </w:r>
      <w:r w:rsidR="005862CE" w:rsidRPr="00675641">
        <w:t>3</w:t>
      </w:r>
      <w:r w:rsidR="0032316E" w:rsidRPr="00675641">
        <w:t>-1</w:t>
      </w:r>
      <w:r w:rsidR="005862CE" w:rsidRPr="00675641">
        <w:t>1</w:t>
      </w:r>
      <w:r w:rsidR="0032316E" w:rsidRPr="00675641">
        <w:t>s of t</w:t>
      </w:r>
      <w:r w:rsidR="0032316E" w:rsidRPr="00C32E45">
        <w:t>h</w:t>
      </w:r>
      <w:r w:rsidR="0032316E" w:rsidRPr="00583246">
        <w:t xml:space="preserve">e run-averaged HbO data were extracted from each channel for each participant for statistical </w:t>
      </w:r>
      <w:r w:rsidR="0032316E" w:rsidRPr="00583246">
        <w:lastRenderedPageBreak/>
        <w:t xml:space="preserve">analysis. </w:t>
      </w:r>
      <w:r w:rsidR="0032316E" w:rsidRPr="0036567D">
        <w:t>Since the results from these time windows were si</w:t>
      </w:r>
      <w:r w:rsidR="0032316E" w:rsidRPr="00640130">
        <w:t xml:space="preserve">milar, </w:t>
      </w:r>
      <w:r w:rsidR="005862CE" w:rsidRPr="00640130">
        <w:t>3</w:t>
      </w:r>
      <w:r w:rsidR="0032316E" w:rsidRPr="00640130">
        <w:t>-1</w:t>
      </w:r>
      <w:r w:rsidR="005862CE" w:rsidRPr="00640130">
        <w:t>1</w:t>
      </w:r>
      <w:r w:rsidR="0032316E" w:rsidRPr="00640130">
        <w:t>s was chosen</w:t>
      </w:r>
      <w:r w:rsidR="0032316E" w:rsidRPr="0036567D">
        <w:t xml:space="preserve"> as the representative time window for </w:t>
      </w:r>
      <w:r w:rsidR="0032316E">
        <w:t>fNIRS</w:t>
      </w:r>
      <w:r w:rsidR="0032316E" w:rsidRPr="0036567D">
        <w:t xml:space="preserve"> HbO changes for further analyses. </w:t>
      </w:r>
      <w:r w:rsidR="0032316E" w:rsidRPr="00583246">
        <w:t xml:space="preserve">All </w:t>
      </w:r>
      <w:r w:rsidR="0032316E" w:rsidRPr="00583246">
        <w:rPr>
          <w:i/>
        </w:rPr>
        <w:t>p-</w:t>
      </w:r>
      <w:r w:rsidR="0032316E" w:rsidRPr="00583246">
        <w:t xml:space="preserve">values of the </w:t>
      </w:r>
      <w:r w:rsidR="0032316E" w:rsidRPr="004C7C29">
        <w:rPr>
          <w:i/>
          <w:iCs/>
        </w:rPr>
        <w:t>F</w:t>
      </w:r>
      <w:r w:rsidR="0032316E" w:rsidRPr="00583246">
        <w:t>-test were corrected for a false-discovery rate (FDR,</w:t>
      </w:r>
      <w:r w:rsidR="0032316E">
        <w:t xml:space="preserve"> </w:t>
      </w:r>
      <w:r w:rsidR="0032316E" w:rsidRPr="00583246">
        <w:rPr>
          <w:i/>
        </w:rPr>
        <w:t>p</w:t>
      </w:r>
      <w:r w:rsidR="0032316E">
        <w:t xml:space="preserve"> &lt; </w:t>
      </w:r>
      <w:r w:rsidR="0032316E" w:rsidRPr="00583246">
        <w:t>0.05</w:t>
      </w:r>
      <w:r w:rsidR="00E910F0">
        <w:fldChar w:fldCharType="begin"/>
      </w:r>
      <w:r w:rsidR="00E910F0">
        <w:instrText xml:space="preserve"> ADDIN ZOTERO_ITEM CSL_CITATION {"citationID":"C5RTIQtu","properties":{"formattedCitation":"(Singh &amp; Dan, 2006)","plainCitation":"(Singh &amp; Dan, 2006)","dontUpdate":true,"noteIndex":0},"citationItems":[{"id":453,"uris":["http://zotero.org/users/3334739/items/9B7TU2AY"],"itemData":{"id":453,"type":"article-journal","abstract":"Near infrared spectroscopy (NIRS), an emerging non-invasive tool for functional neuroimaging, has evolved as a multichannel technique allowing simultaneous measurements through many channels ranging from below ten to above hundred. Simultaneous testing of such a large number of channels escalates the risk of Type I error, therefore multiplicity correction is unavoidable. To date, only a few studies have considered this issue using Bonferroni correction, which is an effective conservative solution, but may be too severe for neuroimaging. Its power varies in inverse proportion of the number of channels, which varies among NIRS studies depending on selected region of interest (ROI), thereby leading to a subjective inference. This problem may be well circumvented by a more contemporary approach, called false discovery rate (FDR) that is widely being adopted in functional neuroimaging. An FDR-based procedure controls the expected proportion of erroneously rejected hypotheses among the rejected hypotheses, which offers a more objective, powerful, and consistent measure of Type I error than Bonferroni correction and maintains a better balance between power and specificity. In this technical note, we examine FDR approach using examples from simulated and real NIRS data. The FDR-based procedure could yield 52% more power than Bonferroni correction in a 172-channel real NIRS study and proved to be more robust against the changing number of channels.","container-title":"NeuroImage","DOI":"10.1016/j.neuroimage.2006.06.047","ISSN":"1053-8119","issue":"2","journalAbbreviation":"NeuroImage","language":"en","page":"542-549","source":"ScienceDirect","title":"Exploring the false discovery rate in multichannel NIRS","volume":"33","author":[{"family":"Singh","given":"Archana K."},{"family":"Dan","given":"Ippeita"}],"issued":{"date-parts":[["2006",11,1]]}}}],"schema":"https://github.com/citation-style-language/schema/raw/master/csl-citation.json"} </w:instrText>
      </w:r>
      <w:r w:rsidR="00E910F0">
        <w:fldChar w:fldCharType="separate"/>
      </w:r>
      <w:r w:rsidR="00E910F0">
        <w:rPr>
          <w:rFonts w:cs="Times New Roman"/>
        </w:rPr>
        <w:t xml:space="preserve">, </w:t>
      </w:r>
      <w:r w:rsidR="00E910F0" w:rsidRPr="00E910F0">
        <w:rPr>
          <w:rFonts w:cs="Times New Roman"/>
        </w:rPr>
        <w:t>Singh &amp; Dan, 2006</w:t>
      </w:r>
      <w:r w:rsidR="00E910F0">
        <w:fldChar w:fldCharType="end"/>
      </w:r>
      <w:r w:rsidR="0032316E" w:rsidRPr="00583246">
        <w:t>). All statistical analyses were conducted using SPSS 2</w:t>
      </w:r>
      <w:r w:rsidR="0032316E">
        <w:t>3</w:t>
      </w:r>
      <w:r w:rsidR="0032316E" w:rsidRPr="00583246">
        <w:t xml:space="preserve">.0. Also, the HbO signals were mapped using the </w:t>
      </w:r>
      <w:proofErr w:type="spellStart"/>
      <w:r w:rsidR="0032316E" w:rsidRPr="00583246">
        <w:t>BrainNet</w:t>
      </w:r>
      <w:proofErr w:type="spellEnd"/>
      <w:r w:rsidR="0032316E" w:rsidRPr="00583246">
        <w:t xml:space="preserve"> Viewer tool</w:t>
      </w:r>
      <w:r w:rsidR="00C76FC0">
        <w:t xml:space="preserve"> </w:t>
      </w:r>
      <w:r w:rsidR="00E910F0">
        <w:fldChar w:fldCharType="begin"/>
      </w:r>
      <w:r w:rsidR="00E910F0">
        <w:instrText xml:space="preserve"> ADDIN ZOTERO_ITEM CSL_CITATION {"citationID":"avem2o2at9","properties":{"formattedCitation":"(Xia et al., 2013)","plainCitation":"(Xia et al., 2013)","noteIndex":0},"citationItems":[{"id":3429,"uris":["http://zotero.org/users/3334739/items/7QWBR3J6"],"itemData":{"id":3429,"type":"article-journal","abstract":"The human brain is a complex system whose topological organization can be represented using connectomics. Recent studies have shown that human connectomes can be constructed using various neuroimaging technologies and further characterized using sophisticated analytic strategies, such as graph theory. These methods reveal the intriguing topological architectures of human brain networks in healthy populations and explore the changes throughout normal development and aging and under various pathological conditions. However, given the huge complexity of this methodology, toolboxes for graph-based network visualization are still lacking. Here, using MATLAB with a graphical user interface (GUI), we developed a graph-theoretical network visualization toolbox, called BrainNet Viewer, to illustrate human connectomes as ball-and-stick models. Within this toolbox, several combinations of defined files with connectome information can be loaded to display different combinations of brain surface, nodes and edges. In addition, display properties, such as the color and size of network elements or the layout of the figure, can be adjusted within a comprehensive but easy-to-use settings panel. Moreover, BrainNet Viewer draws the brain surface, nodes and edges in sequence and displays brain networks in multiple views, as required by the user. The figure can be manipulated with certain interaction functions to display more detailed information. Furthermore, the figures can be exported as commonly used image file formats or demonstration video for further use. BrainNet Viewer helps researchers to visualize brain networks in an easy, flexible and quick manner, and this software is freely available on the NITRC website (www.nitrc.org/projects/bnv/).","container-title":"PLOS ONE","DOI":"10/f5bgcp","ISSN":"1932-6203","issue":"7","journalAbbreviation":"PLOS ONE","language":"en","note":"publisher: Public Library of Science","page":"e68910","source":"PLoS Journals","title":"BrainNet Viewer: A Network Visualization Tool for Human Brain Connectomics","title-short":"BrainNet Viewer","volume":"8","author":[{"family":"Xia","given":"Mingrui"},{"family":"Wang","given":"Jinhui"},{"family":"He","given":"Yong"}],"issued":{"date-parts":[["2013",7,4]]}}}],"schema":"https://github.com/citation-style-language/schema/raw/master/csl-citation.json"} </w:instrText>
      </w:r>
      <w:r w:rsidR="00E910F0">
        <w:fldChar w:fldCharType="separate"/>
      </w:r>
      <w:r w:rsidR="00E910F0" w:rsidRPr="00E910F0">
        <w:rPr>
          <w:rFonts w:cs="Times New Roman"/>
        </w:rPr>
        <w:t>(Xia et al., 2013)</w:t>
      </w:r>
      <w:r w:rsidR="00E910F0">
        <w:fldChar w:fldCharType="end"/>
      </w:r>
      <w:r w:rsidR="0032316E" w:rsidRPr="00583246">
        <w:t xml:space="preserve"> to </w:t>
      </w:r>
      <w:r w:rsidR="00C76FC0" w:rsidRPr="00C76FC0">
        <w:t>illustrat</w:t>
      </w:r>
      <w:r w:rsidR="00675641">
        <w:t>e</w:t>
      </w:r>
      <w:r w:rsidR="0032316E" w:rsidRPr="00583246">
        <w:t xml:space="preserve"> the brain imaging activity </w:t>
      </w:r>
      <w:r w:rsidR="00C76FC0">
        <w:t xml:space="preserve">when encountering probe and irrelevant items for guilty </w:t>
      </w:r>
      <w:r w:rsidR="008222FB">
        <w:t xml:space="preserve">and </w:t>
      </w:r>
      <w:r w:rsidR="00C76FC0">
        <w:t>innocent participants.</w:t>
      </w:r>
    </w:p>
    <w:p w14:paraId="721EF0B7" w14:textId="5945CD98" w:rsidR="004405C7" w:rsidRDefault="004405C7" w:rsidP="004405C7">
      <w:pPr>
        <w:pStyle w:val="2"/>
      </w:pPr>
      <w:r>
        <w:rPr>
          <w:rFonts w:hint="eastAsia"/>
        </w:rPr>
        <w:t>R</w:t>
      </w:r>
      <w:r>
        <w:t>esults</w:t>
      </w:r>
    </w:p>
    <w:p w14:paraId="567D470E" w14:textId="757A3452" w:rsidR="004405C7" w:rsidRDefault="004405C7" w:rsidP="004405C7">
      <w:pPr>
        <w:pStyle w:val="3"/>
      </w:pPr>
      <w:r w:rsidRPr="004405C7">
        <w:t>Behavioral results</w:t>
      </w:r>
    </w:p>
    <w:p w14:paraId="5CD88FA2" w14:textId="5352D190" w:rsidR="00F07FE0" w:rsidRDefault="00F07FE0" w:rsidP="00BF5653">
      <w:r>
        <w:t xml:space="preserve">The mixed ANOVA </w:t>
      </w:r>
      <w:r w:rsidRPr="00451032">
        <w:t xml:space="preserve">on error rates revealed </w:t>
      </w:r>
      <w:r w:rsidR="00AD40C8">
        <w:t xml:space="preserve">a </w:t>
      </w:r>
      <w:r w:rsidRPr="00451032">
        <w:t xml:space="preserve">significant main effect of type, </w:t>
      </w:r>
      <w:r w:rsidRPr="00451032">
        <w:rPr>
          <w:i/>
          <w:iCs/>
        </w:rPr>
        <w:t xml:space="preserve">F </w:t>
      </w:r>
      <w:r w:rsidRPr="00451032">
        <w:t xml:space="preserve">= 5.88, </w:t>
      </w:r>
      <w:r w:rsidRPr="00451032">
        <w:rPr>
          <w:i/>
          <w:iCs/>
        </w:rPr>
        <w:t xml:space="preserve">p </w:t>
      </w:r>
      <w:r w:rsidRPr="00451032">
        <w:t xml:space="preserve">&lt; 0.05, </w:t>
      </w:r>
      <w:r w:rsidRPr="00451032">
        <w:rPr>
          <w:i/>
        </w:rPr>
        <w:t>η²</w:t>
      </w:r>
      <w:r w:rsidRPr="00451032">
        <w:t xml:space="preserve"> = 0.10, with a higher error rate </w:t>
      </w:r>
      <w:r w:rsidR="00AD40C8">
        <w:t>for</w:t>
      </w:r>
      <w:r w:rsidR="00AD40C8" w:rsidRPr="00451032">
        <w:t xml:space="preserve"> </w:t>
      </w:r>
      <w:r w:rsidRPr="00451032">
        <w:t xml:space="preserve">the probe stimuli </w:t>
      </w:r>
      <w:r w:rsidR="00AD40C8">
        <w:t>compared</w:t>
      </w:r>
      <w:r w:rsidR="00AD40C8" w:rsidRPr="00451032">
        <w:t xml:space="preserve"> </w:t>
      </w:r>
      <w:r w:rsidRPr="00451032">
        <w:t>to the irrelevant stim</w:t>
      </w:r>
      <w:r w:rsidRPr="00675641">
        <w:t>uli</w:t>
      </w:r>
      <w:r w:rsidR="00675641" w:rsidRPr="00675641">
        <w:t xml:space="preserve"> </w:t>
      </w:r>
      <w:r w:rsidRPr="00675641">
        <w:t>(</w:t>
      </w:r>
      <w:r w:rsidR="00FB6224" w:rsidRPr="00675641">
        <w:t>4%</w:t>
      </w:r>
      <w:r w:rsidRPr="00675641">
        <w:t xml:space="preserve"> </w:t>
      </w:r>
      <w:r w:rsidRPr="00675641">
        <w:rPr>
          <w:rFonts w:hint="eastAsia"/>
        </w:rPr>
        <w:t>±</w:t>
      </w:r>
      <w:r w:rsidRPr="00675641">
        <w:t xml:space="preserve"> </w:t>
      </w:r>
      <w:r w:rsidR="00FB6224" w:rsidRPr="00675641">
        <w:t>1%</w:t>
      </w:r>
      <w:r w:rsidR="00F3415E" w:rsidRPr="00675641">
        <w:t xml:space="preserve"> </w:t>
      </w:r>
      <w:r w:rsidRPr="00675641">
        <w:t xml:space="preserve">vs. </w:t>
      </w:r>
      <w:r w:rsidR="00FB6224" w:rsidRPr="00675641">
        <w:t>1.5%</w:t>
      </w:r>
      <w:r w:rsidR="00F7750E" w:rsidRPr="00675641">
        <w:t xml:space="preserve"> </w:t>
      </w:r>
      <w:r w:rsidRPr="00675641">
        <w:rPr>
          <w:rFonts w:hint="eastAsia"/>
        </w:rPr>
        <w:t>±</w:t>
      </w:r>
      <w:r w:rsidRPr="00675641">
        <w:t xml:space="preserve"> </w:t>
      </w:r>
      <w:r w:rsidR="00FB6224" w:rsidRPr="00675641">
        <w:t>0.2%</w:t>
      </w:r>
      <w:r w:rsidRPr="00675641">
        <w:t xml:space="preserve">). </w:t>
      </w:r>
      <w:r w:rsidR="00D178C8" w:rsidRPr="00675641">
        <w:t xml:space="preserve">The main effect of group was also significant, </w:t>
      </w:r>
      <w:r w:rsidR="00D178C8" w:rsidRPr="00675641">
        <w:rPr>
          <w:i/>
          <w:iCs/>
        </w:rPr>
        <w:t xml:space="preserve">F </w:t>
      </w:r>
      <w:r w:rsidR="00D178C8" w:rsidRPr="00675641">
        <w:t xml:space="preserve">= 5.16, </w:t>
      </w:r>
      <w:r w:rsidR="00D178C8" w:rsidRPr="00675641">
        <w:rPr>
          <w:i/>
          <w:iCs/>
        </w:rPr>
        <w:t xml:space="preserve">p </w:t>
      </w:r>
      <w:r w:rsidR="00D178C8" w:rsidRPr="00675641">
        <w:t xml:space="preserve">&lt; 0.05, </w:t>
      </w:r>
      <w:r w:rsidR="00D178C8" w:rsidRPr="00675641">
        <w:rPr>
          <w:i/>
        </w:rPr>
        <w:t>η²</w:t>
      </w:r>
      <w:r w:rsidR="00D178C8" w:rsidRPr="00675641">
        <w:t xml:space="preserve"> = 0.09, with a higher error rate </w:t>
      </w:r>
      <w:r w:rsidR="00F7750E" w:rsidRPr="00675641">
        <w:t>for</w:t>
      </w:r>
      <w:r w:rsidR="00D178C8" w:rsidRPr="00675641">
        <w:t xml:space="preserve"> the guilty group than the innocent group</w:t>
      </w:r>
      <w:r w:rsidR="00675641" w:rsidRPr="00675641">
        <w:t xml:space="preserve"> </w:t>
      </w:r>
      <w:r w:rsidR="00D178C8" w:rsidRPr="00675641">
        <w:t>(</w:t>
      </w:r>
      <w:r w:rsidR="00FB6224" w:rsidRPr="00675641">
        <w:t>3.8%</w:t>
      </w:r>
      <w:r w:rsidR="00D178C8" w:rsidRPr="00675641">
        <w:t xml:space="preserve"> </w:t>
      </w:r>
      <w:r w:rsidR="00D178C8" w:rsidRPr="00675641">
        <w:rPr>
          <w:rFonts w:hint="eastAsia"/>
        </w:rPr>
        <w:t>±</w:t>
      </w:r>
      <w:r w:rsidR="00D178C8" w:rsidRPr="00675641">
        <w:t xml:space="preserve"> </w:t>
      </w:r>
      <w:r w:rsidR="00FB6224" w:rsidRPr="00675641">
        <w:t>0.7%</w:t>
      </w:r>
      <w:r w:rsidR="00D178C8" w:rsidRPr="00675641">
        <w:t xml:space="preserve"> vs.</w:t>
      </w:r>
      <w:r w:rsidR="00FB6224" w:rsidRPr="00675641">
        <w:t>1.7%</w:t>
      </w:r>
      <w:r w:rsidR="00D178C8" w:rsidRPr="00675641">
        <w:t xml:space="preserve"> </w:t>
      </w:r>
      <w:r w:rsidR="00D178C8" w:rsidRPr="00675641">
        <w:rPr>
          <w:rFonts w:hint="eastAsia"/>
        </w:rPr>
        <w:t>±</w:t>
      </w:r>
      <w:r w:rsidR="00D178C8" w:rsidRPr="00675641">
        <w:t xml:space="preserve"> </w:t>
      </w:r>
      <w:r w:rsidR="00FB6224" w:rsidRPr="00675641">
        <w:t>0.6%</w:t>
      </w:r>
      <w:r w:rsidR="00D178C8" w:rsidRPr="00675641">
        <w:t>)</w:t>
      </w:r>
      <w:r w:rsidR="00F7750E" w:rsidRPr="00675641">
        <w:t>. However, the interaction of the stimulus type and the group did not reach significan</w:t>
      </w:r>
      <w:r w:rsidR="00AD40C8" w:rsidRPr="00675641">
        <w:t>ce</w:t>
      </w:r>
      <w:r w:rsidR="00F7750E" w:rsidRPr="00675641">
        <w:t xml:space="preserve">, </w:t>
      </w:r>
      <w:r w:rsidR="00F7750E" w:rsidRPr="00675641">
        <w:rPr>
          <w:i/>
          <w:iCs/>
        </w:rPr>
        <w:t xml:space="preserve">F </w:t>
      </w:r>
      <w:r w:rsidR="00F7750E" w:rsidRPr="00675641">
        <w:t xml:space="preserve">(1,55) = 2.33, </w:t>
      </w:r>
      <w:r w:rsidR="00F7750E" w:rsidRPr="00675641">
        <w:rPr>
          <w:i/>
          <w:iCs/>
        </w:rPr>
        <w:t>p</w:t>
      </w:r>
      <w:r w:rsidR="00F7750E">
        <w:rPr>
          <w:i/>
          <w:iCs/>
        </w:rPr>
        <w:t xml:space="preserve"> </w:t>
      </w:r>
      <w:r w:rsidR="00F7750E">
        <w:t xml:space="preserve">&gt; 0.05. </w:t>
      </w:r>
      <w:r w:rsidRPr="00451032">
        <w:t xml:space="preserve">The </w:t>
      </w:r>
      <w:r w:rsidR="00C82988">
        <w:t>independent sample t-test</w:t>
      </w:r>
      <w:r w:rsidRPr="00451032">
        <w:t xml:space="preserve"> on RT CIT eff</w:t>
      </w:r>
      <w:r>
        <w:t xml:space="preserve">ect revealed a significant </w:t>
      </w:r>
      <w:r w:rsidR="00C82988">
        <w:t>difference between the guilty and innocent</w:t>
      </w:r>
      <w:r>
        <w:t xml:space="preserve"> group, </w:t>
      </w:r>
      <w:r w:rsidR="00C82988">
        <w:rPr>
          <w:i/>
          <w:iCs/>
        </w:rPr>
        <w:t xml:space="preserve">t </w:t>
      </w:r>
      <w:r>
        <w:t>(1,55) =</w:t>
      </w:r>
      <w:r w:rsidR="00BF5653">
        <w:t>5.48</w:t>
      </w:r>
      <w:r>
        <w:t xml:space="preserve">, </w:t>
      </w:r>
      <w:r w:rsidRPr="00C00912">
        <w:rPr>
          <w:i/>
          <w:iCs/>
        </w:rPr>
        <w:t>p</w:t>
      </w:r>
      <w:r>
        <w:rPr>
          <w:i/>
          <w:iCs/>
        </w:rPr>
        <w:t xml:space="preserve"> </w:t>
      </w:r>
      <w:r>
        <w:t xml:space="preserve">&lt; 0.001, </w:t>
      </w:r>
      <w:r w:rsidR="008509CC">
        <w:t>Cohen</w:t>
      </w:r>
      <w:proofErr w:type="gramStart"/>
      <w:r w:rsidR="008509CC">
        <w:t>’</w:t>
      </w:r>
      <w:proofErr w:type="gramEnd"/>
      <w:r w:rsidR="008509CC">
        <w:t>s</w:t>
      </w:r>
      <w:r w:rsidR="008509CC" w:rsidRPr="00140027">
        <w:rPr>
          <w:i/>
          <w:iCs/>
        </w:rPr>
        <w:t xml:space="preserve"> d</w:t>
      </w:r>
      <w:r w:rsidR="008509CC">
        <w:t xml:space="preserve"> </w:t>
      </w:r>
      <w:r>
        <w:t xml:space="preserve">= </w:t>
      </w:r>
      <w:r w:rsidR="008509CC">
        <w:t>1.48</w:t>
      </w:r>
      <w:r>
        <w:t xml:space="preserve">, with a significantly larger </w:t>
      </w:r>
      <w:r w:rsidR="008509CC">
        <w:t xml:space="preserve">RT </w:t>
      </w:r>
      <w:r>
        <w:t>CIT effect in the guilty group than that in the innocent group</w:t>
      </w:r>
      <w:r w:rsidR="00DC2A9D">
        <w:t xml:space="preserve"> </w:t>
      </w:r>
      <w:r>
        <w:t>(</w:t>
      </w:r>
      <w:bookmarkStart w:id="1" w:name="OLE_LINK3"/>
      <w:r>
        <w:t xml:space="preserve">84.10 </w:t>
      </w:r>
      <w:r>
        <w:rPr>
          <w:rFonts w:hint="eastAsia"/>
        </w:rPr>
        <w:t>±</w:t>
      </w:r>
      <w:r>
        <w:rPr>
          <w:rFonts w:hint="eastAsia"/>
        </w:rPr>
        <w:t xml:space="preserve"> </w:t>
      </w:r>
      <w:r w:rsidR="00BF5653">
        <w:t>8.94</w:t>
      </w:r>
      <w:r>
        <w:rPr>
          <w:rFonts w:hint="eastAsia"/>
        </w:rPr>
        <w:t>ms</w:t>
      </w:r>
      <w:r>
        <w:t xml:space="preserve"> </w:t>
      </w:r>
      <w:r>
        <w:rPr>
          <w:rFonts w:hint="eastAsia"/>
        </w:rPr>
        <w:t>vs.</w:t>
      </w:r>
      <w:r>
        <w:t xml:space="preserve"> 25.54 </w:t>
      </w:r>
      <w:r>
        <w:rPr>
          <w:rFonts w:hint="eastAsia"/>
        </w:rPr>
        <w:t>±</w:t>
      </w:r>
      <w:r>
        <w:rPr>
          <w:rFonts w:hint="eastAsia"/>
        </w:rPr>
        <w:t xml:space="preserve"> </w:t>
      </w:r>
      <w:r w:rsidR="00BF5653">
        <w:t>5.99</w:t>
      </w:r>
      <w:r>
        <w:t>ms,</w:t>
      </w:r>
      <w:bookmarkEnd w:id="1"/>
      <w:r>
        <w:t xml:space="preserve"> see </w:t>
      </w:r>
      <w:r w:rsidR="00DC2A9D" w:rsidRPr="006A1ECD">
        <w:rPr>
          <w:color w:val="4472C4" w:themeColor="accent1"/>
        </w:rPr>
        <w:t>F</w:t>
      </w:r>
      <w:r w:rsidRPr="006A1ECD">
        <w:rPr>
          <w:color w:val="4472C4" w:themeColor="accent1"/>
        </w:rPr>
        <w:t>igure2a</w:t>
      </w:r>
      <w:r>
        <w:t>).</w:t>
      </w:r>
    </w:p>
    <w:p w14:paraId="3AABB8F4" w14:textId="07DC4BAD" w:rsidR="00DC2A9D" w:rsidRDefault="008C1845" w:rsidP="00DC2A9D">
      <w:pPr>
        <w:ind w:firstLine="0"/>
      </w:pPr>
      <w:r>
        <w:rPr>
          <w:noProof/>
        </w:rPr>
        <w:lastRenderedPageBreak/>
        <w:drawing>
          <wp:inline distT="0" distB="0" distL="0" distR="0" wp14:anchorId="4ACC8B94" wp14:editId="657F9404">
            <wp:extent cx="6243165" cy="2143951"/>
            <wp:effectExtent l="0" t="0" r="5715"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9571" b="29373"/>
                    <a:stretch/>
                  </pic:blipFill>
                  <pic:spPr bwMode="auto">
                    <a:xfrm>
                      <a:off x="0" y="0"/>
                      <a:ext cx="6243165" cy="2143951"/>
                    </a:xfrm>
                    <a:prstGeom prst="rect">
                      <a:avLst/>
                    </a:prstGeom>
                    <a:noFill/>
                    <a:ln>
                      <a:noFill/>
                    </a:ln>
                    <a:extLst>
                      <a:ext uri="{53640926-AAD7-44D8-BBD7-CCE9431645EC}">
                        <a14:shadowObscured xmlns:a14="http://schemas.microsoft.com/office/drawing/2010/main"/>
                      </a:ext>
                    </a:extLst>
                  </pic:spPr>
                </pic:pic>
              </a:graphicData>
            </a:graphic>
          </wp:inline>
        </w:drawing>
      </w:r>
    </w:p>
    <w:p w14:paraId="5A17FBE3" w14:textId="77777777" w:rsidR="00DC2A9D" w:rsidRDefault="00DC2A9D" w:rsidP="00DC2A9D">
      <w:pPr>
        <w:ind w:firstLine="0"/>
      </w:pPr>
      <w:r w:rsidRPr="006A1ECD">
        <w:rPr>
          <w:b/>
          <w:bCs/>
          <w:color w:val="4472C4" w:themeColor="accent1"/>
        </w:rPr>
        <w:t>Figure 2</w:t>
      </w:r>
      <w:r>
        <w:rPr>
          <w:b/>
          <w:bCs/>
        </w:rPr>
        <w:t>.</w:t>
      </w:r>
      <w:r>
        <w:t xml:space="preserve"> (a) The CIT effect of reaction time (RT) to the probe and irrelevant items in the guilty and innocent groups. (b) The Z-scores of the skin conductance response (SCR) to the probe items of the guilty and innocent participants. (c) The Z-scores of heart rate (HR) to the probe items of the guilty and innocent participants. </w:t>
      </w:r>
    </w:p>
    <w:p w14:paraId="68E3330B" w14:textId="2BCFB322" w:rsidR="00DC2A9D" w:rsidRDefault="00DC2A9D" w:rsidP="00DC2A9D">
      <w:pPr>
        <w:ind w:firstLine="0"/>
        <w:rPr>
          <w:rFonts w:cs="Times New Roman"/>
        </w:rPr>
      </w:pPr>
      <w:r>
        <w:t xml:space="preserve">Note: </w:t>
      </w:r>
      <w:r w:rsidRPr="002B4F82">
        <w:rPr>
          <w:rFonts w:cs="Times New Roman"/>
        </w:rPr>
        <w:t>*</w:t>
      </w:r>
      <w:r>
        <w:rPr>
          <w:rFonts w:cs="Times New Roman"/>
        </w:rPr>
        <w:t xml:space="preserve"> </w:t>
      </w:r>
      <w:r>
        <w:rPr>
          <w:rFonts w:cs="Times New Roman"/>
          <w:i/>
        </w:rPr>
        <w:t xml:space="preserve">p </w:t>
      </w:r>
      <w:r w:rsidRPr="002B4F82">
        <w:rPr>
          <w:rFonts w:cs="Times New Roman"/>
        </w:rPr>
        <w:t>&lt;</w:t>
      </w:r>
      <w:r>
        <w:rPr>
          <w:rFonts w:cs="Times New Roman"/>
        </w:rPr>
        <w:t xml:space="preserve"> </w:t>
      </w:r>
      <w:r w:rsidRPr="002B4F82">
        <w:rPr>
          <w:rFonts w:cs="Times New Roman"/>
        </w:rPr>
        <w:t>0.05, **</w:t>
      </w:r>
      <w:r>
        <w:rPr>
          <w:rFonts w:cs="Times New Roman"/>
          <w:i/>
        </w:rPr>
        <w:t xml:space="preserve">p </w:t>
      </w:r>
      <w:r w:rsidRPr="002B4F82">
        <w:rPr>
          <w:rFonts w:cs="Times New Roman"/>
        </w:rPr>
        <w:t>&lt;</w:t>
      </w:r>
      <w:r>
        <w:rPr>
          <w:rFonts w:cs="Times New Roman"/>
        </w:rPr>
        <w:t xml:space="preserve"> </w:t>
      </w:r>
      <w:r w:rsidRPr="002B4F82">
        <w:rPr>
          <w:rFonts w:cs="Times New Roman"/>
        </w:rPr>
        <w:t>0.01, ***</w:t>
      </w:r>
      <w:r>
        <w:rPr>
          <w:rFonts w:cs="Times New Roman"/>
        </w:rPr>
        <w:t xml:space="preserve"> </w:t>
      </w:r>
      <w:r>
        <w:rPr>
          <w:rFonts w:cs="Times New Roman" w:hint="eastAsia"/>
          <w:i/>
        </w:rPr>
        <w:t>p</w:t>
      </w:r>
      <w:r>
        <w:rPr>
          <w:rFonts w:cs="Times New Roman"/>
          <w:i/>
        </w:rPr>
        <w:t xml:space="preserve"> </w:t>
      </w:r>
      <w:r w:rsidRPr="002B4F82">
        <w:rPr>
          <w:rFonts w:cs="Times New Roman"/>
        </w:rPr>
        <w:t>&lt;</w:t>
      </w:r>
      <w:r>
        <w:rPr>
          <w:rFonts w:cs="Times New Roman"/>
        </w:rPr>
        <w:t xml:space="preserve"> </w:t>
      </w:r>
      <w:r w:rsidRPr="002B4F82">
        <w:rPr>
          <w:rFonts w:cs="Times New Roman"/>
        </w:rPr>
        <w:t>0.001</w:t>
      </w:r>
      <w:r>
        <w:rPr>
          <w:rFonts w:cs="Times New Roman" w:hint="eastAsia"/>
        </w:rPr>
        <w:t>.</w:t>
      </w:r>
    </w:p>
    <w:p w14:paraId="2CE709A2" w14:textId="77777777" w:rsidR="006623E8" w:rsidRDefault="006623E8" w:rsidP="006623E8">
      <w:pPr>
        <w:pStyle w:val="3"/>
      </w:pPr>
      <w:r w:rsidRPr="004405C7">
        <w:t>Physiological results</w:t>
      </w:r>
      <w:r>
        <w:t xml:space="preserve"> </w:t>
      </w:r>
    </w:p>
    <w:p w14:paraId="366950C9" w14:textId="77777777" w:rsidR="006623E8" w:rsidRPr="002B4F82" w:rsidRDefault="006623E8" w:rsidP="006623E8">
      <w:r w:rsidRPr="002B4F82">
        <w:t>The z-scores of the peak-to-peak amplitude of the SCR</w:t>
      </w:r>
      <w:r w:rsidRPr="009132AB">
        <w:t xml:space="preserve"> and</w:t>
      </w:r>
      <w:r w:rsidRPr="002B4F82">
        <w:t xml:space="preserve"> HR were averaged across the participants in the two groups (guilty vs. innocent)</w:t>
      </w:r>
      <w:r>
        <w:t xml:space="preserve">. </w:t>
      </w:r>
      <w:r w:rsidRPr="006912D4">
        <w:t>Independent sample t-tests</w:t>
      </w:r>
      <w:r>
        <w:t xml:space="preserve"> were </w:t>
      </w:r>
      <w:r w:rsidRPr="002B4F82">
        <w:t>conducted for each physiological index with one between-subject variable (group: guilty vs. innocent). The dependent variables were the mean z-scores of</w:t>
      </w:r>
      <w:r>
        <w:t xml:space="preserve"> two</w:t>
      </w:r>
      <w:r w:rsidRPr="002B4F82">
        <w:t xml:space="preserve"> physiological indices within each group.</w:t>
      </w:r>
    </w:p>
    <w:p w14:paraId="014D0D0F" w14:textId="3AD0FE3A" w:rsidR="006623E8" w:rsidRDefault="006623E8" w:rsidP="006623E8">
      <w:r w:rsidRPr="00547E4C">
        <w:rPr>
          <w:rFonts w:cs="Times New Roman"/>
        </w:rPr>
        <w:t>For peak-to-peak amplitude of SCR, the</w:t>
      </w:r>
      <w:r>
        <w:rPr>
          <w:rFonts w:cs="Times New Roman"/>
        </w:rPr>
        <w:t xml:space="preserve"> </w:t>
      </w:r>
      <w:r>
        <w:rPr>
          <w:rFonts w:cs="Times New Roman" w:hint="eastAsia"/>
        </w:rPr>
        <w:t>i</w:t>
      </w:r>
      <w:r w:rsidRPr="006912D4">
        <w:rPr>
          <w:rFonts w:cs="Times New Roman"/>
        </w:rPr>
        <w:t xml:space="preserve">ndependent sample t-test </w:t>
      </w:r>
      <w:r w:rsidR="00D403A2" w:rsidRPr="00D403A2">
        <w:rPr>
          <w:rFonts w:cs="Times New Roman"/>
        </w:rPr>
        <w:t xml:space="preserve">indicated </w:t>
      </w:r>
      <w:r w:rsidRPr="006912D4">
        <w:t>th</w:t>
      </w:r>
      <w:r>
        <w:t xml:space="preserve">at there was a significant difference between the SCR in response to probe items between the guilty and innocent groups, </w:t>
      </w:r>
      <w:r w:rsidRPr="00767869">
        <w:rPr>
          <w:i/>
        </w:rPr>
        <w:t>t</w:t>
      </w:r>
      <w:r>
        <w:t xml:space="preserve"> (55) </w:t>
      </w:r>
      <w:r>
        <w:rPr>
          <w:rFonts w:hint="eastAsia"/>
        </w:rPr>
        <w:t>=</w:t>
      </w:r>
      <w:r>
        <w:t xml:space="preserve"> </w:t>
      </w:r>
      <w:r w:rsidRPr="00FA6D95">
        <w:t>4.73</w:t>
      </w:r>
      <w:r>
        <w:t xml:space="preserve">, </w:t>
      </w:r>
      <w:r w:rsidRPr="002B7D4C">
        <w:rPr>
          <w:i/>
          <w:iCs/>
        </w:rPr>
        <w:t>p</w:t>
      </w:r>
      <w:r>
        <w:rPr>
          <w:i/>
          <w:iCs/>
        </w:rPr>
        <w:t xml:space="preserve"> </w:t>
      </w:r>
      <w:r>
        <w:t>&lt; 0.001,</w:t>
      </w:r>
      <w:r w:rsidRPr="00B546A8">
        <w:t xml:space="preserve"> </w:t>
      </w:r>
      <w:r>
        <w:t>Cohen’s</w:t>
      </w:r>
      <w:r w:rsidRPr="00140027">
        <w:rPr>
          <w:i/>
          <w:iCs/>
        </w:rPr>
        <w:t xml:space="preserve"> d</w:t>
      </w:r>
      <w:r>
        <w:t xml:space="preserve"> </w:t>
      </w:r>
      <w:r>
        <w:rPr>
          <w:rFonts w:hint="eastAsia"/>
        </w:rPr>
        <w:t>=</w:t>
      </w:r>
      <w:r>
        <w:t xml:space="preserve"> </w:t>
      </w:r>
      <w:r w:rsidRPr="006912D4">
        <w:t>1.2</w:t>
      </w:r>
      <w:r>
        <w:t xml:space="preserve">5, indicating that the SCR to the probe item in the guilty </w:t>
      </w:r>
      <w:r w:rsidR="009A171F">
        <w:t xml:space="preserve">group </w:t>
      </w:r>
      <w:r>
        <w:t xml:space="preserve">was significantly larger than that in </w:t>
      </w:r>
      <w:r w:rsidR="009A171F">
        <w:t xml:space="preserve">the </w:t>
      </w:r>
      <w:r>
        <w:t>innocent group (</w:t>
      </w:r>
      <w:r w:rsidRPr="006A1ECD">
        <w:rPr>
          <w:color w:val="4472C4" w:themeColor="accent1"/>
        </w:rPr>
        <w:t>Figure 2b</w:t>
      </w:r>
      <w:r>
        <w:t>).</w:t>
      </w:r>
    </w:p>
    <w:p w14:paraId="6950ECD9" w14:textId="72FD70FF" w:rsidR="00F7750E" w:rsidRPr="006623E8" w:rsidRDefault="006623E8" w:rsidP="00140E06">
      <w:r>
        <w:lastRenderedPageBreak/>
        <w:t xml:space="preserve">For the HR data, the results of independent t-tests showed that there was a significant difference between the HR in response to probe items between the guilty and innocent groups, </w:t>
      </w:r>
      <w:proofErr w:type="gramStart"/>
      <w:r w:rsidRPr="00140027">
        <w:rPr>
          <w:i/>
        </w:rPr>
        <w:t>t</w:t>
      </w:r>
      <w:r>
        <w:t>(</w:t>
      </w:r>
      <w:proofErr w:type="gramEnd"/>
      <w:r>
        <w:t xml:space="preserve">59) = </w:t>
      </w:r>
      <w:r>
        <w:rPr>
          <w:rFonts w:hint="eastAsia"/>
        </w:rPr>
        <w:t>-</w:t>
      </w:r>
      <w:r w:rsidRPr="00B546A8">
        <w:t>3.83</w:t>
      </w:r>
      <w:r>
        <w:t xml:space="preserve">, </w:t>
      </w:r>
      <w:r w:rsidRPr="00140027">
        <w:rPr>
          <w:i/>
          <w:iCs/>
        </w:rPr>
        <w:t>p</w:t>
      </w:r>
      <w:r>
        <w:rPr>
          <w:i/>
          <w:iCs/>
        </w:rPr>
        <w:t xml:space="preserve"> </w:t>
      </w:r>
      <w:r>
        <w:t xml:space="preserve">&lt; 0.001, Cohen’s </w:t>
      </w:r>
      <w:r w:rsidRPr="00140027">
        <w:rPr>
          <w:i/>
          <w:iCs/>
        </w:rPr>
        <w:t>d</w:t>
      </w:r>
      <w:r>
        <w:t xml:space="preserve"> </w:t>
      </w:r>
      <w:r>
        <w:rPr>
          <w:rFonts w:hint="eastAsia"/>
        </w:rPr>
        <w:t>=</w:t>
      </w:r>
      <w:r>
        <w:t xml:space="preserve"> </w:t>
      </w:r>
      <w:r>
        <w:rPr>
          <w:rFonts w:hint="eastAsia"/>
        </w:rPr>
        <w:t>-</w:t>
      </w:r>
      <w:r>
        <w:t>1.01. These results show that the HR response to the probe in the guilty group was significantly shorter than that in the innocent group (</w:t>
      </w:r>
      <w:r w:rsidRPr="006A1ECD">
        <w:rPr>
          <w:color w:val="4472C4" w:themeColor="accent1"/>
        </w:rPr>
        <w:t>Figure 2c</w:t>
      </w:r>
      <w:r>
        <w:t>).</w:t>
      </w:r>
    </w:p>
    <w:p w14:paraId="47CEC515" w14:textId="6C361137" w:rsidR="004405C7" w:rsidRDefault="004405C7" w:rsidP="004405C7">
      <w:pPr>
        <w:pStyle w:val="3"/>
      </w:pPr>
      <w:r w:rsidRPr="004405C7">
        <w:t>fNIRS results</w:t>
      </w:r>
    </w:p>
    <w:p w14:paraId="5D3A17F2" w14:textId="38EAA4D8" w:rsidR="00F07FE0" w:rsidRPr="00C951E2" w:rsidRDefault="00F07FE0" w:rsidP="00F07FE0">
      <w:r w:rsidRPr="00C951E2">
        <w:t xml:space="preserve">The averaged HbO signals of each channel for the probe and irrelevant stimuli from the guilty and innocent groups are shown in </w:t>
      </w:r>
      <w:r w:rsidRPr="006A1ECD">
        <w:rPr>
          <w:color w:val="4472C4" w:themeColor="accent1"/>
        </w:rPr>
        <w:t>Fig</w:t>
      </w:r>
      <w:r w:rsidR="00DC2A9D" w:rsidRPr="006A1ECD">
        <w:rPr>
          <w:color w:val="4472C4" w:themeColor="accent1"/>
        </w:rPr>
        <w:t>ure</w:t>
      </w:r>
      <w:r w:rsidRPr="006A1ECD">
        <w:rPr>
          <w:color w:val="4472C4" w:themeColor="accent1"/>
        </w:rPr>
        <w:t xml:space="preserve"> </w:t>
      </w:r>
      <w:r w:rsidR="00F7750E">
        <w:rPr>
          <w:color w:val="4472C4" w:themeColor="accent1"/>
        </w:rPr>
        <w:t>3</w:t>
      </w:r>
      <w:r w:rsidR="00F7750E" w:rsidRPr="00C951E2">
        <w:t xml:space="preserve"> </w:t>
      </w:r>
      <w:r w:rsidRPr="00C951E2">
        <w:t xml:space="preserve">and </w:t>
      </w:r>
      <w:r w:rsidRPr="006A1ECD">
        <w:rPr>
          <w:color w:val="4472C4" w:themeColor="accent1"/>
        </w:rPr>
        <w:t>Fig</w:t>
      </w:r>
      <w:r w:rsidR="00DC2A9D" w:rsidRPr="006A1ECD">
        <w:rPr>
          <w:color w:val="4472C4" w:themeColor="accent1"/>
        </w:rPr>
        <w:t xml:space="preserve">ure </w:t>
      </w:r>
      <w:r w:rsidR="00F7750E">
        <w:rPr>
          <w:color w:val="4472C4" w:themeColor="accent1"/>
        </w:rPr>
        <w:t>4</w:t>
      </w:r>
      <w:r w:rsidRPr="00C951E2">
        <w:t xml:space="preserve">. </w:t>
      </w:r>
    </w:p>
    <w:p w14:paraId="0813D131" w14:textId="0A7E25A0" w:rsidR="00F07FE0" w:rsidRPr="00646774" w:rsidRDefault="00F07FE0" w:rsidP="004F583E">
      <w:r w:rsidRPr="00C951E2">
        <w:t>2 ×</w:t>
      </w:r>
      <w:r>
        <w:t xml:space="preserve"> </w:t>
      </w:r>
      <w:r w:rsidRPr="00C951E2">
        <w:t>2 repeated measure</w:t>
      </w:r>
      <w:r w:rsidR="00640130">
        <w:t>s</w:t>
      </w:r>
      <w:r w:rsidRPr="00C951E2">
        <w:t xml:space="preserve"> ANOVAs were performed</w:t>
      </w:r>
      <w:r>
        <w:t xml:space="preserve"> on the HbO signals</w:t>
      </w:r>
      <w:r w:rsidRPr="00C951E2">
        <w:t xml:space="preserve"> using one within-subject variable (stimu</w:t>
      </w:r>
      <w:r w:rsidRPr="00646774">
        <w:t xml:space="preserve">li: probe vs. irrelevant) and one between-subject variable (group: guilty vs. innocent) and the results </w:t>
      </w:r>
      <w:r w:rsidR="009A171F">
        <w:t>w</w:t>
      </w:r>
      <w:r w:rsidR="009A171F" w:rsidRPr="00640130">
        <w:t>ere presented</w:t>
      </w:r>
      <w:r w:rsidRPr="00640130">
        <w:t xml:space="preserve"> in </w:t>
      </w:r>
      <w:r w:rsidRPr="00640130">
        <w:rPr>
          <w:color w:val="4472C4" w:themeColor="accent1"/>
        </w:rPr>
        <w:t xml:space="preserve">Table </w:t>
      </w:r>
      <w:r w:rsidR="00640130" w:rsidRPr="00640130">
        <w:rPr>
          <w:rFonts w:hint="eastAsia"/>
          <w:color w:val="4472C4" w:themeColor="accent1"/>
        </w:rPr>
        <w:t>S</w:t>
      </w:r>
      <w:r w:rsidR="00DC2A9D" w:rsidRPr="00640130">
        <w:rPr>
          <w:color w:val="4472C4" w:themeColor="accent1"/>
        </w:rPr>
        <w:t>1</w:t>
      </w:r>
      <w:r w:rsidRPr="00640130">
        <w:t xml:space="preserve">. </w:t>
      </w:r>
      <w:r w:rsidR="004F583E" w:rsidRPr="00640130">
        <w:t xml:space="preserve">Among </w:t>
      </w:r>
      <w:r w:rsidR="00925335" w:rsidRPr="00640130">
        <w:t xml:space="preserve">the </w:t>
      </w:r>
      <w:r w:rsidR="004F583E" w:rsidRPr="00640130">
        <w:t>guilty group, i</w:t>
      </w:r>
      <w:r w:rsidRPr="00640130">
        <w:t xml:space="preserve">t revealed </w:t>
      </w:r>
      <w:r w:rsidR="00925335" w:rsidRPr="00640130">
        <w:t xml:space="preserve">a </w:t>
      </w:r>
      <w:r w:rsidRPr="00640130">
        <w:t>significant main effect of stimuli type in channels 1, 2, 3, 4, 5, 6</w:t>
      </w:r>
      <w:r w:rsidRPr="00646774">
        <w:t>, 7, 8, 9, 11, 12, 14, 15, 16, 17, 18, 19, 20, 2</w:t>
      </w:r>
      <w:r w:rsidRPr="00640130">
        <w:t>1, 22, 23, 24 (</w:t>
      </w:r>
      <w:r w:rsidRPr="00640130">
        <w:rPr>
          <w:i/>
        </w:rPr>
        <w:t>Fs</w:t>
      </w:r>
      <w:r w:rsidRPr="00640130">
        <w:rPr>
          <w:rFonts w:cs="Times New Roman"/>
          <w:i/>
        </w:rPr>
        <w:t xml:space="preserve"> </w:t>
      </w:r>
      <w:r w:rsidRPr="00640130">
        <w:rPr>
          <w:rFonts w:cs="Times New Roman" w:hint="eastAsia"/>
        </w:rPr>
        <w:t>≥</w:t>
      </w:r>
      <w:r w:rsidRPr="00640130">
        <w:rPr>
          <w:rFonts w:cs="Times New Roman"/>
        </w:rPr>
        <w:t xml:space="preserve"> 4.43, </w:t>
      </w:r>
      <w:proofErr w:type="spellStart"/>
      <w:r w:rsidRPr="00640130">
        <w:rPr>
          <w:rFonts w:cs="Times New Roman"/>
          <w:i/>
        </w:rPr>
        <w:t>ps</w:t>
      </w:r>
      <w:proofErr w:type="spellEnd"/>
      <w:r w:rsidRPr="00640130">
        <w:rPr>
          <w:rFonts w:cs="Times New Roman"/>
        </w:rPr>
        <w:t xml:space="preserve"> </w:t>
      </w:r>
      <w:r w:rsidRPr="00640130">
        <w:rPr>
          <w:rFonts w:cs="Times New Roman" w:hint="eastAsia"/>
        </w:rPr>
        <w:t>≤</w:t>
      </w:r>
      <w:r w:rsidRPr="00640130">
        <w:rPr>
          <w:rFonts w:cs="Times New Roman"/>
        </w:rPr>
        <w:t xml:space="preserve"> </w:t>
      </w:r>
      <w:r w:rsidRPr="00640130">
        <w:t xml:space="preserve">0.04, </w:t>
      </w:r>
      <w:r w:rsidRPr="00640130">
        <w:rPr>
          <w:i/>
        </w:rPr>
        <w:t xml:space="preserve">ηs² </w:t>
      </w:r>
      <w:r w:rsidRPr="00640130">
        <w:rPr>
          <w:rFonts w:cs="Times New Roman" w:hint="eastAsia"/>
        </w:rPr>
        <w:t>≥</w:t>
      </w:r>
      <w:r w:rsidRPr="00640130">
        <w:rPr>
          <w:rFonts w:cs="Times New Roman"/>
        </w:rPr>
        <w:t xml:space="preserve"> </w:t>
      </w:r>
      <w:r w:rsidRPr="00640130">
        <w:t>0.07, FDR corrected).</w:t>
      </w:r>
      <w:r w:rsidR="004F583E" w:rsidRPr="00640130">
        <w:t xml:space="preserve"> </w:t>
      </w:r>
      <w:r w:rsidR="009A171F" w:rsidRPr="00640130">
        <w:t xml:space="preserve">However, </w:t>
      </w:r>
      <w:r w:rsidR="004F583E" w:rsidRPr="00640130">
        <w:t>for</w:t>
      </w:r>
      <w:r w:rsidR="00925335" w:rsidRPr="00640130">
        <w:t xml:space="preserve"> the</w:t>
      </w:r>
      <w:r w:rsidR="004F583E" w:rsidRPr="00640130">
        <w:t xml:space="preserve"> innocent group,</w:t>
      </w:r>
      <w:r w:rsidRPr="00640130">
        <w:t xml:space="preserve"> </w:t>
      </w:r>
      <w:r w:rsidR="009A171F" w:rsidRPr="00640130">
        <w:t>there was</w:t>
      </w:r>
      <w:r w:rsidRPr="00640130">
        <w:t xml:space="preserve"> no significant main effect in 24 channels after FDR correction</w:t>
      </w:r>
      <w:r w:rsidR="00E64C99" w:rsidRPr="00640130">
        <w:t>(</w:t>
      </w:r>
      <w:r w:rsidR="00E64C99" w:rsidRPr="00640130">
        <w:rPr>
          <w:i/>
        </w:rPr>
        <w:t xml:space="preserve">Fs </w:t>
      </w:r>
      <w:r w:rsidR="00E64C99" w:rsidRPr="00640130">
        <w:rPr>
          <w:rFonts w:cs="Times New Roman" w:hint="eastAsia"/>
        </w:rPr>
        <w:t>≤</w:t>
      </w:r>
      <w:r w:rsidR="00E64C99" w:rsidRPr="00640130">
        <w:t xml:space="preserve"> 5.</w:t>
      </w:r>
      <w:r w:rsidR="00E64C99" w:rsidRPr="00640130">
        <w:rPr>
          <w:rFonts w:hint="eastAsia"/>
        </w:rPr>
        <w:t>9</w:t>
      </w:r>
      <w:r w:rsidR="00E64C99" w:rsidRPr="00640130">
        <w:t xml:space="preserve">3, </w:t>
      </w:r>
      <w:proofErr w:type="spellStart"/>
      <w:r w:rsidR="00E64C99" w:rsidRPr="00640130">
        <w:rPr>
          <w:i/>
        </w:rPr>
        <w:t>ps</w:t>
      </w:r>
      <w:proofErr w:type="spellEnd"/>
      <w:r w:rsidR="00E64C99" w:rsidRPr="00640130">
        <w:t xml:space="preserve"> </w:t>
      </w:r>
      <w:r w:rsidR="00E23484" w:rsidRPr="00640130">
        <w:t>&gt;</w:t>
      </w:r>
      <w:r w:rsidR="00E64C99" w:rsidRPr="00640130">
        <w:t xml:space="preserve"> 0.0</w:t>
      </w:r>
      <w:r w:rsidR="00E23484" w:rsidRPr="00640130">
        <w:t>5</w:t>
      </w:r>
      <w:r w:rsidR="00E64C99" w:rsidRPr="00640130">
        <w:t>, FDR corrected)</w:t>
      </w:r>
      <w:r w:rsidRPr="00640130">
        <w:t>.</w:t>
      </w:r>
      <w:r w:rsidR="004F583E" w:rsidRPr="00640130" w:rsidDel="004F583E">
        <w:t xml:space="preserve"> </w:t>
      </w:r>
      <w:r w:rsidR="004F583E" w:rsidRPr="00640130">
        <w:rPr>
          <w:rFonts w:hint="eastAsia"/>
        </w:rPr>
        <w:t>T</w:t>
      </w:r>
      <w:r w:rsidR="004F583E" w:rsidRPr="00640130">
        <w:t>he</w:t>
      </w:r>
      <w:r w:rsidR="004F583E">
        <w:t xml:space="preserve"> results of analyses</w:t>
      </w:r>
      <w:r w:rsidRPr="00646774">
        <w:t xml:space="preserve"> also revealed significant </w:t>
      </w:r>
      <w:r w:rsidRPr="008D5C19">
        <w:t xml:space="preserve">interaction </w:t>
      </w:r>
      <w:r w:rsidRPr="00646774">
        <w:t>between the stimuli type and the group in channels</w:t>
      </w:r>
      <w:r w:rsidR="004F583E">
        <w:t xml:space="preserve"> </w:t>
      </w:r>
      <w:r w:rsidRPr="00646774">
        <w:rPr>
          <w:rFonts w:hint="eastAsia"/>
        </w:rPr>
        <w:t>5,</w:t>
      </w:r>
      <w:r w:rsidRPr="00646774">
        <w:t xml:space="preserve"> </w:t>
      </w:r>
      <w:r w:rsidRPr="00646774">
        <w:rPr>
          <w:rFonts w:hint="eastAsia"/>
        </w:rPr>
        <w:t>6,</w:t>
      </w:r>
      <w:r w:rsidRPr="00646774">
        <w:t xml:space="preserve"> </w:t>
      </w:r>
      <w:r w:rsidRPr="00646774">
        <w:rPr>
          <w:rFonts w:hint="eastAsia"/>
        </w:rPr>
        <w:t>7,</w:t>
      </w:r>
      <w:r w:rsidRPr="00646774">
        <w:t xml:space="preserve"> </w:t>
      </w:r>
      <w:r w:rsidRPr="00646774">
        <w:rPr>
          <w:rFonts w:hint="eastAsia"/>
        </w:rPr>
        <w:t>8,</w:t>
      </w:r>
      <w:r w:rsidRPr="00646774">
        <w:t xml:space="preserve"> </w:t>
      </w:r>
      <w:r w:rsidRPr="00646774">
        <w:rPr>
          <w:rFonts w:hint="eastAsia"/>
        </w:rPr>
        <w:t>9,</w:t>
      </w:r>
      <w:r w:rsidRPr="00646774">
        <w:t xml:space="preserve"> </w:t>
      </w:r>
      <w:r w:rsidRPr="00646774">
        <w:rPr>
          <w:rFonts w:hint="eastAsia"/>
        </w:rPr>
        <w:t>1</w:t>
      </w:r>
      <w:r w:rsidRPr="00646774">
        <w:t>0</w:t>
      </w:r>
      <w:r w:rsidRPr="00646774">
        <w:rPr>
          <w:rFonts w:hint="eastAsia"/>
        </w:rPr>
        <w:t>,</w:t>
      </w:r>
      <w:r w:rsidRPr="00646774">
        <w:t xml:space="preserve"> </w:t>
      </w:r>
      <w:r w:rsidRPr="00646774">
        <w:rPr>
          <w:rFonts w:hint="eastAsia"/>
        </w:rPr>
        <w:t>1</w:t>
      </w:r>
      <w:r w:rsidRPr="00646774">
        <w:t>1</w:t>
      </w:r>
      <w:r w:rsidRPr="00646774">
        <w:rPr>
          <w:rFonts w:hint="eastAsia"/>
        </w:rPr>
        <w:t>,</w:t>
      </w:r>
      <w:r w:rsidRPr="00646774">
        <w:t xml:space="preserve"> </w:t>
      </w:r>
      <w:r w:rsidRPr="00646774">
        <w:rPr>
          <w:rFonts w:hint="eastAsia"/>
        </w:rPr>
        <w:t>1</w:t>
      </w:r>
      <w:r w:rsidRPr="00646774">
        <w:t>2</w:t>
      </w:r>
      <w:r w:rsidRPr="00646774">
        <w:rPr>
          <w:rFonts w:hint="eastAsia"/>
        </w:rPr>
        <w:t>,</w:t>
      </w:r>
      <w:r w:rsidRPr="00646774">
        <w:t xml:space="preserve"> </w:t>
      </w:r>
      <w:r w:rsidRPr="00646774">
        <w:rPr>
          <w:rFonts w:hint="eastAsia"/>
        </w:rPr>
        <w:t>1</w:t>
      </w:r>
      <w:r w:rsidRPr="00646774">
        <w:t>3</w:t>
      </w:r>
      <w:r w:rsidRPr="00646774">
        <w:rPr>
          <w:rFonts w:hint="eastAsia"/>
        </w:rPr>
        <w:t>,</w:t>
      </w:r>
      <w:r w:rsidRPr="00646774">
        <w:t xml:space="preserve"> </w:t>
      </w:r>
      <w:r w:rsidRPr="00646774">
        <w:rPr>
          <w:rFonts w:hint="eastAsia"/>
        </w:rPr>
        <w:t>1</w:t>
      </w:r>
      <w:r w:rsidRPr="00646774">
        <w:t xml:space="preserve">4, </w:t>
      </w:r>
      <w:r w:rsidRPr="00646774">
        <w:rPr>
          <w:rFonts w:hint="eastAsia"/>
        </w:rPr>
        <w:t>1</w:t>
      </w:r>
      <w:r w:rsidRPr="00646774">
        <w:t>5</w:t>
      </w:r>
      <w:r w:rsidRPr="00646774">
        <w:rPr>
          <w:rFonts w:hint="eastAsia"/>
        </w:rPr>
        <w:t>,</w:t>
      </w:r>
      <w:r w:rsidRPr="00646774">
        <w:t xml:space="preserve"> </w:t>
      </w:r>
      <w:r w:rsidRPr="00646774">
        <w:rPr>
          <w:rFonts w:hint="eastAsia"/>
        </w:rPr>
        <w:t>1</w:t>
      </w:r>
      <w:r w:rsidRPr="00646774">
        <w:t>6</w:t>
      </w:r>
      <w:r w:rsidRPr="00646774">
        <w:rPr>
          <w:rFonts w:hint="eastAsia"/>
        </w:rPr>
        <w:t>,</w:t>
      </w:r>
      <w:r w:rsidRPr="00646774">
        <w:t xml:space="preserve"> </w:t>
      </w:r>
      <w:r w:rsidRPr="00646774">
        <w:rPr>
          <w:rFonts w:hint="eastAsia"/>
        </w:rPr>
        <w:t>1</w:t>
      </w:r>
      <w:r w:rsidRPr="00646774">
        <w:t>7</w:t>
      </w:r>
      <w:r w:rsidRPr="00646774">
        <w:rPr>
          <w:rFonts w:hint="eastAsia"/>
        </w:rPr>
        <w:t>,</w:t>
      </w:r>
      <w:r w:rsidRPr="00646774">
        <w:t xml:space="preserve"> </w:t>
      </w:r>
      <w:r w:rsidRPr="00646774">
        <w:rPr>
          <w:rFonts w:hint="eastAsia"/>
        </w:rPr>
        <w:t>1</w:t>
      </w:r>
      <w:r w:rsidRPr="00646774">
        <w:t>8</w:t>
      </w:r>
      <w:r w:rsidRPr="00646774">
        <w:rPr>
          <w:rFonts w:hint="eastAsia"/>
        </w:rPr>
        <w:t>,</w:t>
      </w:r>
      <w:r w:rsidRPr="00646774">
        <w:t xml:space="preserve"> </w:t>
      </w:r>
      <w:r w:rsidRPr="00646774">
        <w:rPr>
          <w:rFonts w:hint="eastAsia"/>
        </w:rPr>
        <w:t>1</w:t>
      </w:r>
      <w:r w:rsidRPr="00646774">
        <w:t>9</w:t>
      </w:r>
      <w:r w:rsidRPr="00646774">
        <w:rPr>
          <w:rFonts w:hint="eastAsia"/>
        </w:rPr>
        <w:t>,</w:t>
      </w:r>
      <w:r w:rsidRPr="00646774">
        <w:t xml:space="preserve"> </w:t>
      </w:r>
      <w:r w:rsidRPr="00646774">
        <w:rPr>
          <w:rFonts w:hint="eastAsia"/>
        </w:rPr>
        <w:t>2</w:t>
      </w:r>
      <w:r w:rsidRPr="00646774">
        <w:t>0</w:t>
      </w:r>
      <w:r w:rsidRPr="00646774">
        <w:rPr>
          <w:rFonts w:hint="eastAsia"/>
        </w:rPr>
        <w:t>,</w:t>
      </w:r>
      <w:r w:rsidRPr="00646774">
        <w:t xml:space="preserve"> </w:t>
      </w:r>
      <w:r w:rsidRPr="00646774">
        <w:rPr>
          <w:rFonts w:hint="eastAsia"/>
        </w:rPr>
        <w:t>2</w:t>
      </w:r>
      <w:r w:rsidRPr="00646774">
        <w:t>1</w:t>
      </w:r>
      <w:r w:rsidRPr="00646774">
        <w:rPr>
          <w:rFonts w:ascii="宋体" w:eastAsia="宋体" w:hAnsi="宋体" w:cs="宋体" w:hint="eastAsia"/>
        </w:rPr>
        <w:t>）</w:t>
      </w:r>
      <w:r w:rsidRPr="00646774">
        <w:t>(</w:t>
      </w:r>
      <w:r w:rsidRPr="00646774">
        <w:rPr>
          <w:i/>
        </w:rPr>
        <w:t xml:space="preserve">Fs </w:t>
      </w:r>
      <w:r w:rsidRPr="00646774">
        <w:t xml:space="preserve">≥ 8.00, </w:t>
      </w:r>
      <w:proofErr w:type="spellStart"/>
      <w:r w:rsidRPr="00646774">
        <w:rPr>
          <w:i/>
        </w:rPr>
        <w:t>ps</w:t>
      </w:r>
      <w:proofErr w:type="spellEnd"/>
      <w:r>
        <w:t xml:space="preserve"> </w:t>
      </w:r>
      <w:r w:rsidRPr="00646774">
        <w:t xml:space="preserve">≤ 0.009, </w:t>
      </w:r>
      <w:r w:rsidRPr="00646774">
        <w:rPr>
          <w:i/>
        </w:rPr>
        <w:t xml:space="preserve">ηs² </w:t>
      </w:r>
      <w:r w:rsidRPr="00646774">
        <w:t>≥ 0.13, FDR corrected</w:t>
      </w:r>
      <w:r>
        <w:t xml:space="preserve">, </w:t>
      </w:r>
      <w:r w:rsidRPr="006A1ECD">
        <w:rPr>
          <w:color w:val="4472C4" w:themeColor="accent1"/>
        </w:rPr>
        <w:t>Table 1</w:t>
      </w:r>
      <w:r w:rsidRPr="00646774">
        <w:t xml:space="preserve">). </w:t>
      </w:r>
    </w:p>
    <w:p w14:paraId="7B4CE877" w14:textId="53CDC1FD" w:rsidR="00F07FE0" w:rsidRDefault="00F07FE0" w:rsidP="00F07FE0">
      <w:r w:rsidRPr="00646774">
        <w:t>The results of simple effects analysis showed that participants in the guilty group exhibited</w:t>
      </w:r>
      <w:r w:rsidRPr="00C951E2">
        <w:t xml:space="preserve"> significantly higher HbO concentration changes in response to the probe </w:t>
      </w:r>
      <w:r w:rsidR="00BA2D9A" w:rsidRPr="00C951E2">
        <w:t>stimul</w:t>
      </w:r>
      <w:r w:rsidR="00BA2D9A">
        <w:t>i</w:t>
      </w:r>
      <w:r w:rsidR="00BA2D9A" w:rsidRPr="00C951E2">
        <w:t xml:space="preserve"> </w:t>
      </w:r>
      <w:r w:rsidRPr="00C951E2">
        <w:t xml:space="preserve">compared to that from irrelevant stimuli in channels </w:t>
      </w:r>
      <w:r w:rsidRPr="00C951E2">
        <w:rPr>
          <w:rFonts w:hint="eastAsia"/>
        </w:rPr>
        <w:t>5</w:t>
      </w:r>
      <w:r w:rsidRPr="00C951E2">
        <w:t>,</w:t>
      </w:r>
      <w:r>
        <w:t xml:space="preserve"> </w:t>
      </w:r>
      <w:r w:rsidRPr="00C951E2">
        <w:rPr>
          <w:rFonts w:hint="eastAsia"/>
        </w:rPr>
        <w:t>6</w:t>
      </w:r>
      <w:r w:rsidRPr="00C951E2">
        <w:t>,</w:t>
      </w:r>
      <w:r>
        <w:t xml:space="preserve"> </w:t>
      </w:r>
      <w:r w:rsidRPr="00C951E2">
        <w:rPr>
          <w:rFonts w:hint="eastAsia"/>
        </w:rPr>
        <w:t>7</w:t>
      </w:r>
      <w:r w:rsidRPr="00C951E2">
        <w:t>,</w:t>
      </w:r>
      <w:r>
        <w:t xml:space="preserve"> </w:t>
      </w:r>
      <w:r w:rsidRPr="00C951E2">
        <w:rPr>
          <w:rFonts w:hint="eastAsia"/>
        </w:rPr>
        <w:t>8</w:t>
      </w:r>
      <w:r w:rsidRPr="00C951E2">
        <w:t>,</w:t>
      </w:r>
      <w:r>
        <w:t xml:space="preserve"> </w:t>
      </w:r>
      <w:r w:rsidRPr="00C951E2">
        <w:rPr>
          <w:rFonts w:hint="eastAsia"/>
        </w:rPr>
        <w:t>9</w:t>
      </w:r>
      <w:r w:rsidRPr="00C951E2">
        <w:t>,</w:t>
      </w:r>
      <w:r>
        <w:t xml:space="preserve"> </w:t>
      </w:r>
      <w:r w:rsidRPr="00C951E2">
        <w:rPr>
          <w:rFonts w:hint="eastAsia"/>
        </w:rPr>
        <w:t>10</w:t>
      </w:r>
      <w:r w:rsidRPr="00C951E2">
        <w:t>,</w:t>
      </w:r>
      <w:r>
        <w:t xml:space="preserve"> </w:t>
      </w:r>
      <w:r w:rsidRPr="00C951E2">
        <w:rPr>
          <w:rFonts w:hint="eastAsia"/>
        </w:rPr>
        <w:t>11</w:t>
      </w:r>
      <w:r w:rsidRPr="00C951E2">
        <w:t>,</w:t>
      </w:r>
      <w:r>
        <w:t xml:space="preserve"> </w:t>
      </w:r>
      <w:r w:rsidRPr="00C951E2">
        <w:rPr>
          <w:rFonts w:hint="eastAsia"/>
        </w:rPr>
        <w:t>12</w:t>
      </w:r>
      <w:r w:rsidRPr="00C951E2">
        <w:t>,</w:t>
      </w:r>
      <w:r>
        <w:t xml:space="preserve"> </w:t>
      </w:r>
      <w:r w:rsidRPr="00C951E2">
        <w:rPr>
          <w:rFonts w:hint="eastAsia"/>
        </w:rPr>
        <w:t>13</w:t>
      </w:r>
      <w:r w:rsidRPr="00C951E2">
        <w:t>,</w:t>
      </w:r>
      <w:r>
        <w:t xml:space="preserve"> </w:t>
      </w:r>
      <w:r w:rsidRPr="00C951E2">
        <w:rPr>
          <w:rFonts w:hint="eastAsia"/>
        </w:rPr>
        <w:t>14</w:t>
      </w:r>
      <w:r w:rsidRPr="00C951E2">
        <w:t>,</w:t>
      </w:r>
      <w:r>
        <w:t xml:space="preserve"> </w:t>
      </w:r>
      <w:r w:rsidRPr="00C951E2">
        <w:t>15,</w:t>
      </w:r>
      <w:r>
        <w:t xml:space="preserve"> </w:t>
      </w:r>
      <w:r w:rsidRPr="00C951E2">
        <w:t>16,</w:t>
      </w:r>
      <w:r>
        <w:t xml:space="preserve"> </w:t>
      </w:r>
      <w:r w:rsidRPr="00C951E2">
        <w:lastRenderedPageBreak/>
        <w:t>17,</w:t>
      </w:r>
      <w:r>
        <w:t xml:space="preserve"> </w:t>
      </w:r>
      <w:r w:rsidRPr="00C951E2">
        <w:t>18,</w:t>
      </w:r>
      <w:r>
        <w:t xml:space="preserve"> </w:t>
      </w:r>
      <w:r w:rsidRPr="00C951E2">
        <w:t>19,</w:t>
      </w:r>
      <w:r>
        <w:t xml:space="preserve"> </w:t>
      </w:r>
      <w:r w:rsidRPr="00C951E2">
        <w:t>20,</w:t>
      </w:r>
      <w:r>
        <w:t xml:space="preserve"> </w:t>
      </w:r>
      <w:r w:rsidRPr="00C951E2">
        <w:t>21(</w:t>
      </w:r>
      <w:r w:rsidRPr="00C951E2">
        <w:rPr>
          <w:i/>
          <w:iCs/>
        </w:rPr>
        <w:t>F</w:t>
      </w:r>
      <w:r w:rsidRPr="00C951E2">
        <w:t>(1,</w:t>
      </w:r>
      <w:r>
        <w:t xml:space="preserve"> </w:t>
      </w:r>
      <w:r w:rsidRPr="00C951E2">
        <w:t>55)</w:t>
      </w:r>
      <w:r w:rsidRPr="00E23484">
        <w:rPr>
          <w:rFonts w:cs="Times New Roman"/>
        </w:rPr>
        <w:t xml:space="preserve"> </w:t>
      </w:r>
      <w:r w:rsidRPr="0073324E">
        <w:rPr>
          <w:rFonts w:cs="Times New Roman" w:hint="eastAsia"/>
        </w:rPr>
        <w:t>≥</w:t>
      </w:r>
      <w:r w:rsidRPr="00E23484">
        <w:rPr>
          <w:rFonts w:cs="Times New Roman"/>
        </w:rPr>
        <w:t xml:space="preserve"> 8.06,</w:t>
      </w:r>
      <w:r w:rsidRPr="00E23484">
        <w:rPr>
          <w:rFonts w:cs="Times New Roman"/>
          <w:i/>
          <w:iCs/>
        </w:rPr>
        <w:t xml:space="preserve"> </w:t>
      </w:r>
      <w:proofErr w:type="spellStart"/>
      <w:r w:rsidRPr="00E23484">
        <w:rPr>
          <w:rFonts w:cs="Times New Roman"/>
          <w:i/>
          <w:iCs/>
        </w:rPr>
        <w:t>ps</w:t>
      </w:r>
      <w:proofErr w:type="spellEnd"/>
      <w:r w:rsidRPr="00E23484">
        <w:rPr>
          <w:rFonts w:cs="Times New Roman"/>
          <w:i/>
          <w:iCs/>
        </w:rPr>
        <w:t xml:space="preserve"> </w:t>
      </w:r>
      <w:r w:rsidRPr="0073324E">
        <w:rPr>
          <w:rFonts w:cs="Times New Roman" w:hint="eastAsia"/>
        </w:rPr>
        <w:t>≤</w:t>
      </w:r>
      <w:r w:rsidRPr="00E23484">
        <w:rPr>
          <w:rFonts w:cs="Times New Roman"/>
        </w:rPr>
        <w:t xml:space="preserve"> 0.01, </w:t>
      </w:r>
      <w:r w:rsidRPr="00E23484">
        <w:rPr>
          <w:rFonts w:cs="Times New Roman"/>
          <w:i/>
        </w:rPr>
        <w:t xml:space="preserve">ηs² </w:t>
      </w:r>
      <w:r w:rsidRPr="0073324E">
        <w:rPr>
          <w:rFonts w:cs="Times New Roman" w:hint="eastAsia"/>
        </w:rPr>
        <w:t>≥</w:t>
      </w:r>
      <w:r w:rsidRPr="00E23484">
        <w:rPr>
          <w:rFonts w:cs="Times New Roman"/>
        </w:rPr>
        <w:t>0</w:t>
      </w:r>
      <w:r w:rsidRPr="00C951E2">
        <w:t>.11)</w:t>
      </w:r>
      <w:r w:rsidRPr="00646774">
        <w:t>.</w:t>
      </w:r>
      <w:r>
        <w:rPr>
          <w:rFonts w:hint="eastAsia"/>
        </w:rPr>
        <w:t xml:space="preserve"> </w:t>
      </w:r>
      <w:r w:rsidRPr="00F51D40">
        <w:rPr>
          <w:rFonts w:cs="Times New Roman"/>
        </w:rPr>
        <w:t xml:space="preserve">To visualize the brain activity for probe and irrelevant stimuli conditions in the guilty and innocent groups, the HbO images were created and displayed on a brain template shown in </w:t>
      </w:r>
      <w:r w:rsidRPr="006A1ECD">
        <w:rPr>
          <w:rFonts w:cs="Times New Roman"/>
          <w:color w:val="4472C4" w:themeColor="accent1"/>
        </w:rPr>
        <w:t>Figure 4</w:t>
      </w:r>
      <w:r w:rsidRPr="00F51D40">
        <w:rPr>
          <w:rFonts w:cs="Times New Roman"/>
        </w:rPr>
        <w:t>.</w:t>
      </w:r>
      <w:r w:rsidRPr="00DE7B01">
        <w:t xml:space="preserve"> </w:t>
      </w:r>
    </w:p>
    <w:tbl>
      <w:tblPr>
        <w:tblW w:w="9436" w:type="dxa"/>
        <w:tblBorders>
          <w:top w:val="single" w:sz="12" w:space="0" w:color="auto"/>
          <w:bottom w:val="single" w:sz="12" w:space="0" w:color="auto"/>
        </w:tblBorders>
        <w:tblLayout w:type="fixed"/>
        <w:tblLook w:val="04A0" w:firstRow="1" w:lastRow="0" w:firstColumn="1" w:lastColumn="0" w:noHBand="0" w:noVBand="1"/>
      </w:tblPr>
      <w:tblGrid>
        <w:gridCol w:w="1134"/>
        <w:gridCol w:w="746"/>
        <w:gridCol w:w="746"/>
        <w:gridCol w:w="752"/>
        <w:gridCol w:w="2151"/>
        <w:gridCol w:w="1302"/>
        <w:gridCol w:w="1533"/>
        <w:gridCol w:w="1072"/>
      </w:tblGrid>
      <w:tr w:rsidR="00B84A59" w:rsidRPr="00B71AF3" w14:paraId="6D42B3D8" w14:textId="77777777" w:rsidTr="00705382">
        <w:trPr>
          <w:trHeight w:val="238"/>
        </w:trPr>
        <w:tc>
          <w:tcPr>
            <w:tcW w:w="9436" w:type="dxa"/>
            <w:gridSpan w:val="8"/>
            <w:tcBorders>
              <w:top w:val="nil"/>
              <w:bottom w:val="single" w:sz="12" w:space="0" w:color="auto"/>
            </w:tcBorders>
            <w:vAlign w:val="center"/>
          </w:tcPr>
          <w:p w14:paraId="31498A12" w14:textId="597798A5" w:rsidR="00B84A59" w:rsidRPr="00B71AF3" w:rsidRDefault="00B84A59" w:rsidP="009566CB">
            <w:pPr>
              <w:spacing w:line="240" w:lineRule="auto"/>
              <w:ind w:firstLine="0"/>
              <w:jc w:val="center"/>
            </w:pPr>
            <w:r w:rsidRPr="006A1ECD">
              <w:rPr>
                <w:b/>
                <w:bCs/>
                <w:color w:val="4472C4" w:themeColor="accent1"/>
              </w:rPr>
              <w:t>Table 1</w:t>
            </w:r>
            <w:r w:rsidR="009566CB">
              <w:t>.</w:t>
            </w:r>
            <w:r w:rsidRPr="00B84A59">
              <w:t xml:space="preserve"> Statistical analysis using fNIRS oxyhemoglobin (HbO) changes</w:t>
            </w:r>
          </w:p>
        </w:tc>
      </w:tr>
      <w:tr w:rsidR="00B71AF3" w:rsidRPr="00B71AF3" w14:paraId="7497CBC7" w14:textId="77777777" w:rsidTr="005D6A70">
        <w:trPr>
          <w:trHeight w:val="238"/>
        </w:trPr>
        <w:tc>
          <w:tcPr>
            <w:tcW w:w="1134" w:type="dxa"/>
            <w:vMerge w:val="restart"/>
            <w:tcBorders>
              <w:top w:val="single" w:sz="12" w:space="0" w:color="auto"/>
              <w:bottom w:val="single" w:sz="4" w:space="0" w:color="auto"/>
            </w:tcBorders>
            <w:vAlign w:val="center"/>
          </w:tcPr>
          <w:p w14:paraId="67884E0A" w14:textId="77777777" w:rsidR="00B71AF3" w:rsidRPr="00B71AF3" w:rsidRDefault="00B71AF3" w:rsidP="00B71AF3">
            <w:pPr>
              <w:spacing w:line="240" w:lineRule="auto"/>
              <w:ind w:firstLine="0"/>
            </w:pPr>
            <w:r w:rsidRPr="00B71AF3">
              <w:t>Channels</w:t>
            </w:r>
          </w:p>
        </w:tc>
        <w:tc>
          <w:tcPr>
            <w:tcW w:w="2244" w:type="dxa"/>
            <w:gridSpan w:val="3"/>
            <w:tcBorders>
              <w:top w:val="single" w:sz="12" w:space="0" w:color="auto"/>
              <w:bottom w:val="single" w:sz="4" w:space="0" w:color="auto"/>
            </w:tcBorders>
          </w:tcPr>
          <w:p w14:paraId="7326D66F" w14:textId="77777777" w:rsidR="00B71AF3" w:rsidRPr="00B71AF3" w:rsidRDefault="00B71AF3" w:rsidP="00B71AF3">
            <w:pPr>
              <w:spacing w:line="240" w:lineRule="auto"/>
              <w:ind w:firstLine="0"/>
            </w:pPr>
            <w:r w:rsidRPr="00B71AF3">
              <w:t>MNI coordinate</w:t>
            </w:r>
            <w:r w:rsidRPr="00B71AF3">
              <w:rPr>
                <w:rFonts w:hint="eastAsia"/>
              </w:rPr>
              <w:t>s</w:t>
            </w:r>
          </w:p>
        </w:tc>
        <w:tc>
          <w:tcPr>
            <w:tcW w:w="2151" w:type="dxa"/>
            <w:vMerge w:val="restart"/>
            <w:tcBorders>
              <w:top w:val="single" w:sz="12" w:space="0" w:color="auto"/>
              <w:bottom w:val="single" w:sz="4" w:space="0" w:color="auto"/>
            </w:tcBorders>
            <w:vAlign w:val="center"/>
          </w:tcPr>
          <w:p w14:paraId="33FD4361" w14:textId="77777777" w:rsidR="00B71AF3" w:rsidRPr="00B71AF3" w:rsidRDefault="00B71AF3" w:rsidP="00B71AF3">
            <w:pPr>
              <w:spacing w:line="240" w:lineRule="auto"/>
              <w:ind w:firstLine="0"/>
            </w:pPr>
            <w:r w:rsidRPr="00B71AF3">
              <w:t>Brain regions</w:t>
            </w:r>
          </w:p>
        </w:tc>
        <w:tc>
          <w:tcPr>
            <w:tcW w:w="1302" w:type="dxa"/>
            <w:vMerge w:val="restart"/>
            <w:tcBorders>
              <w:top w:val="single" w:sz="12" w:space="0" w:color="auto"/>
              <w:bottom w:val="single" w:sz="4" w:space="0" w:color="auto"/>
            </w:tcBorders>
            <w:vAlign w:val="center"/>
          </w:tcPr>
          <w:p w14:paraId="160EBF2D" w14:textId="77777777" w:rsidR="00B71AF3" w:rsidRPr="00B71AF3" w:rsidRDefault="00B71AF3" w:rsidP="00B71AF3">
            <w:pPr>
              <w:spacing w:line="240" w:lineRule="auto"/>
              <w:ind w:firstLine="0"/>
            </w:pPr>
            <w:r w:rsidRPr="00B71AF3">
              <w:t>Probability</w:t>
            </w:r>
          </w:p>
        </w:tc>
        <w:tc>
          <w:tcPr>
            <w:tcW w:w="1533" w:type="dxa"/>
            <w:vMerge w:val="restart"/>
            <w:tcBorders>
              <w:top w:val="single" w:sz="12" w:space="0" w:color="auto"/>
              <w:bottom w:val="single" w:sz="4" w:space="0" w:color="auto"/>
            </w:tcBorders>
            <w:vAlign w:val="center"/>
          </w:tcPr>
          <w:p w14:paraId="4EC8DA25" w14:textId="77777777" w:rsidR="00B71AF3" w:rsidRPr="00B71AF3" w:rsidRDefault="00B71AF3" w:rsidP="00B71AF3">
            <w:pPr>
              <w:spacing w:line="240" w:lineRule="auto"/>
              <w:ind w:firstLine="0"/>
            </w:pPr>
            <w:r w:rsidRPr="00B71AF3">
              <w:t>Group</w:t>
            </w:r>
            <w:r w:rsidRPr="00B71AF3">
              <w:rPr>
                <w:rFonts w:hint="eastAsia"/>
              </w:rPr>
              <w:t>×</w:t>
            </w:r>
            <w:r w:rsidRPr="00B71AF3">
              <w:t>Stimuli</w:t>
            </w:r>
          </w:p>
        </w:tc>
        <w:tc>
          <w:tcPr>
            <w:tcW w:w="1072" w:type="dxa"/>
            <w:vMerge w:val="restart"/>
            <w:tcBorders>
              <w:top w:val="single" w:sz="12" w:space="0" w:color="auto"/>
              <w:bottom w:val="single" w:sz="4" w:space="0" w:color="auto"/>
            </w:tcBorders>
            <w:vAlign w:val="center"/>
          </w:tcPr>
          <w:p w14:paraId="0A658B25" w14:textId="77777777" w:rsidR="00B71AF3" w:rsidRPr="00B71AF3" w:rsidRDefault="00B71AF3" w:rsidP="00B71AF3">
            <w:pPr>
              <w:spacing w:line="240" w:lineRule="auto"/>
              <w:ind w:firstLine="0"/>
            </w:pPr>
            <w:r w:rsidRPr="00B71AF3">
              <w:t>AUC</w:t>
            </w:r>
          </w:p>
        </w:tc>
      </w:tr>
      <w:tr w:rsidR="00B71AF3" w:rsidRPr="00B71AF3" w14:paraId="514DC973" w14:textId="77777777" w:rsidTr="005D6A70">
        <w:trPr>
          <w:trHeight w:val="150"/>
        </w:trPr>
        <w:tc>
          <w:tcPr>
            <w:tcW w:w="1134" w:type="dxa"/>
            <w:vMerge/>
            <w:tcBorders>
              <w:top w:val="nil"/>
              <w:bottom w:val="single" w:sz="4" w:space="0" w:color="auto"/>
            </w:tcBorders>
            <w:vAlign w:val="center"/>
          </w:tcPr>
          <w:p w14:paraId="7E717A1D" w14:textId="77777777" w:rsidR="00B71AF3" w:rsidRPr="00B71AF3" w:rsidRDefault="00B71AF3" w:rsidP="00B71AF3">
            <w:pPr>
              <w:spacing w:line="240" w:lineRule="auto"/>
              <w:ind w:firstLine="0"/>
            </w:pPr>
          </w:p>
        </w:tc>
        <w:tc>
          <w:tcPr>
            <w:tcW w:w="746" w:type="dxa"/>
            <w:tcBorders>
              <w:top w:val="single" w:sz="4" w:space="0" w:color="auto"/>
              <w:bottom w:val="single" w:sz="4" w:space="0" w:color="auto"/>
            </w:tcBorders>
          </w:tcPr>
          <w:p w14:paraId="6266AF3B" w14:textId="77777777" w:rsidR="00B71AF3" w:rsidRPr="00B71AF3" w:rsidRDefault="00B71AF3" w:rsidP="00B71AF3">
            <w:pPr>
              <w:spacing w:line="240" w:lineRule="auto"/>
              <w:ind w:firstLine="0"/>
            </w:pPr>
            <w:r w:rsidRPr="00B71AF3">
              <w:rPr>
                <w:rFonts w:hint="eastAsia"/>
              </w:rPr>
              <w:t>X</w:t>
            </w:r>
          </w:p>
        </w:tc>
        <w:tc>
          <w:tcPr>
            <w:tcW w:w="746" w:type="dxa"/>
            <w:tcBorders>
              <w:top w:val="single" w:sz="4" w:space="0" w:color="auto"/>
              <w:bottom w:val="single" w:sz="4" w:space="0" w:color="auto"/>
            </w:tcBorders>
          </w:tcPr>
          <w:p w14:paraId="185D5EA6" w14:textId="77777777" w:rsidR="00B71AF3" w:rsidRPr="00B71AF3" w:rsidRDefault="00B71AF3" w:rsidP="00B71AF3">
            <w:pPr>
              <w:spacing w:line="240" w:lineRule="auto"/>
              <w:ind w:firstLine="0"/>
            </w:pPr>
            <w:r w:rsidRPr="00B71AF3">
              <w:rPr>
                <w:rFonts w:hint="eastAsia"/>
              </w:rPr>
              <w:t>Y</w:t>
            </w:r>
          </w:p>
        </w:tc>
        <w:tc>
          <w:tcPr>
            <w:tcW w:w="752" w:type="dxa"/>
            <w:tcBorders>
              <w:top w:val="single" w:sz="4" w:space="0" w:color="auto"/>
              <w:bottom w:val="single" w:sz="4" w:space="0" w:color="auto"/>
            </w:tcBorders>
          </w:tcPr>
          <w:p w14:paraId="5104D594" w14:textId="77777777" w:rsidR="00B71AF3" w:rsidRPr="00B71AF3" w:rsidRDefault="00B71AF3" w:rsidP="00B71AF3">
            <w:pPr>
              <w:spacing w:line="240" w:lineRule="auto"/>
              <w:ind w:firstLine="0"/>
            </w:pPr>
            <w:r w:rsidRPr="00B71AF3">
              <w:rPr>
                <w:rFonts w:hint="eastAsia"/>
              </w:rPr>
              <w:t>Z</w:t>
            </w:r>
          </w:p>
        </w:tc>
        <w:tc>
          <w:tcPr>
            <w:tcW w:w="2151" w:type="dxa"/>
            <w:vMerge/>
            <w:tcBorders>
              <w:top w:val="nil"/>
              <w:bottom w:val="single" w:sz="4" w:space="0" w:color="auto"/>
            </w:tcBorders>
            <w:vAlign w:val="center"/>
          </w:tcPr>
          <w:p w14:paraId="41826F59" w14:textId="77777777" w:rsidR="00B71AF3" w:rsidRPr="00B71AF3" w:rsidRDefault="00B71AF3" w:rsidP="00B71AF3">
            <w:pPr>
              <w:spacing w:line="240" w:lineRule="auto"/>
              <w:ind w:firstLine="0"/>
            </w:pPr>
          </w:p>
        </w:tc>
        <w:tc>
          <w:tcPr>
            <w:tcW w:w="1302" w:type="dxa"/>
            <w:vMerge/>
            <w:tcBorders>
              <w:top w:val="nil"/>
              <w:bottom w:val="single" w:sz="4" w:space="0" w:color="auto"/>
            </w:tcBorders>
          </w:tcPr>
          <w:p w14:paraId="43F68857" w14:textId="77777777" w:rsidR="00B71AF3" w:rsidRPr="00B71AF3" w:rsidRDefault="00B71AF3" w:rsidP="00B71AF3">
            <w:pPr>
              <w:spacing w:line="240" w:lineRule="auto"/>
              <w:ind w:firstLine="0"/>
            </w:pPr>
          </w:p>
        </w:tc>
        <w:tc>
          <w:tcPr>
            <w:tcW w:w="1533" w:type="dxa"/>
            <w:vMerge/>
            <w:tcBorders>
              <w:top w:val="nil"/>
              <w:bottom w:val="single" w:sz="4" w:space="0" w:color="auto"/>
            </w:tcBorders>
          </w:tcPr>
          <w:p w14:paraId="63D957BB" w14:textId="77777777" w:rsidR="00B71AF3" w:rsidRPr="00B71AF3" w:rsidRDefault="00B71AF3" w:rsidP="00B71AF3">
            <w:pPr>
              <w:spacing w:line="240" w:lineRule="auto"/>
              <w:ind w:firstLine="0"/>
            </w:pPr>
          </w:p>
        </w:tc>
        <w:tc>
          <w:tcPr>
            <w:tcW w:w="1072" w:type="dxa"/>
            <w:vMerge/>
            <w:tcBorders>
              <w:top w:val="nil"/>
              <w:bottom w:val="single" w:sz="4" w:space="0" w:color="auto"/>
            </w:tcBorders>
            <w:vAlign w:val="center"/>
          </w:tcPr>
          <w:p w14:paraId="240790E1" w14:textId="77777777" w:rsidR="00B71AF3" w:rsidRPr="00B71AF3" w:rsidRDefault="00B71AF3" w:rsidP="00B71AF3">
            <w:pPr>
              <w:spacing w:line="240" w:lineRule="auto"/>
              <w:ind w:firstLine="0"/>
            </w:pPr>
          </w:p>
        </w:tc>
      </w:tr>
      <w:tr w:rsidR="00B71AF3" w:rsidRPr="00B71AF3" w14:paraId="677F2362" w14:textId="77777777" w:rsidTr="005D6A70">
        <w:trPr>
          <w:trHeight w:val="268"/>
        </w:trPr>
        <w:tc>
          <w:tcPr>
            <w:tcW w:w="1134" w:type="dxa"/>
            <w:vAlign w:val="center"/>
          </w:tcPr>
          <w:p w14:paraId="216D670A" w14:textId="77777777" w:rsidR="00B71AF3" w:rsidRPr="00B71AF3" w:rsidRDefault="00B71AF3" w:rsidP="00B71AF3">
            <w:pPr>
              <w:spacing w:line="240" w:lineRule="auto"/>
              <w:ind w:firstLine="0"/>
            </w:pPr>
            <w:r w:rsidRPr="00B71AF3">
              <w:rPr>
                <w:rFonts w:hint="eastAsia"/>
              </w:rPr>
              <w:t>Ch</w:t>
            </w:r>
            <w:r w:rsidRPr="00B71AF3">
              <w:t xml:space="preserve"> 5</w:t>
            </w:r>
          </w:p>
        </w:tc>
        <w:tc>
          <w:tcPr>
            <w:tcW w:w="746" w:type="dxa"/>
            <w:vAlign w:val="bottom"/>
          </w:tcPr>
          <w:p w14:paraId="7D16AFDD" w14:textId="77777777" w:rsidR="00B71AF3" w:rsidRPr="00B71AF3" w:rsidRDefault="00B71AF3" w:rsidP="00B71AF3">
            <w:pPr>
              <w:spacing w:line="240" w:lineRule="auto"/>
              <w:ind w:firstLine="0"/>
            </w:pPr>
            <w:r w:rsidRPr="00B71AF3">
              <w:rPr>
                <w:rFonts w:hint="eastAsia"/>
              </w:rPr>
              <w:t>-46</w:t>
            </w:r>
          </w:p>
        </w:tc>
        <w:tc>
          <w:tcPr>
            <w:tcW w:w="746" w:type="dxa"/>
            <w:vAlign w:val="bottom"/>
          </w:tcPr>
          <w:p w14:paraId="6A65AB31" w14:textId="77777777" w:rsidR="00B71AF3" w:rsidRPr="00B71AF3" w:rsidRDefault="00B71AF3" w:rsidP="00B71AF3">
            <w:pPr>
              <w:spacing w:line="240" w:lineRule="auto"/>
              <w:ind w:firstLine="0"/>
            </w:pPr>
            <w:r w:rsidRPr="00B71AF3">
              <w:rPr>
                <w:rFonts w:hint="eastAsia"/>
              </w:rPr>
              <w:t>43</w:t>
            </w:r>
          </w:p>
        </w:tc>
        <w:tc>
          <w:tcPr>
            <w:tcW w:w="752" w:type="dxa"/>
            <w:vAlign w:val="bottom"/>
          </w:tcPr>
          <w:p w14:paraId="59656505" w14:textId="77777777" w:rsidR="00B71AF3" w:rsidRPr="00B71AF3" w:rsidRDefault="00B71AF3" w:rsidP="00B71AF3">
            <w:pPr>
              <w:spacing w:line="240" w:lineRule="auto"/>
              <w:ind w:firstLine="0"/>
            </w:pPr>
            <w:r w:rsidRPr="00B71AF3">
              <w:rPr>
                <w:rFonts w:hint="eastAsia"/>
              </w:rPr>
              <w:t>26</w:t>
            </w:r>
          </w:p>
        </w:tc>
        <w:tc>
          <w:tcPr>
            <w:tcW w:w="2151" w:type="dxa"/>
            <w:vAlign w:val="bottom"/>
          </w:tcPr>
          <w:p w14:paraId="21E15213" w14:textId="77777777" w:rsidR="00B71AF3" w:rsidRPr="00B71AF3" w:rsidRDefault="00B71AF3" w:rsidP="00B71AF3">
            <w:pPr>
              <w:spacing w:line="240" w:lineRule="auto"/>
              <w:ind w:firstLine="0"/>
            </w:pPr>
            <w:r w:rsidRPr="00B71AF3">
              <w:rPr>
                <w:rFonts w:hint="eastAsia"/>
              </w:rPr>
              <w:t>Left MFG (BA45)</w:t>
            </w:r>
          </w:p>
        </w:tc>
        <w:tc>
          <w:tcPr>
            <w:tcW w:w="1302" w:type="dxa"/>
            <w:vAlign w:val="bottom"/>
          </w:tcPr>
          <w:p w14:paraId="5C1673E6" w14:textId="77777777" w:rsidR="00B71AF3" w:rsidRPr="00B71AF3" w:rsidRDefault="00B71AF3" w:rsidP="009566CB">
            <w:pPr>
              <w:spacing w:line="240" w:lineRule="auto"/>
              <w:ind w:firstLine="0"/>
              <w:jc w:val="center"/>
            </w:pPr>
            <w:r w:rsidRPr="00B71AF3">
              <w:rPr>
                <w:rFonts w:hint="eastAsia"/>
              </w:rPr>
              <w:t>0.85</w:t>
            </w:r>
          </w:p>
        </w:tc>
        <w:tc>
          <w:tcPr>
            <w:tcW w:w="1533" w:type="dxa"/>
            <w:vAlign w:val="center"/>
          </w:tcPr>
          <w:p w14:paraId="646925F4" w14:textId="77777777" w:rsidR="00B71AF3" w:rsidRPr="00B71AF3" w:rsidRDefault="00B71AF3" w:rsidP="00B71AF3">
            <w:pPr>
              <w:spacing w:line="240" w:lineRule="auto"/>
              <w:ind w:firstLine="0"/>
            </w:pPr>
            <w:r w:rsidRPr="00B71AF3">
              <w:rPr>
                <w:i/>
              </w:rPr>
              <w:t>F</w:t>
            </w:r>
            <w:r w:rsidRPr="00B71AF3">
              <w:t xml:space="preserve"> = 17.02</w:t>
            </w:r>
            <w:r w:rsidRPr="00B71AF3">
              <w:rPr>
                <w:vertAlign w:val="superscript"/>
              </w:rPr>
              <w:t>***</w:t>
            </w:r>
          </w:p>
        </w:tc>
        <w:tc>
          <w:tcPr>
            <w:tcW w:w="1072" w:type="dxa"/>
            <w:vAlign w:val="center"/>
          </w:tcPr>
          <w:p w14:paraId="30E1F4F5" w14:textId="77777777" w:rsidR="00B71AF3" w:rsidRPr="00B71AF3" w:rsidRDefault="00B71AF3" w:rsidP="00B71AF3">
            <w:pPr>
              <w:spacing w:line="240" w:lineRule="auto"/>
              <w:ind w:firstLine="0"/>
            </w:pPr>
            <w:r w:rsidRPr="00B71AF3">
              <w:t>0.81</w:t>
            </w:r>
            <w:r w:rsidRPr="00B71AF3">
              <w:rPr>
                <w:vertAlign w:val="superscript"/>
              </w:rPr>
              <w:t>***</w:t>
            </w:r>
          </w:p>
        </w:tc>
      </w:tr>
      <w:tr w:rsidR="00B71AF3" w:rsidRPr="00B71AF3" w14:paraId="1AD64760" w14:textId="77777777" w:rsidTr="005D6A70">
        <w:trPr>
          <w:trHeight w:val="274"/>
        </w:trPr>
        <w:tc>
          <w:tcPr>
            <w:tcW w:w="1134" w:type="dxa"/>
            <w:vAlign w:val="center"/>
          </w:tcPr>
          <w:p w14:paraId="137D5247" w14:textId="77777777" w:rsidR="00B71AF3" w:rsidRPr="00B71AF3" w:rsidRDefault="00B71AF3" w:rsidP="00B71AF3">
            <w:pPr>
              <w:spacing w:line="240" w:lineRule="auto"/>
              <w:ind w:firstLine="0"/>
            </w:pPr>
            <w:r w:rsidRPr="00B71AF3">
              <w:rPr>
                <w:rFonts w:hint="eastAsia"/>
              </w:rPr>
              <w:t>Ch</w:t>
            </w:r>
            <w:r w:rsidRPr="00B71AF3">
              <w:t xml:space="preserve"> 6</w:t>
            </w:r>
          </w:p>
        </w:tc>
        <w:tc>
          <w:tcPr>
            <w:tcW w:w="746" w:type="dxa"/>
            <w:vAlign w:val="bottom"/>
          </w:tcPr>
          <w:p w14:paraId="49CA21F1" w14:textId="77777777" w:rsidR="00B71AF3" w:rsidRPr="00B71AF3" w:rsidRDefault="00B71AF3" w:rsidP="00B71AF3">
            <w:pPr>
              <w:spacing w:line="240" w:lineRule="auto"/>
              <w:ind w:firstLine="0"/>
            </w:pPr>
            <w:r w:rsidRPr="00B71AF3">
              <w:rPr>
                <w:rFonts w:hint="eastAsia"/>
              </w:rPr>
              <w:t>-35</w:t>
            </w:r>
          </w:p>
        </w:tc>
        <w:tc>
          <w:tcPr>
            <w:tcW w:w="746" w:type="dxa"/>
            <w:vAlign w:val="bottom"/>
          </w:tcPr>
          <w:p w14:paraId="6A850492" w14:textId="77777777" w:rsidR="00B71AF3" w:rsidRPr="00B71AF3" w:rsidRDefault="00B71AF3" w:rsidP="00B71AF3">
            <w:pPr>
              <w:spacing w:line="240" w:lineRule="auto"/>
              <w:ind w:firstLine="0"/>
            </w:pPr>
            <w:r w:rsidRPr="00B71AF3">
              <w:rPr>
                <w:rFonts w:hint="eastAsia"/>
              </w:rPr>
              <w:t>55</w:t>
            </w:r>
          </w:p>
        </w:tc>
        <w:tc>
          <w:tcPr>
            <w:tcW w:w="752" w:type="dxa"/>
            <w:vAlign w:val="bottom"/>
          </w:tcPr>
          <w:p w14:paraId="0C0D5612" w14:textId="77777777" w:rsidR="00B71AF3" w:rsidRPr="00B71AF3" w:rsidRDefault="00B71AF3" w:rsidP="00B71AF3">
            <w:pPr>
              <w:spacing w:line="240" w:lineRule="auto"/>
              <w:ind w:firstLine="0"/>
            </w:pPr>
            <w:r w:rsidRPr="00B71AF3">
              <w:rPr>
                <w:rFonts w:hint="eastAsia"/>
              </w:rPr>
              <w:t>28</w:t>
            </w:r>
          </w:p>
        </w:tc>
        <w:tc>
          <w:tcPr>
            <w:tcW w:w="2151" w:type="dxa"/>
            <w:vAlign w:val="bottom"/>
          </w:tcPr>
          <w:p w14:paraId="76AB9BC5" w14:textId="77777777" w:rsidR="00B71AF3" w:rsidRPr="00B71AF3" w:rsidRDefault="00B71AF3" w:rsidP="00B71AF3">
            <w:pPr>
              <w:spacing w:line="240" w:lineRule="auto"/>
              <w:ind w:firstLine="0"/>
            </w:pPr>
            <w:r w:rsidRPr="00B71AF3">
              <w:rPr>
                <w:rFonts w:hint="eastAsia"/>
              </w:rPr>
              <w:t>Left MFG(BA46)</w:t>
            </w:r>
          </w:p>
        </w:tc>
        <w:tc>
          <w:tcPr>
            <w:tcW w:w="1302" w:type="dxa"/>
            <w:vAlign w:val="bottom"/>
          </w:tcPr>
          <w:p w14:paraId="3083CD5A" w14:textId="77777777" w:rsidR="00B71AF3" w:rsidRPr="00B71AF3" w:rsidRDefault="00B71AF3" w:rsidP="009566CB">
            <w:pPr>
              <w:spacing w:line="240" w:lineRule="auto"/>
              <w:ind w:firstLine="0"/>
              <w:jc w:val="center"/>
            </w:pPr>
            <w:r w:rsidRPr="00B71AF3">
              <w:rPr>
                <w:rFonts w:hint="eastAsia"/>
              </w:rPr>
              <w:t>0.89</w:t>
            </w:r>
          </w:p>
        </w:tc>
        <w:tc>
          <w:tcPr>
            <w:tcW w:w="1533" w:type="dxa"/>
            <w:vAlign w:val="center"/>
          </w:tcPr>
          <w:p w14:paraId="4B69C80B" w14:textId="77777777" w:rsidR="00B71AF3" w:rsidRPr="00B71AF3" w:rsidRDefault="00B71AF3" w:rsidP="00B71AF3">
            <w:pPr>
              <w:spacing w:line="240" w:lineRule="auto"/>
              <w:ind w:firstLine="0"/>
            </w:pPr>
            <w:r w:rsidRPr="00B71AF3">
              <w:rPr>
                <w:i/>
              </w:rPr>
              <w:t>F</w:t>
            </w:r>
            <w:r w:rsidRPr="00B71AF3">
              <w:t xml:space="preserve"> = 17.18</w:t>
            </w:r>
            <w:r w:rsidRPr="00B71AF3">
              <w:rPr>
                <w:vertAlign w:val="superscript"/>
              </w:rPr>
              <w:t>***</w:t>
            </w:r>
          </w:p>
        </w:tc>
        <w:tc>
          <w:tcPr>
            <w:tcW w:w="1072" w:type="dxa"/>
            <w:vAlign w:val="center"/>
          </w:tcPr>
          <w:p w14:paraId="342C1960" w14:textId="77777777" w:rsidR="00B71AF3" w:rsidRPr="00B71AF3" w:rsidRDefault="00B71AF3" w:rsidP="00B71AF3">
            <w:pPr>
              <w:spacing w:line="240" w:lineRule="auto"/>
              <w:ind w:firstLine="0"/>
            </w:pPr>
            <w:r w:rsidRPr="00B71AF3">
              <w:t>0.81</w:t>
            </w:r>
            <w:r w:rsidRPr="00B71AF3">
              <w:rPr>
                <w:vertAlign w:val="superscript"/>
              </w:rPr>
              <w:t>***</w:t>
            </w:r>
          </w:p>
        </w:tc>
      </w:tr>
      <w:tr w:rsidR="00B71AF3" w:rsidRPr="00B71AF3" w14:paraId="49D6D0FF" w14:textId="77777777" w:rsidTr="005D6A70">
        <w:trPr>
          <w:trHeight w:val="268"/>
        </w:trPr>
        <w:tc>
          <w:tcPr>
            <w:tcW w:w="1134" w:type="dxa"/>
            <w:vAlign w:val="center"/>
          </w:tcPr>
          <w:p w14:paraId="297CFD00" w14:textId="77777777" w:rsidR="00B71AF3" w:rsidRPr="00B71AF3" w:rsidRDefault="00B71AF3" w:rsidP="00B71AF3">
            <w:pPr>
              <w:spacing w:line="240" w:lineRule="auto"/>
              <w:ind w:firstLine="0"/>
            </w:pPr>
            <w:r w:rsidRPr="00B71AF3">
              <w:rPr>
                <w:rFonts w:hint="eastAsia"/>
              </w:rPr>
              <w:t>Ch</w:t>
            </w:r>
            <w:r w:rsidRPr="00B71AF3">
              <w:t xml:space="preserve"> 7</w:t>
            </w:r>
          </w:p>
        </w:tc>
        <w:tc>
          <w:tcPr>
            <w:tcW w:w="746" w:type="dxa"/>
            <w:vAlign w:val="bottom"/>
          </w:tcPr>
          <w:p w14:paraId="3B02BBA6" w14:textId="77777777" w:rsidR="00B71AF3" w:rsidRPr="00B71AF3" w:rsidRDefault="00B71AF3" w:rsidP="00B71AF3">
            <w:pPr>
              <w:spacing w:line="240" w:lineRule="auto"/>
              <w:ind w:firstLine="0"/>
            </w:pPr>
            <w:r w:rsidRPr="00B71AF3">
              <w:rPr>
                <w:rFonts w:hint="eastAsia"/>
              </w:rPr>
              <w:t>-48</w:t>
            </w:r>
          </w:p>
        </w:tc>
        <w:tc>
          <w:tcPr>
            <w:tcW w:w="746" w:type="dxa"/>
            <w:vAlign w:val="bottom"/>
          </w:tcPr>
          <w:p w14:paraId="72E59031" w14:textId="77777777" w:rsidR="00B71AF3" w:rsidRPr="00B71AF3" w:rsidRDefault="00B71AF3" w:rsidP="00B71AF3">
            <w:pPr>
              <w:spacing w:line="240" w:lineRule="auto"/>
              <w:ind w:firstLine="0"/>
            </w:pPr>
            <w:r w:rsidRPr="00B71AF3">
              <w:rPr>
                <w:rFonts w:hint="eastAsia"/>
              </w:rPr>
              <w:t>51</w:t>
            </w:r>
          </w:p>
        </w:tc>
        <w:tc>
          <w:tcPr>
            <w:tcW w:w="752" w:type="dxa"/>
            <w:vAlign w:val="bottom"/>
          </w:tcPr>
          <w:p w14:paraId="6BD98D2D" w14:textId="77777777" w:rsidR="00B71AF3" w:rsidRPr="00B71AF3" w:rsidRDefault="00B71AF3" w:rsidP="00B71AF3">
            <w:pPr>
              <w:spacing w:line="240" w:lineRule="auto"/>
              <w:ind w:firstLine="0"/>
            </w:pPr>
            <w:r w:rsidRPr="00B71AF3">
              <w:rPr>
                <w:rFonts w:hint="eastAsia"/>
              </w:rPr>
              <w:t>0</w:t>
            </w:r>
          </w:p>
        </w:tc>
        <w:tc>
          <w:tcPr>
            <w:tcW w:w="2151" w:type="dxa"/>
            <w:vAlign w:val="bottom"/>
          </w:tcPr>
          <w:p w14:paraId="1409EE69" w14:textId="77777777" w:rsidR="00B71AF3" w:rsidRPr="00B71AF3" w:rsidRDefault="00B71AF3" w:rsidP="00B71AF3">
            <w:pPr>
              <w:spacing w:line="240" w:lineRule="auto"/>
              <w:ind w:firstLine="0"/>
            </w:pPr>
            <w:r w:rsidRPr="00B71AF3">
              <w:rPr>
                <w:rFonts w:hint="eastAsia"/>
              </w:rPr>
              <w:t>Left MFG(BA46)</w:t>
            </w:r>
          </w:p>
        </w:tc>
        <w:tc>
          <w:tcPr>
            <w:tcW w:w="1302" w:type="dxa"/>
            <w:vAlign w:val="bottom"/>
          </w:tcPr>
          <w:p w14:paraId="5C0BFDBF" w14:textId="77777777" w:rsidR="00B71AF3" w:rsidRPr="00B71AF3" w:rsidRDefault="00B71AF3" w:rsidP="009566CB">
            <w:pPr>
              <w:spacing w:line="240" w:lineRule="auto"/>
              <w:ind w:firstLine="0"/>
              <w:jc w:val="center"/>
            </w:pPr>
            <w:r w:rsidRPr="00B71AF3">
              <w:rPr>
                <w:rFonts w:hint="eastAsia"/>
              </w:rPr>
              <w:t>0.56</w:t>
            </w:r>
          </w:p>
        </w:tc>
        <w:tc>
          <w:tcPr>
            <w:tcW w:w="1533" w:type="dxa"/>
            <w:vAlign w:val="center"/>
          </w:tcPr>
          <w:p w14:paraId="53126CCA" w14:textId="77777777" w:rsidR="00B71AF3" w:rsidRPr="00B71AF3" w:rsidRDefault="00B71AF3" w:rsidP="00B71AF3">
            <w:pPr>
              <w:spacing w:line="240" w:lineRule="auto"/>
              <w:ind w:firstLine="0"/>
            </w:pPr>
            <w:r w:rsidRPr="00B71AF3">
              <w:rPr>
                <w:i/>
              </w:rPr>
              <w:t>F</w:t>
            </w:r>
            <w:r w:rsidRPr="00B71AF3">
              <w:t xml:space="preserve"> = 16.97</w:t>
            </w:r>
            <w:r w:rsidRPr="00B71AF3">
              <w:rPr>
                <w:vertAlign w:val="superscript"/>
              </w:rPr>
              <w:t>***</w:t>
            </w:r>
          </w:p>
        </w:tc>
        <w:tc>
          <w:tcPr>
            <w:tcW w:w="1072" w:type="dxa"/>
            <w:vAlign w:val="center"/>
          </w:tcPr>
          <w:p w14:paraId="04E46A83" w14:textId="77777777" w:rsidR="00B71AF3" w:rsidRPr="00B71AF3" w:rsidRDefault="00B71AF3" w:rsidP="00B71AF3">
            <w:pPr>
              <w:spacing w:line="240" w:lineRule="auto"/>
              <w:ind w:firstLine="0"/>
            </w:pPr>
            <w:r w:rsidRPr="00B71AF3">
              <w:t>0.82</w:t>
            </w:r>
            <w:r w:rsidRPr="00B71AF3">
              <w:rPr>
                <w:vertAlign w:val="superscript"/>
              </w:rPr>
              <w:t>***</w:t>
            </w:r>
          </w:p>
        </w:tc>
      </w:tr>
      <w:tr w:rsidR="00B71AF3" w:rsidRPr="00B71AF3" w14:paraId="46A6BD78" w14:textId="77777777" w:rsidTr="005D6A70">
        <w:trPr>
          <w:trHeight w:val="274"/>
        </w:trPr>
        <w:tc>
          <w:tcPr>
            <w:tcW w:w="1134" w:type="dxa"/>
            <w:vAlign w:val="center"/>
          </w:tcPr>
          <w:p w14:paraId="511CA353" w14:textId="77777777" w:rsidR="00B71AF3" w:rsidRPr="00B71AF3" w:rsidRDefault="00B71AF3" w:rsidP="00B71AF3">
            <w:pPr>
              <w:spacing w:line="240" w:lineRule="auto"/>
              <w:ind w:firstLine="0"/>
            </w:pPr>
            <w:r w:rsidRPr="00B71AF3">
              <w:rPr>
                <w:rFonts w:hint="eastAsia"/>
              </w:rPr>
              <w:t>Ch</w:t>
            </w:r>
            <w:r w:rsidRPr="00B71AF3">
              <w:t xml:space="preserve"> 8</w:t>
            </w:r>
          </w:p>
        </w:tc>
        <w:tc>
          <w:tcPr>
            <w:tcW w:w="746" w:type="dxa"/>
            <w:vAlign w:val="bottom"/>
          </w:tcPr>
          <w:p w14:paraId="52B27514" w14:textId="77777777" w:rsidR="00B71AF3" w:rsidRPr="00B71AF3" w:rsidRDefault="00B71AF3" w:rsidP="00B71AF3">
            <w:pPr>
              <w:spacing w:line="240" w:lineRule="auto"/>
              <w:ind w:firstLine="0"/>
            </w:pPr>
            <w:r w:rsidRPr="00B71AF3">
              <w:rPr>
                <w:rFonts w:hint="eastAsia"/>
              </w:rPr>
              <w:t>-38</w:t>
            </w:r>
          </w:p>
        </w:tc>
        <w:tc>
          <w:tcPr>
            <w:tcW w:w="746" w:type="dxa"/>
            <w:vAlign w:val="bottom"/>
          </w:tcPr>
          <w:p w14:paraId="23425683" w14:textId="77777777" w:rsidR="00B71AF3" w:rsidRPr="00B71AF3" w:rsidRDefault="00B71AF3" w:rsidP="00B71AF3">
            <w:pPr>
              <w:spacing w:line="240" w:lineRule="auto"/>
              <w:ind w:firstLine="0"/>
            </w:pPr>
            <w:r w:rsidRPr="00B71AF3">
              <w:rPr>
                <w:rFonts w:hint="eastAsia"/>
              </w:rPr>
              <w:t>63</w:t>
            </w:r>
          </w:p>
        </w:tc>
        <w:tc>
          <w:tcPr>
            <w:tcW w:w="752" w:type="dxa"/>
            <w:vAlign w:val="bottom"/>
          </w:tcPr>
          <w:p w14:paraId="42FD95B0" w14:textId="77777777" w:rsidR="00B71AF3" w:rsidRPr="00B71AF3" w:rsidRDefault="00B71AF3" w:rsidP="00B71AF3">
            <w:pPr>
              <w:spacing w:line="240" w:lineRule="auto"/>
              <w:ind w:firstLine="0"/>
            </w:pPr>
            <w:r w:rsidRPr="00B71AF3">
              <w:rPr>
                <w:rFonts w:hint="eastAsia"/>
              </w:rPr>
              <w:t>0</w:t>
            </w:r>
          </w:p>
        </w:tc>
        <w:tc>
          <w:tcPr>
            <w:tcW w:w="2151" w:type="dxa"/>
            <w:vAlign w:val="bottom"/>
          </w:tcPr>
          <w:p w14:paraId="15646053" w14:textId="77777777" w:rsidR="00B71AF3" w:rsidRPr="00B71AF3" w:rsidRDefault="00B71AF3" w:rsidP="00B71AF3">
            <w:pPr>
              <w:spacing w:line="240" w:lineRule="auto"/>
              <w:ind w:firstLine="0"/>
            </w:pPr>
            <w:r w:rsidRPr="00B71AF3">
              <w:rPr>
                <w:rFonts w:hint="eastAsia"/>
              </w:rPr>
              <w:t>Left MFG (BA10)</w:t>
            </w:r>
          </w:p>
        </w:tc>
        <w:tc>
          <w:tcPr>
            <w:tcW w:w="1302" w:type="dxa"/>
            <w:vAlign w:val="bottom"/>
          </w:tcPr>
          <w:p w14:paraId="46D00C65" w14:textId="77777777" w:rsidR="00B71AF3" w:rsidRPr="00B71AF3" w:rsidRDefault="00B71AF3" w:rsidP="009566CB">
            <w:pPr>
              <w:spacing w:line="240" w:lineRule="auto"/>
              <w:ind w:firstLine="0"/>
              <w:jc w:val="center"/>
            </w:pPr>
            <w:r w:rsidRPr="00B71AF3">
              <w:rPr>
                <w:rFonts w:hint="eastAsia"/>
              </w:rPr>
              <w:t>0.78</w:t>
            </w:r>
          </w:p>
        </w:tc>
        <w:tc>
          <w:tcPr>
            <w:tcW w:w="1533" w:type="dxa"/>
            <w:vAlign w:val="center"/>
          </w:tcPr>
          <w:p w14:paraId="36785A08" w14:textId="77777777" w:rsidR="00B71AF3" w:rsidRPr="00B71AF3" w:rsidRDefault="00B71AF3" w:rsidP="00B71AF3">
            <w:pPr>
              <w:spacing w:line="240" w:lineRule="auto"/>
              <w:ind w:firstLine="0"/>
            </w:pPr>
            <w:r w:rsidRPr="00B71AF3">
              <w:rPr>
                <w:i/>
              </w:rPr>
              <w:t>F</w:t>
            </w:r>
            <w:r w:rsidRPr="00B71AF3">
              <w:t xml:space="preserve"> = 28.86</w:t>
            </w:r>
            <w:r w:rsidRPr="00B71AF3">
              <w:rPr>
                <w:vertAlign w:val="superscript"/>
              </w:rPr>
              <w:t>***</w:t>
            </w:r>
          </w:p>
        </w:tc>
        <w:tc>
          <w:tcPr>
            <w:tcW w:w="1072" w:type="dxa"/>
            <w:vAlign w:val="center"/>
          </w:tcPr>
          <w:p w14:paraId="4222A87E" w14:textId="77777777" w:rsidR="00B71AF3" w:rsidRPr="00B71AF3" w:rsidRDefault="00B71AF3" w:rsidP="00B71AF3">
            <w:pPr>
              <w:spacing w:line="240" w:lineRule="auto"/>
              <w:ind w:firstLine="0"/>
            </w:pPr>
            <w:r w:rsidRPr="00B71AF3">
              <w:t>0.86</w:t>
            </w:r>
            <w:r w:rsidRPr="00B71AF3">
              <w:rPr>
                <w:vertAlign w:val="superscript"/>
              </w:rPr>
              <w:t>***</w:t>
            </w:r>
          </w:p>
        </w:tc>
      </w:tr>
      <w:tr w:rsidR="00B71AF3" w:rsidRPr="00B71AF3" w14:paraId="47C8915A" w14:textId="77777777" w:rsidTr="005D6A70">
        <w:trPr>
          <w:trHeight w:val="268"/>
        </w:trPr>
        <w:tc>
          <w:tcPr>
            <w:tcW w:w="1134" w:type="dxa"/>
            <w:vAlign w:val="center"/>
          </w:tcPr>
          <w:p w14:paraId="05BF7A51" w14:textId="77777777" w:rsidR="00B71AF3" w:rsidRPr="00B71AF3" w:rsidRDefault="00B71AF3" w:rsidP="00B71AF3">
            <w:pPr>
              <w:spacing w:line="240" w:lineRule="auto"/>
              <w:ind w:firstLine="0"/>
            </w:pPr>
            <w:r w:rsidRPr="00B71AF3">
              <w:rPr>
                <w:rFonts w:hint="eastAsia"/>
              </w:rPr>
              <w:t>Ch</w:t>
            </w:r>
            <w:r w:rsidRPr="00B71AF3">
              <w:t xml:space="preserve"> 9</w:t>
            </w:r>
          </w:p>
        </w:tc>
        <w:tc>
          <w:tcPr>
            <w:tcW w:w="746" w:type="dxa"/>
            <w:vAlign w:val="bottom"/>
          </w:tcPr>
          <w:p w14:paraId="1DC4211D" w14:textId="77777777" w:rsidR="00B71AF3" w:rsidRPr="00B71AF3" w:rsidRDefault="00B71AF3" w:rsidP="00B71AF3">
            <w:pPr>
              <w:spacing w:line="240" w:lineRule="auto"/>
              <w:ind w:firstLine="0"/>
            </w:pPr>
            <w:r w:rsidRPr="00B71AF3">
              <w:rPr>
                <w:rFonts w:hint="eastAsia"/>
              </w:rPr>
              <w:t>-22</w:t>
            </w:r>
          </w:p>
        </w:tc>
        <w:tc>
          <w:tcPr>
            <w:tcW w:w="746" w:type="dxa"/>
            <w:vAlign w:val="bottom"/>
          </w:tcPr>
          <w:p w14:paraId="0837050B" w14:textId="77777777" w:rsidR="00B71AF3" w:rsidRPr="00B71AF3" w:rsidRDefault="00B71AF3" w:rsidP="00B71AF3">
            <w:pPr>
              <w:spacing w:line="240" w:lineRule="auto"/>
              <w:ind w:firstLine="0"/>
            </w:pPr>
            <w:r w:rsidRPr="00B71AF3">
              <w:rPr>
                <w:rFonts w:hint="eastAsia"/>
              </w:rPr>
              <w:t>61</w:t>
            </w:r>
          </w:p>
        </w:tc>
        <w:tc>
          <w:tcPr>
            <w:tcW w:w="752" w:type="dxa"/>
            <w:vAlign w:val="bottom"/>
          </w:tcPr>
          <w:p w14:paraId="41C9309E" w14:textId="77777777" w:rsidR="00B71AF3" w:rsidRPr="00B71AF3" w:rsidRDefault="00B71AF3" w:rsidP="00B71AF3">
            <w:pPr>
              <w:spacing w:line="240" w:lineRule="auto"/>
              <w:ind w:firstLine="0"/>
            </w:pPr>
            <w:r w:rsidRPr="00B71AF3">
              <w:rPr>
                <w:rFonts w:hint="eastAsia"/>
              </w:rPr>
              <w:t>29</w:t>
            </w:r>
          </w:p>
        </w:tc>
        <w:tc>
          <w:tcPr>
            <w:tcW w:w="2151" w:type="dxa"/>
            <w:vAlign w:val="bottom"/>
          </w:tcPr>
          <w:p w14:paraId="5E5AEB06" w14:textId="77777777" w:rsidR="00B71AF3" w:rsidRPr="00B71AF3" w:rsidRDefault="00B71AF3" w:rsidP="00B71AF3">
            <w:pPr>
              <w:spacing w:line="240" w:lineRule="auto"/>
              <w:ind w:firstLine="0"/>
            </w:pPr>
            <w:r w:rsidRPr="00B71AF3">
              <w:rPr>
                <w:rFonts w:hint="eastAsia"/>
              </w:rPr>
              <w:t>Left SFG(BA10)</w:t>
            </w:r>
          </w:p>
        </w:tc>
        <w:tc>
          <w:tcPr>
            <w:tcW w:w="1302" w:type="dxa"/>
            <w:vAlign w:val="bottom"/>
          </w:tcPr>
          <w:p w14:paraId="60F725E9" w14:textId="77777777" w:rsidR="00B71AF3" w:rsidRPr="00B71AF3" w:rsidRDefault="00B71AF3" w:rsidP="009566CB">
            <w:pPr>
              <w:spacing w:line="240" w:lineRule="auto"/>
              <w:ind w:firstLine="0"/>
              <w:jc w:val="center"/>
            </w:pPr>
            <w:r w:rsidRPr="00B71AF3">
              <w:rPr>
                <w:rFonts w:hint="eastAsia"/>
              </w:rPr>
              <w:t>0.85</w:t>
            </w:r>
          </w:p>
        </w:tc>
        <w:tc>
          <w:tcPr>
            <w:tcW w:w="1533" w:type="dxa"/>
            <w:vAlign w:val="center"/>
          </w:tcPr>
          <w:p w14:paraId="04764898" w14:textId="77777777" w:rsidR="00B71AF3" w:rsidRPr="00B71AF3" w:rsidRDefault="00B71AF3" w:rsidP="00B71AF3">
            <w:pPr>
              <w:spacing w:line="240" w:lineRule="auto"/>
              <w:ind w:firstLine="0"/>
            </w:pPr>
            <w:r w:rsidRPr="00B71AF3">
              <w:rPr>
                <w:i/>
              </w:rPr>
              <w:t>F</w:t>
            </w:r>
            <w:r w:rsidRPr="00B71AF3">
              <w:t xml:space="preserve"> = 23.06</w:t>
            </w:r>
            <w:r w:rsidRPr="00B71AF3">
              <w:rPr>
                <w:vertAlign w:val="superscript"/>
              </w:rPr>
              <w:t>***</w:t>
            </w:r>
          </w:p>
        </w:tc>
        <w:tc>
          <w:tcPr>
            <w:tcW w:w="1072" w:type="dxa"/>
            <w:vAlign w:val="center"/>
          </w:tcPr>
          <w:p w14:paraId="48CBA6BE" w14:textId="77777777" w:rsidR="00B71AF3" w:rsidRPr="00B71AF3" w:rsidRDefault="00B71AF3" w:rsidP="00B71AF3">
            <w:pPr>
              <w:spacing w:line="240" w:lineRule="auto"/>
              <w:ind w:firstLine="0"/>
            </w:pPr>
            <w:r w:rsidRPr="00B71AF3">
              <w:t>0.85</w:t>
            </w:r>
            <w:r w:rsidRPr="00B71AF3">
              <w:rPr>
                <w:vertAlign w:val="superscript"/>
              </w:rPr>
              <w:t>***</w:t>
            </w:r>
          </w:p>
        </w:tc>
      </w:tr>
      <w:tr w:rsidR="00B71AF3" w:rsidRPr="00B71AF3" w14:paraId="4CF2EF48" w14:textId="77777777" w:rsidTr="005D6A70">
        <w:trPr>
          <w:trHeight w:val="274"/>
        </w:trPr>
        <w:tc>
          <w:tcPr>
            <w:tcW w:w="1134" w:type="dxa"/>
            <w:vAlign w:val="center"/>
          </w:tcPr>
          <w:p w14:paraId="747D0AB9" w14:textId="77777777" w:rsidR="00B71AF3" w:rsidRPr="00B71AF3" w:rsidRDefault="00B71AF3" w:rsidP="00B71AF3">
            <w:pPr>
              <w:spacing w:line="240" w:lineRule="auto"/>
              <w:ind w:firstLine="0"/>
            </w:pPr>
            <w:r w:rsidRPr="00B71AF3">
              <w:rPr>
                <w:rFonts w:hint="eastAsia"/>
              </w:rPr>
              <w:t>Ch</w:t>
            </w:r>
            <w:r w:rsidRPr="00B71AF3">
              <w:t xml:space="preserve"> 10</w:t>
            </w:r>
          </w:p>
        </w:tc>
        <w:tc>
          <w:tcPr>
            <w:tcW w:w="746" w:type="dxa"/>
            <w:vAlign w:val="bottom"/>
          </w:tcPr>
          <w:p w14:paraId="7C116406" w14:textId="77777777" w:rsidR="00B71AF3" w:rsidRPr="00B71AF3" w:rsidRDefault="00B71AF3" w:rsidP="00B71AF3">
            <w:pPr>
              <w:spacing w:line="240" w:lineRule="auto"/>
              <w:ind w:firstLine="0"/>
            </w:pPr>
            <w:r w:rsidRPr="00B71AF3">
              <w:rPr>
                <w:rFonts w:hint="eastAsia"/>
              </w:rPr>
              <w:t>-10</w:t>
            </w:r>
          </w:p>
        </w:tc>
        <w:tc>
          <w:tcPr>
            <w:tcW w:w="746" w:type="dxa"/>
            <w:vAlign w:val="bottom"/>
          </w:tcPr>
          <w:p w14:paraId="42372E18" w14:textId="77777777" w:rsidR="00B71AF3" w:rsidRPr="00B71AF3" w:rsidRDefault="00B71AF3" w:rsidP="00B71AF3">
            <w:pPr>
              <w:spacing w:line="240" w:lineRule="auto"/>
              <w:ind w:firstLine="0"/>
            </w:pPr>
            <w:r w:rsidRPr="00B71AF3">
              <w:rPr>
                <w:rFonts w:hint="eastAsia"/>
              </w:rPr>
              <w:t>65</w:t>
            </w:r>
          </w:p>
        </w:tc>
        <w:tc>
          <w:tcPr>
            <w:tcW w:w="752" w:type="dxa"/>
            <w:vAlign w:val="bottom"/>
          </w:tcPr>
          <w:p w14:paraId="59F0288E" w14:textId="77777777" w:rsidR="00B71AF3" w:rsidRPr="00B71AF3" w:rsidRDefault="00B71AF3" w:rsidP="00B71AF3">
            <w:pPr>
              <w:spacing w:line="240" w:lineRule="auto"/>
              <w:ind w:firstLine="0"/>
            </w:pPr>
            <w:r w:rsidRPr="00B71AF3">
              <w:rPr>
                <w:rFonts w:hint="eastAsia"/>
              </w:rPr>
              <w:t>31</w:t>
            </w:r>
          </w:p>
        </w:tc>
        <w:tc>
          <w:tcPr>
            <w:tcW w:w="2151" w:type="dxa"/>
            <w:vAlign w:val="bottom"/>
          </w:tcPr>
          <w:p w14:paraId="6D50C79E" w14:textId="77777777" w:rsidR="00B71AF3" w:rsidRPr="00B71AF3" w:rsidRDefault="00B71AF3" w:rsidP="00B71AF3">
            <w:pPr>
              <w:spacing w:line="240" w:lineRule="auto"/>
              <w:ind w:firstLine="0"/>
            </w:pPr>
            <w:r w:rsidRPr="00B71AF3">
              <w:rPr>
                <w:rFonts w:hint="eastAsia"/>
              </w:rPr>
              <w:t>Left SFG(BA10)</w:t>
            </w:r>
          </w:p>
        </w:tc>
        <w:tc>
          <w:tcPr>
            <w:tcW w:w="1302" w:type="dxa"/>
            <w:vAlign w:val="bottom"/>
          </w:tcPr>
          <w:p w14:paraId="4F06F827" w14:textId="77777777" w:rsidR="00B71AF3" w:rsidRPr="00B71AF3" w:rsidRDefault="00B71AF3" w:rsidP="009566CB">
            <w:pPr>
              <w:spacing w:line="240" w:lineRule="auto"/>
              <w:ind w:firstLine="0"/>
              <w:jc w:val="center"/>
            </w:pPr>
            <w:r w:rsidRPr="00B71AF3">
              <w:rPr>
                <w:rFonts w:hint="eastAsia"/>
              </w:rPr>
              <w:t>1</w:t>
            </w:r>
          </w:p>
        </w:tc>
        <w:tc>
          <w:tcPr>
            <w:tcW w:w="1533" w:type="dxa"/>
            <w:vAlign w:val="center"/>
          </w:tcPr>
          <w:p w14:paraId="596ABE78" w14:textId="77777777" w:rsidR="00B71AF3" w:rsidRPr="00B71AF3" w:rsidRDefault="00B71AF3" w:rsidP="00B71AF3">
            <w:pPr>
              <w:spacing w:line="240" w:lineRule="auto"/>
              <w:ind w:firstLine="0"/>
            </w:pPr>
            <w:r w:rsidRPr="00B71AF3">
              <w:rPr>
                <w:i/>
              </w:rPr>
              <w:t>F</w:t>
            </w:r>
            <w:r w:rsidRPr="00B71AF3">
              <w:t xml:space="preserve"> = 8.99</w:t>
            </w:r>
            <w:r w:rsidRPr="00B71AF3">
              <w:rPr>
                <w:vertAlign w:val="superscript"/>
              </w:rPr>
              <w:t>**</w:t>
            </w:r>
          </w:p>
        </w:tc>
        <w:tc>
          <w:tcPr>
            <w:tcW w:w="1072" w:type="dxa"/>
            <w:vAlign w:val="center"/>
          </w:tcPr>
          <w:p w14:paraId="6F19D450" w14:textId="77777777" w:rsidR="00B71AF3" w:rsidRPr="00B71AF3" w:rsidRDefault="00B71AF3" w:rsidP="00B71AF3">
            <w:pPr>
              <w:spacing w:line="240" w:lineRule="auto"/>
              <w:ind w:firstLine="0"/>
            </w:pPr>
            <w:r w:rsidRPr="00B71AF3">
              <w:t>0.83</w:t>
            </w:r>
            <w:r w:rsidRPr="00B71AF3">
              <w:rPr>
                <w:vertAlign w:val="superscript"/>
              </w:rPr>
              <w:t>***</w:t>
            </w:r>
          </w:p>
        </w:tc>
      </w:tr>
      <w:tr w:rsidR="00B71AF3" w:rsidRPr="00B71AF3" w14:paraId="28BF8694" w14:textId="77777777" w:rsidTr="005D6A70">
        <w:trPr>
          <w:trHeight w:val="268"/>
        </w:trPr>
        <w:tc>
          <w:tcPr>
            <w:tcW w:w="1134" w:type="dxa"/>
            <w:vAlign w:val="center"/>
          </w:tcPr>
          <w:p w14:paraId="1ED27E7E" w14:textId="77777777" w:rsidR="00B71AF3" w:rsidRPr="00B71AF3" w:rsidRDefault="00B71AF3" w:rsidP="00B71AF3">
            <w:pPr>
              <w:spacing w:line="240" w:lineRule="auto"/>
              <w:ind w:firstLine="0"/>
            </w:pPr>
            <w:r w:rsidRPr="00B71AF3">
              <w:rPr>
                <w:rFonts w:hint="eastAsia"/>
              </w:rPr>
              <w:t>Ch</w:t>
            </w:r>
            <w:r w:rsidRPr="00B71AF3">
              <w:t xml:space="preserve"> 11</w:t>
            </w:r>
          </w:p>
        </w:tc>
        <w:tc>
          <w:tcPr>
            <w:tcW w:w="746" w:type="dxa"/>
            <w:vAlign w:val="bottom"/>
          </w:tcPr>
          <w:p w14:paraId="0C4B5961" w14:textId="77777777" w:rsidR="00B71AF3" w:rsidRPr="00B71AF3" w:rsidRDefault="00B71AF3" w:rsidP="00B71AF3">
            <w:pPr>
              <w:spacing w:line="240" w:lineRule="auto"/>
              <w:ind w:firstLine="0"/>
            </w:pPr>
            <w:r w:rsidRPr="00B71AF3">
              <w:rPr>
                <w:rFonts w:hint="eastAsia"/>
              </w:rPr>
              <w:t>-25</w:t>
            </w:r>
          </w:p>
        </w:tc>
        <w:tc>
          <w:tcPr>
            <w:tcW w:w="746" w:type="dxa"/>
            <w:vAlign w:val="bottom"/>
          </w:tcPr>
          <w:p w14:paraId="41B09B28" w14:textId="77777777" w:rsidR="00B71AF3" w:rsidRPr="00B71AF3" w:rsidRDefault="00B71AF3" w:rsidP="00B71AF3">
            <w:pPr>
              <w:spacing w:line="240" w:lineRule="auto"/>
              <w:ind w:firstLine="0"/>
            </w:pPr>
            <w:r w:rsidRPr="00B71AF3">
              <w:rPr>
                <w:rFonts w:hint="eastAsia"/>
              </w:rPr>
              <w:t>69</w:t>
            </w:r>
          </w:p>
        </w:tc>
        <w:tc>
          <w:tcPr>
            <w:tcW w:w="752" w:type="dxa"/>
            <w:vAlign w:val="bottom"/>
          </w:tcPr>
          <w:p w14:paraId="2F3D1ADC" w14:textId="77777777" w:rsidR="00B71AF3" w:rsidRPr="00B71AF3" w:rsidRDefault="00B71AF3" w:rsidP="00B71AF3">
            <w:pPr>
              <w:spacing w:line="240" w:lineRule="auto"/>
              <w:ind w:firstLine="0"/>
            </w:pPr>
            <w:r w:rsidRPr="00B71AF3">
              <w:rPr>
                <w:rFonts w:hint="eastAsia"/>
              </w:rPr>
              <w:t>2</w:t>
            </w:r>
          </w:p>
        </w:tc>
        <w:tc>
          <w:tcPr>
            <w:tcW w:w="2151" w:type="dxa"/>
            <w:vAlign w:val="bottom"/>
          </w:tcPr>
          <w:p w14:paraId="563C2EC8" w14:textId="77777777" w:rsidR="00B71AF3" w:rsidRPr="00B71AF3" w:rsidRDefault="00B71AF3" w:rsidP="00B71AF3">
            <w:pPr>
              <w:spacing w:line="240" w:lineRule="auto"/>
              <w:ind w:firstLine="0"/>
            </w:pPr>
            <w:r w:rsidRPr="00B71AF3">
              <w:rPr>
                <w:rFonts w:hint="eastAsia"/>
              </w:rPr>
              <w:t>Left SFG (BA10)</w:t>
            </w:r>
          </w:p>
        </w:tc>
        <w:tc>
          <w:tcPr>
            <w:tcW w:w="1302" w:type="dxa"/>
            <w:vAlign w:val="bottom"/>
          </w:tcPr>
          <w:p w14:paraId="5DDB85B9" w14:textId="77777777" w:rsidR="00B71AF3" w:rsidRPr="00B71AF3" w:rsidRDefault="00B71AF3" w:rsidP="009566CB">
            <w:pPr>
              <w:spacing w:line="240" w:lineRule="auto"/>
              <w:ind w:firstLine="0"/>
              <w:jc w:val="center"/>
            </w:pPr>
            <w:r w:rsidRPr="00B71AF3">
              <w:rPr>
                <w:rFonts w:hint="eastAsia"/>
              </w:rPr>
              <w:t>0.92</w:t>
            </w:r>
          </w:p>
        </w:tc>
        <w:tc>
          <w:tcPr>
            <w:tcW w:w="1533" w:type="dxa"/>
            <w:vAlign w:val="center"/>
          </w:tcPr>
          <w:p w14:paraId="49A5E698" w14:textId="77777777" w:rsidR="00B71AF3" w:rsidRPr="00B71AF3" w:rsidRDefault="00B71AF3" w:rsidP="00B71AF3">
            <w:pPr>
              <w:spacing w:line="240" w:lineRule="auto"/>
              <w:ind w:firstLine="0"/>
            </w:pPr>
            <w:r w:rsidRPr="00B71AF3">
              <w:rPr>
                <w:i/>
              </w:rPr>
              <w:t>F</w:t>
            </w:r>
            <w:r w:rsidRPr="00B71AF3">
              <w:t xml:space="preserve"> = 20.94</w:t>
            </w:r>
            <w:r w:rsidRPr="00B71AF3">
              <w:rPr>
                <w:vertAlign w:val="superscript"/>
              </w:rPr>
              <w:t>***</w:t>
            </w:r>
          </w:p>
        </w:tc>
        <w:tc>
          <w:tcPr>
            <w:tcW w:w="1072" w:type="dxa"/>
            <w:vAlign w:val="center"/>
          </w:tcPr>
          <w:p w14:paraId="7C8C2DA1" w14:textId="77777777" w:rsidR="00B71AF3" w:rsidRPr="00B71AF3" w:rsidRDefault="00B71AF3" w:rsidP="00B71AF3">
            <w:pPr>
              <w:spacing w:line="240" w:lineRule="auto"/>
              <w:ind w:firstLine="0"/>
            </w:pPr>
            <w:r w:rsidRPr="00B71AF3">
              <w:t>0.82</w:t>
            </w:r>
            <w:r w:rsidRPr="00B71AF3">
              <w:rPr>
                <w:vertAlign w:val="superscript"/>
              </w:rPr>
              <w:t>***</w:t>
            </w:r>
          </w:p>
        </w:tc>
      </w:tr>
      <w:tr w:rsidR="00B71AF3" w:rsidRPr="00B71AF3" w14:paraId="5C45FF8A" w14:textId="77777777" w:rsidTr="005D6A70">
        <w:trPr>
          <w:trHeight w:val="274"/>
        </w:trPr>
        <w:tc>
          <w:tcPr>
            <w:tcW w:w="1134" w:type="dxa"/>
            <w:vAlign w:val="center"/>
          </w:tcPr>
          <w:p w14:paraId="569AB6CD" w14:textId="77777777" w:rsidR="00B71AF3" w:rsidRPr="00B71AF3" w:rsidRDefault="00B71AF3" w:rsidP="00B71AF3">
            <w:pPr>
              <w:spacing w:line="240" w:lineRule="auto"/>
              <w:ind w:firstLine="0"/>
            </w:pPr>
            <w:r w:rsidRPr="00B71AF3">
              <w:rPr>
                <w:rFonts w:hint="eastAsia"/>
              </w:rPr>
              <w:t>Ch</w:t>
            </w:r>
            <w:r w:rsidRPr="00B71AF3">
              <w:t xml:space="preserve"> 12</w:t>
            </w:r>
          </w:p>
        </w:tc>
        <w:tc>
          <w:tcPr>
            <w:tcW w:w="746" w:type="dxa"/>
            <w:vAlign w:val="bottom"/>
          </w:tcPr>
          <w:p w14:paraId="0863CAEA" w14:textId="77777777" w:rsidR="00B71AF3" w:rsidRPr="00B71AF3" w:rsidRDefault="00B71AF3" w:rsidP="00B71AF3">
            <w:pPr>
              <w:spacing w:line="240" w:lineRule="auto"/>
              <w:ind w:firstLine="0"/>
            </w:pPr>
            <w:r w:rsidRPr="00B71AF3">
              <w:rPr>
                <w:rFonts w:hint="eastAsia"/>
              </w:rPr>
              <w:t>-8</w:t>
            </w:r>
          </w:p>
        </w:tc>
        <w:tc>
          <w:tcPr>
            <w:tcW w:w="746" w:type="dxa"/>
            <w:vAlign w:val="bottom"/>
          </w:tcPr>
          <w:p w14:paraId="776C30D2" w14:textId="77777777" w:rsidR="00B71AF3" w:rsidRPr="00B71AF3" w:rsidRDefault="00B71AF3" w:rsidP="00B71AF3">
            <w:pPr>
              <w:spacing w:line="240" w:lineRule="auto"/>
              <w:ind w:firstLine="0"/>
            </w:pPr>
            <w:r w:rsidRPr="00B71AF3">
              <w:rPr>
                <w:rFonts w:hint="eastAsia"/>
              </w:rPr>
              <w:t>73</w:t>
            </w:r>
          </w:p>
        </w:tc>
        <w:tc>
          <w:tcPr>
            <w:tcW w:w="752" w:type="dxa"/>
            <w:vAlign w:val="bottom"/>
          </w:tcPr>
          <w:p w14:paraId="0C99E2E0" w14:textId="77777777" w:rsidR="00B71AF3" w:rsidRPr="00B71AF3" w:rsidRDefault="00B71AF3" w:rsidP="00B71AF3">
            <w:pPr>
              <w:spacing w:line="240" w:lineRule="auto"/>
              <w:ind w:firstLine="0"/>
            </w:pPr>
            <w:r w:rsidRPr="00B71AF3">
              <w:rPr>
                <w:rFonts w:hint="eastAsia"/>
              </w:rPr>
              <w:t>1</w:t>
            </w:r>
          </w:p>
        </w:tc>
        <w:tc>
          <w:tcPr>
            <w:tcW w:w="2151" w:type="dxa"/>
            <w:vAlign w:val="bottom"/>
          </w:tcPr>
          <w:p w14:paraId="06A16526" w14:textId="77777777" w:rsidR="00B71AF3" w:rsidRPr="00B71AF3" w:rsidRDefault="00B71AF3" w:rsidP="00B71AF3">
            <w:pPr>
              <w:spacing w:line="240" w:lineRule="auto"/>
              <w:ind w:firstLine="0"/>
            </w:pPr>
            <w:r w:rsidRPr="00B71AF3">
              <w:rPr>
                <w:rFonts w:hint="eastAsia"/>
              </w:rPr>
              <w:t>Left SFG (BA10)</w:t>
            </w:r>
          </w:p>
        </w:tc>
        <w:tc>
          <w:tcPr>
            <w:tcW w:w="1302" w:type="dxa"/>
            <w:vAlign w:val="bottom"/>
          </w:tcPr>
          <w:p w14:paraId="78B21800" w14:textId="77777777" w:rsidR="00B71AF3" w:rsidRPr="00B71AF3" w:rsidRDefault="00B71AF3" w:rsidP="009566CB">
            <w:pPr>
              <w:spacing w:line="240" w:lineRule="auto"/>
              <w:ind w:firstLine="0"/>
              <w:jc w:val="center"/>
            </w:pPr>
            <w:r w:rsidRPr="00B71AF3">
              <w:rPr>
                <w:rFonts w:hint="eastAsia"/>
              </w:rPr>
              <w:t>0.65</w:t>
            </w:r>
          </w:p>
        </w:tc>
        <w:tc>
          <w:tcPr>
            <w:tcW w:w="1533" w:type="dxa"/>
            <w:vAlign w:val="center"/>
          </w:tcPr>
          <w:p w14:paraId="634FB6DA" w14:textId="77777777" w:rsidR="00B71AF3" w:rsidRPr="00B71AF3" w:rsidRDefault="00B71AF3" w:rsidP="00B71AF3">
            <w:pPr>
              <w:spacing w:line="240" w:lineRule="auto"/>
              <w:ind w:firstLine="0"/>
            </w:pPr>
            <w:r w:rsidRPr="00B71AF3">
              <w:rPr>
                <w:i/>
              </w:rPr>
              <w:t>F</w:t>
            </w:r>
            <w:r w:rsidRPr="00B71AF3">
              <w:t xml:space="preserve"> = 18.51</w:t>
            </w:r>
            <w:r w:rsidRPr="00B71AF3">
              <w:rPr>
                <w:vertAlign w:val="superscript"/>
              </w:rPr>
              <w:t>***</w:t>
            </w:r>
          </w:p>
        </w:tc>
        <w:tc>
          <w:tcPr>
            <w:tcW w:w="1072" w:type="dxa"/>
            <w:vAlign w:val="center"/>
          </w:tcPr>
          <w:p w14:paraId="0426B6F8" w14:textId="77777777" w:rsidR="00B71AF3" w:rsidRPr="00B71AF3" w:rsidRDefault="00B71AF3" w:rsidP="00B71AF3">
            <w:pPr>
              <w:spacing w:line="240" w:lineRule="auto"/>
              <w:ind w:firstLine="0"/>
            </w:pPr>
            <w:r w:rsidRPr="00B71AF3">
              <w:t>0.80</w:t>
            </w:r>
            <w:r w:rsidRPr="00B71AF3">
              <w:rPr>
                <w:vertAlign w:val="superscript"/>
              </w:rPr>
              <w:t>***</w:t>
            </w:r>
          </w:p>
        </w:tc>
      </w:tr>
      <w:tr w:rsidR="00B71AF3" w:rsidRPr="00B71AF3" w14:paraId="34F0302A" w14:textId="77777777" w:rsidTr="005D6A70">
        <w:trPr>
          <w:trHeight w:val="268"/>
        </w:trPr>
        <w:tc>
          <w:tcPr>
            <w:tcW w:w="1134" w:type="dxa"/>
            <w:vAlign w:val="center"/>
          </w:tcPr>
          <w:p w14:paraId="04693ADC" w14:textId="77777777" w:rsidR="00B71AF3" w:rsidRPr="00B71AF3" w:rsidRDefault="00B71AF3" w:rsidP="00B71AF3">
            <w:pPr>
              <w:spacing w:line="240" w:lineRule="auto"/>
              <w:ind w:firstLine="0"/>
            </w:pPr>
            <w:r w:rsidRPr="00B71AF3">
              <w:t>Ch 13</w:t>
            </w:r>
          </w:p>
        </w:tc>
        <w:tc>
          <w:tcPr>
            <w:tcW w:w="746" w:type="dxa"/>
            <w:vAlign w:val="bottom"/>
          </w:tcPr>
          <w:p w14:paraId="5403C8B6" w14:textId="77777777" w:rsidR="00B71AF3" w:rsidRPr="00B71AF3" w:rsidRDefault="00B71AF3" w:rsidP="00B71AF3">
            <w:pPr>
              <w:spacing w:line="240" w:lineRule="auto"/>
              <w:ind w:firstLine="0"/>
            </w:pPr>
            <w:r w:rsidRPr="00B71AF3">
              <w:rPr>
                <w:rFonts w:hint="eastAsia"/>
              </w:rPr>
              <w:t>10</w:t>
            </w:r>
          </w:p>
        </w:tc>
        <w:tc>
          <w:tcPr>
            <w:tcW w:w="746" w:type="dxa"/>
            <w:vAlign w:val="bottom"/>
          </w:tcPr>
          <w:p w14:paraId="3037D033" w14:textId="77777777" w:rsidR="00B71AF3" w:rsidRPr="00B71AF3" w:rsidRDefault="00B71AF3" w:rsidP="00B71AF3">
            <w:pPr>
              <w:spacing w:line="240" w:lineRule="auto"/>
              <w:ind w:firstLine="0"/>
            </w:pPr>
            <w:r w:rsidRPr="00B71AF3">
              <w:rPr>
                <w:rFonts w:hint="eastAsia"/>
              </w:rPr>
              <w:t>67</w:t>
            </w:r>
          </w:p>
        </w:tc>
        <w:tc>
          <w:tcPr>
            <w:tcW w:w="752" w:type="dxa"/>
            <w:vAlign w:val="bottom"/>
          </w:tcPr>
          <w:p w14:paraId="683B0573" w14:textId="77777777" w:rsidR="00B71AF3" w:rsidRPr="00B71AF3" w:rsidRDefault="00B71AF3" w:rsidP="00B71AF3">
            <w:pPr>
              <w:spacing w:line="240" w:lineRule="auto"/>
              <w:ind w:firstLine="0"/>
            </w:pPr>
            <w:r w:rsidRPr="00B71AF3">
              <w:rPr>
                <w:rFonts w:hint="eastAsia"/>
              </w:rPr>
              <w:t>29</w:t>
            </w:r>
          </w:p>
        </w:tc>
        <w:tc>
          <w:tcPr>
            <w:tcW w:w="2151" w:type="dxa"/>
            <w:vAlign w:val="bottom"/>
          </w:tcPr>
          <w:p w14:paraId="3B4CED36" w14:textId="77777777" w:rsidR="00B71AF3" w:rsidRPr="00B71AF3" w:rsidRDefault="00B71AF3" w:rsidP="00B71AF3">
            <w:pPr>
              <w:spacing w:line="240" w:lineRule="auto"/>
              <w:ind w:firstLine="0"/>
            </w:pPr>
            <w:r w:rsidRPr="00B71AF3">
              <w:rPr>
                <w:rFonts w:hint="eastAsia"/>
              </w:rPr>
              <w:t>Right SFG (BA10)</w:t>
            </w:r>
          </w:p>
        </w:tc>
        <w:tc>
          <w:tcPr>
            <w:tcW w:w="1302" w:type="dxa"/>
            <w:vAlign w:val="bottom"/>
          </w:tcPr>
          <w:p w14:paraId="113501B1" w14:textId="77777777" w:rsidR="00B71AF3" w:rsidRPr="00B71AF3" w:rsidRDefault="00B71AF3" w:rsidP="009566CB">
            <w:pPr>
              <w:spacing w:line="240" w:lineRule="auto"/>
              <w:ind w:firstLine="0"/>
              <w:jc w:val="center"/>
            </w:pPr>
            <w:r w:rsidRPr="00B71AF3">
              <w:rPr>
                <w:rFonts w:hint="eastAsia"/>
              </w:rPr>
              <w:t>0.98</w:t>
            </w:r>
          </w:p>
        </w:tc>
        <w:tc>
          <w:tcPr>
            <w:tcW w:w="1533" w:type="dxa"/>
            <w:vAlign w:val="center"/>
          </w:tcPr>
          <w:p w14:paraId="398EAB4F" w14:textId="77777777" w:rsidR="00B71AF3" w:rsidRPr="00B71AF3" w:rsidRDefault="00B71AF3" w:rsidP="00B71AF3">
            <w:pPr>
              <w:spacing w:line="240" w:lineRule="auto"/>
              <w:ind w:firstLine="0"/>
            </w:pPr>
            <w:r w:rsidRPr="00B71AF3">
              <w:rPr>
                <w:i/>
              </w:rPr>
              <w:t>F</w:t>
            </w:r>
            <w:r w:rsidRPr="00B71AF3">
              <w:t xml:space="preserve"> = 12.06</w:t>
            </w:r>
            <w:r w:rsidRPr="00B71AF3">
              <w:rPr>
                <w:vertAlign w:val="superscript"/>
              </w:rPr>
              <w:t>**</w:t>
            </w:r>
          </w:p>
        </w:tc>
        <w:tc>
          <w:tcPr>
            <w:tcW w:w="1072" w:type="dxa"/>
            <w:vAlign w:val="center"/>
          </w:tcPr>
          <w:p w14:paraId="314EBE88" w14:textId="77777777" w:rsidR="00B71AF3" w:rsidRPr="00B71AF3" w:rsidRDefault="00B71AF3" w:rsidP="00B71AF3">
            <w:pPr>
              <w:spacing w:line="240" w:lineRule="auto"/>
              <w:ind w:firstLine="0"/>
            </w:pPr>
            <w:r w:rsidRPr="00B71AF3">
              <w:t>0.86</w:t>
            </w:r>
            <w:r w:rsidRPr="00B71AF3">
              <w:rPr>
                <w:vertAlign w:val="superscript"/>
              </w:rPr>
              <w:t>***</w:t>
            </w:r>
          </w:p>
        </w:tc>
      </w:tr>
      <w:tr w:rsidR="00B71AF3" w:rsidRPr="00B71AF3" w14:paraId="45DF3ED9" w14:textId="77777777" w:rsidTr="005D6A70">
        <w:trPr>
          <w:trHeight w:val="274"/>
        </w:trPr>
        <w:tc>
          <w:tcPr>
            <w:tcW w:w="1134" w:type="dxa"/>
            <w:vAlign w:val="center"/>
          </w:tcPr>
          <w:p w14:paraId="7D747D0B" w14:textId="77777777" w:rsidR="00B71AF3" w:rsidRPr="00B71AF3" w:rsidRDefault="00B71AF3" w:rsidP="00B71AF3">
            <w:pPr>
              <w:spacing w:line="240" w:lineRule="auto"/>
              <w:ind w:firstLine="0"/>
            </w:pPr>
            <w:r w:rsidRPr="00B71AF3">
              <w:rPr>
                <w:rFonts w:hint="eastAsia"/>
              </w:rPr>
              <w:t>Ch</w:t>
            </w:r>
            <w:r w:rsidRPr="00B71AF3">
              <w:t xml:space="preserve"> 14</w:t>
            </w:r>
          </w:p>
        </w:tc>
        <w:tc>
          <w:tcPr>
            <w:tcW w:w="746" w:type="dxa"/>
            <w:vAlign w:val="bottom"/>
          </w:tcPr>
          <w:p w14:paraId="78EDFB44" w14:textId="77777777" w:rsidR="00B71AF3" w:rsidRPr="00B71AF3" w:rsidRDefault="00B71AF3" w:rsidP="00B71AF3">
            <w:pPr>
              <w:spacing w:line="240" w:lineRule="auto"/>
              <w:ind w:firstLine="0"/>
            </w:pPr>
            <w:r w:rsidRPr="00B71AF3">
              <w:rPr>
                <w:rFonts w:hint="eastAsia"/>
              </w:rPr>
              <w:t>22</w:t>
            </w:r>
          </w:p>
        </w:tc>
        <w:tc>
          <w:tcPr>
            <w:tcW w:w="746" w:type="dxa"/>
            <w:vAlign w:val="bottom"/>
          </w:tcPr>
          <w:p w14:paraId="5CCD4BAC" w14:textId="77777777" w:rsidR="00B71AF3" w:rsidRPr="00B71AF3" w:rsidRDefault="00B71AF3" w:rsidP="00B71AF3">
            <w:pPr>
              <w:spacing w:line="240" w:lineRule="auto"/>
              <w:ind w:firstLine="0"/>
            </w:pPr>
            <w:r w:rsidRPr="00B71AF3">
              <w:rPr>
                <w:rFonts w:hint="eastAsia"/>
              </w:rPr>
              <w:t>64</w:t>
            </w:r>
          </w:p>
        </w:tc>
        <w:tc>
          <w:tcPr>
            <w:tcW w:w="752" w:type="dxa"/>
            <w:vAlign w:val="bottom"/>
          </w:tcPr>
          <w:p w14:paraId="4ADCFBF2" w14:textId="77777777" w:rsidR="00B71AF3" w:rsidRPr="00B71AF3" w:rsidRDefault="00B71AF3" w:rsidP="00B71AF3">
            <w:pPr>
              <w:spacing w:line="240" w:lineRule="auto"/>
              <w:ind w:firstLine="0"/>
            </w:pPr>
            <w:r w:rsidRPr="00B71AF3">
              <w:rPr>
                <w:rFonts w:hint="eastAsia"/>
              </w:rPr>
              <w:t>28</w:t>
            </w:r>
          </w:p>
        </w:tc>
        <w:tc>
          <w:tcPr>
            <w:tcW w:w="2151" w:type="dxa"/>
            <w:vAlign w:val="bottom"/>
          </w:tcPr>
          <w:p w14:paraId="1ABA536D" w14:textId="77777777" w:rsidR="00B71AF3" w:rsidRPr="00B71AF3" w:rsidRDefault="00B71AF3" w:rsidP="00B71AF3">
            <w:pPr>
              <w:spacing w:line="240" w:lineRule="auto"/>
              <w:ind w:firstLine="0"/>
            </w:pPr>
            <w:r w:rsidRPr="00B71AF3">
              <w:rPr>
                <w:rFonts w:hint="eastAsia"/>
              </w:rPr>
              <w:t>Right SFG (BA10)</w:t>
            </w:r>
          </w:p>
        </w:tc>
        <w:tc>
          <w:tcPr>
            <w:tcW w:w="1302" w:type="dxa"/>
            <w:vAlign w:val="bottom"/>
          </w:tcPr>
          <w:p w14:paraId="791F2E46" w14:textId="77777777" w:rsidR="00B71AF3" w:rsidRPr="00B71AF3" w:rsidRDefault="00B71AF3" w:rsidP="009566CB">
            <w:pPr>
              <w:spacing w:line="240" w:lineRule="auto"/>
              <w:ind w:firstLine="0"/>
              <w:jc w:val="center"/>
            </w:pPr>
            <w:r w:rsidRPr="00B71AF3">
              <w:rPr>
                <w:rFonts w:hint="eastAsia"/>
              </w:rPr>
              <w:t>0.7</w:t>
            </w:r>
          </w:p>
        </w:tc>
        <w:tc>
          <w:tcPr>
            <w:tcW w:w="1533" w:type="dxa"/>
            <w:vAlign w:val="center"/>
          </w:tcPr>
          <w:p w14:paraId="3C3F1DAE" w14:textId="77777777" w:rsidR="00B71AF3" w:rsidRPr="00B71AF3" w:rsidRDefault="00B71AF3" w:rsidP="00B71AF3">
            <w:pPr>
              <w:spacing w:line="240" w:lineRule="auto"/>
              <w:ind w:firstLine="0"/>
            </w:pPr>
            <w:r w:rsidRPr="00B71AF3">
              <w:rPr>
                <w:i/>
              </w:rPr>
              <w:t>F</w:t>
            </w:r>
            <w:r w:rsidRPr="00B71AF3">
              <w:t xml:space="preserve"> = 12.91</w:t>
            </w:r>
            <w:r w:rsidRPr="00B71AF3">
              <w:rPr>
                <w:vertAlign w:val="superscript"/>
              </w:rPr>
              <w:t>***</w:t>
            </w:r>
          </w:p>
        </w:tc>
        <w:tc>
          <w:tcPr>
            <w:tcW w:w="1072" w:type="dxa"/>
            <w:vAlign w:val="center"/>
          </w:tcPr>
          <w:p w14:paraId="5C626590" w14:textId="77777777" w:rsidR="00B71AF3" w:rsidRPr="00B71AF3" w:rsidRDefault="00B71AF3" w:rsidP="00B71AF3">
            <w:pPr>
              <w:spacing w:line="240" w:lineRule="auto"/>
              <w:ind w:firstLine="0"/>
            </w:pPr>
            <w:r w:rsidRPr="00B71AF3">
              <w:t>0.77</w:t>
            </w:r>
            <w:r w:rsidRPr="00B71AF3">
              <w:rPr>
                <w:vertAlign w:val="superscript"/>
              </w:rPr>
              <w:t>***</w:t>
            </w:r>
          </w:p>
        </w:tc>
      </w:tr>
      <w:tr w:rsidR="00B71AF3" w:rsidRPr="00B71AF3" w14:paraId="76ED3E8D" w14:textId="77777777" w:rsidTr="005D6A70">
        <w:trPr>
          <w:trHeight w:val="268"/>
        </w:trPr>
        <w:tc>
          <w:tcPr>
            <w:tcW w:w="1134" w:type="dxa"/>
            <w:vAlign w:val="center"/>
          </w:tcPr>
          <w:p w14:paraId="207AD623" w14:textId="77777777" w:rsidR="00B71AF3" w:rsidRPr="00B71AF3" w:rsidRDefault="00B71AF3" w:rsidP="00B71AF3">
            <w:pPr>
              <w:spacing w:line="240" w:lineRule="auto"/>
              <w:ind w:firstLine="0"/>
            </w:pPr>
            <w:r w:rsidRPr="00B71AF3">
              <w:rPr>
                <w:rFonts w:hint="eastAsia"/>
              </w:rPr>
              <w:t>Ch</w:t>
            </w:r>
            <w:r w:rsidRPr="00B71AF3">
              <w:t xml:space="preserve"> 15</w:t>
            </w:r>
          </w:p>
        </w:tc>
        <w:tc>
          <w:tcPr>
            <w:tcW w:w="746" w:type="dxa"/>
            <w:vAlign w:val="bottom"/>
          </w:tcPr>
          <w:p w14:paraId="2375C53F" w14:textId="77777777" w:rsidR="00B71AF3" w:rsidRPr="00B71AF3" w:rsidRDefault="00B71AF3" w:rsidP="00B71AF3">
            <w:pPr>
              <w:spacing w:line="240" w:lineRule="auto"/>
              <w:ind w:firstLine="0"/>
            </w:pPr>
            <w:r w:rsidRPr="00B71AF3">
              <w:rPr>
                <w:rFonts w:hint="eastAsia"/>
              </w:rPr>
              <w:t>11</w:t>
            </w:r>
          </w:p>
        </w:tc>
        <w:tc>
          <w:tcPr>
            <w:tcW w:w="746" w:type="dxa"/>
            <w:vAlign w:val="bottom"/>
          </w:tcPr>
          <w:p w14:paraId="781CD521" w14:textId="77777777" w:rsidR="00B71AF3" w:rsidRPr="00B71AF3" w:rsidRDefault="00B71AF3" w:rsidP="00B71AF3">
            <w:pPr>
              <w:spacing w:line="240" w:lineRule="auto"/>
              <w:ind w:firstLine="0"/>
            </w:pPr>
            <w:r w:rsidRPr="00B71AF3">
              <w:rPr>
                <w:rFonts w:hint="eastAsia"/>
              </w:rPr>
              <w:t>74</w:t>
            </w:r>
          </w:p>
        </w:tc>
        <w:tc>
          <w:tcPr>
            <w:tcW w:w="752" w:type="dxa"/>
            <w:vAlign w:val="bottom"/>
          </w:tcPr>
          <w:p w14:paraId="05294BA0" w14:textId="77777777" w:rsidR="00B71AF3" w:rsidRPr="00B71AF3" w:rsidRDefault="00B71AF3" w:rsidP="00B71AF3">
            <w:pPr>
              <w:spacing w:line="240" w:lineRule="auto"/>
              <w:ind w:firstLine="0"/>
            </w:pPr>
            <w:r w:rsidRPr="00B71AF3">
              <w:rPr>
                <w:rFonts w:hint="eastAsia"/>
              </w:rPr>
              <w:t>0</w:t>
            </w:r>
          </w:p>
        </w:tc>
        <w:tc>
          <w:tcPr>
            <w:tcW w:w="2151" w:type="dxa"/>
            <w:vAlign w:val="bottom"/>
          </w:tcPr>
          <w:p w14:paraId="1C46FDB0" w14:textId="77777777" w:rsidR="00B71AF3" w:rsidRPr="00B71AF3" w:rsidRDefault="00B71AF3" w:rsidP="00B71AF3">
            <w:pPr>
              <w:spacing w:line="240" w:lineRule="auto"/>
              <w:ind w:firstLine="0"/>
            </w:pPr>
            <w:r w:rsidRPr="00B71AF3">
              <w:rPr>
                <w:rFonts w:hint="eastAsia"/>
              </w:rPr>
              <w:t>Right SFG(BA10)</w:t>
            </w:r>
          </w:p>
        </w:tc>
        <w:tc>
          <w:tcPr>
            <w:tcW w:w="1302" w:type="dxa"/>
            <w:vAlign w:val="bottom"/>
          </w:tcPr>
          <w:p w14:paraId="6A7F0421" w14:textId="77777777" w:rsidR="00B71AF3" w:rsidRPr="00B71AF3" w:rsidRDefault="00B71AF3" w:rsidP="009566CB">
            <w:pPr>
              <w:spacing w:line="240" w:lineRule="auto"/>
              <w:ind w:firstLine="0"/>
              <w:jc w:val="center"/>
            </w:pPr>
            <w:r w:rsidRPr="00B71AF3">
              <w:rPr>
                <w:rFonts w:hint="eastAsia"/>
              </w:rPr>
              <w:t>0.79</w:t>
            </w:r>
          </w:p>
        </w:tc>
        <w:tc>
          <w:tcPr>
            <w:tcW w:w="1533" w:type="dxa"/>
            <w:vAlign w:val="center"/>
          </w:tcPr>
          <w:p w14:paraId="25CE52DC" w14:textId="77777777" w:rsidR="00B71AF3" w:rsidRPr="00B71AF3" w:rsidRDefault="00B71AF3" w:rsidP="00B71AF3">
            <w:pPr>
              <w:spacing w:line="240" w:lineRule="auto"/>
              <w:ind w:firstLine="0"/>
            </w:pPr>
            <w:r w:rsidRPr="00B71AF3">
              <w:rPr>
                <w:i/>
              </w:rPr>
              <w:t>F</w:t>
            </w:r>
            <w:r w:rsidRPr="00B71AF3">
              <w:t xml:space="preserve"> = 16.14</w:t>
            </w:r>
            <w:r w:rsidRPr="00B71AF3">
              <w:rPr>
                <w:vertAlign w:val="superscript"/>
              </w:rPr>
              <w:t>***</w:t>
            </w:r>
          </w:p>
        </w:tc>
        <w:tc>
          <w:tcPr>
            <w:tcW w:w="1072" w:type="dxa"/>
            <w:vAlign w:val="center"/>
          </w:tcPr>
          <w:p w14:paraId="774D98D6" w14:textId="77777777" w:rsidR="00B71AF3" w:rsidRPr="00B71AF3" w:rsidRDefault="00B71AF3" w:rsidP="00B71AF3">
            <w:pPr>
              <w:spacing w:line="240" w:lineRule="auto"/>
              <w:ind w:firstLine="0"/>
            </w:pPr>
            <w:r w:rsidRPr="00B71AF3">
              <w:t>0.78</w:t>
            </w:r>
            <w:r w:rsidRPr="00B71AF3">
              <w:rPr>
                <w:vertAlign w:val="superscript"/>
              </w:rPr>
              <w:t>***</w:t>
            </w:r>
          </w:p>
        </w:tc>
      </w:tr>
      <w:tr w:rsidR="00B71AF3" w:rsidRPr="00B71AF3" w14:paraId="2FFAB431" w14:textId="77777777" w:rsidTr="005D6A70">
        <w:trPr>
          <w:trHeight w:val="234"/>
        </w:trPr>
        <w:tc>
          <w:tcPr>
            <w:tcW w:w="1134" w:type="dxa"/>
            <w:vAlign w:val="center"/>
          </w:tcPr>
          <w:p w14:paraId="0685AE52" w14:textId="77777777" w:rsidR="00B71AF3" w:rsidRPr="00B71AF3" w:rsidRDefault="00B71AF3" w:rsidP="00B71AF3">
            <w:pPr>
              <w:spacing w:line="240" w:lineRule="auto"/>
              <w:ind w:firstLine="0"/>
            </w:pPr>
            <w:r w:rsidRPr="00B71AF3">
              <w:rPr>
                <w:rFonts w:hint="eastAsia"/>
              </w:rPr>
              <w:t>Ch</w:t>
            </w:r>
            <w:r w:rsidRPr="00B71AF3">
              <w:t xml:space="preserve"> 16</w:t>
            </w:r>
          </w:p>
        </w:tc>
        <w:tc>
          <w:tcPr>
            <w:tcW w:w="746" w:type="dxa"/>
            <w:vAlign w:val="bottom"/>
          </w:tcPr>
          <w:p w14:paraId="517D4672" w14:textId="77777777" w:rsidR="00B71AF3" w:rsidRPr="00B71AF3" w:rsidRDefault="00B71AF3" w:rsidP="00B71AF3">
            <w:pPr>
              <w:spacing w:line="240" w:lineRule="auto"/>
              <w:ind w:firstLine="0"/>
            </w:pPr>
            <w:r w:rsidRPr="00B71AF3">
              <w:rPr>
                <w:rFonts w:hint="eastAsia"/>
              </w:rPr>
              <w:t>26</w:t>
            </w:r>
          </w:p>
        </w:tc>
        <w:tc>
          <w:tcPr>
            <w:tcW w:w="746" w:type="dxa"/>
            <w:vAlign w:val="bottom"/>
          </w:tcPr>
          <w:p w14:paraId="4E046844" w14:textId="77777777" w:rsidR="00B71AF3" w:rsidRPr="00B71AF3" w:rsidRDefault="00B71AF3" w:rsidP="00B71AF3">
            <w:pPr>
              <w:spacing w:line="240" w:lineRule="auto"/>
              <w:ind w:firstLine="0"/>
            </w:pPr>
            <w:r w:rsidRPr="00B71AF3">
              <w:rPr>
                <w:rFonts w:hint="eastAsia"/>
              </w:rPr>
              <w:t>70</w:t>
            </w:r>
          </w:p>
        </w:tc>
        <w:tc>
          <w:tcPr>
            <w:tcW w:w="752" w:type="dxa"/>
            <w:vAlign w:val="bottom"/>
          </w:tcPr>
          <w:p w14:paraId="1A20E547" w14:textId="77777777" w:rsidR="00B71AF3" w:rsidRPr="00B71AF3" w:rsidRDefault="00B71AF3" w:rsidP="00B71AF3">
            <w:pPr>
              <w:spacing w:line="240" w:lineRule="auto"/>
              <w:ind w:firstLine="0"/>
            </w:pPr>
            <w:r w:rsidRPr="00B71AF3">
              <w:rPr>
                <w:rFonts w:hint="eastAsia"/>
              </w:rPr>
              <w:t>0</w:t>
            </w:r>
          </w:p>
        </w:tc>
        <w:tc>
          <w:tcPr>
            <w:tcW w:w="2151" w:type="dxa"/>
            <w:vAlign w:val="bottom"/>
          </w:tcPr>
          <w:p w14:paraId="7B088FD5" w14:textId="77777777" w:rsidR="00B71AF3" w:rsidRPr="00B71AF3" w:rsidRDefault="00B71AF3" w:rsidP="00B71AF3">
            <w:pPr>
              <w:spacing w:line="240" w:lineRule="auto"/>
              <w:ind w:firstLine="0"/>
            </w:pPr>
            <w:r w:rsidRPr="00B71AF3">
              <w:rPr>
                <w:rFonts w:hint="eastAsia"/>
              </w:rPr>
              <w:t>Right SFG(BA11)</w:t>
            </w:r>
          </w:p>
        </w:tc>
        <w:tc>
          <w:tcPr>
            <w:tcW w:w="1302" w:type="dxa"/>
            <w:vAlign w:val="bottom"/>
          </w:tcPr>
          <w:p w14:paraId="1282E3AE" w14:textId="77777777" w:rsidR="00B71AF3" w:rsidRPr="00B71AF3" w:rsidRDefault="00B71AF3" w:rsidP="009566CB">
            <w:pPr>
              <w:spacing w:line="240" w:lineRule="auto"/>
              <w:ind w:firstLine="0"/>
              <w:jc w:val="center"/>
            </w:pPr>
            <w:r w:rsidRPr="00B71AF3">
              <w:rPr>
                <w:rFonts w:hint="eastAsia"/>
              </w:rPr>
              <w:t>0.99</w:t>
            </w:r>
          </w:p>
        </w:tc>
        <w:tc>
          <w:tcPr>
            <w:tcW w:w="1533" w:type="dxa"/>
            <w:vAlign w:val="center"/>
          </w:tcPr>
          <w:p w14:paraId="42654315" w14:textId="77777777" w:rsidR="00B71AF3" w:rsidRPr="00B71AF3" w:rsidRDefault="00B71AF3" w:rsidP="00B71AF3">
            <w:pPr>
              <w:spacing w:line="240" w:lineRule="auto"/>
              <w:ind w:firstLine="0"/>
            </w:pPr>
            <w:r w:rsidRPr="00B71AF3">
              <w:rPr>
                <w:i/>
              </w:rPr>
              <w:t>F</w:t>
            </w:r>
            <w:r w:rsidRPr="00B71AF3">
              <w:t xml:space="preserve"> = 26.15</w:t>
            </w:r>
            <w:r w:rsidRPr="00B71AF3">
              <w:rPr>
                <w:vertAlign w:val="superscript"/>
              </w:rPr>
              <w:t>***</w:t>
            </w:r>
          </w:p>
        </w:tc>
        <w:tc>
          <w:tcPr>
            <w:tcW w:w="1072" w:type="dxa"/>
            <w:vAlign w:val="center"/>
          </w:tcPr>
          <w:p w14:paraId="41CB514C" w14:textId="77777777" w:rsidR="00B71AF3" w:rsidRPr="00B71AF3" w:rsidRDefault="00B71AF3" w:rsidP="00B71AF3">
            <w:pPr>
              <w:spacing w:line="240" w:lineRule="auto"/>
              <w:ind w:firstLine="0"/>
            </w:pPr>
            <w:r w:rsidRPr="00B71AF3">
              <w:t>0.85</w:t>
            </w:r>
            <w:r w:rsidRPr="00B71AF3">
              <w:rPr>
                <w:vertAlign w:val="superscript"/>
              </w:rPr>
              <w:t>***</w:t>
            </w:r>
          </w:p>
        </w:tc>
      </w:tr>
      <w:tr w:rsidR="00B71AF3" w:rsidRPr="00B71AF3" w14:paraId="7B533284" w14:textId="77777777" w:rsidTr="005D6A70">
        <w:trPr>
          <w:trHeight w:val="274"/>
        </w:trPr>
        <w:tc>
          <w:tcPr>
            <w:tcW w:w="1134" w:type="dxa"/>
            <w:vAlign w:val="center"/>
          </w:tcPr>
          <w:p w14:paraId="3FDF7EA3" w14:textId="77777777" w:rsidR="00B71AF3" w:rsidRPr="00B71AF3" w:rsidRDefault="00B71AF3" w:rsidP="00B71AF3">
            <w:pPr>
              <w:spacing w:line="240" w:lineRule="auto"/>
              <w:ind w:firstLine="0"/>
            </w:pPr>
            <w:r w:rsidRPr="00B71AF3">
              <w:rPr>
                <w:rFonts w:hint="eastAsia"/>
              </w:rPr>
              <w:t>Ch</w:t>
            </w:r>
            <w:r w:rsidRPr="00B71AF3">
              <w:t xml:space="preserve"> 17</w:t>
            </w:r>
          </w:p>
        </w:tc>
        <w:tc>
          <w:tcPr>
            <w:tcW w:w="746" w:type="dxa"/>
            <w:vAlign w:val="bottom"/>
          </w:tcPr>
          <w:p w14:paraId="7C0A0DF3" w14:textId="77777777" w:rsidR="00B71AF3" w:rsidRPr="00B71AF3" w:rsidRDefault="00B71AF3" w:rsidP="00B71AF3">
            <w:pPr>
              <w:spacing w:line="240" w:lineRule="auto"/>
              <w:ind w:firstLine="0"/>
            </w:pPr>
            <w:r w:rsidRPr="00B71AF3">
              <w:rPr>
                <w:rFonts w:hint="eastAsia"/>
              </w:rPr>
              <w:t>34</w:t>
            </w:r>
          </w:p>
        </w:tc>
        <w:tc>
          <w:tcPr>
            <w:tcW w:w="746" w:type="dxa"/>
            <w:vAlign w:val="bottom"/>
          </w:tcPr>
          <w:p w14:paraId="28C62235" w14:textId="77777777" w:rsidR="00B71AF3" w:rsidRPr="00B71AF3" w:rsidRDefault="00B71AF3" w:rsidP="00B71AF3">
            <w:pPr>
              <w:spacing w:line="240" w:lineRule="auto"/>
              <w:ind w:firstLine="0"/>
            </w:pPr>
            <w:r w:rsidRPr="00B71AF3">
              <w:rPr>
                <w:rFonts w:hint="eastAsia"/>
              </w:rPr>
              <w:t>58</w:t>
            </w:r>
          </w:p>
        </w:tc>
        <w:tc>
          <w:tcPr>
            <w:tcW w:w="752" w:type="dxa"/>
            <w:vAlign w:val="bottom"/>
          </w:tcPr>
          <w:p w14:paraId="541B19B4" w14:textId="77777777" w:rsidR="00B71AF3" w:rsidRPr="00B71AF3" w:rsidRDefault="00B71AF3" w:rsidP="00B71AF3">
            <w:pPr>
              <w:spacing w:line="240" w:lineRule="auto"/>
              <w:ind w:firstLine="0"/>
            </w:pPr>
            <w:r w:rsidRPr="00B71AF3">
              <w:rPr>
                <w:rFonts w:hint="eastAsia"/>
              </w:rPr>
              <w:t>27</w:t>
            </w:r>
          </w:p>
        </w:tc>
        <w:tc>
          <w:tcPr>
            <w:tcW w:w="2151" w:type="dxa"/>
            <w:vAlign w:val="bottom"/>
          </w:tcPr>
          <w:p w14:paraId="2EB5EF0D" w14:textId="77777777" w:rsidR="00B71AF3" w:rsidRPr="00B71AF3" w:rsidRDefault="00B71AF3" w:rsidP="00B71AF3">
            <w:pPr>
              <w:spacing w:line="240" w:lineRule="auto"/>
              <w:ind w:firstLine="0"/>
            </w:pPr>
            <w:r w:rsidRPr="00B71AF3">
              <w:rPr>
                <w:rFonts w:hint="eastAsia"/>
              </w:rPr>
              <w:t>Right MFG (BA46)</w:t>
            </w:r>
          </w:p>
        </w:tc>
        <w:tc>
          <w:tcPr>
            <w:tcW w:w="1302" w:type="dxa"/>
            <w:vAlign w:val="bottom"/>
          </w:tcPr>
          <w:p w14:paraId="14A08557" w14:textId="77777777" w:rsidR="00B71AF3" w:rsidRPr="00B71AF3" w:rsidRDefault="00B71AF3" w:rsidP="009566CB">
            <w:pPr>
              <w:spacing w:line="240" w:lineRule="auto"/>
              <w:ind w:firstLine="0"/>
              <w:jc w:val="center"/>
            </w:pPr>
            <w:r w:rsidRPr="00B71AF3">
              <w:rPr>
                <w:rFonts w:hint="eastAsia"/>
              </w:rPr>
              <w:t>0.89</w:t>
            </w:r>
          </w:p>
        </w:tc>
        <w:tc>
          <w:tcPr>
            <w:tcW w:w="1533" w:type="dxa"/>
            <w:vAlign w:val="center"/>
          </w:tcPr>
          <w:p w14:paraId="6D28163F" w14:textId="77777777" w:rsidR="00B71AF3" w:rsidRPr="00B71AF3" w:rsidRDefault="00B71AF3" w:rsidP="00B71AF3">
            <w:pPr>
              <w:spacing w:line="240" w:lineRule="auto"/>
              <w:ind w:firstLine="0"/>
            </w:pPr>
            <w:r w:rsidRPr="00B71AF3">
              <w:rPr>
                <w:i/>
              </w:rPr>
              <w:t>F</w:t>
            </w:r>
            <w:r w:rsidRPr="00B71AF3">
              <w:t xml:space="preserve"> = 10.01</w:t>
            </w:r>
            <w:r w:rsidRPr="00B71AF3">
              <w:rPr>
                <w:vertAlign w:val="superscript"/>
              </w:rPr>
              <w:t>**</w:t>
            </w:r>
          </w:p>
        </w:tc>
        <w:tc>
          <w:tcPr>
            <w:tcW w:w="1072" w:type="dxa"/>
            <w:vAlign w:val="center"/>
          </w:tcPr>
          <w:p w14:paraId="35EA5F35" w14:textId="77777777" w:rsidR="00B71AF3" w:rsidRPr="00B71AF3" w:rsidRDefault="00B71AF3" w:rsidP="00B71AF3">
            <w:pPr>
              <w:spacing w:line="240" w:lineRule="auto"/>
              <w:ind w:firstLine="0"/>
            </w:pPr>
            <w:r w:rsidRPr="00B71AF3">
              <w:t>0.77</w:t>
            </w:r>
            <w:r w:rsidRPr="00B71AF3">
              <w:rPr>
                <w:vertAlign w:val="superscript"/>
              </w:rPr>
              <w:t>***</w:t>
            </w:r>
          </w:p>
        </w:tc>
      </w:tr>
      <w:tr w:rsidR="00B71AF3" w:rsidRPr="00B71AF3" w14:paraId="2B5B214B" w14:textId="77777777" w:rsidTr="005D6A70">
        <w:trPr>
          <w:trHeight w:val="190"/>
        </w:trPr>
        <w:tc>
          <w:tcPr>
            <w:tcW w:w="1134" w:type="dxa"/>
            <w:vAlign w:val="center"/>
          </w:tcPr>
          <w:p w14:paraId="41C5EFFC" w14:textId="77777777" w:rsidR="00B71AF3" w:rsidRPr="00B71AF3" w:rsidRDefault="00B71AF3" w:rsidP="00B71AF3">
            <w:pPr>
              <w:spacing w:line="240" w:lineRule="auto"/>
              <w:ind w:firstLine="0"/>
            </w:pPr>
            <w:r w:rsidRPr="00B71AF3">
              <w:rPr>
                <w:rFonts w:hint="eastAsia"/>
              </w:rPr>
              <w:t>Ch</w:t>
            </w:r>
            <w:r w:rsidRPr="00B71AF3">
              <w:t xml:space="preserve"> 18</w:t>
            </w:r>
          </w:p>
        </w:tc>
        <w:tc>
          <w:tcPr>
            <w:tcW w:w="746" w:type="dxa"/>
            <w:vAlign w:val="bottom"/>
          </w:tcPr>
          <w:p w14:paraId="61945E1A" w14:textId="77777777" w:rsidR="00B71AF3" w:rsidRPr="00B71AF3" w:rsidRDefault="00B71AF3" w:rsidP="00B71AF3">
            <w:pPr>
              <w:spacing w:line="240" w:lineRule="auto"/>
              <w:ind w:firstLine="0"/>
            </w:pPr>
            <w:r w:rsidRPr="00B71AF3">
              <w:rPr>
                <w:rFonts w:hint="eastAsia"/>
              </w:rPr>
              <w:t>45</w:t>
            </w:r>
          </w:p>
        </w:tc>
        <w:tc>
          <w:tcPr>
            <w:tcW w:w="746" w:type="dxa"/>
            <w:vAlign w:val="bottom"/>
          </w:tcPr>
          <w:p w14:paraId="13EAF732" w14:textId="77777777" w:rsidR="00B71AF3" w:rsidRPr="00B71AF3" w:rsidRDefault="00B71AF3" w:rsidP="00B71AF3">
            <w:pPr>
              <w:spacing w:line="240" w:lineRule="auto"/>
              <w:ind w:firstLine="0"/>
            </w:pPr>
            <w:r w:rsidRPr="00B71AF3">
              <w:rPr>
                <w:rFonts w:hint="eastAsia"/>
              </w:rPr>
              <w:t>50</w:t>
            </w:r>
          </w:p>
        </w:tc>
        <w:tc>
          <w:tcPr>
            <w:tcW w:w="752" w:type="dxa"/>
            <w:vAlign w:val="bottom"/>
          </w:tcPr>
          <w:p w14:paraId="3819F449" w14:textId="77777777" w:rsidR="00B71AF3" w:rsidRPr="00B71AF3" w:rsidRDefault="00B71AF3" w:rsidP="00B71AF3">
            <w:pPr>
              <w:spacing w:line="240" w:lineRule="auto"/>
              <w:ind w:firstLine="0"/>
            </w:pPr>
            <w:r w:rsidRPr="00B71AF3">
              <w:rPr>
                <w:rFonts w:hint="eastAsia"/>
              </w:rPr>
              <w:t>26</w:t>
            </w:r>
          </w:p>
        </w:tc>
        <w:tc>
          <w:tcPr>
            <w:tcW w:w="2151" w:type="dxa"/>
            <w:vAlign w:val="bottom"/>
          </w:tcPr>
          <w:p w14:paraId="56BD540F" w14:textId="77777777" w:rsidR="00B71AF3" w:rsidRPr="00B71AF3" w:rsidRDefault="00B71AF3" w:rsidP="00B71AF3">
            <w:pPr>
              <w:spacing w:line="240" w:lineRule="auto"/>
              <w:ind w:firstLine="0"/>
            </w:pPr>
            <w:r w:rsidRPr="00B71AF3">
              <w:rPr>
                <w:rFonts w:hint="eastAsia"/>
              </w:rPr>
              <w:t>Right MFG (BA46)</w:t>
            </w:r>
          </w:p>
        </w:tc>
        <w:tc>
          <w:tcPr>
            <w:tcW w:w="1302" w:type="dxa"/>
            <w:vAlign w:val="bottom"/>
          </w:tcPr>
          <w:p w14:paraId="384E9E7D" w14:textId="77777777" w:rsidR="00B71AF3" w:rsidRPr="00B71AF3" w:rsidRDefault="00B71AF3" w:rsidP="009566CB">
            <w:pPr>
              <w:spacing w:line="240" w:lineRule="auto"/>
              <w:ind w:firstLine="0"/>
              <w:jc w:val="center"/>
            </w:pPr>
            <w:r w:rsidRPr="00B71AF3">
              <w:rPr>
                <w:rFonts w:hint="eastAsia"/>
              </w:rPr>
              <w:t>1</w:t>
            </w:r>
          </w:p>
        </w:tc>
        <w:tc>
          <w:tcPr>
            <w:tcW w:w="1533" w:type="dxa"/>
            <w:vAlign w:val="center"/>
          </w:tcPr>
          <w:p w14:paraId="3B22EF7C" w14:textId="77777777" w:rsidR="00B71AF3" w:rsidRPr="00B71AF3" w:rsidRDefault="00B71AF3" w:rsidP="00B71AF3">
            <w:pPr>
              <w:spacing w:line="240" w:lineRule="auto"/>
              <w:ind w:firstLine="0"/>
            </w:pPr>
            <w:r w:rsidRPr="00B71AF3">
              <w:rPr>
                <w:i/>
              </w:rPr>
              <w:t>F</w:t>
            </w:r>
            <w:r w:rsidRPr="00B71AF3">
              <w:t xml:space="preserve"> = 12.88</w:t>
            </w:r>
            <w:r w:rsidRPr="00B71AF3">
              <w:rPr>
                <w:vertAlign w:val="superscript"/>
              </w:rPr>
              <w:t>***</w:t>
            </w:r>
          </w:p>
        </w:tc>
        <w:tc>
          <w:tcPr>
            <w:tcW w:w="1072" w:type="dxa"/>
            <w:vAlign w:val="center"/>
          </w:tcPr>
          <w:p w14:paraId="464A4C3A" w14:textId="77777777" w:rsidR="00B71AF3" w:rsidRPr="00B71AF3" w:rsidRDefault="00B71AF3" w:rsidP="00B71AF3">
            <w:pPr>
              <w:spacing w:line="240" w:lineRule="auto"/>
              <w:ind w:firstLine="0"/>
            </w:pPr>
            <w:r w:rsidRPr="00B71AF3">
              <w:t>0.78</w:t>
            </w:r>
            <w:r w:rsidRPr="00B71AF3">
              <w:rPr>
                <w:vertAlign w:val="superscript"/>
              </w:rPr>
              <w:t>***</w:t>
            </w:r>
          </w:p>
        </w:tc>
      </w:tr>
      <w:tr w:rsidR="00B71AF3" w:rsidRPr="00B71AF3" w14:paraId="056C2F46" w14:textId="77777777" w:rsidTr="005D6A70">
        <w:trPr>
          <w:trHeight w:val="247"/>
        </w:trPr>
        <w:tc>
          <w:tcPr>
            <w:tcW w:w="1134" w:type="dxa"/>
            <w:vAlign w:val="center"/>
          </w:tcPr>
          <w:p w14:paraId="6218F404" w14:textId="77777777" w:rsidR="00B71AF3" w:rsidRPr="00B71AF3" w:rsidRDefault="00B71AF3" w:rsidP="00B71AF3">
            <w:pPr>
              <w:spacing w:line="240" w:lineRule="auto"/>
              <w:ind w:firstLine="0"/>
            </w:pPr>
            <w:r w:rsidRPr="00B71AF3">
              <w:rPr>
                <w:rFonts w:hint="eastAsia"/>
              </w:rPr>
              <w:t>Ch</w:t>
            </w:r>
            <w:r w:rsidRPr="00B71AF3">
              <w:t xml:space="preserve"> 19</w:t>
            </w:r>
          </w:p>
        </w:tc>
        <w:tc>
          <w:tcPr>
            <w:tcW w:w="746" w:type="dxa"/>
            <w:vAlign w:val="bottom"/>
          </w:tcPr>
          <w:p w14:paraId="72561903" w14:textId="77777777" w:rsidR="00B71AF3" w:rsidRPr="00B71AF3" w:rsidRDefault="00B71AF3" w:rsidP="00B71AF3">
            <w:pPr>
              <w:spacing w:line="240" w:lineRule="auto"/>
              <w:ind w:firstLine="0"/>
            </w:pPr>
            <w:r w:rsidRPr="00B71AF3">
              <w:rPr>
                <w:rFonts w:hint="eastAsia"/>
              </w:rPr>
              <w:t>38</w:t>
            </w:r>
          </w:p>
        </w:tc>
        <w:tc>
          <w:tcPr>
            <w:tcW w:w="746" w:type="dxa"/>
            <w:vAlign w:val="bottom"/>
          </w:tcPr>
          <w:p w14:paraId="6C0A86F1" w14:textId="77777777" w:rsidR="00B71AF3" w:rsidRPr="00B71AF3" w:rsidRDefault="00B71AF3" w:rsidP="00B71AF3">
            <w:pPr>
              <w:spacing w:line="240" w:lineRule="auto"/>
              <w:ind w:firstLine="0"/>
            </w:pPr>
            <w:r w:rsidRPr="00B71AF3">
              <w:rPr>
                <w:rFonts w:hint="eastAsia"/>
              </w:rPr>
              <w:t>65</w:t>
            </w:r>
          </w:p>
        </w:tc>
        <w:tc>
          <w:tcPr>
            <w:tcW w:w="752" w:type="dxa"/>
            <w:vAlign w:val="bottom"/>
          </w:tcPr>
          <w:p w14:paraId="6AE7B952" w14:textId="77777777" w:rsidR="00B71AF3" w:rsidRPr="00B71AF3" w:rsidRDefault="00B71AF3" w:rsidP="00B71AF3">
            <w:pPr>
              <w:spacing w:line="240" w:lineRule="auto"/>
              <w:ind w:firstLine="0"/>
            </w:pPr>
            <w:r w:rsidRPr="00B71AF3">
              <w:rPr>
                <w:rFonts w:hint="eastAsia"/>
              </w:rPr>
              <w:t>-1</w:t>
            </w:r>
          </w:p>
        </w:tc>
        <w:tc>
          <w:tcPr>
            <w:tcW w:w="2151" w:type="dxa"/>
            <w:vAlign w:val="bottom"/>
          </w:tcPr>
          <w:p w14:paraId="56BD5CAC" w14:textId="77777777" w:rsidR="00B71AF3" w:rsidRPr="00B71AF3" w:rsidRDefault="00B71AF3" w:rsidP="00B71AF3">
            <w:pPr>
              <w:spacing w:line="240" w:lineRule="auto"/>
              <w:ind w:firstLine="0"/>
            </w:pPr>
            <w:r w:rsidRPr="00B71AF3">
              <w:rPr>
                <w:rFonts w:hint="eastAsia"/>
              </w:rPr>
              <w:t>Right MFG(BA10)</w:t>
            </w:r>
          </w:p>
        </w:tc>
        <w:tc>
          <w:tcPr>
            <w:tcW w:w="1302" w:type="dxa"/>
            <w:vAlign w:val="bottom"/>
          </w:tcPr>
          <w:p w14:paraId="39992341" w14:textId="77777777" w:rsidR="00B71AF3" w:rsidRPr="00B71AF3" w:rsidRDefault="00B71AF3" w:rsidP="009566CB">
            <w:pPr>
              <w:spacing w:line="240" w:lineRule="auto"/>
              <w:ind w:firstLine="0"/>
              <w:jc w:val="center"/>
            </w:pPr>
            <w:r w:rsidRPr="00B71AF3">
              <w:rPr>
                <w:rFonts w:hint="eastAsia"/>
              </w:rPr>
              <w:t>0.64</w:t>
            </w:r>
          </w:p>
        </w:tc>
        <w:tc>
          <w:tcPr>
            <w:tcW w:w="1533" w:type="dxa"/>
            <w:vAlign w:val="center"/>
          </w:tcPr>
          <w:p w14:paraId="42EA3640" w14:textId="77777777" w:rsidR="00B71AF3" w:rsidRPr="00B71AF3" w:rsidRDefault="00B71AF3" w:rsidP="00B71AF3">
            <w:pPr>
              <w:spacing w:line="240" w:lineRule="auto"/>
              <w:ind w:firstLine="0"/>
            </w:pPr>
            <w:r w:rsidRPr="00B71AF3">
              <w:rPr>
                <w:i/>
              </w:rPr>
              <w:t>F</w:t>
            </w:r>
            <w:r w:rsidRPr="00B71AF3">
              <w:t xml:space="preserve"> = 23.68</w:t>
            </w:r>
            <w:r w:rsidRPr="00B71AF3">
              <w:rPr>
                <w:vertAlign w:val="superscript"/>
              </w:rPr>
              <w:t>***</w:t>
            </w:r>
          </w:p>
        </w:tc>
        <w:tc>
          <w:tcPr>
            <w:tcW w:w="1072" w:type="dxa"/>
            <w:vAlign w:val="center"/>
          </w:tcPr>
          <w:p w14:paraId="2E301396" w14:textId="77777777" w:rsidR="00B71AF3" w:rsidRPr="00B71AF3" w:rsidRDefault="00B71AF3" w:rsidP="00B71AF3">
            <w:pPr>
              <w:spacing w:line="240" w:lineRule="auto"/>
              <w:ind w:firstLine="0"/>
            </w:pPr>
            <w:r w:rsidRPr="00B71AF3">
              <w:t>0.83</w:t>
            </w:r>
            <w:r w:rsidRPr="00B71AF3">
              <w:rPr>
                <w:vertAlign w:val="superscript"/>
              </w:rPr>
              <w:t>***</w:t>
            </w:r>
          </w:p>
        </w:tc>
      </w:tr>
      <w:tr w:rsidR="00B71AF3" w:rsidRPr="00B71AF3" w14:paraId="06A97CD8" w14:textId="77777777" w:rsidTr="005D6A70">
        <w:trPr>
          <w:trHeight w:val="225"/>
        </w:trPr>
        <w:tc>
          <w:tcPr>
            <w:tcW w:w="1134" w:type="dxa"/>
            <w:vAlign w:val="center"/>
          </w:tcPr>
          <w:p w14:paraId="225E3260" w14:textId="77777777" w:rsidR="00B71AF3" w:rsidRPr="00B71AF3" w:rsidRDefault="00B71AF3" w:rsidP="00B71AF3">
            <w:pPr>
              <w:spacing w:line="240" w:lineRule="auto"/>
              <w:ind w:firstLine="0"/>
            </w:pPr>
            <w:r w:rsidRPr="00B71AF3">
              <w:rPr>
                <w:rFonts w:hint="eastAsia"/>
              </w:rPr>
              <w:t>Ch</w:t>
            </w:r>
            <w:r w:rsidRPr="00B71AF3">
              <w:t xml:space="preserve"> 20</w:t>
            </w:r>
          </w:p>
        </w:tc>
        <w:tc>
          <w:tcPr>
            <w:tcW w:w="746" w:type="dxa"/>
            <w:vAlign w:val="bottom"/>
          </w:tcPr>
          <w:p w14:paraId="12BF4B38" w14:textId="77777777" w:rsidR="00B71AF3" w:rsidRPr="00B71AF3" w:rsidRDefault="00B71AF3" w:rsidP="00B71AF3">
            <w:pPr>
              <w:spacing w:line="240" w:lineRule="auto"/>
              <w:ind w:firstLine="0"/>
            </w:pPr>
            <w:r w:rsidRPr="00B71AF3">
              <w:rPr>
                <w:rFonts w:hint="eastAsia"/>
              </w:rPr>
              <w:t>47</w:t>
            </w:r>
          </w:p>
        </w:tc>
        <w:tc>
          <w:tcPr>
            <w:tcW w:w="746" w:type="dxa"/>
            <w:vAlign w:val="bottom"/>
          </w:tcPr>
          <w:p w14:paraId="4FB55B9D" w14:textId="77777777" w:rsidR="00B71AF3" w:rsidRPr="00B71AF3" w:rsidRDefault="00B71AF3" w:rsidP="00B71AF3">
            <w:pPr>
              <w:spacing w:line="240" w:lineRule="auto"/>
              <w:ind w:firstLine="0"/>
            </w:pPr>
            <w:r w:rsidRPr="00B71AF3">
              <w:rPr>
                <w:rFonts w:hint="eastAsia"/>
              </w:rPr>
              <w:t>56</w:t>
            </w:r>
          </w:p>
        </w:tc>
        <w:tc>
          <w:tcPr>
            <w:tcW w:w="752" w:type="dxa"/>
            <w:vAlign w:val="bottom"/>
          </w:tcPr>
          <w:p w14:paraId="7B887FAE" w14:textId="77777777" w:rsidR="00B71AF3" w:rsidRPr="00B71AF3" w:rsidRDefault="00B71AF3" w:rsidP="00B71AF3">
            <w:pPr>
              <w:spacing w:line="240" w:lineRule="auto"/>
              <w:ind w:firstLine="0"/>
            </w:pPr>
            <w:r w:rsidRPr="00B71AF3">
              <w:rPr>
                <w:rFonts w:hint="eastAsia"/>
              </w:rPr>
              <w:t>-2</w:t>
            </w:r>
          </w:p>
        </w:tc>
        <w:tc>
          <w:tcPr>
            <w:tcW w:w="2151" w:type="dxa"/>
            <w:vAlign w:val="bottom"/>
          </w:tcPr>
          <w:p w14:paraId="3E973AC2" w14:textId="77777777" w:rsidR="00B71AF3" w:rsidRPr="00B71AF3" w:rsidRDefault="00B71AF3" w:rsidP="00B71AF3">
            <w:pPr>
              <w:spacing w:line="240" w:lineRule="auto"/>
              <w:ind w:firstLine="0"/>
            </w:pPr>
            <w:r w:rsidRPr="00B71AF3">
              <w:rPr>
                <w:rFonts w:hint="eastAsia"/>
              </w:rPr>
              <w:t>Right MFG(BA46)</w:t>
            </w:r>
          </w:p>
        </w:tc>
        <w:tc>
          <w:tcPr>
            <w:tcW w:w="1302" w:type="dxa"/>
            <w:vAlign w:val="bottom"/>
          </w:tcPr>
          <w:p w14:paraId="4AB60AC1" w14:textId="77777777" w:rsidR="00B71AF3" w:rsidRPr="00B71AF3" w:rsidRDefault="00B71AF3" w:rsidP="009566CB">
            <w:pPr>
              <w:spacing w:line="240" w:lineRule="auto"/>
              <w:ind w:firstLine="0"/>
              <w:jc w:val="center"/>
            </w:pPr>
            <w:r w:rsidRPr="00B71AF3">
              <w:rPr>
                <w:rFonts w:hint="eastAsia"/>
              </w:rPr>
              <w:t>0.82</w:t>
            </w:r>
          </w:p>
        </w:tc>
        <w:tc>
          <w:tcPr>
            <w:tcW w:w="1533" w:type="dxa"/>
            <w:vAlign w:val="center"/>
          </w:tcPr>
          <w:p w14:paraId="44C765A1" w14:textId="77777777" w:rsidR="00B71AF3" w:rsidRPr="00B71AF3" w:rsidRDefault="00B71AF3" w:rsidP="00B71AF3">
            <w:pPr>
              <w:spacing w:line="240" w:lineRule="auto"/>
              <w:ind w:firstLine="0"/>
            </w:pPr>
            <w:r w:rsidRPr="00B71AF3">
              <w:rPr>
                <w:i/>
              </w:rPr>
              <w:t>F</w:t>
            </w:r>
            <w:r w:rsidRPr="00B71AF3">
              <w:t xml:space="preserve"> = 16.58</w:t>
            </w:r>
            <w:r w:rsidRPr="00B71AF3">
              <w:rPr>
                <w:vertAlign w:val="superscript"/>
              </w:rPr>
              <w:t>***</w:t>
            </w:r>
          </w:p>
        </w:tc>
        <w:tc>
          <w:tcPr>
            <w:tcW w:w="1072" w:type="dxa"/>
            <w:vAlign w:val="center"/>
          </w:tcPr>
          <w:p w14:paraId="3092B153" w14:textId="77777777" w:rsidR="00B71AF3" w:rsidRPr="00B71AF3" w:rsidRDefault="00B71AF3" w:rsidP="00B71AF3">
            <w:pPr>
              <w:spacing w:line="240" w:lineRule="auto"/>
              <w:ind w:firstLine="0"/>
            </w:pPr>
            <w:r w:rsidRPr="00B71AF3">
              <w:t>0.79</w:t>
            </w:r>
            <w:r w:rsidRPr="00B71AF3">
              <w:rPr>
                <w:vertAlign w:val="superscript"/>
              </w:rPr>
              <w:t>***</w:t>
            </w:r>
          </w:p>
        </w:tc>
      </w:tr>
      <w:tr w:rsidR="00B71AF3" w:rsidRPr="00B71AF3" w14:paraId="78EAD6DF" w14:textId="77777777" w:rsidTr="005D6A70">
        <w:trPr>
          <w:trHeight w:val="274"/>
        </w:trPr>
        <w:tc>
          <w:tcPr>
            <w:tcW w:w="1134" w:type="dxa"/>
            <w:vAlign w:val="center"/>
          </w:tcPr>
          <w:p w14:paraId="2F272D15" w14:textId="77777777" w:rsidR="00B71AF3" w:rsidRPr="00B71AF3" w:rsidRDefault="00B71AF3" w:rsidP="00B71AF3">
            <w:pPr>
              <w:spacing w:line="240" w:lineRule="auto"/>
              <w:ind w:firstLine="0"/>
            </w:pPr>
            <w:r w:rsidRPr="00B71AF3">
              <w:rPr>
                <w:rFonts w:hint="eastAsia"/>
              </w:rPr>
              <w:t>Ch</w:t>
            </w:r>
            <w:r w:rsidRPr="00B71AF3">
              <w:t xml:space="preserve"> 21</w:t>
            </w:r>
          </w:p>
        </w:tc>
        <w:tc>
          <w:tcPr>
            <w:tcW w:w="746" w:type="dxa"/>
            <w:vAlign w:val="bottom"/>
          </w:tcPr>
          <w:p w14:paraId="0CF94477" w14:textId="77777777" w:rsidR="00B71AF3" w:rsidRPr="00B71AF3" w:rsidRDefault="00B71AF3" w:rsidP="00B71AF3">
            <w:pPr>
              <w:spacing w:line="240" w:lineRule="auto"/>
              <w:ind w:firstLine="0"/>
            </w:pPr>
            <w:r w:rsidRPr="00B71AF3">
              <w:rPr>
                <w:rFonts w:hint="eastAsia"/>
              </w:rPr>
              <w:t>53</w:t>
            </w:r>
          </w:p>
        </w:tc>
        <w:tc>
          <w:tcPr>
            <w:tcW w:w="746" w:type="dxa"/>
            <w:vAlign w:val="bottom"/>
          </w:tcPr>
          <w:p w14:paraId="51C447CB" w14:textId="77777777" w:rsidR="00B71AF3" w:rsidRPr="00B71AF3" w:rsidRDefault="00B71AF3" w:rsidP="00B71AF3">
            <w:pPr>
              <w:spacing w:line="240" w:lineRule="auto"/>
              <w:ind w:firstLine="0"/>
            </w:pPr>
            <w:r w:rsidRPr="00B71AF3">
              <w:rPr>
                <w:rFonts w:hint="eastAsia"/>
              </w:rPr>
              <w:t>39</w:t>
            </w:r>
          </w:p>
        </w:tc>
        <w:tc>
          <w:tcPr>
            <w:tcW w:w="752" w:type="dxa"/>
            <w:vAlign w:val="bottom"/>
          </w:tcPr>
          <w:p w14:paraId="72032A48" w14:textId="77777777" w:rsidR="00B71AF3" w:rsidRPr="00B71AF3" w:rsidRDefault="00B71AF3" w:rsidP="00B71AF3">
            <w:pPr>
              <w:spacing w:line="240" w:lineRule="auto"/>
              <w:ind w:firstLine="0"/>
            </w:pPr>
            <w:r w:rsidRPr="00B71AF3">
              <w:rPr>
                <w:rFonts w:hint="eastAsia"/>
              </w:rPr>
              <w:t>25</w:t>
            </w:r>
          </w:p>
        </w:tc>
        <w:tc>
          <w:tcPr>
            <w:tcW w:w="2151" w:type="dxa"/>
            <w:vAlign w:val="bottom"/>
          </w:tcPr>
          <w:p w14:paraId="7E7A0FCD" w14:textId="77777777" w:rsidR="00B71AF3" w:rsidRPr="00B71AF3" w:rsidRDefault="00B71AF3" w:rsidP="00B71AF3">
            <w:pPr>
              <w:spacing w:line="240" w:lineRule="auto"/>
              <w:ind w:firstLine="0"/>
            </w:pPr>
            <w:r w:rsidRPr="00B71AF3">
              <w:rPr>
                <w:rFonts w:hint="eastAsia"/>
              </w:rPr>
              <w:t>Right IFG (BA45)</w:t>
            </w:r>
          </w:p>
        </w:tc>
        <w:tc>
          <w:tcPr>
            <w:tcW w:w="1302" w:type="dxa"/>
            <w:vAlign w:val="bottom"/>
          </w:tcPr>
          <w:p w14:paraId="2BBD3139" w14:textId="77777777" w:rsidR="00B71AF3" w:rsidRPr="00B71AF3" w:rsidRDefault="00B71AF3" w:rsidP="009566CB">
            <w:pPr>
              <w:spacing w:line="240" w:lineRule="auto"/>
              <w:ind w:firstLine="0"/>
              <w:jc w:val="center"/>
            </w:pPr>
            <w:r w:rsidRPr="00B71AF3">
              <w:rPr>
                <w:rFonts w:hint="eastAsia"/>
              </w:rPr>
              <w:t>0.52</w:t>
            </w:r>
          </w:p>
        </w:tc>
        <w:tc>
          <w:tcPr>
            <w:tcW w:w="1533" w:type="dxa"/>
            <w:vAlign w:val="center"/>
          </w:tcPr>
          <w:p w14:paraId="14161407" w14:textId="77777777" w:rsidR="00B71AF3" w:rsidRPr="00B71AF3" w:rsidRDefault="00B71AF3" w:rsidP="00B71AF3">
            <w:pPr>
              <w:spacing w:line="240" w:lineRule="auto"/>
              <w:ind w:firstLine="0"/>
            </w:pPr>
            <w:r w:rsidRPr="00B71AF3">
              <w:rPr>
                <w:i/>
              </w:rPr>
              <w:t>F</w:t>
            </w:r>
            <w:r w:rsidRPr="00B71AF3">
              <w:t xml:space="preserve"> = 7.98</w:t>
            </w:r>
            <w:r w:rsidRPr="00B71AF3">
              <w:rPr>
                <w:vertAlign w:val="superscript"/>
              </w:rPr>
              <w:t>**</w:t>
            </w:r>
          </w:p>
        </w:tc>
        <w:tc>
          <w:tcPr>
            <w:tcW w:w="1072" w:type="dxa"/>
            <w:vAlign w:val="center"/>
          </w:tcPr>
          <w:p w14:paraId="2E0B0C7D" w14:textId="77777777" w:rsidR="00B71AF3" w:rsidRPr="00B71AF3" w:rsidRDefault="00B71AF3" w:rsidP="00B71AF3">
            <w:pPr>
              <w:spacing w:line="240" w:lineRule="auto"/>
              <w:ind w:firstLine="0"/>
            </w:pPr>
            <w:r w:rsidRPr="00B71AF3">
              <w:t>0.74</w:t>
            </w:r>
            <w:r w:rsidRPr="00B71AF3">
              <w:rPr>
                <w:vertAlign w:val="superscript"/>
              </w:rPr>
              <w:t>**</w:t>
            </w:r>
          </w:p>
        </w:tc>
      </w:tr>
    </w:tbl>
    <w:p w14:paraId="408E623E" w14:textId="77777777" w:rsidR="009566CB" w:rsidRDefault="009566CB" w:rsidP="009566CB">
      <w:pPr>
        <w:ind w:firstLine="0"/>
        <w:rPr>
          <w:rFonts w:cs="Times New Roman"/>
        </w:rPr>
      </w:pPr>
      <w:r w:rsidRPr="002B4F82">
        <w:rPr>
          <w:rFonts w:cs="Times New Roman"/>
        </w:rPr>
        <w:t>*</w:t>
      </w:r>
      <w:r>
        <w:rPr>
          <w:rFonts w:cs="Times New Roman"/>
        </w:rPr>
        <w:t xml:space="preserve"> </w:t>
      </w:r>
      <w:r>
        <w:rPr>
          <w:rFonts w:cs="Times New Roman"/>
          <w:i/>
        </w:rPr>
        <w:t xml:space="preserve">p </w:t>
      </w:r>
      <w:r w:rsidRPr="002B4F82">
        <w:rPr>
          <w:rFonts w:cs="Times New Roman"/>
        </w:rPr>
        <w:t>&lt;</w:t>
      </w:r>
      <w:r>
        <w:rPr>
          <w:rFonts w:cs="Times New Roman"/>
        </w:rPr>
        <w:t xml:space="preserve"> </w:t>
      </w:r>
      <w:r w:rsidRPr="002B4F82">
        <w:rPr>
          <w:rFonts w:cs="Times New Roman"/>
        </w:rPr>
        <w:t>0.05, **</w:t>
      </w:r>
      <w:r>
        <w:rPr>
          <w:rFonts w:cs="Times New Roman"/>
          <w:i/>
        </w:rPr>
        <w:t xml:space="preserve">p </w:t>
      </w:r>
      <w:r w:rsidRPr="002B4F82">
        <w:rPr>
          <w:rFonts w:cs="Times New Roman"/>
        </w:rPr>
        <w:t>&lt;</w:t>
      </w:r>
      <w:r>
        <w:rPr>
          <w:rFonts w:cs="Times New Roman"/>
        </w:rPr>
        <w:t xml:space="preserve"> </w:t>
      </w:r>
      <w:r w:rsidRPr="002B4F82">
        <w:rPr>
          <w:rFonts w:cs="Times New Roman"/>
        </w:rPr>
        <w:t>0.01, ***</w:t>
      </w:r>
      <w:r>
        <w:rPr>
          <w:rFonts w:cs="Times New Roman"/>
        </w:rPr>
        <w:t xml:space="preserve"> </w:t>
      </w:r>
      <w:r>
        <w:rPr>
          <w:rFonts w:cs="Times New Roman" w:hint="eastAsia"/>
          <w:i/>
        </w:rPr>
        <w:t>p</w:t>
      </w:r>
      <w:r>
        <w:rPr>
          <w:rFonts w:cs="Times New Roman"/>
          <w:i/>
        </w:rPr>
        <w:t xml:space="preserve"> </w:t>
      </w:r>
      <w:r w:rsidRPr="002B4F82">
        <w:rPr>
          <w:rFonts w:cs="Times New Roman"/>
        </w:rPr>
        <w:t>&lt;</w:t>
      </w:r>
      <w:r>
        <w:rPr>
          <w:rFonts w:cs="Times New Roman"/>
        </w:rPr>
        <w:t xml:space="preserve"> </w:t>
      </w:r>
      <w:r w:rsidRPr="002B4F82">
        <w:rPr>
          <w:rFonts w:cs="Times New Roman"/>
        </w:rPr>
        <w:t>0.001</w:t>
      </w:r>
    </w:p>
    <w:p w14:paraId="0C083328" w14:textId="1797DB82" w:rsidR="00B906C7" w:rsidRDefault="00B906C7" w:rsidP="00AC2365">
      <w:pPr>
        <w:spacing w:line="240" w:lineRule="auto"/>
        <w:ind w:firstLine="0"/>
        <w:rPr>
          <w:noProof/>
        </w:rPr>
      </w:pPr>
    </w:p>
    <w:p w14:paraId="078ADB38" w14:textId="0861DAF5" w:rsidR="008509CC" w:rsidRDefault="00555BFC" w:rsidP="00AC2365">
      <w:pPr>
        <w:spacing w:line="240" w:lineRule="auto"/>
        <w:ind w:firstLine="0"/>
        <w:rPr>
          <w:noProof/>
        </w:rPr>
      </w:pPr>
      <w:r>
        <w:rPr>
          <w:rFonts w:hint="eastAsia"/>
          <w:noProof/>
        </w:rPr>
        <w:lastRenderedPageBreak/>
        <w:drawing>
          <wp:inline distT="0" distB="0" distL="0" distR="0" wp14:anchorId="30D79F04" wp14:editId="17BCAE66">
            <wp:extent cx="5751271" cy="5989580"/>
            <wp:effectExtent l="0" t="0" r="1905" b="0"/>
            <wp:docPr id="19082816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28165" name="图片 3"/>
                    <pic:cNvPicPr/>
                  </pic:nvPicPr>
                  <pic:blipFill>
                    <a:blip r:embed="rId10" cstate="print">
                      <a:extLst>
                        <a:ext uri="{28A0092B-C50C-407E-A947-70E740481C1C}">
                          <a14:useLocalDpi xmlns:a14="http://schemas.microsoft.com/office/drawing/2010/main" val="0"/>
                        </a:ext>
                      </a:extLst>
                    </a:blip>
                    <a:srcRect l="23051" r="23051"/>
                    <a:stretch>
                      <a:fillRect/>
                    </a:stretch>
                  </pic:blipFill>
                  <pic:spPr bwMode="auto">
                    <a:xfrm>
                      <a:off x="0" y="0"/>
                      <a:ext cx="5751271" cy="5989580"/>
                    </a:xfrm>
                    <a:prstGeom prst="rect">
                      <a:avLst/>
                    </a:prstGeom>
                    <a:ln>
                      <a:noFill/>
                    </a:ln>
                    <a:extLst>
                      <a:ext uri="{53640926-AAD7-44D8-BBD7-CCE9431645EC}">
                        <a14:shadowObscured xmlns:a14="http://schemas.microsoft.com/office/drawing/2010/main"/>
                      </a:ext>
                    </a:extLst>
                  </pic:spPr>
                </pic:pic>
              </a:graphicData>
            </a:graphic>
          </wp:inline>
        </w:drawing>
      </w:r>
    </w:p>
    <w:p w14:paraId="4075EF67" w14:textId="79D7CDFB" w:rsidR="00672535" w:rsidRDefault="00ED258E" w:rsidP="00ED258E">
      <w:pPr>
        <w:ind w:firstLine="0"/>
      </w:pPr>
      <w:r w:rsidRPr="006A1ECD">
        <w:rPr>
          <w:b/>
          <w:bCs/>
          <w:color w:val="4472C4" w:themeColor="accent1"/>
        </w:rPr>
        <w:t>Figure 3</w:t>
      </w:r>
      <w:r>
        <w:t>.</w:t>
      </w:r>
      <w:r w:rsidRPr="00ED258E">
        <w:t xml:space="preserve"> The time courses of the grand-averaged hemodynamic (HbO) changes associated with the probe (red solid curve) and irrelevant stimuli (blue solid curve) for the guilty (</w:t>
      </w:r>
      <w:r w:rsidR="002D7816">
        <w:rPr>
          <w:rFonts w:hint="eastAsia"/>
        </w:rPr>
        <w:t>top</w:t>
      </w:r>
      <w:r w:rsidRPr="00ED258E">
        <w:t>) and innocent group (</w:t>
      </w:r>
      <w:r w:rsidR="002D7816">
        <w:t>bottom</w:t>
      </w:r>
      <w:r w:rsidRPr="00ED258E">
        <w:t>) participants</w:t>
      </w:r>
      <w:r w:rsidR="005E73F0">
        <w:rPr>
          <w:rFonts w:hint="eastAsia"/>
        </w:rPr>
        <w:t>.</w:t>
      </w:r>
      <w:r w:rsidR="005E73F0">
        <w:t xml:space="preserve"> </w:t>
      </w:r>
    </w:p>
    <w:p w14:paraId="0F607958" w14:textId="355C3472" w:rsidR="00ED258E" w:rsidRDefault="004B6E70" w:rsidP="00ED258E">
      <w:pPr>
        <w:ind w:firstLine="0"/>
      </w:pPr>
      <w:r>
        <w:rPr>
          <w:noProof/>
        </w:rPr>
        <w:lastRenderedPageBreak/>
        <w:drawing>
          <wp:inline distT="0" distB="0" distL="0" distR="0" wp14:anchorId="2D54C34B" wp14:editId="6060BC2B">
            <wp:extent cx="5731510" cy="4831080"/>
            <wp:effectExtent l="0" t="0" r="2540" b="7620"/>
            <wp:docPr id="165581959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819598" name="图片 1655819598"/>
                    <pic:cNvPicPr/>
                  </pic:nvPicPr>
                  <pic:blipFill>
                    <a:blip r:embed="rId11">
                      <a:extLst>
                        <a:ext uri="{28A0092B-C50C-407E-A947-70E740481C1C}">
                          <a14:useLocalDpi xmlns:a14="http://schemas.microsoft.com/office/drawing/2010/main" val="0"/>
                        </a:ext>
                      </a:extLst>
                    </a:blip>
                    <a:stretch>
                      <a:fillRect/>
                    </a:stretch>
                  </pic:blipFill>
                  <pic:spPr>
                    <a:xfrm>
                      <a:off x="0" y="0"/>
                      <a:ext cx="5731510" cy="4831080"/>
                    </a:xfrm>
                    <a:prstGeom prst="rect">
                      <a:avLst/>
                    </a:prstGeom>
                  </pic:spPr>
                </pic:pic>
              </a:graphicData>
            </a:graphic>
          </wp:inline>
        </w:drawing>
      </w:r>
    </w:p>
    <w:p w14:paraId="6196CBA7" w14:textId="79382828" w:rsidR="00ED258E" w:rsidRPr="00F97B53" w:rsidRDefault="00ED258E" w:rsidP="00ED258E">
      <w:pPr>
        <w:ind w:firstLine="0"/>
      </w:pPr>
      <w:r w:rsidRPr="006A1ECD">
        <w:rPr>
          <w:b/>
          <w:bCs/>
          <w:color w:val="4472C4" w:themeColor="accent1"/>
        </w:rPr>
        <w:t>Figure 4</w:t>
      </w:r>
      <w:r>
        <w:t>.</w:t>
      </w:r>
      <w:r w:rsidRPr="00ED258E">
        <w:t xml:space="preserve"> Mapping of the grand-averaged HbO concentration changes associated with the probe items for the guilty group (top left), the probe items for the innocent group (bottom left), the irrelevant items for the guilty group (top right), and the irrelevant items for the innocent group (bottom right). We found that in the guilty group, the probe items elicited higher hemodynamic responses than the irrelevant stimuli over the prefrontal cortex but not in the innocent group.</w:t>
      </w:r>
    </w:p>
    <w:p w14:paraId="6284F69E" w14:textId="545192E8" w:rsidR="004405C7" w:rsidRDefault="004405C7" w:rsidP="004405C7">
      <w:pPr>
        <w:pStyle w:val="3"/>
      </w:pPr>
      <w:r w:rsidRPr="004405C7">
        <w:t xml:space="preserve">Correlation analysis of </w:t>
      </w:r>
      <w:r w:rsidR="00180E2A">
        <w:t>fNIRS,</w:t>
      </w:r>
      <w:r w:rsidRPr="004405C7">
        <w:t xml:space="preserve"> physiological data, and </w:t>
      </w:r>
      <w:r w:rsidR="00180E2A">
        <w:t xml:space="preserve">RT </w:t>
      </w:r>
      <w:r w:rsidRPr="004405C7">
        <w:t>data</w:t>
      </w:r>
    </w:p>
    <w:p w14:paraId="4937912A" w14:textId="4B1CB128" w:rsidR="003C5661" w:rsidRDefault="003C5661" w:rsidP="00140E06">
      <w:r w:rsidRPr="00673CF0">
        <w:t xml:space="preserve">Based on the Z-scores of </w:t>
      </w:r>
      <w:r w:rsidR="00925335">
        <w:t xml:space="preserve">the </w:t>
      </w:r>
      <w:r w:rsidRPr="00673CF0">
        <w:t xml:space="preserve">CIT effect (probe minus irrelevant), the correlation between </w:t>
      </w:r>
      <w:r w:rsidR="00930DE8" w:rsidRPr="00930DE8">
        <w:t>fNIRS, physiological</w:t>
      </w:r>
      <w:r w:rsidR="00930DE8">
        <w:t>,</w:t>
      </w:r>
      <w:r w:rsidR="00930DE8" w:rsidRPr="00930DE8">
        <w:t xml:space="preserve"> and RT data</w:t>
      </w:r>
      <w:r w:rsidRPr="00673CF0">
        <w:t xml:space="preserve"> of guilty and innocent groups was</w:t>
      </w:r>
      <w:r w:rsidR="00925335">
        <w:t xml:space="preserve"> </w:t>
      </w:r>
      <w:r w:rsidR="009A171F">
        <w:t>examine</w:t>
      </w:r>
      <w:r w:rsidRPr="00673CF0">
        <w:t xml:space="preserve">d. </w:t>
      </w:r>
      <w:r w:rsidRPr="00460A8F">
        <w:t xml:space="preserve">The </w:t>
      </w:r>
      <w:r w:rsidRPr="00460A8F">
        <w:lastRenderedPageBreak/>
        <w:t>average Z</w:t>
      </w:r>
      <w:r>
        <w:t>-</w:t>
      </w:r>
      <w:r w:rsidRPr="00460A8F">
        <w:t>score</w:t>
      </w:r>
      <w:r>
        <w:t>s</w:t>
      </w:r>
      <w:r w:rsidRPr="00460A8F">
        <w:t xml:space="preserve"> of HbO </w:t>
      </w:r>
      <w:r w:rsidR="001562C3">
        <w:t>signals were</w:t>
      </w:r>
      <w:r w:rsidR="001562C3" w:rsidRPr="00460A8F">
        <w:t xml:space="preserve"> </w:t>
      </w:r>
      <w:r w:rsidRPr="00460A8F">
        <w:t xml:space="preserve">used to investigate the correlation with </w:t>
      </w:r>
      <w:r>
        <w:t xml:space="preserve">the </w:t>
      </w:r>
      <w:r w:rsidRPr="00460A8F">
        <w:t>other indicators.</w:t>
      </w:r>
      <w:r w:rsidRPr="003F7F97">
        <w:rPr>
          <w:color w:val="FF0000"/>
        </w:rPr>
        <w:t xml:space="preserve"> </w:t>
      </w:r>
      <w:r w:rsidRPr="000113B8">
        <w:t xml:space="preserve">The results revealed that there were no significant correlations between </w:t>
      </w:r>
      <w:r w:rsidR="00930DE8" w:rsidRPr="00930DE8">
        <w:t>fNIRS, physiological</w:t>
      </w:r>
      <w:r w:rsidR="00930DE8">
        <w:t>,</w:t>
      </w:r>
      <w:r w:rsidR="00930DE8" w:rsidRPr="00930DE8">
        <w:t xml:space="preserve"> and RT data</w:t>
      </w:r>
      <w:r w:rsidR="00930DE8" w:rsidRPr="00930DE8" w:rsidDel="00930DE8">
        <w:t xml:space="preserve"> </w:t>
      </w:r>
      <w:r w:rsidRPr="003F7F97">
        <w:t>in either the gu</w:t>
      </w:r>
      <w:r w:rsidRPr="00D22CE8">
        <w:t xml:space="preserve">ilty or the innocent group (averaged by channels, see </w:t>
      </w:r>
      <w:r w:rsidRPr="006A1ECD">
        <w:rPr>
          <w:color w:val="4472C4" w:themeColor="accent1"/>
        </w:rPr>
        <w:t>Table 2</w:t>
      </w:r>
      <w:r w:rsidRPr="00D22CE8">
        <w:t>).</w:t>
      </w:r>
    </w:p>
    <w:tbl>
      <w:tblPr>
        <w:tblStyle w:val="a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3"/>
        <w:gridCol w:w="1117"/>
        <w:gridCol w:w="1117"/>
        <w:gridCol w:w="1117"/>
        <w:gridCol w:w="284"/>
        <w:gridCol w:w="1117"/>
        <w:gridCol w:w="1117"/>
        <w:gridCol w:w="1118"/>
      </w:tblGrid>
      <w:tr w:rsidR="00102790" w:rsidRPr="00102790" w14:paraId="2AB847D0" w14:textId="77777777" w:rsidTr="00394C3A">
        <w:trPr>
          <w:jc w:val="center"/>
        </w:trPr>
        <w:tc>
          <w:tcPr>
            <w:tcW w:w="7600" w:type="dxa"/>
            <w:gridSpan w:val="8"/>
            <w:tcBorders>
              <w:bottom w:val="single" w:sz="12" w:space="0" w:color="auto"/>
            </w:tcBorders>
            <w:vAlign w:val="center"/>
          </w:tcPr>
          <w:p w14:paraId="0CF4E9C1" w14:textId="1CCF1468" w:rsidR="00102790" w:rsidRPr="00102790" w:rsidRDefault="00102790" w:rsidP="00102790">
            <w:pPr>
              <w:spacing w:line="240" w:lineRule="auto"/>
              <w:ind w:firstLine="0"/>
              <w:jc w:val="center"/>
              <w:rPr>
                <w:sz w:val="21"/>
                <w:szCs w:val="21"/>
              </w:rPr>
            </w:pPr>
            <w:r w:rsidRPr="006A1ECD">
              <w:rPr>
                <w:b/>
                <w:bCs/>
                <w:color w:val="4472C4" w:themeColor="accent1"/>
                <w:sz w:val="21"/>
                <w:szCs w:val="21"/>
              </w:rPr>
              <w:t>Table 2</w:t>
            </w:r>
            <w:r>
              <w:rPr>
                <w:sz w:val="21"/>
                <w:szCs w:val="21"/>
              </w:rPr>
              <w:t xml:space="preserve">. </w:t>
            </w:r>
            <w:r w:rsidRPr="00102790">
              <w:rPr>
                <w:sz w:val="21"/>
                <w:szCs w:val="21"/>
              </w:rPr>
              <w:t>Correlations between RT, SCR, HR, and fNIRS data</w:t>
            </w:r>
          </w:p>
        </w:tc>
      </w:tr>
      <w:tr w:rsidR="00102790" w:rsidRPr="00102790" w14:paraId="5E26813C" w14:textId="77777777" w:rsidTr="00394C3A">
        <w:trPr>
          <w:jc w:val="center"/>
        </w:trPr>
        <w:tc>
          <w:tcPr>
            <w:tcW w:w="613" w:type="dxa"/>
            <w:tcBorders>
              <w:top w:val="single" w:sz="12" w:space="0" w:color="auto"/>
            </w:tcBorders>
          </w:tcPr>
          <w:p w14:paraId="4B055D8E" w14:textId="77777777" w:rsidR="00102790" w:rsidRPr="00102790" w:rsidRDefault="00102790" w:rsidP="003C5661">
            <w:pPr>
              <w:spacing w:line="240" w:lineRule="auto"/>
              <w:ind w:firstLine="0"/>
              <w:rPr>
                <w:sz w:val="21"/>
                <w:szCs w:val="21"/>
              </w:rPr>
            </w:pPr>
          </w:p>
        </w:tc>
        <w:tc>
          <w:tcPr>
            <w:tcW w:w="3351" w:type="dxa"/>
            <w:gridSpan w:val="3"/>
            <w:tcBorders>
              <w:top w:val="single" w:sz="12" w:space="0" w:color="auto"/>
              <w:bottom w:val="single" w:sz="4" w:space="0" w:color="auto"/>
            </w:tcBorders>
            <w:vAlign w:val="center"/>
          </w:tcPr>
          <w:p w14:paraId="73C7F992" w14:textId="429F58DF" w:rsidR="00102790" w:rsidRPr="00102790" w:rsidRDefault="00102790" w:rsidP="00102790">
            <w:pPr>
              <w:spacing w:line="240" w:lineRule="auto"/>
              <w:ind w:firstLine="0"/>
              <w:jc w:val="center"/>
              <w:rPr>
                <w:sz w:val="21"/>
                <w:szCs w:val="21"/>
              </w:rPr>
            </w:pPr>
            <w:r w:rsidRPr="00102790">
              <w:rPr>
                <w:sz w:val="21"/>
                <w:szCs w:val="21"/>
              </w:rPr>
              <w:t>Guilty group</w:t>
            </w:r>
          </w:p>
        </w:tc>
        <w:tc>
          <w:tcPr>
            <w:tcW w:w="284" w:type="dxa"/>
            <w:tcBorders>
              <w:top w:val="single" w:sz="12" w:space="0" w:color="auto"/>
            </w:tcBorders>
            <w:vAlign w:val="center"/>
          </w:tcPr>
          <w:p w14:paraId="59BE526B" w14:textId="77777777" w:rsidR="00102790" w:rsidRPr="00102790" w:rsidRDefault="00102790" w:rsidP="00102790">
            <w:pPr>
              <w:spacing w:line="240" w:lineRule="auto"/>
              <w:ind w:firstLine="0"/>
              <w:jc w:val="center"/>
              <w:rPr>
                <w:sz w:val="21"/>
                <w:szCs w:val="21"/>
              </w:rPr>
            </w:pPr>
          </w:p>
        </w:tc>
        <w:tc>
          <w:tcPr>
            <w:tcW w:w="3352" w:type="dxa"/>
            <w:gridSpan w:val="3"/>
            <w:tcBorders>
              <w:top w:val="single" w:sz="12" w:space="0" w:color="auto"/>
              <w:bottom w:val="single" w:sz="4" w:space="0" w:color="auto"/>
            </w:tcBorders>
            <w:vAlign w:val="center"/>
          </w:tcPr>
          <w:p w14:paraId="1F2B609F" w14:textId="219EF028" w:rsidR="00102790" w:rsidRPr="00102790" w:rsidRDefault="00102790" w:rsidP="00102790">
            <w:pPr>
              <w:spacing w:line="240" w:lineRule="auto"/>
              <w:ind w:firstLine="0"/>
              <w:jc w:val="center"/>
              <w:rPr>
                <w:sz w:val="21"/>
                <w:szCs w:val="21"/>
              </w:rPr>
            </w:pPr>
            <w:r w:rsidRPr="00102790">
              <w:rPr>
                <w:sz w:val="21"/>
                <w:szCs w:val="21"/>
              </w:rPr>
              <w:t>Innocent group</w:t>
            </w:r>
          </w:p>
        </w:tc>
      </w:tr>
      <w:tr w:rsidR="00102790" w:rsidRPr="00102790" w14:paraId="2E8D2E94" w14:textId="77777777" w:rsidTr="006A1ECD">
        <w:trPr>
          <w:jc w:val="center"/>
        </w:trPr>
        <w:tc>
          <w:tcPr>
            <w:tcW w:w="613" w:type="dxa"/>
          </w:tcPr>
          <w:p w14:paraId="7EE6E8B1" w14:textId="77777777" w:rsidR="00102790" w:rsidRPr="00102790" w:rsidRDefault="00102790" w:rsidP="00102790">
            <w:pPr>
              <w:spacing w:line="240" w:lineRule="auto"/>
              <w:ind w:firstLine="0"/>
              <w:rPr>
                <w:sz w:val="21"/>
                <w:szCs w:val="21"/>
              </w:rPr>
            </w:pPr>
          </w:p>
        </w:tc>
        <w:tc>
          <w:tcPr>
            <w:tcW w:w="1117" w:type="dxa"/>
            <w:tcBorders>
              <w:top w:val="single" w:sz="4" w:space="0" w:color="auto"/>
            </w:tcBorders>
            <w:vAlign w:val="center"/>
          </w:tcPr>
          <w:p w14:paraId="7B79D2D8" w14:textId="0D50B54B" w:rsidR="00102790" w:rsidRPr="00102790" w:rsidRDefault="00102790" w:rsidP="006A1ECD">
            <w:pPr>
              <w:spacing w:line="240" w:lineRule="auto"/>
              <w:ind w:firstLine="0"/>
              <w:jc w:val="center"/>
              <w:rPr>
                <w:sz w:val="21"/>
                <w:szCs w:val="21"/>
              </w:rPr>
            </w:pPr>
            <w:r w:rsidRPr="00102790">
              <w:rPr>
                <w:sz w:val="21"/>
                <w:szCs w:val="21"/>
              </w:rPr>
              <w:t>SCR</w:t>
            </w:r>
          </w:p>
        </w:tc>
        <w:tc>
          <w:tcPr>
            <w:tcW w:w="1117" w:type="dxa"/>
            <w:tcBorders>
              <w:top w:val="single" w:sz="4" w:space="0" w:color="auto"/>
            </w:tcBorders>
            <w:vAlign w:val="center"/>
          </w:tcPr>
          <w:p w14:paraId="0B9AB51D" w14:textId="6C47AA9A" w:rsidR="00102790" w:rsidRPr="00102790" w:rsidRDefault="00102790" w:rsidP="006A1ECD">
            <w:pPr>
              <w:spacing w:line="240" w:lineRule="auto"/>
              <w:ind w:firstLine="0"/>
              <w:jc w:val="center"/>
              <w:rPr>
                <w:sz w:val="21"/>
                <w:szCs w:val="21"/>
              </w:rPr>
            </w:pPr>
            <w:r w:rsidRPr="00102790">
              <w:rPr>
                <w:sz w:val="21"/>
                <w:szCs w:val="21"/>
              </w:rPr>
              <w:t>HR</w:t>
            </w:r>
          </w:p>
        </w:tc>
        <w:tc>
          <w:tcPr>
            <w:tcW w:w="1117" w:type="dxa"/>
            <w:tcBorders>
              <w:top w:val="single" w:sz="4" w:space="0" w:color="auto"/>
            </w:tcBorders>
            <w:vAlign w:val="center"/>
          </w:tcPr>
          <w:p w14:paraId="4922CAC3" w14:textId="1468C42B" w:rsidR="00102790" w:rsidRPr="00102790" w:rsidRDefault="00102790" w:rsidP="006A1ECD">
            <w:pPr>
              <w:spacing w:line="240" w:lineRule="auto"/>
              <w:ind w:firstLine="0"/>
              <w:jc w:val="center"/>
              <w:rPr>
                <w:sz w:val="21"/>
                <w:szCs w:val="21"/>
              </w:rPr>
            </w:pPr>
            <w:r w:rsidRPr="00102790">
              <w:rPr>
                <w:sz w:val="21"/>
                <w:szCs w:val="21"/>
              </w:rPr>
              <w:t>fNIRS</w:t>
            </w:r>
          </w:p>
        </w:tc>
        <w:tc>
          <w:tcPr>
            <w:tcW w:w="284" w:type="dxa"/>
            <w:vAlign w:val="center"/>
          </w:tcPr>
          <w:p w14:paraId="15FAD2D0" w14:textId="77777777" w:rsidR="00102790" w:rsidRPr="00102790" w:rsidRDefault="00102790" w:rsidP="006A1ECD">
            <w:pPr>
              <w:spacing w:line="240" w:lineRule="auto"/>
              <w:ind w:firstLine="0"/>
              <w:jc w:val="center"/>
              <w:rPr>
                <w:sz w:val="21"/>
                <w:szCs w:val="21"/>
              </w:rPr>
            </w:pPr>
          </w:p>
        </w:tc>
        <w:tc>
          <w:tcPr>
            <w:tcW w:w="1117" w:type="dxa"/>
            <w:tcBorders>
              <w:top w:val="single" w:sz="4" w:space="0" w:color="auto"/>
            </w:tcBorders>
            <w:vAlign w:val="center"/>
          </w:tcPr>
          <w:p w14:paraId="632E4531" w14:textId="5FE7569C" w:rsidR="00102790" w:rsidRPr="00102790" w:rsidRDefault="00102790" w:rsidP="006A1ECD">
            <w:pPr>
              <w:spacing w:line="240" w:lineRule="auto"/>
              <w:ind w:firstLine="0"/>
              <w:jc w:val="center"/>
              <w:rPr>
                <w:sz w:val="21"/>
                <w:szCs w:val="21"/>
              </w:rPr>
            </w:pPr>
            <w:r w:rsidRPr="00102790">
              <w:rPr>
                <w:sz w:val="21"/>
                <w:szCs w:val="21"/>
              </w:rPr>
              <w:t>SCR</w:t>
            </w:r>
          </w:p>
        </w:tc>
        <w:tc>
          <w:tcPr>
            <w:tcW w:w="1117" w:type="dxa"/>
            <w:tcBorders>
              <w:top w:val="single" w:sz="4" w:space="0" w:color="auto"/>
            </w:tcBorders>
            <w:vAlign w:val="center"/>
          </w:tcPr>
          <w:p w14:paraId="56C981A4" w14:textId="48F28FD0" w:rsidR="00102790" w:rsidRPr="00102790" w:rsidRDefault="00102790" w:rsidP="006A1ECD">
            <w:pPr>
              <w:spacing w:line="240" w:lineRule="auto"/>
              <w:ind w:firstLine="0"/>
              <w:jc w:val="center"/>
              <w:rPr>
                <w:sz w:val="21"/>
                <w:szCs w:val="21"/>
              </w:rPr>
            </w:pPr>
            <w:r w:rsidRPr="00102790">
              <w:rPr>
                <w:sz w:val="21"/>
                <w:szCs w:val="21"/>
              </w:rPr>
              <w:t>HR</w:t>
            </w:r>
          </w:p>
        </w:tc>
        <w:tc>
          <w:tcPr>
            <w:tcW w:w="1118" w:type="dxa"/>
            <w:tcBorders>
              <w:top w:val="single" w:sz="4" w:space="0" w:color="auto"/>
            </w:tcBorders>
            <w:vAlign w:val="center"/>
          </w:tcPr>
          <w:p w14:paraId="0B7F5283" w14:textId="1C84030B" w:rsidR="00102790" w:rsidRPr="00102790" w:rsidRDefault="00102790" w:rsidP="006A1ECD">
            <w:pPr>
              <w:spacing w:line="240" w:lineRule="auto"/>
              <w:ind w:firstLine="0"/>
              <w:jc w:val="center"/>
              <w:rPr>
                <w:sz w:val="21"/>
                <w:szCs w:val="21"/>
              </w:rPr>
            </w:pPr>
            <w:r w:rsidRPr="00102790">
              <w:rPr>
                <w:sz w:val="21"/>
                <w:szCs w:val="21"/>
              </w:rPr>
              <w:t>fNIRS</w:t>
            </w:r>
          </w:p>
        </w:tc>
      </w:tr>
      <w:tr w:rsidR="00102790" w:rsidRPr="00102790" w14:paraId="542BA078" w14:textId="77777777" w:rsidTr="006A1ECD">
        <w:trPr>
          <w:jc w:val="center"/>
        </w:trPr>
        <w:tc>
          <w:tcPr>
            <w:tcW w:w="613" w:type="dxa"/>
          </w:tcPr>
          <w:p w14:paraId="07497E6B" w14:textId="5320D24F" w:rsidR="00102790" w:rsidRPr="00102790" w:rsidRDefault="00102790" w:rsidP="00102790">
            <w:pPr>
              <w:spacing w:line="240" w:lineRule="auto"/>
              <w:ind w:firstLine="0"/>
              <w:rPr>
                <w:sz w:val="21"/>
                <w:szCs w:val="21"/>
              </w:rPr>
            </w:pPr>
            <w:r w:rsidRPr="00102790">
              <w:rPr>
                <w:rFonts w:hint="eastAsia"/>
                <w:sz w:val="21"/>
                <w:szCs w:val="21"/>
              </w:rPr>
              <w:t>R</w:t>
            </w:r>
            <w:r w:rsidRPr="00102790">
              <w:rPr>
                <w:sz w:val="21"/>
                <w:szCs w:val="21"/>
              </w:rPr>
              <w:t>T</w:t>
            </w:r>
          </w:p>
        </w:tc>
        <w:tc>
          <w:tcPr>
            <w:tcW w:w="1117" w:type="dxa"/>
            <w:vAlign w:val="center"/>
          </w:tcPr>
          <w:p w14:paraId="298394C8" w14:textId="123A6098" w:rsidR="00102790" w:rsidRPr="00102790" w:rsidRDefault="00102790" w:rsidP="006A1ECD">
            <w:pPr>
              <w:spacing w:line="240" w:lineRule="auto"/>
              <w:ind w:firstLine="0"/>
              <w:jc w:val="center"/>
              <w:rPr>
                <w:sz w:val="21"/>
                <w:szCs w:val="21"/>
              </w:rPr>
            </w:pPr>
            <w:r w:rsidRPr="00102790">
              <w:rPr>
                <w:sz w:val="21"/>
                <w:szCs w:val="21"/>
              </w:rPr>
              <w:t>0.14</w:t>
            </w:r>
          </w:p>
        </w:tc>
        <w:tc>
          <w:tcPr>
            <w:tcW w:w="1117" w:type="dxa"/>
            <w:vAlign w:val="center"/>
          </w:tcPr>
          <w:p w14:paraId="37EF8DB1" w14:textId="649858D2" w:rsidR="00102790" w:rsidRPr="00102790" w:rsidRDefault="00102790" w:rsidP="006A1ECD">
            <w:pPr>
              <w:spacing w:line="240" w:lineRule="auto"/>
              <w:ind w:firstLine="0"/>
              <w:jc w:val="center"/>
              <w:rPr>
                <w:sz w:val="21"/>
                <w:szCs w:val="21"/>
              </w:rPr>
            </w:pPr>
            <w:r w:rsidRPr="00102790">
              <w:rPr>
                <w:sz w:val="21"/>
                <w:szCs w:val="21"/>
              </w:rPr>
              <w:t>0.12</w:t>
            </w:r>
          </w:p>
        </w:tc>
        <w:tc>
          <w:tcPr>
            <w:tcW w:w="1117" w:type="dxa"/>
            <w:vAlign w:val="center"/>
          </w:tcPr>
          <w:p w14:paraId="7C1B9700" w14:textId="43F5830F" w:rsidR="00102790" w:rsidRPr="00102790" w:rsidRDefault="00102790" w:rsidP="006A1ECD">
            <w:pPr>
              <w:spacing w:line="240" w:lineRule="auto"/>
              <w:ind w:firstLine="0"/>
              <w:jc w:val="center"/>
              <w:rPr>
                <w:sz w:val="21"/>
                <w:szCs w:val="21"/>
              </w:rPr>
            </w:pPr>
            <w:r w:rsidRPr="00102790">
              <w:rPr>
                <w:sz w:val="21"/>
                <w:szCs w:val="21"/>
              </w:rPr>
              <w:t>0.2</w:t>
            </w:r>
            <w:r w:rsidR="00561D80">
              <w:rPr>
                <w:sz w:val="21"/>
                <w:szCs w:val="21"/>
              </w:rPr>
              <w:t>0</w:t>
            </w:r>
          </w:p>
        </w:tc>
        <w:tc>
          <w:tcPr>
            <w:tcW w:w="284" w:type="dxa"/>
            <w:vAlign w:val="center"/>
          </w:tcPr>
          <w:p w14:paraId="6389FE11" w14:textId="77777777" w:rsidR="00102790" w:rsidRPr="00102790" w:rsidRDefault="00102790" w:rsidP="006A1ECD">
            <w:pPr>
              <w:spacing w:line="240" w:lineRule="auto"/>
              <w:ind w:firstLine="0"/>
              <w:jc w:val="center"/>
              <w:rPr>
                <w:sz w:val="21"/>
                <w:szCs w:val="21"/>
              </w:rPr>
            </w:pPr>
          </w:p>
        </w:tc>
        <w:tc>
          <w:tcPr>
            <w:tcW w:w="1117" w:type="dxa"/>
            <w:vAlign w:val="center"/>
          </w:tcPr>
          <w:p w14:paraId="09C39420" w14:textId="0F7586BB" w:rsidR="00102790" w:rsidRPr="00102790" w:rsidRDefault="00102790" w:rsidP="006A1ECD">
            <w:pPr>
              <w:spacing w:line="240" w:lineRule="auto"/>
              <w:ind w:firstLine="0"/>
              <w:jc w:val="center"/>
              <w:rPr>
                <w:sz w:val="21"/>
                <w:szCs w:val="21"/>
              </w:rPr>
            </w:pPr>
            <w:r w:rsidRPr="00102790">
              <w:rPr>
                <w:sz w:val="21"/>
                <w:szCs w:val="21"/>
              </w:rPr>
              <w:t>0.18</w:t>
            </w:r>
          </w:p>
        </w:tc>
        <w:tc>
          <w:tcPr>
            <w:tcW w:w="1117" w:type="dxa"/>
            <w:vAlign w:val="center"/>
          </w:tcPr>
          <w:p w14:paraId="497CDF79" w14:textId="2ABE5D39" w:rsidR="00102790" w:rsidRPr="00102790" w:rsidRDefault="00102790" w:rsidP="006A1ECD">
            <w:pPr>
              <w:spacing w:line="240" w:lineRule="auto"/>
              <w:ind w:firstLine="0"/>
              <w:jc w:val="center"/>
              <w:rPr>
                <w:sz w:val="21"/>
                <w:szCs w:val="21"/>
              </w:rPr>
            </w:pPr>
            <w:r w:rsidRPr="00102790">
              <w:rPr>
                <w:sz w:val="21"/>
                <w:szCs w:val="21"/>
              </w:rPr>
              <w:t>0.03</w:t>
            </w:r>
          </w:p>
        </w:tc>
        <w:tc>
          <w:tcPr>
            <w:tcW w:w="1118" w:type="dxa"/>
            <w:vAlign w:val="center"/>
          </w:tcPr>
          <w:p w14:paraId="56960431" w14:textId="640B0A67" w:rsidR="00102790" w:rsidRPr="00102790" w:rsidRDefault="00102790" w:rsidP="006A1ECD">
            <w:pPr>
              <w:spacing w:line="240" w:lineRule="auto"/>
              <w:ind w:firstLine="0"/>
              <w:jc w:val="center"/>
              <w:rPr>
                <w:sz w:val="21"/>
                <w:szCs w:val="21"/>
              </w:rPr>
            </w:pPr>
            <w:r w:rsidRPr="00102790">
              <w:rPr>
                <w:sz w:val="21"/>
                <w:szCs w:val="21"/>
              </w:rPr>
              <w:t>0.07</w:t>
            </w:r>
          </w:p>
        </w:tc>
      </w:tr>
      <w:tr w:rsidR="00102790" w:rsidRPr="00102790" w14:paraId="7507AAE6" w14:textId="77777777" w:rsidTr="006A1ECD">
        <w:trPr>
          <w:jc w:val="center"/>
        </w:trPr>
        <w:tc>
          <w:tcPr>
            <w:tcW w:w="613" w:type="dxa"/>
          </w:tcPr>
          <w:p w14:paraId="32F367A3" w14:textId="2D30FEF6" w:rsidR="00102790" w:rsidRPr="00102790" w:rsidRDefault="00102790" w:rsidP="00102790">
            <w:pPr>
              <w:spacing w:line="240" w:lineRule="auto"/>
              <w:ind w:firstLine="0"/>
              <w:rPr>
                <w:sz w:val="21"/>
                <w:szCs w:val="21"/>
              </w:rPr>
            </w:pPr>
            <w:r w:rsidRPr="00102790">
              <w:rPr>
                <w:rFonts w:hint="eastAsia"/>
                <w:sz w:val="21"/>
                <w:szCs w:val="21"/>
              </w:rPr>
              <w:t>S</w:t>
            </w:r>
            <w:r w:rsidRPr="00102790">
              <w:rPr>
                <w:sz w:val="21"/>
                <w:szCs w:val="21"/>
              </w:rPr>
              <w:t>CR</w:t>
            </w:r>
          </w:p>
        </w:tc>
        <w:tc>
          <w:tcPr>
            <w:tcW w:w="1117" w:type="dxa"/>
            <w:vAlign w:val="center"/>
          </w:tcPr>
          <w:p w14:paraId="3EDBB44D" w14:textId="77777777" w:rsidR="00102790" w:rsidRPr="00102790" w:rsidRDefault="00102790" w:rsidP="006A1ECD">
            <w:pPr>
              <w:spacing w:line="240" w:lineRule="auto"/>
              <w:ind w:firstLine="0"/>
              <w:jc w:val="center"/>
              <w:rPr>
                <w:sz w:val="21"/>
                <w:szCs w:val="21"/>
              </w:rPr>
            </w:pPr>
          </w:p>
        </w:tc>
        <w:tc>
          <w:tcPr>
            <w:tcW w:w="1117" w:type="dxa"/>
            <w:vAlign w:val="center"/>
          </w:tcPr>
          <w:p w14:paraId="0DA0D0E2" w14:textId="2C56D55E" w:rsidR="00102790" w:rsidRPr="00102790" w:rsidRDefault="00102790" w:rsidP="006A1ECD">
            <w:pPr>
              <w:spacing w:line="240" w:lineRule="auto"/>
              <w:ind w:firstLine="0"/>
              <w:jc w:val="center"/>
              <w:rPr>
                <w:sz w:val="21"/>
                <w:szCs w:val="21"/>
              </w:rPr>
            </w:pPr>
            <w:r w:rsidRPr="00102790">
              <w:rPr>
                <w:sz w:val="21"/>
                <w:szCs w:val="21"/>
              </w:rPr>
              <w:t>-0.08</w:t>
            </w:r>
          </w:p>
        </w:tc>
        <w:tc>
          <w:tcPr>
            <w:tcW w:w="1117" w:type="dxa"/>
            <w:vAlign w:val="center"/>
          </w:tcPr>
          <w:p w14:paraId="6D7A1895" w14:textId="1A443C03" w:rsidR="00102790" w:rsidRPr="00102790" w:rsidRDefault="00102790" w:rsidP="006A1ECD">
            <w:pPr>
              <w:spacing w:line="240" w:lineRule="auto"/>
              <w:ind w:firstLine="0"/>
              <w:jc w:val="center"/>
              <w:rPr>
                <w:sz w:val="21"/>
                <w:szCs w:val="21"/>
              </w:rPr>
            </w:pPr>
            <w:r w:rsidRPr="00102790">
              <w:rPr>
                <w:sz w:val="21"/>
                <w:szCs w:val="21"/>
              </w:rPr>
              <w:t>-0.07</w:t>
            </w:r>
          </w:p>
        </w:tc>
        <w:tc>
          <w:tcPr>
            <w:tcW w:w="284" w:type="dxa"/>
            <w:vAlign w:val="center"/>
          </w:tcPr>
          <w:p w14:paraId="52E3313A" w14:textId="77777777" w:rsidR="00102790" w:rsidRPr="00102790" w:rsidRDefault="00102790" w:rsidP="006A1ECD">
            <w:pPr>
              <w:spacing w:line="240" w:lineRule="auto"/>
              <w:ind w:firstLine="0"/>
              <w:jc w:val="center"/>
              <w:rPr>
                <w:sz w:val="21"/>
                <w:szCs w:val="21"/>
              </w:rPr>
            </w:pPr>
          </w:p>
        </w:tc>
        <w:tc>
          <w:tcPr>
            <w:tcW w:w="1117" w:type="dxa"/>
            <w:vAlign w:val="center"/>
          </w:tcPr>
          <w:p w14:paraId="33847AC2" w14:textId="0502AE3E" w:rsidR="00102790" w:rsidRPr="00102790" w:rsidRDefault="00102790" w:rsidP="006A1ECD">
            <w:pPr>
              <w:spacing w:line="240" w:lineRule="auto"/>
              <w:ind w:firstLine="0"/>
              <w:jc w:val="center"/>
              <w:rPr>
                <w:sz w:val="21"/>
                <w:szCs w:val="21"/>
              </w:rPr>
            </w:pPr>
          </w:p>
        </w:tc>
        <w:tc>
          <w:tcPr>
            <w:tcW w:w="1117" w:type="dxa"/>
            <w:vAlign w:val="center"/>
          </w:tcPr>
          <w:p w14:paraId="000E0BF6" w14:textId="7360B6DA" w:rsidR="00102790" w:rsidRPr="00102790" w:rsidRDefault="00102790" w:rsidP="006A1ECD">
            <w:pPr>
              <w:spacing w:line="240" w:lineRule="auto"/>
              <w:ind w:firstLine="0"/>
              <w:jc w:val="center"/>
              <w:rPr>
                <w:sz w:val="21"/>
                <w:szCs w:val="21"/>
              </w:rPr>
            </w:pPr>
            <w:r w:rsidRPr="00102790">
              <w:rPr>
                <w:sz w:val="21"/>
                <w:szCs w:val="21"/>
              </w:rPr>
              <w:t>0.2</w:t>
            </w:r>
            <w:r w:rsidR="00561D80">
              <w:rPr>
                <w:sz w:val="21"/>
                <w:szCs w:val="21"/>
              </w:rPr>
              <w:t>0</w:t>
            </w:r>
          </w:p>
        </w:tc>
        <w:tc>
          <w:tcPr>
            <w:tcW w:w="1118" w:type="dxa"/>
            <w:vAlign w:val="center"/>
          </w:tcPr>
          <w:p w14:paraId="35ED8B59" w14:textId="53AFAD13" w:rsidR="00102790" w:rsidRPr="00102790" w:rsidRDefault="00102790" w:rsidP="006A1ECD">
            <w:pPr>
              <w:spacing w:line="240" w:lineRule="auto"/>
              <w:ind w:firstLine="0"/>
              <w:jc w:val="center"/>
              <w:rPr>
                <w:sz w:val="21"/>
                <w:szCs w:val="21"/>
              </w:rPr>
            </w:pPr>
            <w:r w:rsidRPr="00102790">
              <w:rPr>
                <w:sz w:val="21"/>
                <w:szCs w:val="21"/>
              </w:rPr>
              <w:t>0.11</w:t>
            </w:r>
          </w:p>
        </w:tc>
      </w:tr>
      <w:tr w:rsidR="00102790" w:rsidRPr="00102790" w14:paraId="2B46CBE2" w14:textId="77777777" w:rsidTr="006A1ECD">
        <w:trPr>
          <w:jc w:val="center"/>
        </w:trPr>
        <w:tc>
          <w:tcPr>
            <w:tcW w:w="613" w:type="dxa"/>
            <w:tcBorders>
              <w:bottom w:val="single" w:sz="12" w:space="0" w:color="auto"/>
            </w:tcBorders>
          </w:tcPr>
          <w:p w14:paraId="7940A613" w14:textId="4BB1EA2D" w:rsidR="00102790" w:rsidRPr="00102790" w:rsidRDefault="00102790" w:rsidP="00102790">
            <w:pPr>
              <w:spacing w:line="240" w:lineRule="auto"/>
              <w:ind w:firstLine="0"/>
              <w:rPr>
                <w:sz w:val="21"/>
                <w:szCs w:val="21"/>
              </w:rPr>
            </w:pPr>
            <w:r w:rsidRPr="00102790">
              <w:rPr>
                <w:rFonts w:hint="eastAsia"/>
                <w:sz w:val="21"/>
                <w:szCs w:val="21"/>
              </w:rPr>
              <w:t>H</w:t>
            </w:r>
            <w:r w:rsidRPr="00102790">
              <w:rPr>
                <w:sz w:val="21"/>
                <w:szCs w:val="21"/>
              </w:rPr>
              <w:t>R</w:t>
            </w:r>
          </w:p>
        </w:tc>
        <w:tc>
          <w:tcPr>
            <w:tcW w:w="1117" w:type="dxa"/>
            <w:tcBorders>
              <w:bottom w:val="single" w:sz="12" w:space="0" w:color="auto"/>
            </w:tcBorders>
            <w:vAlign w:val="center"/>
          </w:tcPr>
          <w:p w14:paraId="40301D97" w14:textId="77777777" w:rsidR="00102790" w:rsidRPr="00102790" w:rsidRDefault="00102790" w:rsidP="006A1ECD">
            <w:pPr>
              <w:spacing w:line="240" w:lineRule="auto"/>
              <w:ind w:firstLine="0"/>
              <w:jc w:val="center"/>
              <w:rPr>
                <w:sz w:val="21"/>
                <w:szCs w:val="21"/>
              </w:rPr>
            </w:pPr>
          </w:p>
        </w:tc>
        <w:tc>
          <w:tcPr>
            <w:tcW w:w="1117" w:type="dxa"/>
            <w:tcBorders>
              <w:bottom w:val="single" w:sz="12" w:space="0" w:color="auto"/>
            </w:tcBorders>
            <w:vAlign w:val="center"/>
          </w:tcPr>
          <w:p w14:paraId="10EBF8E8" w14:textId="77777777" w:rsidR="00102790" w:rsidRPr="00102790" w:rsidRDefault="00102790" w:rsidP="006A1ECD">
            <w:pPr>
              <w:spacing w:line="240" w:lineRule="auto"/>
              <w:ind w:firstLine="0"/>
              <w:jc w:val="center"/>
              <w:rPr>
                <w:sz w:val="21"/>
                <w:szCs w:val="21"/>
              </w:rPr>
            </w:pPr>
          </w:p>
        </w:tc>
        <w:tc>
          <w:tcPr>
            <w:tcW w:w="1117" w:type="dxa"/>
            <w:tcBorders>
              <w:bottom w:val="single" w:sz="12" w:space="0" w:color="auto"/>
            </w:tcBorders>
            <w:vAlign w:val="center"/>
          </w:tcPr>
          <w:p w14:paraId="47B8A7F5" w14:textId="2743F542" w:rsidR="00102790" w:rsidRPr="00102790" w:rsidRDefault="00102790" w:rsidP="006A1ECD">
            <w:pPr>
              <w:spacing w:line="240" w:lineRule="auto"/>
              <w:ind w:firstLine="0"/>
              <w:jc w:val="center"/>
              <w:rPr>
                <w:sz w:val="21"/>
                <w:szCs w:val="21"/>
              </w:rPr>
            </w:pPr>
            <w:r w:rsidRPr="00102790">
              <w:rPr>
                <w:rFonts w:hint="eastAsia"/>
                <w:sz w:val="21"/>
                <w:szCs w:val="21"/>
              </w:rPr>
              <w:t>0</w:t>
            </w:r>
            <w:r w:rsidRPr="00102790">
              <w:rPr>
                <w:sz w:val="21"/>
                <w:szCs w:val="21"/>
              </w:rPr>
              <w:t>.1</w:t>
            </w:r>
            <w:r w:rsidR="00561D80">
              <w:rPr>
                <w:sz w:val="21"/>
                <w:szCs w:val="21"/>
              </w:rPr>
              <w:t>0</w:t>
            </w:r>
          </w:p>
        </w:tc>
        <w:tc>
          <w:tcPr>
            <w:tcW w:w="284" w:type="dxa"/>
            <w:tcBorders>
              <w:bottom w:val="single" w:sz="12" w:space="0" w:color="auto"/>
            </w:tcBorders>
            <w:vAlign w:val="center"/>
          </w:tcPr>
          <w:p w14:paraId="407EA20C" w14:textId="77777777" w:rsidR="00102790" w:rsidRPr="00102790" w:rsidRDefault="00102790" w:rsidP="006A1ECD">
            <w:pPr>
              <w:spacing w:line="240" w:lineRule="auto"/>
              <w:ind w:firstLine="0"/>
              <w:jc w:val="center"/>
              <w:rPr>
                <w:sz w:val="21"/>
                <w:szCs w:val="21"/>
              </w:rPr>
            </w:pPr>
          </w:p>
        </w:tc>
        <w:tc>
          <w:tcPr>
            <w:tcW w:w="1117" w:type="dxa"/>
            <w:tcBorders>
              <w:bottom w:val="single" w:sz="12" w:space="0" w:color="auto"/>
            </w:tcBorders>
            <w:vAlign w:val="center"/>
          </w:tcPr>
          <w:p w14:paraId="33DF516A" w14:textId="5735A819" w:rsidR="00102790" w:rsidRPr="00102790" w:rsidRDefault="00102790" w:rsidP="006A1ECD">
            <w:pPr>
              <w:spacing w:line="240" w:lineRule="auto"/>
              <w:ind w:firstLine="0"/>
              <w:jc w:val="center"/>
              <w:rPr>
                <w:sz w:val="21"/>
                <w:szCs w:val="21"/>
              </w:rPr>
            </w:pPr>
          </w:p>
        </w:tc>
        <w:tc>
          <w:tcPr>
            <w:tcW w:w="1117" w:type="dxa"/>
            <w:tcBorders>
              <w:bottom w:val="single" w:sz="12" w:space="0" w:color="auto"/>
            </w:tcBorders>
            <w:vAlign w:val="center"/>
          </w:tcPr>
          <w:p w14:paraId="12104D61" w14:textId="6C131A28" w:rsidR="00102790" w:rsidRPr="00102790" w:rsidRDefault="00102790" w:rsidP="006A1ECD">
            <w:pPr>
              <w:spacing w:line="240" w:lineRule="auto"/>
              <w:ind w:firstLine="0"/>
              <w:jc w:val="center"/>
              <w:rPr>
                <w:sz w:val="21"/>
                <w:szCs w:val="21"/>
              </w:rPr>
            </w:pPr>
          </w:p>
        </w:tc>
        <w:tc>
          <w:tcPr>
            <w:tcW w:w="1118" w:type="dxa"/>
            <w:tcBorders>
              <w:bottom w:val="single" w:sz="12" w:space="0" w:color="auto"/>
            </w:tcBorders>
            <w:vAlign w:val="center"/>
          </w:tcPr>
          <w:p w14:paraId="167540E2" w14:textId="5D1EEEDD" w:rsidR="00102790" w:rsidRPr="00102790" w:rsidRDefault="00102790" w:rsidP="006A1ECD">
            <w:pPr>
              <w:spacing w:line="240" w:lineRule="auto"/>
              <w:ind w:firstLine="0"/>
              <w:jc w:val="center"/>
              <w:rPr>
                <w:sz w:val="21"/>
                <w:szCs w:val="21"/>
              </w:rPr>
            </w:pPr>
            <w:r w:rsidRPr="00102790">
              <w:rPr>
                <w:rFonts w:hint="eastAsia"/>
                <w:sz w:val="21"/>
                <w:szCs w:val="21"/>
              </w:rPr>
              <w:t>0</w:t>
            </w:r>
            <w:r w:rsidRPr="00102790">
              <w:rPr>
                <w:sz w:val="21"/>
                <w:szCs w:val="21"/>
              </w:rPr>
              <w:t>.05</w:t>
            </w:r>
          </w:p>
        </w:tc>
      </w:tr>
    </w:tbl>
    <w:p w14:paraId="3327334E" w14:textId="13558D8A" w:rsidR="004405C7" w:rsidRDefault="004405C7" w:rsidP="004405C7">
      <w:pPr>
        <w:pStyle w:val="3"/>
      </w:pPr>
      <w:r w:rsidRPr="004405C7">
        <w:t>Individual analysis using single and combined indicators</w:t>
      </w:r>
    </w:p>
    <w:p w14:paraId="689812FD" w14:textId="69F477BF" w:rsidR="00F410F9" w:rsidRPr="00F410F9" w:rsidRDefault="00FE10DA" w:rsidP="00394C3A">
      <w:r w:rsidRPr="00FE10DA">
        <w:t>The receiver operating characteristic (ROC) analysis was performed utilizing fNIRS data, SCR, HR</w:t>
      </w:r>
      <w:r w:rsidR="00D1512D">
        <w:t>,</w:t>
      </w:r>
      <w:r w:rsidR="00D1512D" w:rsidRPr="00D1512D">
        <w:t xml:space="preserve"> </w:t>
      </w:r>
      <w:r w:rsidR="00D1512D" w:rsidRPr="00FE10DA">
        <w:t>and</w:t>
      </w:r>
      <w:r w:rsidRPr="00FE10DA">
        <w:t xml:space="preserve"> </w:t>
      </w:r>
      <w:r w:rsidR="00D1512D" w:rsidRPr="00FE10DA">
        <w:t xml:space="preserve">RT </w:t>
      </w:r>
      <w:r w:rsidRPr="00FE10DA">
        <w:t xml:space="preserve">indicators to evaluate whether they could </w:t>
      </w:r>
      <w:r w:rsidR="004B6E70" w:rsidRPr="00FE10DA">
        <w:t>distinguish</w:t>
      </w:r>
      <w:r w:rsidRPr="00FE10DA">
        <w:t xml:space="preserve"> participants from guilty and innocent groups. Moreover, the diverse combination of the above indicators was also examined to assess whether they could work more effectively compared to single indicators. In this analysis, participants' groups (guilty or innocent) were set as state variables and standardized data from the different indicators were set as test variables. The ROC curves provided data reflecting the rate of "True positive" vs. "False positive" at varying decision thresholds for specific indicators. To compute the detection efficiency of various indicator combinations, each indicator would be equally weighted and merged into a single indicator</w:t>
      </w:r>
      <w:r w:rsidR="00A71C06">
        <w:t xml:space="preserve"> </w:t>
      </w:r>
      <w:r w:rsidR="00A71C06">
        <w:fldChar w:fldCharType="begin"/>
      </w:r>
      <w:r w:rsidR="00A71C06">
        <w:instrText xml:space="preserve"> ADDIN ZOTERO_ITEM CSL_CITATION {"citationID":"YPEkTfvK","properties":{"formattedCitation":"(Hu et al., 2013)","plainCitation":"(Hu et al., 2013)","noteIndex":0},"citationItems":[{"id":511,"uris":["http://zotero.org/users/3334739/items/DINVGCF2"],"itemData":{"id":511,"type":"article-journal","container-title":"Psychophysiology","DOI":"10.1111/psyp.12018","issue":"5","page":"454–464","source":"Google Scholar","title":"N200 and P300 as orthogonal and integrable indicators of distinct awareness and recognition processes in memory detection","volume":"50","author":[{"family":"Hu","given":"Xiaoqing"},{"family":"Pornpattananangkul","given":"Narun"},{"family":"Rosenfeld","given":"J. Peter"}],"issued":{"date-parts":[["2013"]]}}}],"schema":"https://github.com/citation-style-language/schema/raw/master/csl-citation.json"} </w:instrText>
      </w:r>
      <w:r w:rsidR="00A71C06">
        <w:fldChar w:fldCharType="separate"/>
      </w:r>
      <w:r w:rsidR="00A71C06" w:rsidRPr="00A71C06">
        <w:rPr>
          <w:rFonts w:cs="Times New Roman"/>
        </w:rPr>
        <w:t>(Hu et al., 2013)</w:t>
      </w:r>
      <w:r w:rsidR="00A71C06">
        <w:fldChar w:fldCharType="end"/>
      </w:r>
      <w:r w:rsidRPr="00FE10DA">
        <w:t>, so as various channels of the fNIRS data.</w:t>
      </w:r>
    </w:p>
    <w:p w14:paraId="07C13393" w14:textId="62A2C8C1" w:rsidR="00394C3A" w:rsidRDefault="001F4077" w:rsidP="00394C3A">
      <w:r w:rsidRPr="001F4077">
        <w:t xml:space="preserve">The results demonstrated that </w:t>
      </w:r>
      <w:r w:rsidR="00D1512D">
        <w:t xml:space="preserve">all </w:t>
      </w:r>
      <w:r w:rsidR="00D1512D" w:rsidRPr="001F4077">
        <w:t>indicators</w:t>
      </w:r>
      <w:r w:rsidR="00D1512D">
        <w:t>,</w:t>
      </w:r>
      <w:r w:rsidR="00D1512D" w:rsidRPr="001F4077" w:rsidDel="00D1512D">
        <w:t xml:space="preserve"> </w:t>
      </w:r>
      <w:r w:rsidR="00D1512D">
        <w:t xml:space="preserve">including </w:t>
      </w:r>
      <w:r w:rsidRPr="001F4077">
        <w:t>fNIRS, SCR, HR, and RT</w:t>
      </w:r>
      <w:r w:rsidR="00D1512D">
        <w:t>,</w:t>
      </w:r>
      <w:r w:rsidRPr="001F4077">
        <w:t xml:space="preserve"> could discriminate guilty from innocent participants above a chance level. The RT measurement demonstrated </w:t>
      </w:r>
      <w:r w:rsidR="00925335">
        <w:t xml:space="preserve">a </w:t>
      </w:r>
      <w:r w:rsidRPr="001F4077">
        <w:t>detection efficiency</w:t>
      </w:r>
      <w:r w:rsidR="00880D2B">
        <w:rPr>
          <w:rFonts w:hint="eastAsia"/>
        </w:rPr>
        <w:t xml:space="preserve"> </w:t>
      </w:r>
      <w:r w:rsidR="00880D2B">
        <w:t>(AUC)</w:t>
      </w:r>
      <w:r w:rsidRPr="001F4077">
        <w:t xml:space="preserve"> of 0.86 (CI = [0.76-0.96], </w:t>
      </w:r>
      <w:r w:rsidRPr="006A1ECD">
        <w:rPr>
          <w:i/>
          <w:iCs/>
        </w:rPr>
        <w:t>p</w:t>
      </w:r>
      <w:r w:rsidRPr="001F4077">
        <w:t xml:space="preserve"> &lt; </w:t>
      </w:r>
      <w:r w:rsidRPr="001F4077">
        <w:lastRenderedPageBreak/>
        <w:t xml:space="preserve">0.001). Two physiological measurements, SCR and HR, can also effectively discriminate guilty from innocent participants (SCR: AUC = 0.66, CI = [0.52-0.80], </w:t>
      </w:r>
      <w:r w:rsidRPr="002C5BEF">
        <w:rPr>
          <w:i/>
          <w:iCs/>
        </w:rPr>
        <w:t>p</w:t>
      </w:r>
      <w:r w:rsidRPr="001F4077">
        <w:t xml:space="preserve"> &lt; 0.001; HR: AUC = 0.79, CI = [0.68-0.91], </w:t>
      </w:r>
      <w:r w:rsidRPr="006A1ECD">
        <w:rPr>
          <w:i/>
          <w:iCs/>
        </w:rPr>
        <w:t>p</w:t>
      </w:r>
      <w:r w:rsidRPr="001F4077">
        <w:t xml:space="preserve"> &lt; 0.01). The general detection efficiency of fNIRS (24 channels averaged) is 0.81 (CI = [0.70-0.93], </w:t>
      </w:r>
      <w:r w:rsidRPr="006A1ECD">
        <w:rPr>
          <w:i/>
          <w:iCs/>
        </w:rPr>
        <w:t>p</w:t>
      </w:r>
      <w:r w:rsidRPr="001F4077">
        <w:t xml:space="preserve"> &lt; 0.001). Regarding to every single </w:t>
      </w:r>
      <w:r w:rsidR="004B6E70">
        <w:t xml:space="preserve">significant </w:t>
      </w:r>
      <w:r w:rsidRPr="001F4077">
        <w:t>channel indicator</w:t>
      </w:r>
      <w:r w:rsidR="00880D2B">
        <w:t xml:space="preserve"> (see </w:t>
      </w:r>
      <w:r w:rsidR="00880D2B" w:rsidRPr="00B85E3A">
        <w:rPr>
          <w:color w:val="4472C4" w:themeColor="accent1"/>
        </w:rPr>
        <w:t>Table 1</w:t>
      </w:r>
      <w:r w:rsidR="00880D2B">
        <w:t xml:space="preserve"> for detailed single c</w:t>
      </w:r>
      <w:r w:rsidR="00DF6424">
        <w:t>h</w:t>
      </w:r>
      <w:r w:rsidR="00880D2B">
        <w:t>annel AUC)</w:t>
      </w:r>
      <w:r w:rsidRPr="001F4077">
        <w:t>, channel 8, located at the left MFG, obtained the highest AUC of 0.86 (</w:t>
      </w:r>
      <w:r w:rsidR="00715795">
        <w:t>CI = [0.76-0.95]</w:t>
      </w:r>
      <w:r w:rsidR="00880D2B">
        <w:t xml:space="preserve">, </w:t>
      </w:r>
      <w:r w:rsidR="00880D2B" w:rsidRPr="00B85E3A">
        <w:rPr>
          <w:i/>
          <w:iCs/>
        </w:rPr>
        <w:t>p</w:t>
      </w:r>
      <w:r w:rsidR="00880D2B">
        <w:t xml:space="preserve"> &lt; 0.001</w:t>
      </w:r>
      <w:r w:rsidRPr="001F4077">
        <w:t>)</w:t>
      </w:r>
      <w:r w:rsidR="00D6789F">
        <w:rPr>
          <w:rFonts w:hint="eastAsia"/>
        </w:rPr>
        <w:t>.</w:t>
      </w:r>
      <w:r w:rsidR="00D6789F">
        <w:t xml:space="preserve"> </w:t>
      </w:r>
    </w:p>
    <w:p w14:paraId="232D4C5C" w14:textId="61370310" w:rsidR="001F4077" w:rsidRDefault="00F552DB" w:rsidP="00394C3A">
      <w:r w:rsidRPr="00F552DB">
        <w:t xml:space="preserve">Moreover, our results demonstrated </w:t>
      </w:r>
      <w:r w:rsidR="00925335">
        <w:t xml:space="preserve">the </w:t>
      </w:r>
      <w:r w:rsidRPr="00F552DB">
        <w:t xml:space="preserve">combination of diverse indicators could further improve the detection efficiency. When fNIRS (24 channels) was combined with the other indicators, the results showed that the relatively higher AUC </w:t>
      </w:r>
      <w:r w:rsidR="00925335" w:rsidRPr="00F552DB">
        <w:t>w</w:t>
      </w:r>
      <w:r w:rsidR="00925335">
        <w:t>as</w:t>
      </w:r>
      <w:r w:rsidR="00925335" w:rsidRPr="00F552DB">
        <w:t xml:space="preserve"> </w:t>
      </w:r>
      <w:r w:rsidRPr="00F552DB">
        <w:t xml:space="preserve">obtained (AUC = 0.93, CI = [0.88, 0.99], </w:t>
      </w:r>
      <w:r w:rsidRPr="006A1ECD">
        <w:rPr>
          <w:i/>
          <w:iCs/>
        </w:rPr>
        <w:t>p</w:t>
      </w:r>
      <w:r w:rsidRPr="00F552DB">
        <w:t xml:space="preserve"> &lt; 0.001, see </w:t>
      </w:r>
      <w:r w:rsidRPr="006A1ECD">
        <w:rPr>
          <w:color w:val="4472C4" w:themeColor="accent1"/>
        </w:rPr>
        <w:t>Table 3</w:t>
      </w:r>
      <w:r w:rsidRPr="00F552DB">
        <w:t>). Furthermore, when select</w:t>
      </w:r>
      <w:r w:rsidR="00925335">
        <w:t>ing</w:t>
      </w:r>
      <w:r w:rsidRPr="00F552DB">
        <w:t xml:space="preserve"> the most distinguishing channel 8</w:t>
      </w:r>
      <w:r w:rsidR="00D262A1">
        <w:t xml:space="preserve"> as the represented fNIRS data, </w:t>
      </w:r>
      <w:r w:rsidRPr="00F552DB">
        <w:t xml:space="preserve">and combining the channel 8 data with other indicators, </w:t>
      </w:r>
      <w:r w:rsidR="00E64C99">
        <w:t>the result was</w:t>
      </w:r>
      <w:r w:rsidRPr="00F552DB">
        <w:t xml:space="preserve"> the highest detection efficiency of 0.96 (CI = [0.91, 1.00], </w:t>
      </w:r>
      <w:r w:rsidRPr="006A1ECD">
        <w:rPr>
          <w:i/>
          <w:iCs/>
        </w:rPr>
        <w:t>p</w:t>
      </w:r>
      <w:r w:rsidRPr="00F552DB">
        <w:t xml:space="preserve"> &lt; 0.001, see </w:t>
      </w:r>
      <w:r w:rsidRPr="006A1ECD">
        <w:rPr>
          <w:color w:val="4472C4" w:themeColor="accent1"/>
        </w:rPr>
        <w:t>Table 3</w:t>
      </w:r>
      <w:r w:rsidRPr="00F552DB">
        <w:t>).</w:t>
      </w:r>
    </w:p>
    <w:tbl>
      <w:tblPr>
        <w:tblW w:w="7848" w:type="dxa"/>
        <w:jc w:val="center"/>
        <w:tblBorders>
          <w:top w:val="single" w:sz="4" w:space="0" w:color="auto"/>
          <w:bottom w:val="single" w:sz="4" w:space="0" w:color="auto"/>
        </w:tblBorders>
        <w:tblLayout w:type="fixed"/>
        <w:tblLook w:val="04A0" w:firstRow="1" w:lastRow="0" w:firstColumn="1" w:lastColumn="0" w:noHBand="0" w:noVBand="1"/>
      </w:tblPr>
      <w:tblGrid>
        <w:gridCol w:w="2793"/>
        <w:gridCol w:w="2157"/>
        <w:gridCol w:w="1449"/>
        <w:gridCol w:w="1449"/>
      </w:tblGrid>
      <w:tr w:rsidR="00394C3A" w:rsidRPr="00DB563E" w14:paraId="1353F724" w14:textId="77777777" w:rsidTr="00361492">
        <w:trPr>
          <w:trHeight w:val="174"/>
          <w:jc w:val="center"/>
        </w:trPr>
        <w:tc>
          <w:tcPr>
            <w:tcW w:w="7848" w:type="dxa"/>
            <w:gridSpan w:val="4"/>
            <w:tcBorders>
              <w:top w:val="nil"/>
              <w:left w:val="nil"/>
              <w:bottom w:val="single" w:sz="12" w:space="0" w:color="auto"/>
              <w:right w:val="nil"/>
            </w:tcBorders>
            <w:tcMar>
              <w:top w:w="15" w:type="dxa"/>
              <w:left w:w="15" w:type="dxa"/>
              <w:bottom w:w="15" w:type="dxa"/>
              <w:right w:w="15" w:type="dxa"/>
            </w:tcMar>
            <w:vAlign w:val="center"/>
          </w:tcPr>
          <w:p w14:paraId="543BC07A" w14:textId="724B56E5" w:rsidR="00394C3A" w:rsidRPr="00DB563E" w:rsidRDefault="00394C3A" w:rsidP="00361492">
            <w:pPr>
              <w:pStyle w:val="ab"/>
              <w:ind w:firstLine="480"/>
              <w:jc w:val="center"/>
              <w:rPr>
                <w:szCs w:val="21"/>
              </w:rPr>
            </w:pPr>
            <w:r w:rsidRPr="006A1ECD">
              <w:rPr>
                <w:b/>
                <w:bCs/>
                <w:color w:val="4472C4" w:themeColor="accent1"/>
                <w:szCs w:val="21"/>
              </w:rPr>
              <w:t>T</w:t>
            </w:r>
            <w:r w:rsidR="00186531" w:rsidRPr="006A1ECD">
              <w:rPr>
                <w:b/>
                <w:bCs/>
                <w:color w:val="4472C4" w:themeColor="accent1"/>
                <w:szCs w:val="21"/>
              </w:rPr>
              <w:t>able</w:t>
            </w:r>
            <w:r w:rsidRPr="006A1ECD">
              <w:rPr>
                <w:b/>
                <w:bCs/>
                <w:color w:val="4472C4" w:themeColor="accent1"/>
                <w:szCs w:val="21"/>
              </w:rPr>
              <w:t xml:space="preserve"> 3</w:t>
            </w:r>
            <w:r w:rsidR="00186531" w:rsidRPr="00DB563E">
              <w:rPr>
                <w:szCs w:val="21"/>
              </w:rPr>
              <w:t>.</w:t>
            </w:r>
            <w:r w:rsidRPr="00DB563E">
              <w:rPr>
                <w:szCs w:val="21"/>
              </w:rPr>
              <w:t xml:space="preserve"> Receiver operating characteristic (ROC) analyses and the area under the ROC curve (AUC) of the single and combined indicator</w:t>
            </w:r>
          </w:p>
        </w:tc>
      </w:tr>
      <w:tr w:rsidR="00394C3A" w:rsidRPr="00DB563E" w14:paraId="7E9C668E" w14:textId="77777777" w:rsidTr="00394C3A">
        <w:trPr>
          <w:trHeight w:val="174"/>
          <w:jc w:val="center"/>
        </w:trPr>
        <w:tc>
          <w:tcPr>
            <w:tcW w:w="2793" w:type="dxa"/>
            <w:vMerge w:val="restart"/>
            <w:tcBorders>
              <w:top w:val="single" w:sz="12" w:space="0" w:color="auto"/>
              <w:left w:val="nil"/>
              <w:right w:val="nil"/>
            </w:tcBorders>
            <w:tcMar>
              <w:top w:w="15" w:type="dxa"/>
              <w:left w:w="15" w:type="dxa"/>
              <w:bottom w:w="15" w:type="dxa"/>
              <w:right w:w="15" w:type="dxa"/>
            </w:tcMar>
            <w:vAlign w:val="center"/>
            <w:hideMark/>
          </w:tcPr>
          <w:p w14:paraId="35C3AAAB" w14:textId="77777777" w:rsidR="00394C3A" w:rsidRPr="00DB563E" w:rsidRDefault="00394C3A" w:rsidP="00361492">
            <w:pPr>
              <w:pStyle w:val="ab"/>
              <w:ind w:firstLine="480"/>
              <w:rPr>
                <w:szCs w:val="21"/>
              </w:rPr>
            </w:pPr>
            <w:r w:rsidRPr="00DB563E">
              <w:rPr>
                <w:szCs w:val="21"/>
              </w:rPr>
              <w:t>Indicators</w:t>
            </w:r>
          </w:p>
        </w:tc>
        <w:tc>
          <w:tcPr>
            <w:tcW w:w="2157" w:type="dxa"/>
            <w:vMerge w:val="restart"/>
            <w:tcBorders>
              <w:top w:val="single" w:sz="12" w:space="0" w:color="auto"/>
              <w:left w:val="nil"/>
              <w:right w:val="nil"/>
            </w:tcBorders>
            <w:tcMar>
              <w:top w:w="15" w:type="dxa"/>
              <w:left w:w="15" w:type="dxa"/>
              <w:bottom w:w="15" w:type="dxa"/>
              <w:right w:w="15" w:type="dxa"/>
            </w:tcMar>
            <w:vAlign w:val="center"/>
            <w:hideMark/>
          </w:tcPr>
          <w:p w14:paraId="2E774481" w14:textId="77777777" w:rsidR="00394C3A" w:rsidRPr="00DB563E" w:rsidRDefault="00394C3A" w:rsidP="00361492">
            <w:pPr>
              <w:pStyle w:val="ab"/>
              <w:ind w:firstLine="480"/>
              <w:rPr>
                <w:szCs w:val="21"/>
              </w:rPr>
            </w:pPr>
            <w:r w:rsidRPr="00DB563E">
              <w:rPr>
                <w:szCs w:val="21"/>
              </w:rPr>
              <w:t>AUC</w:t>
            </w:r>
          </w:p>
        </w:tc>
        <w:tc>
          <w:tcPr>
            <w:tcW w:w="2898" w:type="dxa"/>
            <w:gridSpan w:val="2"/>
            <w:tcBorders>
              <w:top w:val="single" w:sz="12" w:space="0" w:color="auto"/>
              <w:left w:val="nil"/>
              <w:bottom w:val="single" w:sz="4" w:space="0" w:color="auto"/>
              <w:right w:val="nil"/>
            </w:tcBorders>
            <w:tcMar>
              <w:top w:w="15" w:type="dxa"/>
              <w:left w:w="15" w:type="dxa"/>
              <w:bottom w:w="15" w:type="dxa"/>
              <w:right w:w="15" w:type="dxa"/>
            </w:tcMar>
            <w:vAlign w:val="center"/>
            <w:hideMark/>
          </w:tcPr>
          <w:p w14:paraId="308BCF4C" w14:textId="77777777" w:rsidR="00394C3A" w:rsidRPr="00DB563E" w:rsidRDefault="00394C3A" w:rsidP="00361492">
            <w:pPr>
              <w:pStyle w:val="ab"/>
              <w:ind w:firstLine="480"/>
              <w:jc w:val="center"/>
              <w:rPr>
                <w:szCs w:val="21"/>
              </w:rPr>
            </w:pPr>
            <w:r w:rsidRPr="00DB563E">
              <w:rPr>
                <w:szCs w:val="21"/>
              </w:rPr>
              <w:t>95% CI</w:t>
            </w:r>
          </w:p>
        </w:tc>
      </w:tr>
      <w:tr w:rsidR="00394C3A" w:rsidRPr="00DB563E" w14:paraId="49CCA439" w14:textId="77777777" w:rsidTr="00394C3A">
        <w:trPr>
          <w:trHeight w:val="174"/>
          <w:jc w:val="center"/>
        </w:trPr>
        <w:tc>
          <w:tcPr>
            <w:tcW w:w="2793" w:type="dxa"/>
            <w:vMerge/>
            <w:tcBorders>
              <w:left w:val="nil"/>
              <w:bottom w:val="single" w:sz="4" w:space="0" w:color="auto"/>
              <w:right w:val="nil"/>
            </w:tcBorders>
            <w:tcMar>
              <w:top w:w="15" w:type="dxa"/>
              <w:left w:w="15" w:type="dxa"/>
              <w:bottom w:w="15" w:type="dxa"/>
              <w:right w:w="15" w:type="dxa"/>
            </w:tcMar>
            <w:vAlign w:val="center"/>
          </w:tcPr>
          <w:p w14:paraId="51174E85" w14:textId="77777777" w:rsidR="00394C3A" w:rsidRPr="00DB563E" w:rsidRDefault="00394C3A" w:rsidP="00361492">
            <w:pPr>
              <w:pStyle w:val="ab"/>
              <w:ind w:firstLine="480"/>
              <w:rPr>
                <w:szCs w:val="21"/>
              </w:rPr>
            </w:pPr>
          </w:p>
        </w:tc>
        <w:tc>
          <w:tcPr>
            <w:tcW w:w="2157" w:type="dxa"/>
            <w:vMerge/>
            <w:tcBorders>
              <w:left w:val="nil"/>
              <w:bottom w:val="single" w:sz="4" w:space="0" w:color="auto"/>
              <w:right w:val="nil"/>
            </w:tcBorders>
            <w:tcMar>
              <w:top w:w="15" w:type="dxa"/>
              <w:left w:w="15" w:type="dxa"/>
              <w:bottom w:w="15" w:type="dxa"/>
              <w:right w:w="15" w:type="dxa"/>
            </w:tcMar>
            <w:vAlign w:val="center"/>
          </w:tcPr>
          <w:p w14:paraId="062C24C1" w14:textId="77777777" w:rsidR="00394C3A" w:rsidRPr="00DB563E" w:rsidRDefault="00394C3A" w:rsidP="00361492">
            <w:pPr>
              <w:pStyle w:val="ab"/>
              <w:ind w:firstLine="480"/>
              <w:rPr>
                <w:szCs w:val="21"/>
              </w:rPr>
            </w:pPr>
          </w:p>
        </w:tc>
        <w:tc>
          <w:tcPr>
            <w:tcW w:w="1449" w:type="dxa"/>
            <w:tcBorders>
              <w:top w:val="single" w:sz="4" w:space="0" w:color="auto"/>
              <w:left w:val="nil"/>
              <w:bottom w:val="single" w:sz="4" w:space="0" w:color="auto"/>
              <w:right w:val="nil"/>
            </w:tcBorders>
            <w:tcMar>
              <w:top w:w="15" w:type="dxa"/>
              <w:left w:w="15" w:type="dxa"/>
              <w:bottom w:w="15" w:type="dxa"/>
              <w:right w:w="15" w:type="dxa"/>
            </w:tcMar>
            <w:vAlign w:val="center"/>
          </w:tcPr>
          <w:p w14:paraId="668AAAD2" w14:textId="77777777" w:rsidR="00394C3A" w:rsidRPr="00DB563E" w:rsidRDefault="00394C3A" w:rsidP="00361492">
            <w:pPr>
              <w:pStyle w:val="ab"/>
              <w:ind w:firstLine="480"/>
              <w:rPr>
                <w:szCs w:val="21"/>
              </w:rPr>
            </w:pPr>
            <w:r w:rsidRPr="00DB563E">
              <w:rPr>
                <w:szCs w:val="21"/>
              </w:rPr>
              <w:t xml:space="preserve">Lower </w:t>
            </w:r>
          </w:p>
        </w:tc>
        <w:tc>
          <w:tcPr>
            <w:tcW w:w="1449" w:type="dxa"/>
            <w:tcBorders>
              <w:top w:val="single" w:sz="4" w:space="0" w:color="auto"/>
              <w:left w:val="nil"/>
              <w:bottom w:val="single" w:sz="4" w:space="0" w:color="auto"/>
              <w:right w:val="nil"/>
            </w:tcBorders>
            <w:vAlign w:val="center"/>
          </w:tcPr>
          <w:p w14:paraId="70C828A8" w14:textId="77777777" w:rsidR="00394C3A" w:rsidRPr="00DB563E" w:rsidRDefault="00394C3A" w:rsidP="00361492">
            <w:pPr>
              <w:pStyle w:val="ab"/>
              <w:ind w:firstLine="480"/>
              <w:rPr>
                <w:szCs w:val="21"/>
              </w:rPr>
            </w:pPr>
            <w:r w:rsidRPr="00DB563E">
              <w:rPr>
                <w:szCs w:val="21"/>
              </w:rPr>
              <w:t xml:space="preserve">Upper </w:t>
            </w:r>
          </w:p>
        </w:tc>
      </w:tr>
      <w:tr w:rsidR="00394C3A" w:rsidRPr="00DB563E" w14:paraId="3D1279CA" w14:textId="77777777" w:rsidTr="00394C3A">
        <w:trPr>
          <w:trHeight w:val="360"/>
          <w:jc w:val="center"/>
        </w:trPr>
        <w:tc>
          <w:tcPr>
            <w:tcW w:w="2793" w:type="dxa"/>
            <w:tcBorders>
              <w:top w:val="nil"/>
              <w:left w:val="nil"/>
              <w:bottom w:val="nil"/>
              <w:right w:val="nil"/>
            </w:tcBorders>
            <w:tcMar>
              <w:top w:w="15" w:type="dxa"/>
              <w:left w:w="15" w:type="dxa"/>
              <w:bottom w:w="15" w:type="dxa"/>
              <w:right w:w="15" w:type="dxa"/>
            </w:tcMar>
            <w:vAlign w:val="center"/>
            <w:hideMark/>
          </w:tcPr>
          <w:p w14:paraId="4AC50DD3" w14:textId="77777777" w:rsidR="00394C3A" w:rsidRPr="00DB563E" w:rsidRDefault="00394C3A" w:rsidP="005D6A70">
            <w:pPr>
              <w:pStyle w:val="ab"/>
              <w:rPr>
                <w:szCs w:val="21"/>
              </w:rPr>
            </w:pPr>
            <w:r w:rsidRPr="00DB563E">
              <w:rPr>
                <w:rFonts w:eastAsia="Times New Roman"/>
                <w:szCs w:val="21"/>
              </w:rPr>
              <w:t>SCR</w:t>
            </w:r>
          </w:p>
        </w:tc>
        <w:tc>
          <w:tcPr>
            <w:tcW w:w="2157" w:type="dxa"/>
            <w:tcBorders>
              <w:top w:val="nil"/>
              <w:left w:val="nil"/>
              <w:bottom w:val="nil"/>
              <w:right w:val="nil"/>
            </w:tcBorders>
            <w:tcMar>
              <w:top w:w="15" w:type="dxa"/>
              <w:left w:w="15" w:type="dxa"/>
              <w:bottom w:w="15" w:type="dxa"/>
              <w:right w:w="15" w:type="dxa"/>
            </w:tcMar>
            <w:vAlign w:val="center"/>
            <w:hideMark/>
          </w:tcPr>
          <w:p w14:paraId="04B03FCE" w14:textId="77777777" w:rsidR="00394C3A" w:rsidRPr="00DB563E" w:rsidRDefault="00394C3A" w:rsidP="00361492">
            <w:pPr>
              <w:pStyle w:val="ab"/>
              <w:ind w:firstLine="480"/>
              <w:rPr>
                <w:szCs w:val="21"/>
              </w:rPr>
            </w:pPr>
            <w:r w:rsidRPr="00DB563E">
              <w:rPr>
                <w:rFonts w:eastAsia="MingLiU"/>
                <w:szCs w:val="21"/>
              </w:rPr>
              <w:t>0.66</w:t>
            </w:r>
            <w:r w:rsidRPr="00DB563E">
              <w:rPr>
                <w:rFonts w:eastAsia="MingLiU"/>
                <w:szCs w:val="21"/>
                <w:vertAlign w:val="superscript"/>
              </w:rPr>
              <w:t>*</w:t>
            </w:r>
          </w:p>
        </w:tc>
        <w:tc>
          <w:tcPr>
            <w:tcW w:w="1449" w:type="dxa"/>
            <w:tcBorders>
              <w:top w:val="nil"/>
              <w:left w:val="nil"/>
              <w:bottom w:val="nil"/>
              <w:right w:val="nil"/>
            </w:tcBorders>
            <w:tcMar>
              <w:top w:w="15" w:type="dxa"/>
              <w:left w:w="15" w:type="dxa"/>
              <w:bottom w:w="15" w:type="dxa"/>
              <w:right w:w="15" w:type="dxa"/>
            </w:tcMar>
            <w:vAlign w:val="center"/>
            <w:hideMark/>
          </w:tcPr>
          <w:p w14:paraId="788C87BE" w14:textId="77777777" w:rsidR="00394C3A" w:rsidRPr="00DB563E" w:rsidRDefault="00394C3A" w:rsidP="00361492">
            <w:pPr>
              <w:pStyle w:val="ab"/>
              <w:ind w:firstLine="480"/>
              <w:rPr>
                <w:szCs w:val="21"/>
              </w:rPr>
            </w:pPr>
            <w:r w:rsidRPr="00DB563E">
              <w:rPr>
                <w:rFonts w:eastAsia="MingLiU"/>
                <w:szCs w:val="21"/>
              </w:rPr>
              <w:t xml:space="preserve">0.52 </w:t>
            </w:r>
          </w:p>
        </w:tc>
        <w:tc>
          <w:tcPr>
            <w:tcW w:w="1449" w:type="dxa"/>
            <w:tcBorders>
              <w:top w:val="nil"/>
              <w:left w:val="nil"/>
              <w:bottom w:val="nil"/>
              <w:right w:val="nil"/>
            </w:tcBorders>
            <w:tcMar>
              <w:top w:w="15" w:type="dxa"/>
              <w:left w:w="15" w:type="dxa"/>
              <w:bottom w:w="15" w:type="dxa"/>
              <w:right w:w="15" w:type="dxa"/>
            </w:tcMar>
            <w:vAlign w:val="center"/>
            <w:hideMark/>
          </w:tcPr>
          <w:p w14:paraId="42406FEC" w14:textId="77777777" w:rsidR="00394C3A" w:rsidRPr="00DB563E" w:rsidRDefault="00394C3A" w:rsidP="00361492">
            <w:pPr>
              <w:pStyle w:val="ab"/>
              <w:ind w:firstLine="480"/>
              <w:rPr>
                <w:szCs w:val="21"/>
              </w:rPr>
            </w:pPr>
            <w:r w:rsidRPr="00DB563E">
              <w:rPr>
                <w:rFonts w:eastAsia="MingLiU"/>
                <w:szCs w:val="21"/>
              </w:rPr>
              <w:t xml:space="preserve">0.80 </w:t>
            </w:r>
          </w:p>
        </w:tc>
      </w:tr>
      <w:tr w:rsidR="00394C3A" w:rsidRPr="00DB563E" w14:paraId="2EB9A80E" w14:textId="77777777" w:rsidTr="00394C3A">
        <w:trPr>
          <w:trHeight w:val="360"/>
          <w:jc w:val="center"/>
        </w:trPr>
        <w:tc>
          <w:tcPr>
            <w:tcW w:w="2793" w:type="dxa"/>
            <w:tcBorders>
              <w:top w:val="nil"/>
              <w:left w:val="nil"/>
              <w:bottom w:val="nil"/>
              <w:right w:val="nil"/>
            </w:tcBorders>
            <w:tcMar>
              <w:top w:w="15" w:type="dxa"/>
              <w:left w:w="15" w:type="dxa"/>
              <w:bottom w:w="15" w:type="dxa"/>
              <w:right w:w="15" w:type="dxa"/>
            </w:tcMar>
            <w:vAlign w:val="center"/>
            <w:hideMark/>
          </w:tcPr>
          <w:p w14:paraId="08D7180C" w14:textId="77777777" w:rsidR="00394C3A" w:rsidRPr="00DB563E" w:rsidRDefault="00394C3A" w:rsidP="005D6A70">
            <w:pPr>
              <w:pStyle w:val="ab"/>
              <w:rPr>
                <w:szCs w:val="21"/>
              </w:rPr>
            </w:pPr>
            <w:r w:rsidRPr="00DB563E">
              <w:rPr>
                <w:rFonts w:eastAsia="Times New Roman"/>
                <w:szCs w:val="21"/>
              </w:rPr>
              <w:t>HR</w:t>
            </w:r>
          </w:p>
        </w:tc>
        <w:tc>
          <w:tcPr>
            <w:tcW w:w="2157" w:type="dxa"/>
            <w:tcBorders>
              <w:top w:val="nil"/>
              <w:left w:val="nil"/>
              <w:bottom w:val="nil"/>
              <w:right w:val="nil"/>
            </w:tcBorders>
            <w:tcMar>
              <w:top w:w="15" w:type="dxa"/>
              <w:left w:w="15" w:type="dxa"/>
              <w:bottom w:w="15" w:type="dxa"/>
              <w:right w:w="15" w:type="dxa"/>
            </w:tcMar>
            <w:vAlign w:val="center"/>
            <w:hideMark/>
          </w:tcPr>
          <w:p w14:paraId="3EC239C9" w14:textId="77777777" w:rsidR="00394C3A" w:rsidRPr="00DB563E" w:rsidRDefault="00394C3A" w:rsidP="00361492">
            <w:pPr>
              <w:pStyle w:val="ab"/>
              <w:ind w:firstLine="480"/>
              <w:rPr>
                <w:szCs w:val="21"/>
              </w:rPr>
            </w:pPr>
            <w:r w:rsidRPr="00DB563E">
              <w:rPr>
                <w:rFonts w:eastAsia="MingLiU" w:hAnsi="Arial"/>
                <w:szCs w:val="21"/>
              </w:rPr>
              <w:t>0.79</w:t>
            </w:r>
            <w:r w:rsidRPr="00DB563E">
              <w:rPr>
                <w:rFonts w:eastAsia="MingLiU"/>
                <w:szCs w:val="21"/>
                <w:vertAlign w:val="superscript"/>
              </w:rPr>
              <w:t>***</w:t>
            </w:r>
          </w:p>
        </w:tc>
        <w:tc>
          <w:tcPr>
            <w:tcW w:w="1449" w:type="dxa"/>
            <w:tcBorders>
              <w:top w:val="nil"/>
              <w:left w:val="nil"/>
              <w:bottom w:val="nil"/>
              <w:right w:val="nil"/>
            </w:tcBorders>
            <w:tcMar>
              <w:top w:w="15" w:type="dxa"/>
              <w:left w:w="15" w:type="dxa"/>
              <w:bottom w:w="15" w:type="dxa"/>
              <w:right w:w="15" w:type="dxa"/>
            </w:tcMar>
            <w:vAlign w:val="center"/>
            <w:hideMark/>
          </w:tcPr>
          <w:p w14:paraId="3C2F9B0D" w14:textId="77777777" w:rsidR="00394C3A" w:rsidRPr="00DB563E" w:rsidRDefault="00394C3A" w:rsidP="00361492">
            <w:pPr>
              <w:pStyle w:val="ab"/>
              <w:ind w:firstLine="480"/>
              <w:rPr>
                <w:szCs w:val="21"/>
              </w:rPr>
            </w:pPr>
            <w:r w:rsidRPr="00DB563E">
              <w:rPr>
                <w:rFonts w:eastAsia="MingLiU"/>
                <w:szCs w:val="21"/>
              </w:rPr>
              <w:t xml:space="preserve">0.68 </w:t>
            </w:r>
          </w:p>
        </w:tc>
        <w:tc>
          <w:tcPr>
            <w:tcW w:w="1449" w:type="dxa"/>
            <w:tcBorders>
              <w:top w:val="nil"/>
              <w:left w:val="nil"/>
              <w:bottom w:val="nil"/>
              <w:right w:val="nil"/>
            </w:tcBorders>
            <w:tcMar>
              <w:top w:w="15" w:type="dxa"/>
              <w:left w:w="15" w:type="dxa"/>
              <w:bottom w:w="15" w:type="dxa"/>
              <w:right w:w="15" w:type="dxa"/>
            </w:tcMar>
            <w:vAlign w:val="center"/>
            <w:hideMark/>
          </w:tcPr>
          <w:p w14:paraId="095C230F" w14:textId="77777777" w:rsidR="00394C3A" w:rsidRPr="00DB563E" w:rsidRDefault="00394C3A" w:rsidP="00361492">
            <w:pPr>
              <w:pStyle w:val="ab"/>
              <w:ind w:firstLine="480"/>
              <w:rPr>
                <w:szCs w:val="21"/>
              </w:rPr>
            </w:pPr>
            <w:r w:rsidRPr="00DB563E">
              <w:rPr>
                <w:rFonts w:eastAsia="MingLiU"/>
                <w:szCs w:val="21"/>
              </w:rPr>
              <w:t xml:space="preserve">0.91 </w:t>
            </w:r>
          </w:p>
        </w:tc>
      </w:tr>
      <w:tr w:rsidR="00394C3A" w:rsidRPr="00DB563E" w14:paraId="1221C8C2" w14:textId="77777777" w:rsidTr="00394C3A">
        <w:trPr>
          <w:trHeight w:val="360"/>
          <w:jc w:val="center"/>
        </w:trPr>
        <w:tc>
          <w:tcPr>
            <w:tcW w:w="2793" w:type="dxa"/>
            <w:tcBorders>
              <w:top w:val="nil"/>
              <w:left w:val="nil"/>
              <w:bottom w:val="nil"/>
              <w:right w:val="nil"/>
            </w:tcBorders>
            <w:tcMar>
              <w:top w:w="15" w:type="dxa"/>
              <w:left w:w="15" w:type="dxa"/>
              <w:bottom w:w="15" w:type="dxa"/>
              <w:right w:w="15" w:type="dxa"/>
            </w:tcMar>
            <w:vAlign w:val="center"/>
            <w:hideMark/>
          </w:tcPr>
          <w:p w14:paraId="2370DE01" w14:textId="77777777" w:rsidR="00394C3A" w:rsidRPr="00DB563E" w:rsidRDefault="00394C3A" w:rsidP="005D6A70">
            <w:pPr>
              <w:pStyle w:val="ab"/>
              <w:rPr>
                <w:szCs w:val="21"/>
              </w:rPr>
            </w:pPr>
            <w:r w:rsidRPr="00DB563E">
              <w:rPr>
                <w:rFonts w:eastAsia="Times New Roman"/>
                <w:szCs w:val="21"/>
              </w:rPr>
              <w:t>RT</w:t>
            </w:r>
          </w:p>
        </w:tc>
        <w:tc>
          <w:tcPr>
            <w:tcW w:w="2157" w:type="dxa"/>
            <w:tcBorders>
              <w:top w:val="nil"/>
              <w:left w:val="nil"/>
              <w:bottom w:val="nil"/>
              <w:right w:val="nil"/>
            </w:tcBorders>
            <w:tcMar>
              <w:top w:w="15" w:type="dxa"/>
              <w:left w:w="15" w:type="dxa"/>
              <w:bottom w:w="15" w:type="dxa"/>
              <w:right w:w="15" w:type="dxa"/>
            </w:tcMar>
            <w:vAlign w:val="center"/>
            <w:hideMark/>
          </w:tcPr>
          <w:p w14:paraId="3C0199B1" w14:textId="77777777" w:rsidR="00394C3A" w:rsidRPr="00DB563E" w:rsidRDefault="00394C3A" w:rsidP="00361492">
            <w:pPr>
              <w:pStyle w:val="ab"/>
              <w:ind w:firstLine="480"/>
              <w:rPr>
                <w:szCs w:val="21"/>
              </w:rPr>
            </w:pPr>
            <w:r w:rsidRPr="00DB563E">
              <w:rPr>
                <w:rFonts w:eastAsia="MingLiU" w:hAnsi="Arial"/>
                <w:szCs w:val="21"/>
              </w:rPr>
              <w:t>0.86</w:t>
            </w:r>
            <w:r w:rsidRPr="00DB563E">
              <w:rPr>
                <w:rFonts w:eastAsia="MingLiU"/>
                <w:szCs w:val="21"/>
                <w:vertAlign w:val="superscript"/>
              </w:rPr>
              <w:t>***</w:t>
            </w:r>
          </w:p>
        </w:tc>
        <w:tc>
          <w:tcPr>
            <w:tcW w:w="1449" w:type="dxa"/>
            <w:tcBorders>
              <w:top w:val="nil"/>
              <w:left w:val="nil"/>
              <w:bottom w:val="nil"/>
              <w:right w:val="nil"/>
            </w:tcBorders>
            <w:tcMar>
              <w:top w:w="15" w:type="dxa"/>
              <w:left w:w="15" w:type="dxa"/>
              <w:bottom w:w="15" w:type="dxa"/>
              <w:right w:w="15" w:type="dxa"/>
            </w:tcMar>
            <w:vAlign w:val="center"/>
            <w:hideMark/>
          </w:tcPr>
          <w:p w14:paraId="2471E029" w14:textId="77777777" w:rsidR="00394C3A" w:rsidRPr="00DB563E" w:rsidRDefault="00394C3A" w:rsidP="00361492">
            <w:pPr>
              <w:pStyle w:val="ab"/>
              <w:ind w:firstLine="480"/>
              <w:rPr>
                <w:szCs w:val="21"/>
              </w:rPr>
            </w:pPr>
            <w:r w:rsidRPr="00DB563E">
              <w:rPr>
                <w:rFonts w:eastAsia="MingLiU"/>
                <w:szCs w:val="21"/>
              </w:rPr>
              <w:t xml:space="preserve">0.76 </w:t>
            </w:r>
          </w:p>
        </w:tc>
        <w:tc>
          <w:tcPr>
            <w:tcW w:w="1449" w:type="dxa"/>
            <w:tcBorders>
              <w:top w:val="nil"/>
              <w:left w:val="nil"/>
              <w:bottom w:val="nil"/>
              <w:right w:val="nil"/>
            </w:tcBorders>
            <w:tcMar>
              <w:top w:w="15" w:type="dxa"/>
              <w:left w:w="15" w:type="dxa"/>
              <w:bottom w:w="15" w:type="dxa"/>
              <w:right w:w="15" w:type="dxa"/>
            </w:tcMar>
            <w:vAlign w:val="center"/>
            <w:hideMark/>
          </w:tcPr>
          <w:p w14:paraId="3FB15BF6" w14:textId="77777777" w:rsidR="00394C3A" w:rsidRPr="00DB563E" w:rsidRDefault="00394C3A" w:rsidP="00361492">
            <w:pPr>
              <w:pStyle w:val="ab"/>
              <w:ind w:firstLine="480"/>
              <w:rPr>
                <w:szCs w:val="21"/>
              </w:rPr>
            </w:pPr>
            <w:r w:rsidRPr="00DB563E">
              <w:rPr>
                <w:rFonts w:eastAsia="MingLiU"/>
                <w:szCs w:val="21"/>
              </w:rPr>
              <w:t xml:space="preserve">0.96 </w:t>
            </w:r>
          </w:p>
        </w:tc>
      </w:tr>
      <w:tr w:rsidR="00394C3A" w:rsidRPr="00DB563E" w14:paraId="3ECA42E4" w14:textId="77777777" w:rsidTr="00394C3A">
        <w:trPr>
          <w:trHeight w:val="360"/>
          <w:jc w:val="center"/>
        </w:trPr>
        <w:tc>
          <w:tcPr>
            <w:tcW w:w="2793" w:type="dxa"/>
            <w:tcBorders>
              <w:top w:val="nil"/>
              <w:left w:val="nil"/>
              <w:bottom w:val="nil"/>
              <w:right w:val="nil"/>
            </w:tcBorders>
            <w:tcMar>
              <w:top w:w="15" w:type="dxa"/>
              <w:left w:w="15" w:type="dxa"/>
              <w:bottom w:w="15" w:type="dxa"/>
              <w:right w:w="15" w:type="dxa"/>
            </w:tcMar>
            <w:vAlign w:val="center"/>
            <w:hideMark/>
          </w:tcPr>
          <w:p w14:paraId="351F6C88" w14:textId="77777777" w:rsidR="00394C3A" w:rsidRPr="00DB563E" w:rsidRDefault="00394C3A" w:rsidP="005D6A70">
            <w:pPr>
              <w:pStyle w:val="ab"/>
              <w:rPr>
                <w:szCs w:val="21"/>
              </w:rPr>
            </w:pPr>
            <w:r w:rsidRPr="00DB563E">
              <w:rPr>
                <w:rFonts w:eastAsia="Times New Roman"/>
                <w:szCs w:val="21"/>
              </w:rPr>
              <w:t>fNIRS (24 Channels)</w:t>
            </w:r>
          </w:p>
        </w:tc>
        <w:tc>
          <w:tcPr>
            <w:tcW w:w="2157" w:type="dxa"/>
            <w:tcBorders>
              <w:top w:val="nil"/>
              <w:left w:val="nil"/>
              <w:bottom w:val="nil"/>
              <w:right w:val="nil"/>
            </w:tcBorders>
            <w:tcMar>
              <w:top w:w="15" w:type="dxa"/>
              <w:left w:w="15" w:type="dxa"/>
              <w:bottom w:w="15" w:type="dxa"/>
              <w:right w:w="15" w:type="dxa"/>
            </w:tcMar>
            <w:vAlign w:val="center"/>
            <w:hideMark/>
          </w:tcPr>
          <w:p w14:paraId="11935DC6" w14:textId="77777777" w:rsidR="00394C3A" w:rsidRPr="00DB563E" w:rsidRDefault="00394C3A" w:rsidP="00361492">
            <w:pPr>
              <w:pStyle w:val="ab"/>
              <w:ind w:firstLine="480"/>
              <w:rPr>
                <w:szCs w:val="21"/>
              </w:rPr>
            </w:pPr>
            <w:r w:rsidRPr="00DB563E">
              <w:rPr>
                <w:rFonts w:eastAsia="MingLiU" w:hAnsi="Arial"/>
                <w:szCs w:val="21"/>
              </w:rPr>
              <w:t>0.81</w:t>
            </w:r>
            <w:r w:rsidRPr="00DB563E">
              <w:rPr>
                <w:rFonts w:eastAsia="MingLiU"/>
                <w:szCs w:val="21"/>
                <w:vertAlign w:val="superscript"/>
              </w:rPr>
              <w:t>***</w:t>
            </w:r>
          </w:p>
        </w:tc>
        <w:tc>
          <w:tcPr>
            <w:tcW w:w="1449" w:type="dxa"/>
            <w:tcBorders>
              <w:top w:val="nil"/>
              <w:left w:val="nil"/>
              <w:bottom w:val="nil"/>
              <w:right w:val="nil"/>
            </w:tcBorders>
            <w:tcMar>
              <w:top w:w="15" w:type="dxa"/>
              <w:left w:w="15" w:type="dxa"/>
              <w:bottom w:w="15" w:type="dxa"/>
              <w:right w:w="15" w:type="dxa"/>
            </w:tcMar>
            <w:vAlign w:val="center"/>
            <w:hideMark/>
          </w:tcPr>
          <w:p w14:paraId="5D812987" w14:textId="77777777" w:rsidR="00394C3A" w:rsidRPr="00DB563E" w:rsidRDefault="00394C3A" w:rsidP="00361492">
            <w:pPr>
              <w:pStyle w:val="ab"/>
              <w:ind w:firstLine="480"/>
              <w:rPr>
                <w:szCs w:val="21"/>
              </w:rPr>
            </w:pPr>
            <w:r w:rsidRPr="00DB563E">
              <w:rPr>
                <w:rFonts w:eastAsia="MingLiU"/>
                <w:szCs w:val="21"/>
              </w:rPr>
              <w:t xml:space="preserve">0.70 </w:t>
            </w:r>
          </w:p>
        </w:tc>
        <w:tc>
          <w:tcPr>
            <w:tcW w:w="1449" w:type="dxa"/>
            <w:tcBorders>
              <w:top w:val="nil"/>
              <w:left w:val="nil"/>
              <w:bottom w:val="nil"/>
              <w:right w:val="nil"/>
            </w:tcBorders>
            <w:tcMar>
              <w:top w:w="15" w:type="dxa"/>
              <w:left w:w="15" w:type="dxa"/>
              <w:bottom w:w="15" w:type="dxa"/>
              <w:right w:w="15" w:type="dxa"/>
            </w:tcMar>
            <w:vAlign w:val="center"/>
            <w:hideMark/>
          </w:tcPr>
          <w:p w14:paraId="3F230D83" w14:textId="77777777" w:rsidR="00394C3A" w:rsidRPr="00DB563E" w:rsidRDefault="00394C3A" w:rsidP="00361492">
            <w:pPr>
              <w:pStyle w:val="ab"/>
              <w:ind w:firstLine="480"/>
              <w:rPr>
                <w:szCs w:val="21"/>
              </w:rPr>
            </w:pPr>
            <w:r w:rsidRPr="00DB563E">
              <w:rPr>
                <w:rFonts w:eastAsia="MingLiU"/>
                <w:szCs w:val="21"/>
              </w:rPr>
              <w:t xml:space="preserve">0.93 </w:t>
            </w:r>
          </w:p>
        </w:tc>
      </w:tr>
      <w:tr w:rsidR="00394C3A" w:rsidRPr="00DB563E" w14:paraId="7F788B90" w14:textId="77777777" w:rsidTr="00394C3A">
        <w:trPr>
          <w:trHeight w:val="360"/>
          <w:jc w:val="center"/>
        </w:trPr>
        <w:tc>
          <w:tcPr>
            <w:tcW w:w="2793" w:type="dxa"/>
            <w:tcBorders>
              <w:top w:val="nil"/>
              <w:left w:val="nil"/>
              <w:bottom w:val="nil"/>
              <w:right w:val="nil"/>
            </w:tcBorders>
            <w:tcMar>
              <w:top w:w="15" w:type="dxa"/>
              <w:left w:w="15" w:type="dxa"/>
              <w:bottom w:w="15" w:type="dxa"/>
              <w:right w:w="15" w:type="dxa"/>
            </w:tcMar>
            <w:vAlign w:val="center"/>
            <w:hideMark/>
          </w:tcPr>
          <w:p w14:paraId="7074F8AC" w14:textId="77777777" w:rsidR="00394C3A" w:rsidRPr="00DB563E" w:rsidRDefault="00394C3A" w:rsidP="005D6A70">
            <w:pPr>
              <w:pStyle w:val="ab"/>
              <w:rPr>
                <w:szCs w:val="21"/>
              </w:rPr>
            </w:pPr>
            <w:r w:rsidRPr="00DB563E">
              <w:rPr>
                <w:rFonts w:eastAsia="Times New Roman"/>
                <w:szCs w:val="21"/>
              </w:rPr>
              <w:t>fNIRS &amp; HR</w:t>
            </w:r>
          </w:p>
        </w:tc>
        <w:tc>
          <w:tcPr>
            <w:tcW w:w="2157" w:type="dxa"/>
            <w:tcBorders>
              <w:top w:val="nil"/>
              <w:left w:val="nil"/>
              <w:bottom w:val="nil"/>
              <w:right w:val="nil"/>
            </w:tcBorders>
            <w:tcMar>
              <w:top w:w="15" w:type="dxa"/>
              <w:left w:w="15" w:type="dxa"/>
              <w:bottom w:w="15" w:type="dxa"/>
              <w:right w:w="15" w:type="dxa"/>
            </w:tcMar>
            <w:vAlign w:val="center"/>
            <w:hideMark/>
          </w:tcPr>
          <w:p w14:paraId="5274C223" w14:textId="77777777" w:rsidR="00394C3A" w:rsidRPr="00DB563E" w:rsidRDefault="00394C3A" w:rsidP="00361492">
            <w:pPr>
              <w:pStyle w:val="ab"/>
              <w:ind w:firstLine="480"/>
              <w:rPr>
                <w:szCs w:val="21"/>
              </w:rPr>
            </w:pPr>
            <w:r w:rsidRPr="00DB563E">
              <w:rPr>
                <w:rFonts w:eastAsia="MingLiU" w:hAnsi="Arial"/>
                <w:szCs w:val="21"/>
              </w:rPr>
              <w:t>0.89</w:t>
            </w:r>
            <w:r w:rsidRPr="00DB563E">
              <w:rPr>
                <w:rFonts w:eastAsia="MingLiU"/>
                <w:szCs w:val="21"/>
                <w:vertAlign w:val="superscript"/>
              </w:rPr>
              <w:t>***</w:t>
            </w:r>
          </w:p>
        </w:tc>
        <w:tc>
          <w:tcPr>
            <w:tcW w:w="1449" w:type="dxa"/>
            <w:tcBorders>
              <w:top w:val="nil"/>
              <w:left w:val="nil"/>
              <w:bottom w:val="nil"/>
              <w:right w:val="nil"/>
            </w:tcBorders>
            <w:tcMar>
              <w:top w:w="15" w:type="dxa"/>
              <w:left w:w="15" w:type="dxa"/>
              <w:bottom w:w="15" w:type="dxa"/>
              <w:right w:w="15" w:type="dxa"/>
            </w:tcMar>
            <w:vAlign w:val="center"/>
            <w:hideMark/>
          </w:tcPr>
          <w:p w14:paraId="6448A908" w14:textId="77777777" w:rsidR="00394C3A" w:rsidRPr="00DB563E" w:rsidRDefault="00394C3A" w:rsidP="00361492">
            <w:pPr>
              <w:pStyle w:val="ab"/>
              <w:ind w:firstLine="480"/>
              <w:rPr>
                <w:szCs w:val="21"/>
              </w:rPr>
            </w:pPr>
            <w:r w:rsidRPr="00DB563E">
              <w:rPr>
                <w:rFonts w:eastAsia="MingLiU"/>
                <w:szCs w:val="21"/>
              </w:rPr>
              <w:t xml:space="preserve">0.81 </w:t>
            </w:r>
          </w:p>
        </w:tc>
        <w:tc>
          <w:tcPr>
            <w:tcW w:w="1449" w:type="dxa"/>
            <w:tcBorders>
              <w:top w:val="nil"/>
              <w:left w:val="nil"/>
              <w:bottom w:val="nil"/>
              <w:right w:val="nil"/>
            </w:tcBorders>
            <w:tcMar>
              <w:top w:w="15" w:type="dxa"/>
              <w:left w:w="15" w:type="dxa"/>
              <w:bottom w:w="15" w:type="dxa"/>
              <w:right w:w="15" w:type="dxa"/>
            </w:tcMar>
            <w:vAlign w:val="center"/>
            <w:hideMark/>
          </w:tcPr>
          <w:p w14:paraId="52897C76" w14:textId="77777777" w:rsidR="00394C3A" w:rsidRPr="00DB563E" w:rsidRDefault="00394C3A" w:rsidP="00361492">
            <w:pPr>
              <w:pStyle w:val="ab"/>
              <w:ind w:firstLine="480"/>
              <w:rPr>
                <w:szCs w:val="21"/>
              </w:rPr>
            </w:pPr>
            <w:r w:rsidRPr="00DB563E">
              <w:rPr>
                <w:rFonts w:eastAsia="MingLiU"/>
                <w:szCs w:val="21"/>
              </w:rPr>
              <w:t xml:space="preserve">0.97 </w:t>
            </w:r>
          </w:p>
        </w:tc>
      </w:tr>
      <w:tr w:rsidR="00394C3A" w:rsidRPr="00DB563E" w14:paraId="747CA9FC" w14:textId="77777777" w:rsidTr="00394C3A">
        <w:trPr>
          <w:trHeight w:val="360"/>
          <w:jc w:val="center"/>
        </w:trPr>
        <w:tc>
          <w:tcPr>
            <w:tcW w:w="2793" w:type="dxa"/>
            <w:tcBorders>
              <w:top w:val="nil"/>
              <w:left w:val="nil"/>
              <w:bottom w:val="nil"/>
              <w:right w:val="nil"/>
            </w:tcBorders>
            <w:tcMar>
              <w:top w:w="15" w:type="dxa"/>
              <w:left w:w="15" w:type="dxa"/>
              <w:bottom w:w="15" w:type="dxa"/>
              <w:right w:w="15" w:type="dxa"/>
            </w:tcMar>
            <w:vAlign w:val="center"/>
            <w:hideMark/>
          </w:tcPr>
          <w:p w14:paraId="4E8F0534" w14:textId="77777777" w:rsidR="00394C3A" w:rsidRPr="00DB563E" w:rsidRDefault="00394C3A" w:rsidP="005D6A70">
            <w:pPr>
              <w:pStyle w:val="ab"/>
              <w:rPr>
                <w:szCs w:val="21"/>
              </w:rPr>
            </w:pPr>
            <w:r w:rsidRPr="00DB563E">
              <w:rPr>
                <w:rFonts w:eastAsia="Times New Roman"/>
                <w:szCs w:val="21"/>
              </w:rPr>
              <w:t>fNIRS &amp; SCR</w:t>
            </w:r>
          </w:p>
        </w:tc>
        <w:tc>
          <w:tcPr>
            <w:tcW w:w="2157" w:type="dxa"/>
            <w:tcBorders>
              <w:top w:val="nil"/>
              <w:left w:val="nil"/>
              <w:bottom w:val="nil"/>
              <w:right w:val="nil"/>
            </w:tcBorders>
            <w:tcMar>
              <w:top w:w="15" w:type="dxa"/>
              <w:left w:w="15" w:type="dxa"/>
              <w:bottom w:w="15" w:type="dxa"/>
              <w:right w:w="15" w:type="dxa"/>
            </w:tcMar>
            <w:vAlign w:val="center"/>
            <w:hideMark/>
          </w:tcPr>
          <w:p w14:paraId="5FC77953" w14:textId="77777777" w:rsidR="00394C3A" w:rsidRPr="00DB563E" w:rsidRDefault="00394C3A" w:rsidP="00361492">
            <w:pPr>
              <w:pStyle w:val="ab"/>
              <w:ind w:firstLine="480"/>
              <w:rPr>
                <w:szCs w:val="21"/>
              </w:rPr>
            </w:pPr>
            <w:r w:rsidRPr="00DB563E">
              <w:rPr>
                <w:rFonts w:eastAsia="MingLiU" w:hAnsi="Arial"/>
                <w:szCs w:val="21"/>
              </w:rPr>
              <w:t>0.80</w:t>
            </w:r>
            <w:r w:rsidRPr="00DB563E">
              <w:rPr>
                <w:rFonts w:eastAsia="MingLiU"/>
                <w:szCs w:val="21"/>
                <w:vertAlign w:val="superscript"/>
              </w:rPr>
              <w:t>***</w:t>
            </w:r>
          </w:p>
        </w:tc>
        <w:tc>
          <w:tcPr>
            <w:tcW w:w="1449" w:type="dxa"/>
            <w:tcBorders>
              <w:top w:val="nil"/>
              <w:left w:val="nil"/>
              <w:bottom w:val="nil"/>
              <w:right w:val="nil"/>
            </w:tcBorders>
            <w:tcMar>
              <w:top w:w="15" w:type="dxa"/>
              <w:left w:w="15" w:type="dxa"/>
              <w:bottom w:w="15" w:type="dxa"/>
              <w:right w:w="15" w:type="dxa"/>
            </w:tcMar>
            <w:vAlign w:val="center"/>
            <w:hideMark/>
          </w:tcPr>
          <w:p w14:paraId="02865267" w14:textId="77777777" w:rsidR="00394C3A" w:rsidRPr="00DB563E" w:rsidRDefault="00394C3A" w:rsidP="00361492">
            <w:pPr>
              <w:pStyle w:val="ab"/>
              <w:ind w:firstLine="480"/>
              <w:rPr>
                <w:szCs w:val="21"/>
              </w:rPr>
            </w:pPr>
            <w:r w:rsidRPr="00DB563E">
              <w:rPr>
                <w:rFonts w:eastAsia="MingLiU"/>
                <w:szCs w:val="21"/>
              </w:rPr>
              <w:t xml:space="preserve">0.69 </w:t>
            </w:r>
          </w:p>
        </w:tc>
        <w:tc>
          <w:tcPr>
            <w:tcW w:w="1449" w:type="dxa"/>
            <w:tcBorders>
              <w:top w:val="nil"/>
              <w:left w:val="nil"/>
              <w:bottom w:val="nil"/>
              <w:right w:val="nil"/>
            </w:tcBorders>
            <w:tcMar>
              <w:top w:w="15" w:type="dxa"/>
              <w:left w:w="15" w:type="dxa"/>
              <w:bottom w:w="15" w:type="dxa"/>
              <w:right w:w="15" w:type="dxa"/>
            </w:tcMar>
            <w:vAlign w:val="center"/>
            <w:hideMark/>
          </w:tcPr>
          <w:p w14:paraId="7613E672" w14:textId="77777777" w:rsidR="00394C3A" w:rsidRPr="00DB563E" w:rsidRDefault="00394C3A" w:rsidP="00361492">
            <w:pPr>
              <w:pStyle w:val="ab"/>
              <w:ind w:firstLine="480"/>
              <w:rPr>
                <w:szCs w:val="21"/>
              </w:rPr>
            </w:pPr>
            <w:r w:rsidRPr="00DB563E">
              <w:rPr>
                <w:rFonts w:eastAsia="MingLiU"/>
                <w:szCs w:val="21"/>
              </w:rPr>
              <w:t xml:space="preserve">0.91 </w:t>
            </w:r>
          </w:p>
        </w:tc>
      </w:tr>
      <w:tr w:rsidR="00394C3A" w:rsidRPr="00DB563E" w14:paraId="05558513" w14:textId="77777777" w:rsidTr="00394C3A">
        <w:trPr>
          <w:trHeight w:val="360"/>
          <w:jc w:val="center"/>
        </w:trPr>
        <w:tc>
          <w:tcPr>
            <w:tcW w:w="2793" w:type="dxa"/>
            <w:tcBorders>
              <w:top w:val="nil"/>
              <w:left w:val="nil"/>
              <w:bottom w:val="nil"/>
              <w:right w:val="nil"/>
            </w:tcBorders>
            <w:tcMar>
              <w:top w:w="15" w:type="dxa"/>
              <w:left w:w="15" w:type="dxa"/>
              <w:bottom w:w="15" w:type="dxa"/>
              <w:right w:w="15" w:type="dxa"/>
            </w:tcMar>
            <w:vAlign w:val="center"/>
            <w:hideMark/>
          </w:tcPr>
          <w:p w14:paraId="6D922227" w14:textId="77777777" w:rsidR="00394C3A" w:rsidRPr="00DB563E" w:rsidRDefault="00394C3A" w:rsidP="005D6A70">
            <w:pPr>
              <w:pStyle w:val="ab"/>
              <w:rPr>
                <w:szCs w:val="21"/>
                <w:highlight w:val="yellow"/>
              </w:rPr>
            </w:pPr>
            <w:r w:rsidRPr="00DB563E">
              <w:rPr>
                <w:rFonts w:eastAsia="Times New Roman"/>
                <w:szCs w:val="21"/>
              </w:rPr>
              <w:t>fNIRS &amp; RT</w:t>
            </w:r>
          </w:p>
        </w:tc>
        <w:tc>
          <w:tcPr>
            <w:tcW w:w="2157" w:type="dxa"/>
            <w:tcBorders>
              <w:top w:val="nil"/>
              <w:left w:val="nil"/>
              <w:bottom w:val="nil"/>
              <w:right w:val="nil"/>
            </w:tcBorders>
            <w:tcMar>
              <w:top w:w="15" w:type="dxa"/>
              <w:left w:w="15" w:type="dxa"/>
              <w:bottom w:w="15" w:type="dxa"/>
              <w:right w:w="15" w:type="dxa"/>
            </w:tcMar>
            <w:vAlign w:val="center"/>
            <w:hideMark/>
          </w:tcPr>
          <w:p w14:paraId="1A352AE1" w14:textId="77777777" w:rsidR="00394C3A" w:rsidRPr="00DB563E" w:rsidRDefault="00394C3A" w:rsidP="00361492">
            <w:pPr>
              <w:pStyle w:val="ab"/>
              <w:ind w:firstLine="480"/>
              <w:rPr>
                <w:szCs w:val="21"/>
                <w:highlight w:val="yellow"/>
              </w:rPr>
            </w:pPr>
            <w:r w:rsidRPr="00DB563E">
              <w:rPr>
                <w:rFonts w:eastAsia="MingLiU" w:hAnsi="Arial"/>
                <w:szCs w:val="21"/>
              </w:rPr>
              <w:t>0.89</w:t>
            </w:r>
            <w:r w:rsidRPr="00DB563E">
              <w:rPr>
                <w:rFonts w:eastAsia="MingLiU"/>
                <w:szCs w:val="21"/>
                <w:vertAlign w:val="superscript"/>
              </w:rPr>
              <w:t>***</w:t>
            </w:r>
          </w:p>
        </w:tc>
        <w:tc>
          <w:tcPr>
            <w:tcW w:w="1449" w:type="dxa"/>
            <w:tcBorders>
              <w:top w:val="nil"/>
              <w:left w:val="nil"/>
              <w:bottom w:val="nil"/>
              <w:right w:val="nil"/>
            </w:tcBorders>
            <w:tcMar>
              <w:top w:w="15" w:type="dxa"/>
              <w:left w:w="15" w:type="dxa"/>
              <w:bottom w:w="15" w:type="dxa"/>
              <w:right w:w="15" w:type="dxa"/>
            </w:tcMar>
            <w:vAlign w:val="center"/>
            <w:hideMark/>
          </w:tcPr>
          <w:p w14:paraId="04BAC532" w14:textId="77777777" w:rsidR="00394C3A" w:rsidRPr="00DB563E" w:rsidRDefault="00394C3A" w:rsidP="00361492">
            <w:pPr>
              <w:pStyle w:val="ab"/>
              <w:ind w:firstLine="480"/>
              <w:rPr>
                <w:szCs w:val="21"/>
                <w:highlight w:val="yellow"/>
              </w:rPr>
            </w:pPr>
            <w:r w:rsidRPr="00DB563E">
              <w:rPr>
                <w:rFonts w:eastAsia="MingLiU"/>
                <w:szCs w:val="21"/>
              </w:rPr>
              <w:t xml:space="preserve">0.80 </w:t>
            </w:r>
          </w:p>
        </w:tc>
        <w:tc>
          <w:tcPr>
            <w:tcW w:w="1449" w:type="dxa"/>
            <w:tcBorders>
              <w:top w:val="nil"/>
              <w:left w:val="nil"/>
              <w:bottom w:val="nil"/>
              <w:right w:val="nil"/>
            </w:tcBorders>
            <w:tcMar>
              <w:top w:w="15" w:type="dxa"/>
              <w:left w:w="15" w:type="dxa"/>
              <w:bottom w:w="15" w:type="dxa"/>
              <w:right w:w="15" w:type="dxa"/>
            </w:tcMar>
            <w:vAlign w:val="center"/>
            <w:hideMark/>
          </w:tcPr>
          <w:p w14:paraId="0C2BBF46" w14:textId="77777777" w:rsidR="00394C3A" w:rsidRPr="00DB563E" w:rsidRDefault="00394C3A" w:rsidP="00361492">
            <w:pPr>
              <w:pStyle w:val="ab"/>
              <w:ind w:firstLine="480"/>
              <w:rPr>
                <w:szCs w:val="21"/>
                <w:highlight w:val="yellow"/>
              </w:rPr>
            </w:pPr>
            <w:r w:rsidRPr="00DB563E">
              <w:rPr>
                <w:rFonts w:eastAsia="MingLiU"/>
                <w:szCs w:val="21"/>
              </w:rPr>
              <w:t xml:space="preserve">0.97 </w:t>
            </w:r>
          </w:p>
        </w:tc>
      </w:tr>
      <w:tr w:rsidR="00394C3A" w:rsidRPr="00DB563E" w14:paraId="16CC8350" w14:textId="77777777" w:rsidTr="00394C3A">
        <w:trPr>
          <w:trHeight w:val="360"/>
          <w:jc w:val="center"/>
        </w:trPr>
        <w:tc>
          <w:tcPr>
            <w:tcW w:w="2793" w:type="dxa"/>
            <w:tcBorders>
              <w:top w:val="nil"/>
              <w:left w:val="nil"/>
              <w:bottom w:val="nil"/>
              <w:right w:val="nil"/>
            </w:tcBorders>
            <w:tcMar>
              <w:top w:w="15" w:type="dxa"/>
              <w:left w:w="15" w:type="dxa"/>
              <w:bottom w:w="15" w:type="dxa"/>
              <w:right w:w="15" w:type="dxa"/>
            </w:tcMar>
            <w:vAlign w:val="center"/>
            <w:hideMark/>
          </w:tcPr>
          <w:p w14:paraId="3CDED68F" w14:textId="77777777" w:rsidR="00394C3A" w:rsidRPr="00DB563E" w:rsidRDefault="00394C3A" w:rsidP="005D6A70">
            <w:pPr>
              <w:pStyle w:val="ab"/>
              <w:rPr>
                <w:szCs w:val="21"/>
              </w:rPr>
            </w:pPr>
            <w:r w:rsidRPr="00DB563E">
              <w:rPr>
                <w:rFonts w:eastAsia="Times New Roman"/>
                <w:szCs w:val="21"/>
              </w:rPr>
              <w:t>fNIRS &amp; HR &amp; SCR</w:t>
            </w:r>
          </w:p>
        </w:tc>
        <w:tc>
          <w:tcPr>
            <w:tcW w:w="2157" w:type="dxa"/>
            <w:tcBorders>
              <w:top w:val="nil"/>
              <w:left w:val="nil"/>
              <w:bottom w:val="nil"/>
              <w:right w:val="nil"/>
            </w:tcBorders>
            <w:tcMar>
              <w:top w:w="15" w:type="dxa"/>
              <w:left w:w="15" w:type="dxa"/>
              <w:bottom w:w="15" w:type="dxa"/>
              <w:right w:w="15" w:type="dxa"/>
            </w:tcMar>
            <w:vAlign w:val="center"/>
            <w:hideMark/>
          </w:tcPr>
          <w:p w14:paraId="4BDA0FAE" w14:textId="77777777" w:rsidR="00394C3A" w:rsidRPr="00DB563E" w:rsidRDefault="00394C3A" w:rsidP="00361492">
            <w:pPr>
              <w:pStyle w:val="ab"/>
              <w:ind w:firstLine="480"/>
              <w:rPr>
                <w:szCs w:val="21"/>
              </w:rPr>
            </w:pPr>
            <w:r w:rsidRPr="00DB563E">
              <w:rPr>
                <w:rFonts w:eastAsia="MingLiU" w:hAnsi="Arial"/>
                <w:szCs w:val="21"/>
              </w:rPr>
              <w:t>0.90</w:t>
            </w:r>
            <w:r w:rsidRPr="00DB563E">
              <w:rPr>
                <w:rFonts w:eastAsia="MingLiU"/>
                <w:szCs w:val="21"/>
                <w:vertAlign w:val="superscript"/>
              </w:rPr>
              <w:t>***</w:t>
            </w:r>
          </w:p>
        </w:tc>
        <w:tc>
          <w:tcPr>
            <w:tcW w:w="1449" w:type="dxa"/>
            <w:tcBorders>
              <w:top w:val="nil"/>
              <w:left w:val="nil"/>
              <w:bottom w:val="nil"/>
              <w:right w:val="nil"/>
            </w:tcBorders>
            <w:tcMar>
              <w:top w:w="15" w:type="dxa"/>
              <w:left w:w="15" w:type="dxa"/>
              <w:bottom w:w="15" w:type="dxa"/>
              <w:right w:w="15" w:type="dxa"/>
            </w:tcMar>
            <w:vAlign w:val="center"/>
            <w:hideMark/>
          </w:tcPr>
          <w:p w14:paraId="079856FD" w14:textId="77777777" w:rsidR="00394C3A" w:rsidRPr="00DB563E" w:rsidRDefault="00394C3A" w:rsidP="00361492">
            <w:pPr>
              <w:pStyle w:val="ab"/>
              <w:ind w:firstLine="480"/>
              <w:rPr>
                <w:szCs w:val="21"/>
              </w:rPr>
            </w:pPr>
            <w:r w:rsidRPr="00DB563E">
              <w:rPr>
                <w:rFonts w:eastAsia="MingLiU"/>
                <w:szCs w:val="21"/>
              </w:rPr>
              <w:t xml:space="preserve">0.82 </w:t>
            </w:r>
          </w:p>
        </w:tc>
        <w:tc>
          <w:tcPr>
            <w:tcW w:w="1449" w:type="dxa"/>
            <w:tcBorders>
              <w:top w:val="nil"/>
              <w:left w:val="nil"/>
              <w:bottom w:val="nil"/>
              <w:right w:val="nil"/>
            </w:tcBorders>
            <w:tcMar>
              <w:top w:w="15" w:type="dxa"/>
              <w:left w:w="15" w:type="dxa"/>
              <w:bottom w:w="15" w:type="dxa"/>
              <w:right w:w="15" w:type="dxa"/>
            </w:tcMar>
            <w:vAlign w:val="center"/>
            <w:hideMark/>
          </w:tcPr>
          <w:p w14:paraId="7A4DD40A" w14:textId="77777777" w:rsidR="00394C3A" w:rsidRPr="00DB563E" w:rsidRDefault="00394C3A" w:rsidP="00361492">
            <w:pPr>
              <w:pStyle w:val="ab"/>
              <w:ind w:firstLine="480"/>
              <w:rPr>
                <w:szCs w:val="21"/>
              </w:rPr>
            </w:pPr>
            <w:r w:rsidRPr="00DB563E">
              <w:rPr>
                <w:rFonts w:eastAsia="MingLiU"/>
                <w:szCs w:val="21"/>
              </w:rPr>
              <w:t xml:space="preserve">0.98 </w:t>
            </w:r>
          </w:p>
        </w:tc>
      </w:tr>
      <w:tr w:rsidR="00394C3A" w:rsidRPr="00DB563E" w14:paraId="202B55C7" w14:textId="77777777" w:rsidTr="00394C3A">
        <w:trPr>
          <w:trHeight w:val="360"/>
          <w:jc w:val="center"/>
        </w:trPr>
        <w:tc>
          <w:tcPr>
            <w:tcW w:w="2793" w:type="dxa"/>
            <w:tcBorders>
              <w:top w:val="nil"/>
              <w:left w:val="nil"/>
              <w:bottom w:val="nil"/>
              <w:right w:val="nil"/>
            </w:tcBorders>
            <w:tcMar>
              <w:top w:w="15" w:type="dxa"/>
              <w:left w:w="15" w:type="dxa"/>
              <w:bottom w:w="15" w:type="dxa"/>
              <w:right w:w="15" w:type="dxa"/>
            </w:tcMar>
            <w:vAlign w:val="center"/>
            <w:hideMark/>
          </w:tcPr>
          <w:p w14:paraId="3ED65B52" w14:textId="77777777" w:rsidR="00394C3A" w:rsidRPr="00DB563E" w:rsidRDefault="00394C3A" w:rsidP="005D6A70">
            <w:pPr>
              <w:pStyle w:val="ab"/>
              <w:rPr>
                <w:szCs w:val="21"/>
              </w:rPr>
            </w:pPr>
            <w:r w:rsidRPr="00DB563E">
              <w:rPr>
                <w:rFonts w:eastAsia="Times New Roman"/>
                <w:szCs w:val="21"/>
              </w:rPr>
              <w:t>fNIRS &amp; SCR &amp; RT</w:t>
            </w:r>
          </w:p>
        </w:tc>
        <w:tc>
          <w:tcPr>
            <w:tcW w:w="2157" w:type="dxa"/>
            <w:tcBorders>
              <w:top w:val="nil"/>
              <w:left w:val="nil"/>
              <w:bottom w:val="nil"/>
              <w:right w:val="nil"/>
            </w:tcBorders>
            <w:tcMar>
              <w:top w:w="15" w:type="dxa"/>
              <w:left w:w="15" w:type="dxa"/>
              <w:bottom w:w="15" w:type="dxa"/>
              <w:right w:w="15" w:type="dxa"/>
            </w:tcMar>
            <w:vAlign w:val="center"/>
            <w:hideMark/>
          </w:tcPr>
          <w:p w14:paraId="407A28AA" w14:textId="77777777" w:rsidR="00394C3A" w:rsidRPr="00DB563E" w:rsidRDefault="00394C3A" w:rsidP="00361492">
            <w:pPr>
              <w:pStyle w:val="ab"/>
              <w:ind w:firstLine="480"/>
              <w:rPr>
                <w:szCs w:val="21"/>
              </w:rPr>
            </w:pPr>
            <w:r w:rsidRPr="00DB563E">
              <w:rPr>
                <w:rFonts w:eastAsia="MingLiU" w:hAnsi="Arial"/>
                <w:szCs w:val="21"/>
              </w:rPr>
              <w:t>0.87</w:t>
            </w:r>
            <w:r w:rsidRPr="00DB563E">
              <w:rPr>
                <w:rFonts w:eastAsia="MingLiU"/>
                <w:szCs w:val="21"/>
                <w:vertAlign w:val="superscript"/>
              </w:rPr>
              <w:t>***</w:t>
            </w:r>
          </w:p>
        </w:tc>
        <w:tc>
          <w:tcPr>
            <w:tcW w:w="1449" w:type="dxa"/>
            <w:tcBorders>
              <w:top w:val="nil"/>
              <w:left w:val="nil"/>
              <w:bottom w:val="nil"/>
              <w:right w:val="nil"/>
            </w:tcBorders>
            <w:tcMar>
              <w:top w:w="15" w:type="dxa"/>
              <w:left w:w="15" w:type="dxa"/>
              <w:bottom w:w="15" w:type="dxa"/>
              <w:right w:w="15" w:type="dxa"/>
            </w:tcMar>
            <w:vAlign w:val="center"/>
            <w:hideMark/>
          </w:tcPr>
          <w:p w14:paraId="2976CD5D" w14:textId="77777777" w:rsidR="00394C3A" w:rsidRPr="00DB563E" w:rsidRDefault="00394C3A" w:rsidP="00361492">
            <w:pPr>
              <w:pStyle w:val="ab"/>
              <w:ind w:firstLine="480"/>
              <w:rPr>
                <w:szCs w:val="21"/>
              </w:rPr>
            </w:pPr>
            <w:r w:rsidRPr="00DB563E">
              <w:rPr>
                <w:rFonts w:eastAsia="MingLiU"/>
                <w:szCs w:val="21"/>
              </w:rPr>
              <w:t xml:space="preserve">0.79 </w:t>
            </w:r>
          </w:p>
        </w:tc>
        <w:tc>
          <w:tcPr>
            <w:tcW w:w="1449" w:type="dxa"/>
            <w:tcBorders>
              <w:top w:val="nil"/>
              <w:left w:val="nil"/>
              <w:bottom w:val="nil"/>
              <w:right w:val="nil"/>
            </w:tcBorders>
            <w:tcMar>
              <w:top w:w="15" w:type="dxa"/>
              <w:left w:w="15" w:type="dxa"/>
              <w:bottom w:w="15" w:type="dxa"/>
              <w:right w:w="15" w:type="dxa"/>
            </w:tcMar>
            <w:vAlign w:val="center"/>
            <w:hideMark/>
          </w:tcPr>
          <w:p w14:paraId="4DB126D3" w14:textId="77777777" w:rsidR="00394C3A" w:rsidRPr="00DB563E" w:rsidRDefault="00394C3A" w:rsidP="00361492">
            <w:pPr>
              <w:pStyle w:val="ab"/>
              <w:ind w:firstLine="480"/>
              <w:rPr>
                <w:szCs w:val="21"/>
              </w:rPr>
            </w:pPr>
            <w:r w:rsidRPr="00DB563E">
              <w:rPr>
                <w:rFonts w:eastAsia="MingLiU"/>
                <w:szCs w:val="21"/>
              </w:rPr>
              <w:t xml:space="preserve">0.96 </w:t>
            </w:r>
          </w:p>
        </w:tc>
      </w:tr>
      <w:tr w:rsidR="00394C3A" w:rsidRPr="00DB563E" w14:paraId="06521092" w14:textId="77777777" w:rsidTr="00394C3A">
        <w:trPr>
          <w:trHeight w:val="360"/>
          <w:jc w:val="center"/>
        </w:trPr>
        <w:tc>
          <w:tcPr>
            <w:tcW w:w="2793" w:type="dxa"/>
            <w:tcBorders>
              <w:top w:val="nil"/>
              <w:left w:val="nil"/>
              <w:bottom w:val="nil"/>
              <w:right w:val="nil"/>
            </w:tcBorders>
            <w:tcMar>
              <w:top w:w="15" w:type="dxa"/>
              <w:left w:w="15" w:type="dxa"/>
              <w:bottom w:w="15" w:type="dxa"/>
              <w:right w:w="15" w:type="dxa"/>
            </w:tcMar>
            <w:vAlign w:val="center"/>
            <w:hideMark/>
          </w:tcPr>
          <w:p w14:paraId="39868710" w14:textId="77777777" w:rsidR="00394C3A" w:rsidRPr="00DB563E" w:rsidRDefault="00394C3A" w:rsidP="005D6A70">
            <w:pPr>
              <w:pStyle w:val="ab"/>
              <w:rPr>
                <w:szCs w:val="21"/>
              </w:rPr>
            </w:pPr>
            <w:r w:rsidRPr="00DB563E">
              <w:rPr>
                <w:rFonts w:eastAsia="Times New Roman"/>
                <w:szCs w:val="21"/>
              </w:rPr>
              <w:t>fNIRS &amp; HR &amp; SCR &amp; RT</w:t>
            </w:r>
          </w:p>
        </w:tc>
        <w:tc>
          <w:tcPr>
            <w:tcW w:w="2157" w:type="dxa"/>
            <w:tcBorders>
              <w:top w:val="nil"/>
              <w:left w:val="nil"/>
              <w:bottom w:val="nil"/>
              <w:right w:val="nil"/>
            </w:tcBorders>
            <w:tcMar>
              <w:top w:w="15" w:type="dxa"/>
              <w:left w:w="15" w:type="dxa"/>
              <w:bottom w:w="15" w:type="dxa"/>
              <w:right w:w="15" w:type="dxa"/>
            </w:tcMar>
            <w:vAlign w:val="center"/>
            <w:hideMark/>
          </w:tcPr>
          <w:p w14:paraId="78F84D7F" w14:textId="77777777" w:rsidR="00394C3A" w:rsidRPr="00DB563E" w:rsidRDefault="00394C3A" w:rsidP="00361492">
            <w:pPr>
              <w:pStyle w:val="ab"/>
              <w:ind w:firstLine="480"/>
              <w:rPr>
                <w:szCs w:val="21"/>
              </w:rPr>
            </w:pPr>
            <w:r w:rsidRPr="00DB563E">
              <w:rPr>
                <w:rFonts w:eastAsia="MingLiU" w:hAnsi="Arial"/>
                <w:szCs w:val="21"/>
              </w:rPr>
              <w:t>0.93</w:t>
            </w:r>
            <w:r w:rsidRPr="00DB563E">
              <w:rPr>
                <w:rFonts w:eastAsia="MingLiU"/>
                <w:szCs w:val="21"/>
                <w:vertAlign w:val="superscript"/>
              </w:rPr>
              <w:t>***</w:t>
            </w:r>
          </w:p>
        </w:tc>
        <w:tc>
          <w:tcPr>
            <w:tcW w:w="1449" w:type="dxa"/>
            <w:tcBorders>
              <w:top w:val="nil"/>
              <w:left w:val="nil"/>
              <w:bottom w:val="nil"/>
              <w:right w:val="nil"/>
            </w:tcBorders>
            <w:tcMar>
              <w:top w:w="15" w:type="dxa"/>
              <w:left w:w="15" w:type="dxa"/>
              <w:bottom w:w="15" w:type="dxa"/>
              <w:right w:w="15" w:type="dxa"/>
            </w:tcMar>
            <w:vAlign w:val="center"/>
            <w:hideMark/>
          </w:tcPr>
          <w:p w14:paraId="68C1F56C" w14:textId="77777777" w:rsidR="00394C3A" w:rsidRPr="00DB563E" w:rsidRDefault="00394C3A" w:rsidP="00361492">
            <w:pPr>
              <w:pStyle w:val="ab"/>
              <w:ind w:firstLine="480"/>
              <w:rPr>
                <w:szCs w:val="21"/>
              </w:rPr>
            </w:pPr>
            <w:r w:rsidRPr="00DB563E">
              <w:rPr>
                <w:rFonts w:eastAsia="MingLiU"/>
                <w:szCs w:val="21"/>
              </w:rPr>
              <w:t xml:space="preserve">0.88 </w:t>
            </w:r>
          </w:p>
        </w:tc>
        <w:tc>
          <w:tcPr>
            <w:tcW w:w="1449" w:type="dxa"/>
            <w:tcBorders>
              <w:top w:val="nil"/>
              <w:left w:val="nil"/>
              <w:bottom w:val="nil"/>
              <w:right w:val="nil"/>
            </w:tcBorders>
            <w:tcMar>
              <w:top w:w="15" w:type="dxa"/>
              <w:left w:w="15" w:type="dxa"/>
              <w:bottom w:w="15" w:type="dxa"/>
              <w:right w:w="15" w:type="dxa"/>
            </w:tcMar>
            <w:vAlign w:val="center"/>
            <w:hideMark/>
          </w:tcPr>
          <w:p w14:paraId="73F12CD6" w14:textId="77777777" w:rsidR="00394C3A" w:rsidRPr="00DB563E" w:rsidRDefault="00394C3A" w:rsidP="00361492">
            <w:pPr>
              <w:pStyle w:val="ab"/>
              <w:ind w:firstLine="480"/>
              <w:rPr>
                <w:szCs w:val="21"/>
              </w:rPr>
            </w:pPr>
            <w:r w:rsidRPr="00DB563E">
              <w:rPr>
                <w:rFonts w:eastAsia="MingLiU"/>
                <w:szCs w:val="21"/>
              </w:rPr>
              <w:t xml:space="preserve">0.99 </w:t>
            </w:r>
          </w:p>
        </w:tc>
      </w:tr>
      <w:tr w:rsidR="00394C3A" w:rsidRPr="00DB563E" w14:paraId="59496A82" w14:textId="77777777" w:rsidTr="00394C3A">
        <w:trPr>
          <w:trHeight w:val="360"/>
          <w:jc w:val="center"/>
        </w:trPr>
        <w:tc>
          <w:tcPr>
            <w:tcW w:w="2793" w:type="dxa"/>
            <w:tcBorders>
              <w:top w:val="nil"/>
              <w:left w:val="nil"/>
              <w:bottom w:val="nil"/>
              <w:right w:val="nil"/>
            </w:tcBorders>
            <w:tcMar>
              <w:top w:w="15" w:type="dxa"/>
              <w:left w:w="15" w:type="dxa"/>
              <w:bottom w:w="15" w:type="dxa"/>
              <w:right w:w="15" w:type="dxa"/>
            </w:tcMar>
            <w:vAlign w:val="center"/>
            <w:hideMark/>
          </w:tcPr>
          <w:p w14:paraId="15526A36" w14:textId="2DBD8434" w:rsidR="00394C3A" w:rsidRPr="002C5BEF" w:rsidRDefault="00D262A1" w:rsidP="005D6A70">
            <w:pPr>
              <w:pStyle w:val="ab"/>
              <w:rPr>
                <w:szCs w:val="21"/>
              </w:rPr>
            </w:pPr>
            <w:r w:rsidRPr="002C5BEF">
              <w:rPr>
                <w:rFonts w:eastAsia="Times New Roman"/>
                <w:szCs w:val="21"/>
              </w:rPr>
              <w:lastRenderedPageBreak/>
              <w:t>fNIRS (</w:t>
            </w:r>
            <w:r w:rsidR="00394C3A" w:rsidRPr="002C5BEF">
              <w:rPr>
                <w:rFonts w:eastAsia="Times New Roman"/>
                <w:szCs w:val="21"/>
              </w:rPr>
              <w:t>Ch 8</w:t>
            </w:r>
            <w:r w:rsidRPr="002C5BEF">
              <w:rPr>
                <w:rFonts w:eastAsia="Times New Roman"/>
                <w:szCs w:val="21"/>
              </w:rPr>
              <w:t>)</w:t>
            </w:r>
          </w:p>
        </w:tc>
        <w:tc>
          <w:tcPr>
            <w:tcW w:w="2157" w:type="dxa"/>
            <w:tcBorders>
              <w:top w:val="nil"/>
              <w:left w:val="nil"/>
              <w:bottom w:val="nil"/>
              <w:right w:val="nil"/>
            </w:tcBorders>
            <w:tcMar>
              <w:top w:w="15" w:type="dxa"/>
              <w:left w:w="15" w:type="dxa"/>
              <w:bottom w:w="15" w:type="dxa"/>
              <w:right w:w="15" w:type="dxa"/>
            </w:tcMar>
            <w:vAlign w:val="center"/>
            <w:hideMark/>
          </w:tcPr>
          <w:p w14:paraId="15C163CD" w14:textId="77777777" w:rsidR="00394C3A" w:rsidRPr="002C5BEF" w:rsidRDefault="00394C3A" w:rsidP="00361492">
            <w:pPr>
              <w:pStyle w:val="ab"/>
              <w:ind w:firstLine="480"/>
              <w:rPr>
                <w:szCs w:val="21"/>
              </w:rPr>
            </w:pPr>
            <w:r w:rsidRPr="002C5BEF">
              <w:rPr>
                <w:rFonts w:eastAsia="MingLiU" w:hAnsi="Arial"/>
                <w:szCs w:val="21"/>
              </w:rPr>
              <w:t>0.86</w:t>
            </w:r>
            <w:r w:rsidRPr="002C5BEF">
              <w:rPr>
                <w:rFonts w:eastAsia="MingLiU"/>
                <w:szCs w:val="21"/>
                <w:vertAlign w:val="superscript"/>
              </w:rPr>
              <w:t>***</w:t>
            </w:r>
          </w:p>
        </w:tc>
        <w:tc>
          <w:tcPr>
            <w:tcW w:w="1449" w:type="dxa"/>
            <w:tcBorders>
              <w:top w:val="nil"/>
              <w:left w:val="nil"/>
              <w:bottom w:val="nil"/>
              <w:right w:val="nil"/>
            </w:tcBorders>
            <w:tcMar>
              <w:top w:w="15" w:type="dxa"/>
              <w:left w:w="15" w:type="dxa"/>
              <w:bottom w:w="15" w:type="dxa"/>
              <w:right w:w="15" w:type="dxa"/>
            </w:tcMar>
            <w:vAlign w:val="center"/>
            <w:hideMark/>
          </w:tcPr>
          <w:p w14:paraId="371E5C35" w14:textId="77777777" w:rsidR="00394C3A" w:rsidRPr="002C5BEF" w:rsidRDefault="00394C3A" w:rsidP="00361492">
            <w:pPr>
              <w:pStyle w:val="ab"/>
              <w:ind w:firstLine="480"/>
              <w:rPr>
                <w:szCs w:val="21"/>
              </w:rPr>
            </w:pPr>
            <w:r w:rsidRPr="002C5BEF">
              <w:rPr>
                <w:rFonts w:eastAsia="MingLiU"/>
                <w:szCs w:val="21"/>
              </w:rPr>
              <w:t xml:space="preserve">0.76 </w:t>
            </w:r>
          </w:p>
        </w:tc>
        <w:tc>
          <w:tcPr>
            <w:tcW w:w="1449" w:type="dxa"/>
            <w:tcBorders>
              <w:top w:val="nil"/>
              <w:left w:val="nil"/>
              <w:bottom w:val="nil"/>
              <w:right w:val="nil"/>
            </w:tcBorders>
            <w:tcMar>
              <w:top w:w="15" w:type="dxa"/>
              <w:left w:w="15" w:type="dxa"/>
              <w:bottom w:w="15" w:type="dxa"/>
              <w:right w:w="15" w:type="dxa"/>
            </w:tcMar>
            <w:vAlign w:val="center"/>
            <w:hideMark/>
          </w:tcPr>
          <w:p w14:paraId="22C42197" w14:textId="77777777" w:rsidR="00394C3A" w:rsidRPr="00DB563E" w:rsidRDefault="00394C3A" w:rsidP="00361492">
            <w:pPr>
              <w:pStyle w:val="ab"/>
              <w:ind w:firstLine="480"/>
              <w:rPr>
                <w:szCs w:val="21"/>
              </w:rPr>
            </w:pPr>
            <w:r w:rsidRPr="002C5BEF">
              <w:rPr>
                <w:rFonts w:eastAsia="MingLiU"/>
                <w:szCs w:val="21"/>
              </w:rPr>
              <w:t>0.95</w:t>
            </w:r>
            <w:r w:rsidRPr="00DB563E">
              <w:rPr>
                <w:rFonts w:eastAsia="MingLiU"/>
                <w:szCs w:val="21"/>
              </w:rPr>
              <w:t xml:space="preserve"> </w:t>
            </w:r>
          </w:p>
        </w:tc>
      </w:tr>
      <w:tr w:rsidR="00394C3A" w:rsidRPr="00DB563E" w14:paraId="2F3AE727" w14:textId="77777777" w:rsidTr="00394C3A">
        <w:trPr>
          <w:trHeight w:val="360"/>
          <w:jc w:val="center"/>
        </w:trPr>
        <w:tc>
          <w:tcPr>
            <w:tcW w:w="2793" w:type="dxa"/>
            <w:tcBorders>
              <w:top w:val="nil"/>
              <w:left w:val="nil"/>
              <w:bottom w:val="nil"/>
              <w:right w:val="nil"/>
            </w:tcBorders>
            <w:tcMar>
              <w:top w:w="15" w:type="dxa"/>
              <w:left w:w="15" w:type="dxa"/>
              <w:bottom w:w="15" w:type="dxa"/>
              <w:right w:w="15" w:type="dxa"/>
            </w:tcMar>
            <w:vAlign w:val="center"/>
            <w:hideMark/>
          </w:tcPr>
          <w:p w14:paraId="7087D018" w14:textId="77777777" w:rsidR="00394C3A" w:rsidRPr="00DB563E" w:rsidRDefault="00394C3A" w:rsidP="005D6A70">
            <w:pPr>
              <w:pStyle w:val="ab"/>
              <w:rPr>
                <w:szCs w:val="21"/>
              </w:rPr>
            </w:pPr>
            <w:r w:rsidRPr="00DB563E">
              <w:rPr>
                <w:rFonts w:eastAsia="Times New Roman"/>
                <w:szCs w:val="21"/>
              </w:rPr>
              <w:t>Ch 8 &amp; HR</w:t>
            </w:r>
          </w:p>
        </w:tc>
        <w:tc>
          <w:tcPr>
            <w:tcW w:w="2157" w:type="dxa"/>
            <w:tcBorders>
              <w:top w:val="nil"/>
              <w:left w:val="nil"/>
              <w:bottom w:val="nil"/>
              <w:right w:val="nil"/>
            </w:tcBorders>
            <w:tcMar>
              <w:top w:w="15" w:type="dxa"/>
              <w:left w:w="15" w:type="dxa"/>
              <w:bottom w:w="15" w:type="dxa"/>
              <w:right w:w="15" w:type="dxa"/>
            </w:tcMar>
            <w:vAlign w:val="center"/>
            <w:hideMark/>
          </w:tcPr>
          <w:p w14:paraId="254724E0" w14:textId="77777777" w:rsidR="00394C3A" w:rsidRPr="00DB563E" w:rsidRDefault="00394C3A" w:rsidP="00361492">
            <w:pPr>
              <w:pStyle w:val="ab"/>
              <w:ind w:firstLine="480"/>
              <w:rPr>
                <w:szCs w:val="21"/>
              </w:rPr>
            </w:pPr>
            <w:r w:rsidRPr="00DB563E">
              <w:rPr>
                <w:rFonts w:eastAsia="MingLiU" w:hAnsi="Arial"/>
                <w:szCs w:val="21"/>
              </w:rPr>
              <w:t>0.92</w:t>
            </w:r>
            <w:r w:rsidRPr="00DB563E">
              <w:rPr>
                <w:rFonts w:eastAsia="MingLiU"/>
                <w:szCs w:val="21"/>
                <w:vertAlign w:val="superscript"/>
              </w:rPr>
              <w:t>***</w:t>
            </w:r>
          </w:p>
        </w:tc>
        <w:tc>
          <w:tcPr>
            <w:tcW w:w="1449" w:type="dxa"/>
            <w:tcBorders>
              <w:top w:val="nil"/>
              <w:left w:val="nil"/>
              <w:bottom w:val="nil"/>
              <w:right w:val="nil"/>
            </w:tcBorders>
            <w:tcMar>
              <w:top w:w="15" w:type="dxa"/>
              <w:left w:w="15" w:type="dxa"/>
              <w:bottom w:w="15" w:type="dxa"/>
              <w:right w:w="15" w:type="dxa"/>
            </w:tcMar>
            <w:vAlign w:val="center"/>
            <w:hideMark/>
          </w:tcPr>
          <w:p w14:paraId="355E7E77" w14:textId="77777777" w:rsidR="00394C3A" w:rsidRPr="00DB563E" w:rsidRDefault="00394C3A" w:rsidP="00361492">
            <w:pPr>
              <w:pStyle w:val="ab"/>
              <w:ind w:firstLine="480"/>
              <w:rPr>
                <w:szCs w:val="21"/>
              </w:rPr>
            </w:pPr>
            <w:r w:rsidRPr="00DB563E">
              <w:rPr>
                <w:rFonts w:eastAsia="MingLiU"/>
                <w:szCs w:val="21"/>
              </w:rPr>
              <w:t xml:space="preserve">0.85 </w:t>
            </w:r>
          </w:p>
        </w:tc>
        <w:tc>
          <w:tcPr>
            <w:tcW w:w="1449" w:type="dxa"/>
            <w:tcBorders>
              <w:top w:val="nil"/>
              <w:left w:val="nil"/>
              <w:bottom w:val="nil"/>
              <w:right w:val="nil"/>
            </w:tcBorders>
            <w:tcMar>
              <w:top w:w="15" w:type="dxa"/>
              <w:left w:w="15" w:type="dxa"/>
              <w:bottom w:w="15" w:type="dxa"/>
              <w:right w:w="15" w:type="dxa"/>
            </w:tcMar>
            <w:vAlign w:val="center"/>
            <w:hideMark/>
          </w:tcPr>
          <w:p w14:paraId="052673F3" w14:textId="77777777" w:rsidR="00394C3A" w:rsidRPr="00DB563E" w:rsidRDefault="00394C3A" w:rsidP="00361492">
            <w:pPr>
              <w:pStyle w:val="ab"/>
              <w:ind w:firstLine="480"/>
              <w:rPr>
                <w:szCs w:val="21"/>
              </w:rPr>
            </w:pPr>
            <w:r w:rsidRPr="00DB563E">
              <w:rPr>
                <w:rFonts w:eastAsia="MingLiU"/>
                <w:szCs w:val="21"/>
              </w:rPr>
              <w:t xml:space="preserve">0.99 </w:t>
            </w:r>
          </w:p>
        </w:tc>
      </w:tr>
      <w:tr w:rsidR="00394C3A" w:rsidRPr="00DB563E" w14:paraId="63484CFB" w14:textId="77777777" w:rsidTr="00394C3A">
        <w:trPr>
          <w:trHeight w:val="360"/>
          <w:jc w:val="center"/>
        </w:trPr>
        <w:tc>
          <w:tcPr>
            <w:tcW w:w="2793" w:type="dxa"/>
            <w:tcBorders>
              <w:top w:val="nil"/>
              <w:left w:val="nil"/>
              <w:bottom w:val="nil"/>
              <w:right w:val="nil"/>
            </w:tcBorders>
            <w:tcMar>
              <w:top w:w="15" w:type="dxa"/>
              <w:left w:w="15" w:type="dxa"/>
              <w:bottom w:w="15" w:type="dxa"/>
              <w:right w:w="15" w:type="dxa"/>
            </w:tcMar>
            <w:vAlign w:val="center"/>
            <w:hideMark/>
          </w:tcPr>
          <w:p w14:paraId="01C28DA7" w14:textId="77777777" w:rsidR="00394C3A" w:rsidRPr="00DB563E" w:rsidRDefault="00394C3A" w:rsidP="005D6A70">
            <w:pPr>
              <w:pStyle w:val="ab"/>
              <w:rPr>
                <w:szCs w:val="21"/>
              </w:rPr>
            </w:pPr>
            <w:r w:rsidRPr="00DB563E">
              <w:rPr>
                <w:rFonts w:eastAsia="Times New Roman"/>
                <w:szCs w:val="21"/>
              </w:rPr>
              <w:t>Ch 8 &amp; SCR</w:t>
            </w:r>
          </w:p>
        </w:tc>
        <w:tc>
          <w:tcPr>
            <w:tcW w:w="2157" w:type="dxa"/>
            <w:tcBorders>
              <w:top w:val="nil"/>
              <w:left w:val="nil"/>
              <w:bottom w:val="nil"/>
              <w:right w:val="nil"/>
            </w:tcBorders>
            <w:tcMar>
              <w:top w:w="15" w:type="dxa"/>
              <w:left w:w="15" w:type="dxa"/>
              <w:bottom w:w="15" w:type="dxa"/>
              <w:right w:w="15" w:type="dxa"/>
            </w:tcMar>
            <w:vAlign w:val="center"/>
            <w:hideMark/>
          </w:tcPr>
          <w:p w14:paraId="1FC0E1EA" w14:textId="77777777" w:rsidR="00394C3A" w:rsidRPr="00DB563E" w:rsidRDefault="00394C3A" w:rsidP="00361492">
            <w:pPr>
              <w:pStyle w:val="ab"/>
              <w:ind w:firstLine="480"/>
              <w:rPr>
                <w:szCs w:val="21"/>
              </w:rPr>
            </w:pPr>
            <w:r w:rsidRPr="00DB563E">
              <w:rPr>
                <w:rFonts w:eastAsia="MingLiU" w:hAnsi="Arial"/>
                <w:szCs w:val="21"/>
              </w:rPr>
              <w:t>0.88</w:t>
            </w:r>
            <w:r w:rsidRPr="00DB563E">
              <w:rPr>
                <w:rFonts w:eastAsia="MingLiU"/>
                <w:szCs w:val="21"/>
                <w:vertAlign w:val="superscript"/>
              </w:rPr>
              <w:t>***</w:t>
            </w:r>
          </w:p>
        </w:tc>
        <w:tc>
          <w:tcPr>
            <w:tcW w:w="1449" w:type="dxa"/>
            <w:tcBorders>
              <w:top w:val="nil"/>
              <w:left w:val="nil"/>
              <w:bottom w:val="nil"/>
              <w:right w:val="nil"/>
            </w:tcBorders>
            <w:tcMar>
              <w:top w:w="15" w:type="dxa"/>
              <w:left w:w="15" w:type="dxa"/>
              <w:bottom w:w="15" w:type="dxa"/>
              <w:right w:w="15" w:type="dxa"/>
            </w:tcMar>
            <w:vAlign w:val="center"/>
            <w:hideMark/>
          </w:tcPr>
          <w:p w14:paraId="45A781DC" w14:textId="77777777" w:rsidR="00394C3A" w:rsidRPr="00DB563E" w:rsidRDefault="00394C3A" w:rsidP="00361492">
            <w:pPr>
              <w:pStyle w:val="ab"/>
              <w:ind w:firstLine="480"/>
              <w:rPr>
                <w:szCs w:val="21"/>
              </w:rPr>
            </w:pPr>
            <w:r w:rsidRPr="00DB563E">
              <w:rPr>
                <w:rFonts w:eastAsia="MingLiU"/>
                <w:szCs w:val="21"/>
              </w:rPr>
              <w:t xml:space="preserve">0.79 </w:t>
            </w:r>
          </w:p>
        </w:tc>
        <w:tc>
          <w:tcPr>
            <w:tcW w:w="1449" w:type="dxa"/>
            <w:tcBorders>
              <w:top w:val="nil"/>
              <w:left w:val="nil"/>
              <w:bottom w:val="nil"/>
              <w:right w:val="nil"/>
            </w:tcBorders>
            <w:tcMar>
              <w:top w:w="15" w:type="dxa"/>
              <w:left w:w="15" w:type="dxa"/>
              <w:bottom w:w="15" w:type="dxa"/>
              <w:right w:w="15" w:type="dxa"/>
            </w:tcMar>
            <w:vAlign w:val="center"/>
            <w:hideMark/>
          </w:tcPr>
          <w:p w14:paraId="462DBA13" w14:textId="77777777" w:rsidR="00394C3A" w:rsidRPr="00DB563E" w:rsidRDefault="00394C3A" w:rsidP="00361492">
            <w:pPr>
              <w:pStyle w:val="ab"/>
              <w:ind w:firstLine="480"/>
              <w:rPr>
                <w:szCs w:val="21"/>
              </w:rPr>
            </w:pPr>
            <w:r w:rsidRPr="00DB563E">
              <w:rPr>
                <w:rFonts w:eastAsia="MingLiU"/>
                <w:szCs w:val="21"/>
              </w:rPr>
              <w:t xml:space="preserve">0.96 </w:t>
            </w:r>
          </w:p>
        </w:tc>
      </w:tr>
      <w:tr w:rsidR="00394C3A" w:rsidRPr="00DB563E" w14:paraId="6CD3E09C" w14:textId="77777777" w:rsidTr="00394C3A">
        <w:trPr>
          <w:trHeight w:val="360"/>
          <w:jc w:val="center"/>
        </w:trPr>
        <w:tc>
          <w:tcPr>
            <w:tcW w:w="2793" w:type="dxa"/>
            <w:tcBorders>
              <w:top w:val="nil"/>
              <w:left w:val="nil"/>
              <w:bottom w:val="nil"/>
              <w:right w:val="nil"/>
            </w:tcBorders>
            <w:tcMar>
              <w:top w:w="15" w:type="dxa"/>
              <w:left w:w="15" w:type="dxa"/>
              <w:bottom w:w="15" w:type="dxa"/>
              <w:right w:w="15" w:type="dxa"/>
            </w:tcMar>
            <w:vAlign w:val="center"/>
            <w:hideMark/>
          </w:tcPr>
          <w:p w14:paraId="67BE3078" w14:textId="77777777" w:rsidR="00394C3A" w:rsidRPr="00DB563E" w:rsidRDefault="00394C3A" w:rsidP="005D6A70">
            <w:pPr>
              <w:pStyle w:val="ab"/>
              <w:rPr>
                <w:szCs w:val="21"/>
              </w:rPr>
            </w:pPr>
            <w:r w:rsidRPr="00DB563E">
              <w:rPr>
                <w:rFonts w:eastAsia="Times New Roman"/>
                <w:szCs w:val="21"/>
              </w:rPr>
              <w:t>Ch 8 &amp; RT</w:t>
            </w:r>
          </w:p>
        </w:tc>
        <w:tc>
          <w:tcPr>
            <w:tcW w:w="2157" w:type="dxa"/>
            <w:tcBorders>
              <w:top w:val="nil"/>
              <w:left w:val="nil"/>
              <w:bottom w:val="nil"/>
              <w:right w:val="nil"/>
            </w:tcBorders>
            <w:tcMar>
              <w:top w:w="15" w:type="dxa"/>
              <w:left w:w="15" w:type="dxa"/>
              <w:bottom w:w="15" w:type="dxa"/>
              <w:right w:w="15" w:type="dxa"/>
            </w:tcMar>
            <w:vAlign w:val="center"/>
            <w:hideMark/>
          </w:tcPr>
          <w:p w14:paraId="06564C08" w14:textId="77777777" w:rsidR="00394C3A" w:rsidRPr="00DB563E" w:rsidRDefault="00394C3A" w:rsidP="00361492">
            <w:pPr>
              <w:pStyle w:val="ab"/>
              <w:ind w:firstLine="480"/>
              <w:rPr>
                <w:szCs w:val="21"/>
              </w:rPr>
            </w:pPr>
            <w:r w:rsidRPr="00DB563E">
              <w:rPr>
                <w:rFonts w:eastAsia="MingLiU" w:hAnsi="Arial"/>
                <w:szCs w:val="21"/>
              </w:rPr>
              <w:t>0.91</w:t>
            </w:r>
            <w:r w:rsidRPr="00DB563E">
              <w:rPr>
                <w:rFonts w:eastAsia="MingLiU"/>
                <w:szCs w:val="21"/>
                <w:vertAlign w:val="superscript"/>
              </w:rPr>
              <w:t>***</w:t>
            </w:r>
          </w:p>
        </w:tc>
        <w:tc>
          <w:tcPr>
            <w:tcW w:w="1449" w:type="dxa"/>
            <w:tcBorders>
              <w:top w:val="nil"/>
              <w:left w:val="nil"/>
              <w:bottom w:val="nil"/>
              <w:right w:val="nil"/>
            </w:tcBorders>
            <w:tcMar>
              <w:top w:w="15" w:type="dxa"/>
              <w:left w:w="15" w:type="dxa"/>
              <w:bottom w:w="15" w:type="dxa"/>
              <w:right w:w="15" w:type="dxa"/>
            </w:tcMar>
            <w:vAlign w:val="center"/>
            <w:hideMark/>
          </w:tcPr>
          <w:p w14:paraId="37AF799E" w14:textId="77777777" w:rsidR="00394C3A" w:rsidRPr="00DB563E" w:rsidRDefault="00394C3A" w:rsidP="00361492">
            <w:pPr>
              <w:pStyle w:val="ab"/>
              <w:ind w:firstLine="480"/>
              <w:rPr>
                <w:szCs w:val="21"/>
              </w:rPr>
            </w:pPr>
            <w:r w:rsidRPr="00DB563E">
              <w:rPr>
                <w:rFonts w:eastAsia="MingLiU"/>
                <w:szCs w:val="21"/>
              </w:rPr>
              <w:t xml:space="preserve">0.83 </w:t>
            </w:r>
          </w:p>
        </w:tc>
        <w:tc>
          <w:tcPr>
            <w:tcW w:w="1449" w:type="dxa"/>
            <w:tcBorders>
              <w:top w:val="nil"/>
              <w:left w:val="nil"/>
              <w:bottom w:val="nil"/>
              <w:right w:val="nil"/>
            </w:tcBorders>
            <w:tcMar>
              <w:top w:w="15" w:type="dxa"/>
              <w:left w:w="15" w:type="dxa"/>
              <w:bottom w:w="15" w:type="dxa"/>
              <w:right w:w="15" w:type="dxa"/>
            </w:tcMar>
            <w:vAlign w:val="center"/>
            <w:hideMark/>
          </w:tcPr>
          <w:p w14:paraId="61D96A67" w14:textId="77777777" w:rsidR="00394C3A" w:rsidRPr="00DB563E" w:rsidRDefault="00394C3A" w:rsidP="00361492">
            <w:pPr>
              <w:pStyle w:val="ab"/>
              <w:ind w:firstLine="480"/>
              <w:rPr>
                <w:szCs w:val="21"/>
              </w:rPr>
            </w:pPr>
            <w:r w:rsidRPr="00DB563E">
              <w:rPr>
                <w:rFonts w:eastAsia="MingLiU"/>
                <w:szCs w:val="21"/>
              </w:rPr>
              <w:t xml:space="preserve">0.98 </w:t>
            </w:r>
          </w:p>
        </w:tc>
      </w:tr>
      <w:tr w:rsidR="00394C3A" w:rsidRPr="00DB563E" w14:paraId="2CB465A5" w14:textId="77777777" w:rsidTr="00394C3A">
        <w:trPr>
          <w:trHeight w:val="360"/>
          <w:jc w:val="center"/>
        </w:trPr>
        <w:tc>
          <w:tcPr>
            <w:tcW w:w="2793" w:type="dxa"/>
            <w:tcBorders>
              <w:top w:val="nil"/>
              <w:left w:val="nil"/>
              <w:bottom w:val="nil"/>
              <w:right w:val="nil"/>
            </w:tcBorders>
            <w:tcMar>
              <w:top w:w="15" w:type="dxa"/>
              <w:left w:w="15" w:type="dxa"/>
              <w:bottom w:w="15" w:type="dxa"/>
              <w:right w:w="15" w:type="dxa"/>
            </w:tcMar>
            <w:vAlign w:val="center"/>
            <w:hideMark/>
          </w:tcPr>
          <w:p w14:paraId="175CAFCB" w14:textId="77777777" w:rsidR="00394C3A" w:rsidRPr="00DB563E" w:rsidRDefault="00394C3A" w:rsidP="005D6A70">
            <w:pPr>
              <w:pStyle w:val="ab"/>
              <w:rPr>
                <w:szCs w:val="21"/>
              </w:rPr>
            </w:pPr>
            <w:r w:rsidRPr="00DB563E">
              <w:rPr>
                <w:rFonts w:eastAsia="Times New Roman"/>
                <w:szCs w:val="21"/>
              </w:rPr>
              <w:t>Ch 8 &amp; HR &amp; SCR</w:t>
            </w:r>
          </w:p>
        </w:tc>
        <w:tc>
          <w:tcPr>
            <w:tcW w:w="2157" w:type="dxa"/>
            <w:tcBorders>
              <w:top w:val="nil"/>
              <w:left w:val="nil"/>
              <w:bottom w:val="nil"/>
              <w:right w:val="nil"/>
            </w:tcBorders>
            <w:tcMar>
              <w:top w:w="15" w:type="dxa"/>
              <w:left w:w="15" w:type="dxa"/>
              <w:bottom w:w="15" w:type="dxa"/>
              <w:right w:w="15" w:type="dxa"/>
            </w:tcMar>
            <w:vAlign w:val="center"/>
            <w:hideMark/>
          </w:tcPr>
          <w:p w14:paraId="59D0C09B" w14:textId="77777777" w:rsidR="00394C3A" w:rsidRPr="00DB563E" w:rsidRDefault="00394C3A" w:rsidP="00361492">
            <w:pPr>
              <w:pStyle w:val="ab"/>
              <w:ind w:firstLine="480"/>
              <w:rPr>
                <w:szCs w:val="21"/>
              </w:rPr>
            </w:pPr>
            <w:r w:rsidRPr="00DB563E">
              <w:rPr>
                <w:rFonts w:eastAsia="MingLiU" w:hAnsi="Arial"/>
                <w:szCs w:val="21"/>
              </w:rPr>
              <w:t>0.93</w:t>
            </w:r>
            <w:r w:rsidRPr="00DB563E">
              <w:rPr>
                <w:rFonts w:eastAsia="MingLiU"/>
                <w:szCs w:val="21"/>
                <w:vertAlign w:val="superscript"/>
              </w:rPr>
              <w:t>***</w:t>
            </w:r>
          </w:p>
        </w:tc>
        <w:tc>
          <w:tcPr>
            <w:tcW w:w="1449" w:type="dxa"/>
            <w:tcBorders>
              <w:top w:val="nil"/>
              <w:left w:val="nil"/>
              <w:bottom w:val="nil"/>
              <w:right w:val="nil"/>
            </w:tcBorders>
            <w:tcMar>
              <w:top w:w="15" w:type="dxa"/>
              <w:left w:w="15" w:type="dxa"/>
              <w:bottom w:w="15" w:type="dxa"/>
              <w:right w:w="15" w:type="dxa"/>
            </w:tcMar>
            <w:vAlign w:val="center"/>
            <w:hideMark/>
          </w:tcPr>
          <w:p w14:paraId="3879ED8D" w14:textId="77777777" w:rsidR="00394C3A" w:rsidRPr="00DB563E" w:rsidRDefault="00394C3A" w:rsidP="00361492">
            <w:pPr>
              <w:pStyle w:val="ab"/>
              <w:ind w:firstLine="480"/>
              <w:rPr>
                <w:szCs w:val="21"/>
              </w:rPr>
            </w:pPr>
            <w:r w:rsidRPr="00DB563E">
              <w:rPr>
                <w:rFonts w:eastAsia="MingLiU"/>
                <w:szCs w:val="21"/>
              </w:rPr>
              <w:t xml:space="preserve">0.88 </w:t>
            </w:r>
          </w:p>
        </w:tc>
        <w:tc>
          <w:tcPr>
            <w:tcW w:w="1449" w:type="dxa"/>
            <w:tcBorders>
              <w:top w:val="nil"/>
              <w:left w:val="nil"/>
              <w:bottom w:val="nil"/>
              <w:right w:val="nil"/>
            </w:tcBorders>
            <w:tcMar>
              <w:top w:w="15" w:type="dxa"/>
              <w:left w:w="15" w:type="dxa"/>
              <w:bottom w:w="15" w:type="dxa"/>
              <w:right w:w="15" w:type="dxa"/>
            </w:tcMar>
            <w:vAlign w:val="center"/>
            <w:hideMark/>
          </w:tcPr>
          <w:p w14:paraId="389AFBA3" w14:textId="77777777" w:rsidR="00394C3A" w:rsidRPr="00DB563E" w:rsidRDefault="00394C3A" w:rsidP="00361492">
            <w:pPr>
              <w:pStyle w:val="ab"/>
              <w:ind w:firstLine="480"/>
              <w:rPr>
                <w:szCs w:val="21"/>
              </w:rPr>
            </w:pPr>
            <w:r w:rsidRPr="00DB563E">
              <w:rPr>
                <w:rFonts w:eastAsia="MingLiU"/>
                <w:szCs w:val="21"/>
              </w:rPr>
              <w:t xml:space="preserve">0.99 </w:t>
            </w:r>
          </w:p>
        </w:tc>
      </w:tr>
      <w:tr w:rsidR="00394C3A" w:rsidRPr="00DB563E" w14:paraId="23284B75" w14:textId="77777777" w:rsidTr="00394C3A">
        <w:trPr>
          <w:trHeight w:val="360"/>
          <w:jc w:val="center"/>
        </w:trPr>
        <w:tc>
          <w:tcPr>
            <w:tcW w:w="2793" w:type="dxa"/>
            <w:tcBorders>
              <w:top w:val="nil"/>
              <w:left w:val="nil"/>
              <w:bottom w:val="nil"/>
              <w:right w:val="nil"/>
            </w:tcBorders>
            <w:tcMar>
              <w:top w:w="15" w:type="dxa"/>
              <w:left w:w="15" w:type="dxa"/>
              <w:bottom w:w="15" w:type="dxa"/>
              <w:right w:w="15" w:type="dxa"/>
            </w:tcMar>
            <w:vAlign w:val="center"/>
            <w:hideMark/>
          </w:tcPr>
          <w:p w14:paraId="1FAC4515" w14:textId="77777777" w:rsidR="00394C3A" w:rsidRPr="00DB563E" w:rsidRDefault="00394C3A" w:rsidP="005D6A70">
            <w:pPr>
              <w:pStyle w:val="ab"/>
              <w:rPr>
                <w:szCs w:val="21"/>
              </w:rPr>
            </w:pPr>
            <w:r w:rsidRPr="00DB563E">
              <w:rPr>
                <w:rFonts w:eastAsia="Times New Roman"/>
                <w:szCs w:val="21"/>
              </w:rPr>
              <w:t>Ch 8 &amp; SCR &amp; RT</w:t>
            </w:r>
          </w:p>
        </w:tc>
        <w:tc>
          <w:tcPr>
            <w:tcW w:w="2157" w:type="dxa"/>
            <w:tcBorders>
              <w:top w:val="nil"/>
              <w:left w:val="nil"/>
              <w:bottom w:val="nil"/>
              <w:right w:val="nil"/>
            </w:tcBorders>
            <w:tcMar>
              <w:top w:w="15" w:type="dxa"/>
              <w:left w:w="15" w:type="dxa"/>
              <w:bottom w:w="15" w:type="dxa"/>
              <w:right w:w="15" w:type="dxa"/>
            </w:tcMar>
            <w:vAlign w:val="center"/>
            <w:hideMark/>
          </w:tcPr>
          <w:p w14:paraId="2EE2FDD0" w14:textId="77777777" w:rsidR="00394C3A" w:rsidRPr="00DB563E" w:rsidRDefault="00394C3A" w:rsidP="00361492">
            <w:pPr>
              <w:pStyle w:val="ab"/>
              <w:ind w:firstLine="480"/>
              <w:rPr>
                <w:szCs w:val="21"/>
              </w:rPr>
            </w:pPr>
            <w:r w:rsidRPr="00DB563E">
              <w:rPr>
                <w:rFonts w:eastAsia="MingLiU" w:hAnsi="Arial"/>
                <w:szCs w:val="21"/>
              </w:rPr>
              <w:t>0.92</w:t>
            </w:r>
            <w:r w:rsidRPr="00DB563E">
              <w:rPr>
                <w:rFonts w:eastAsia="MingLiU"/>
                <w:szCs w:val="21"/>
                <w:vertAlign w:val="superscript"/>
              </w:rPr>
              <w:t>***</w:t>
            </w:r>
          </w:p>
        </w:tc>
        <w:tc>
          <w:tcPr>
            <w:tcW w:w="1449" w:type="dxa"/>
            <w:tcBorders>
              <w:top w:val="nil"/>
              <w:left w:val="nil"/>
              <w:bottom w:val="nil"/>
              <w:right w:val="nil"/>
            </w:tcBorders>
            <w:tcMar>
              <w:top w:w="15" w:type="dxa"/>
              <w:left w:w="15" w:type="dxa"/>
              <w:bottom w:w="15" w:type="dxa"/>
              <w:right w:w="15" w:type="dxa"/>
            </w:tcMar>
            <w:vAlign w:val="center"/>
            <w:hideMark/>
          </w:tcPr>
          <w:p w14:paraId="552FDD77" w14:textId="77777777" w:rsidR="00394C3A" w:rsidRPr="00DB563E" w:rsidRDefault="00394C3A" w:rsidP="00361492">
            <w:pPr>
              <w:pStyle w:val="ab"/>
              <w:ind w:firstLine="480"/>
              <w:rPr>
                <w:szCs w:val="21"/>
              </w:rPr>
            </w:pPr>
            <w:r w:rsidRPr="00DB563E">
              <w:rPr>
                <w:rFonts w:eastAsia="MingLiU"/>
                <w:szCs w:val="21"/>
              </w:rPr>
              <w:t xml:space="preserve">0.84 </w:t>
            </w:r>
          </w:p>
        </w:tc>
        <w:tc>
          <w:tcPr>
            <w:tcW w:w="1449" w:type="dxa"/>
            <w:tcBorders>
              <w:top w:val="nil"/>
              <w:left w:val="nil"/>
              <w:bottom w:val="nil"/>
              <w:right w:val="nil"/>
            </w:tcBorders>
            <w:tcMar>
              <w:top w:w="15" w:type="dxa"/>
              <w:left w:w="15" w:type="dxa"/>
              <w:bottom w:w="15" w:type="dxa"/>
              <w:right w:w="15" w:type="dxa"/>
            </w:tcMar>
            <w:vAlign w:val="center"/>
            <w:hideMark/>
          </w:tcPr>
          <w:p w14:paraId="28501452" w14:textId="77777777" w:rsidR="00394C3A" w:rsidRPr="00DB563E" w:rsidRDefault="00394C3A" w:rsidP="00361492">
            <w:pPr>
              <w:pStyle w:val="ab"/>
              <w:ind w:firstLine="480"/>
              <w:rPr>
                <w:szCs w:val="21"/>
              </w:rPr>
            </w:pPr>
            <w:r w:rsidRPr="00DB563E">
              <w:rPr>
                <w:rFonts w:eastAsia="MingLiU"/>
                <w:szCs w:val="21"/>
              </w:rPr>
              <w:t xml:space="preserve">0.99 </w:t>
            </w:r>
          </w:p>
        </w:tc>
      </w:tr>
      <w:tr w:rsidR="00394C3A" w:rsidRPr="00DB563E" w14:paraId="1019DC3D" w14:textId="77777777" w:rsidTr="00394C3A">
        <w:trPr>
          <w:trHeight w:val="360"/>
          <w:jc w:val="center"/>
        </w:trPr>
        <w:tc>
          <w:tcPr>
            <w:tcW w:w="2793" w:type="dxa"/>
            <w:tcBorders>
              <w:top w:val="nil"/>
              <w:left w:val="nil"/>
              <w:bottom w:val="single" w:sz="12" w:space="0" w:color="auto"/>
              <w:right w:val="nil"/>
            </w:tcBorders>
            <w:tcMar>
              <w:top w:w="15" w:type="dxa"/>
              <w:left w:w="15" w:type="dxa"/>
              <w:bottom w:w="15" w:type="dxa"/>
              <w:right w:w="15" w:type="dxa"/>
            </w:tcMar>
            <w:vAlign w:val="center"/>
            <w:hideMark/>
          </w:tcPr>
          <w:p w14:paraId="5BE38DC9" w14:textId="77777777" w:rsidR="00394C3A" w:rsidRPr="002C5BEF" w:rsidRDefault="00394C3A" w:rsidP="005D6A70">
            <w:pPr>
              <w:pStyle w:val="ab"/>
              <w:rPr>
                <w:szCs w:val="21"/>
              </w:rPr>
            </w:pPr>
            <w:r w:rsidRPr="002C5BEF">
              <w:rPr>
                <w:rFonts w:eastAsia="Times New Roman"/>
                <w:szCs w:val="21"/>
              </w:rPr>
              <w:t>Ch 8 &amp; HR &amp; SCR &amp; RT</w:t>
            </w:r>
          </w:p>
        </w:tc>
        <w:tc>
          <w:tcPr>
            <w:tcW w:w="2157" w:type="dxa"/>
            <w:tcBorders>
              <w:top w:val="nil"/>
              <w:left w:val="nil"/>
              <w:bottom w:val="single" w:sz="12" w:space="0" w:color="auto"/>
              <w:right w:val="nil"/>
            </w:tcBorders>
            <w:tcMar>
              <w:top w:w="15" w:type="dxa"/>
              <w:left w:w="15" w:type="dxa"/>
              <w:bottom w:w="15" w:type="dxa"/>
              <w:right w:w="15" w:type="dxa"/>
            </w:tcMar>
            <w:vAlign w:val="center"/>
            <w:hideMark/>
          </w:tcPr>
          <w:p w14:paraId="43C34065" w14:textId="77777777" w:rsidR="00394C3A" w:rsidRPr="002C5BEF" w:rsidRDefault="00394C3A" w:rsidP="00361492">
            <w:pPr>
              <w:pStyle w:val="ab"/>
              <w:ind w:firstLine="480"/>
              <w:rPr>
                <w:szCs w:val="21"/>
              </w:rPr>
            </w:pPr>
            <w:r w:rsidRPr="002C5BEF">
              <w:rPr>
                <w:rFonts w:eastAsia="MingLiU" w:hAnsi="Arial"/>
                <w:szCs w:val="21"/>
              </w:rPr>
              <w:t>0.96</w:t>
            </w:r>
            <w:r w:rsidRPr="002C5BEF">
              <w:rPr>
                <w:rFonts w:eastAsia="MingLiU"/>
                <w:szCs w:val="21"/>
                <w:vertAlign w:val="superscript"/>
              </w:rPr>
              <w:t>***</w:t>
            </w:r>
          </w:p>
        </w:tc>
        <w:tc>
          <w:tcPr>
            <w:tcW w:w="1449" w:type="dxa"/>
            <w:tcBorders>
              <w:top w:val="nil"/>
              <w:left w:val="nil"/>
              <w:bottom w:val="single" w:sz="12" w:space="0" w:color="auto"/>
              <w:right w:val="nil"/>
            </w:tcBorders>
            <w:tcMar>
              <w:top w:w="15" w:type="dxa"/>
              <w:left w:w="15" w:type="dxa"/>
              <w:bottom w:w="15" w:type="dxa"/>
              <w:right w:w="15" w:type="dxa"/>
            </w:tcMar>
            <w:vAlign w:val="center"/>
            <w:hideMark/>
          </w:tcPr>
          <w:p w14:paraId="348A3D81" w14:textId="77777777" w:rsidR="00394C3A" w:rsidRPr="002C5BEF" w:rsidRDefault="00394C3A" w:rsidP="00361492">
            <w:pPr>
              <w:pStyle w:val="ab"/>
              <w:ind w:firstLine="480"/>
              <w:rPr>
                <w:szCs w:val="21"/>
              </w:rPr>
            </w:pPr>
            <w:r w:rsidRPr="002C5BEF">
              <w:rPr>
                <w:rFonts w:eastAsia="MingLiU"/>
                <w:szCs w:val="21"/>
              </w:rPr>
              <w:t xml:space="preserve">0.91 </w:t>
            </w:r>
          </w:p>
        </w:tc>
        <w:tc>
          <w:tcPr>
            <w:tcW w:w="1449" w:type="dxa"/>
            <w:tcBorders>
              <w:top w:val="nil"/>
              <w:left w:val="nil"/>
              <w:bottom w:val="single" w:sz="12" w:space="0" w:color="auto"/>
              <w:right w:val="nil"/>
            </w:tcBorders>
            <w:tcMar>
              <w:top w:w="15" w:type="dxa"/>
              <w:left w:w="15" w:type="dxa"/>
              <w:bottom w:w="15" w:type="dxa"/>
              <w:right w:w="15" w:type="dxa"/>
            </w:tcMar>
            <w:vAlign w:val="center"/>
            <w:hideMark/>
          </w:tcPr>
          <w:p w14:paraId="36665D66" w14:textId="77777777" w:rsidR="00394C3A" w:rsidRPr="00DB563E" w:rsidRDefault="00394C3A" w:rsidP="00361492">
            <w:pPr>
              <w:pStyle w:val="ab"/>
              <w:ind w:firstLine="480"/>
              <w:rPr>
                <w:szCs w:val="21"/>
              </w:rPr>
            </w:pPr>
            <w:r w:rsidRPr="002C5BEF">
              <w:rPr>
                <w:rFonts w:eastAsia="MingLiU"/>
                <w:szCs w:val="21"/>
              </w:rPr>
              <w:t>1.00</w:t>
            </w:r>
            <w:r w:rsidRPr="00DB563E">
              <w:rPr>
                <w:rFonts w:eastAsia="MingLiU"/>
                <w:szCs w:val="21"/>
              </w:rPr>
              <w:t xml:space="preserve"> </w:t>
            </w:r>
          </w:p>
        </w:tc>
      </w:tr>
    </w:tbl>
    <w:p w14:paraId="60A5025F" w14:textId="77777777" w:rsidR="00186531" w:rsidRPr="00FC68E3" w:rsidRDefault="00186531" w:rsidP="00186531">
      <w:pPr>
        <w:spacing w:line="360" w:lineRule="auto"/>
        <w:ind w:firstLine="480"/>
        <w:rPr>
          <w:rFonts w:eastAsia="宋体" w:cs="Times New Roman"/>
          <w:szCs w:val="24"/>
        </w:rPr>
      </w:pPr>
      <w:r w:rsidRPr="00FC68E3">
        <w:rPr>
          <w:rFonts w:eastAsia="宋体" w:cs="Times New Roman"/>
          <w:szCs w:val="24"/>
        </w:rPr>
        <w:t>*</w:t>
      </w:r>
      <w:r w:rsidRPr="00CC77F9">
        <w:rPr>
          <w:rFonts w:eastAsia="宋体" w:cs="Times New Roman"/>
          <w:i/>
          <w:iCs/>
          <w:szCs w:val="24"/>
        </w:rPr>
        <w:t>p</w:t>
      </w:r>
      <w:r>
        <w:rPr>
          <w:rFonts w:eastAsia="宋体" w:cs="Times New Roman"/>
          <w:szCs w:val="24"/>
        </w:rPr>
        <w:t xml:space="preserve"> </w:t>
      </w:r>
      <w:r w:rsidRPr="00FC68E3">
        <w:rPr>
          <w:rFonts w:eastAsia="宋体" w:cs="Times New Roman"/>
          <w:szCs w:val="24"/>
        </w:rPr>
        <w:t>&lt;</w:t>
      </w:r>
      <w:r>
        <w:rPr>
          <w:rFonts w:eastAsia="宋体" w:cs="Times New Roman"/>
          <w:szCs w:val="24"/>
        </w:rPr>
        <w:t xml:space="preserve"> 0</w:t>
      </w:r>
      <w:r w:rsidRPr="00FC68E3">
        <w:rPr>
          <w:rFonts w:eastAsia="宋体" w:cs="Times New Roman"/>
          <w:szCs w:val="24"/>
        </w:rPr>
        <w:t>.05, **</w:t>
      </w:r>
      <w:r w:rsidRPr="00CC77F9">
        <w:rPr>
          <w:rFonts w:eastAsia="宋体" w:cs="Times New Roman"/>
          <w:i/>
          <w:iCs/>
          <w:szCs w:val="24"/>
        </w:rPr>
        <w:t>p</w:t>
      </w:r>
      <w:r>
        <w:rPr>
          <w:rFonts w:eastAsia="宋体" w:cs="Times New Roman"/>
          <w:szCs w:val="24"/>
        </w:rPr>
        <w:t xml:space="preserve"> </w:t>
      </w:r>
      <w:r w:rsidRPr="00FC68E3">
        <w:rPr>
          <w:rFonts w:eastAsia="宋体" w:cs="Times New Roman"/>
          <w:szCs w:val="24"/>
        </w:rPr>
        <w:t>&lt;</w:t>
      </w:r>
      <w:r>
        <w:rPr>
          <w:rFonts w:eastAsia="宋体" w:cs="Times New Roman"/>
          <w:szCs w:val="24"/>
        </w:rPr>
        <w:t xml:space="preserve"> 0</w:t>
      </w:r>
      <w:r w:rsidRPr="00FC68E3">
        <w:rPr>
          <w:rFonts w:eastAsia="宋体" w:cs="Times New Roman"/>
          <w:szCs w:val="24"/>
        </w:rPr>
        <w:t>.01,</w:t>
      </w:r>
      <w:r>
        <w:rPr>
          <w:rFonts w:eastAsia="宋体" w:cs="Times New Roman"/>
          <w:szCs w:val="24"/>
        </w:rPr>
        <w:t xml:space="preserve"> </w:t>
      </w:r>
      <w:r w:rsidRPr="00FC68E3">
        <w:rPr>
          <w:rFonts w:eastAsia="宋体" w:cs="Times New Roman"/>
          <w:szCs w:val="24"/>
        </w:rPr>
        <w:t>***</w:t>
      </w:r>
      <w:r>
        <w:rPr>
          <w:rFonts w:eastAsia="宋体" w:cs="Times New Roman"/>
          <w:szCs w:val="24"/>
        </w:rPr>
        <w:t xml:space="preserve"> </w:t>
      </w:r>
      <w:r w:rsidRPr="00CC77F9">
        <w:rPr>
          <w:rFonts w:eastAsia="宋体" w:cs="Times New Roman"/>
          <w:i/>
          <w:iCs/>
          <w:szCs w:val="24"/>
        </w:rPr>
        <w:t>p</w:t>
      </w:r>
      <w:r>
        <w:rPr>
          <w:rFonts w:eastAsia="宋体" w:cs="Times New Roman"/>
          <w:szCs w:val="24"/>
        </w:rPr>
        <w:t xml:space="preserve"> </w:t>
      </w:r>
      <w:r w:rsidRPr="00FC68E3">
        <w:rPr>
          <w:rFonts w:eastAsia="宋体" w:cs="Times New Roman"/>
          <w:szCs w:val="24"/>
        </w:rPr>
        <w:t>&lt;</w:t>
      </w:r>
      <w:r>
        <w:rPr>
          <w:rFonts w:eastAsia="宋体" w:cs="Times New Roman"/>
          <w:szCs w:val="24"/>
        </w:rPr>
        <w:t xml:space="preserve"> 0</w:t>
      </w:r>
      <w:r w:rsidRPr="00FC68E3">
        <w:rPr>
          <w:rFonts w:eastAsia="宋体" w:cs="Times New Roman"/>
          <w:szCs w:val="24"/>
        </w:rPr>
        <w:t>.001</w:t>
      </w:r>
    </w:p>
    <w:p w14:paraId="3558F118" w14:textId="77777777" w:rsidR="00186531" w:rsidRPr="00CC77F9" w:rsidRDefault="00186531" w:rsidP="00186531">
      <w:pPr>
        <w:spacing w:line="360" w:lineRule="auto"/>
        <w:ind w:firstLine="480"/>
        <w:rPr>
          <w:rFonts w:eastAsia="宋体" w:cs="Times New Roman"/>
          <w:szCs w:val="24"/>
        </w:rPr>
      </w:pPr>
      <w:r w:rsidRPr="00FC68E3">
        <w:rPr>
          <w:rFonts w:eastAsia="宋体" w:cs="Times New Roman"/>
          <w:szCs w:val="24"/>
        </w:rPr>
        <w:t>Note: RT</w:t>
      </w:r>
      <w:r>
        <w:rPr>
          <w:rFonts w:eastAsia="宋体" w:cs="Times New Roman"/>
          <w:szCs w:val="24"/>
        </w:rPr>
        <w:t xml:space="preserve"> </w:t>
      </w:r>
      <w:r w:rsidRPr="00FC68E3">
        <w:rPr>
          <w:rFonts w:eastAsia="宋体" w:cs="Times New Roman"/>
          <w:szCs w:val="24"/>
        </w:rPr>
        <w:t>=</w:t>
      </w:r>
      <w:r>
        <w:rPr>
          <w:rFonts w:eastAsia="宋体" w:cs="Times New Roman"/>
          <w:szCs w:val="24"/>
        </w:rPr>
        <w:t xml:space="preserve"> </w:t>
      </w:r>
      <w:r w:rsidRPr="00FC68E3">
        <w:rPr>
          <w:rFonts w:eastAsia="宋体" w:cs="Times New Roman"/>
          <w:szCs w:val="24"/>
        </w:rPr>
        <w:t>Reaction Time; SCR</w:t>
      </w:r>
      <w:r>
        <w:rPr>
          <w:rFonts w:eastAsia="宋体" w:cs="Times New Roman"/>
          <w:szCs w:val="24"/>
        </w:rPr>
        <w:t xml:space="preserve"> </w:t>
      </w:r>
      <w:r w:rsidRPr="00FC68E3">
        <w:rPr>
          <w:rFonts w:eastAsia="宋体" w:cs="Times New Roman"/>
          <w:szCs w:val="24"/>
        </w:rPr>
        <w:t>=</w:t>
      </w:r>
      <w:r>
        <w:rPr>
          <w:rFonts w:eastAsia="宋体" w:cs="Times New Roman"/>
          <w:szCs w:val="24"/>
        </w:rPr>
        <w:t xml:space="preserve"> </w:t>
      </w:r>
      <w:r w:rsidRPr="00FC68E3">
        <w:rPr>
          <w:rFonts w:eastAsia="宋体" w:cs="Times New Roman"/>
          <w:szCs w:val="24"/>
        </w:rPr>
        <w:t>Skin Conductance Response; HR</w:t>
      </w:r>
      <w:r>
        <w:rPr>
          <w:rFonts w:eastAsia="宋体" w:cs="Times New Roman"/>
          <w:szCs w:val="24"/>
        </w:rPr>
        <w:t xml:space="preserve"> </w:t>
      </w:r>
      <w:r w:rsidRPr="00FC68E3">
        <w:rPr>
          <w:rFonts w:eastAsia="宋体" w:cs="Times New Roman"/>
          <w:szCs w:val="24"/>
        </w:rPr>
        <w:t>=</w:t>
      </w:r>
      <w:r>
        <w:rPr>
          <w:rFonts w:eastAsia="宋体" w:cs="Times New Roman"/>
          <w:szCs w:val="24"/>
        </w:rPr>
        <w:t xml:space="preserve"> </w:t>
      </w:r>
      <w:r w:rsidRPr="00FC68E3">
        <w:rPr>
          <w:rFonts w:eastAsia="宋体" w:cs="Times New Roman"/>
          <w:szCs w:val="24"/>
        </w:rPr>
        <w:t>Heart Time</w:t>
      </w:r>
      <w:r>
        <w:rPr>
          <w:rFonts w:eastAsia="宋体" w:cs="Times New Roman"/>
          <w:szCs w:val="24"/>
        </w:rPr>
        <w:t>.</w:t>
      </w:r>
    </w:p>
    <w:p w14:paraId="522BCD33" w14:textId="5D4FAD90" w:rsidR="004405C7" w:rsidRDefault="004405C7" w:rsidP="004405C7">
      <w:pPr>
        <w:pStyle w:val="2"/>
      </w:pPr>
      <w:r>
        <w:rPr>
          <w:rFonts w:hint="eastAsia"/>
        </w:rPr>
        <w:t>D</w:t>
      </w:r>
      <w:r>
        <w:t>iscussion</w:t>
      </w:r>
    </w:p>
    <w:p w14:paraId="5BE12B1C" w14:textId="254B2F6F" w:rsidR="00DB76FF" w:rsidRPr="002F6FCE" w:rsidRDefault="00DB76FF" w:rsidP="00DB76FF">
      <w:pPr>
        <w:rPr>
          <w:color w:val="FF0000"/>
        </w:rPr>
      </w:pPr>
      <w:r>
        <w:t>In the current study, neuroimaging (fNIRS), physiological (SCR and HR)</w:t>
      </w:r>
      <w:r w:rsidR="00FA301D">
        <w:t>,</w:t>
      </w:r>
      <w:r>
        <w:t xml:space="preserve"> and behavioral (RT) data were simultaneously recorded and analyzed to distinguish guilty/innocent participants using a standard concealed information test with a mock crime</w:t>
      </w:r>
      <w:r w:rsidR="0019014C">
        <w:t xml:space="preserve"> </w:t>
      </w:r>
      <w:r w:rsidR="0019014C" w:rsidRPr="0019014C">
        <w:t>scenario</w:t>
      </w:r>
      <w:r>
        <w:t xml:space="preserve">. Consistent with our hypothesis, </w:t>
      </w:r>
      <w:r w:rsidRPr="00685CBD">
        <w:t xml:space="preserve">we found that only the guilty participants showed greater brain activation in several </w:t>
      </w:r>
      <w:r w:rsidR="00016B80">
        <w:t xml:space="preserve">brain </w:t>
      </w:r>
      <w:r w:rsidRPr="00685CBD">
        <w:t>regions</w:t>
      </w:r>
      <w:r w:rsidR="00FB4E8B">
        <w:t xml:space="preserve"> (</w:t>
      </w:r>
      <w:r w:rsidR="00FB4E8B" w:rsidRPr="00FB4E8B">
        <w:t>the bilateral MFG, the bilateral SFG, and the right IFG</w:t>
      </w:r>
      <w:r w:rsidR="00FB4E8B">
        <w:t>)</w:t>
      </w:r>
      <w:r w:rsidRPr="00685CBD">
        <w:t xml:space="preserve"> based on fNIRS data in response to probe stimuli, along with longer RTs, larger SCRs, and smaller HRs compared to irrelevant stimuli, but not the innocent group participants</w:t>
      </w:r>
      <w:r w:rsidR="00E910F0">
        <w:rPr>
          <w:rFonts w:cs="Times New Roman"/>
        </w:rPr>
        <w:t xml:space="preserve"> </w:t>
      </w:r>
      <w:r w:rsidR="00E910F0">
        <w:rPr>
          <w:rFonts w:cs="Times New Roman"/>
        </w:rPr>
        <w:fldChar w:fldCharType="begin"/>
      </w:r>
      <w:r w:rsidR="00E910F0">
        <w:rPr>
          <w:rFonts w:cs="Times New Roman"/>
        </w:rPr>
        <w:instrText xml:space="preserve"> ADDIN ZOTERO_ITEM CSL_CITATION {"citationID":"87ldRn0Z","properties":{"formattedCitation":"(Klein Selle et al., 2016, 2017; Sai, Zhou, et al., 2014; Wang et al., 2022)","plainCitation":"(Klein Selle et al., 2016, 2017; Sai, Zhou, et al., 2014; Wang et al., 2022)","noteIndex":0},"citationItems":[{"id":472,"uris":["http://zotero.org/users/3334739/items/ZJIT8RQL"],"itemData":{"id":472,"type":"article-journal","abstract":"The Concealed Information Test (CIT) provides a valid tool for psychophysiological detection of concealed knowledge. However, its precise theoretical underpinnings remain a matter of debate. The differential physiological responses elicited by concealed, relevant items, relative to control items, were traditionally explained as reflecting an orienting response (OR). According to an alternative account, these responses reflect attempts to inhibit arousal. The present study examined whether and to what extent CIT detection efficiency is affected by instructions aimed at manipulating arousal inhibition (AI). One hundred and forty-eight undergraduate students completed a CIT, while electrodermal, cardiac, and respiratory measures were recorded. Half of the participants were requested to imagine that they are suspected of committing a crime and were motivated to avoid detection (presumably eliciting both OR and AI), while the other half were requested to imagine that they are witnesses of a crime and were motivated to be detected (presumably eliciting OR only). All participants were further requested to remain silent throughout the test. In both conditions, concealed items led to a similar increase in skin conductance as compared to the control items. However, the typically observed heart rate deceleration and respiratory suppression were found in suspects, but not in witnesses. These data imply that different mechanisms drive the responding of different psychophysiological measures used in the CIT, with skin conductance reflecting OR, and heart rate and respiration primarily reflecting AI.","container-title":"Psychophysiology","DOI":"10.1111/psyp.12583","ISSN":"1469-8986","issue":"4","language":"en","note":"_eprint: https://onlinelibrary.wiley.com/doi/pdf/10.1111/psyp.12583","page":"579-590","source":"Wiley Online Library","title":"Orienting versus inhibition in the Concealed Information Test: Different cognitive processes drive different physiological measures","title-short":"Orienting versus inhibition in the Concealed Information Test","volume":"53","author":[{"family":"Klein Selle","given":"Nathalie"},{"family":"Verschuere","given":"Bruno"},{"family":"Kindt","given":"Merel"},{"family":"Meijer","given":"Ewout"},{"family":"Ben-Shakhar","given":"Gershon"}],"issued":{"date-parts":[["2016"]]}}},{"id":7139,"uris":["http://zotero.org/users/3334739/items/FGV23A3C"],"itemData":{"id":7139,"type":"article-journal","abstract":"The Concealed Information Test (CIT) is a well-validated tool for physiological and behavioral detection of concealed knowledge. Two distinct theoretical frameworks have been proposed to explain the differential responses to the concealed critical items: orienting response theory versus arousal inhibition theory. klein Selle, Verschuere, Kindt, Meijer, and Ben-Shakhar (2016), however, argued for a response fractionation model and showed that, while the skin conductance reflects pure orienting, both the respiratory and heart rate measures reflect arousal inhibition. The present study intends to (1) provide a constructive replication of klein Selle et al. (2016) using the autobiographical CIT, and (2) extend their work by testing an additional prediction derived from orienting theory, using an item-salience manipulation. One hundred and nine participants were tested on four high salient and four low salient identity items. Half of the participants were motivated to hide their identity (orienting + arousal inhibition), while the other half were motivated to reveal their identity (orienting only). Confirming earlier findings, the results revealed a fractionation between the different measures: while the skin conductance response (SCR) increased to a similar extent in the two motivational conditions, the respiration line length (RLL) shortened and the heart rate (HR) decelerated solely in the conceal condition. Moreover, while the SCR was larger for high than for low salient critical items, the RLL and HR responses were similar for these two item types. These data led us to conclude that, in the CIT, the skin conductance measure reflects orienting and the respiratory and heart rate measures reflect arousal inhibition.","container-title":"Psychophysiology","DOI":"10.1111/psyp.12825","ISSN":"1469-8986","issue":"4","language":"en","license":"© 2017 Society for Psychophysiological Research","note":"_eprint: https://onlinelibrary.wiley.com/doi/pdf/10.1111/psyp.12825","page":"628-639","source":"Wiley Online Library","title":"Unraveling the roles of orienting and inhibition in the Concealed Information Test","volume":"54","author":[{"family":"Klein Selle","given":"Nathalie"},{"family":"Verschuere","given":"Bruno"},{"family":"Kindt","given":"Merel"},{"family":"Meijer","given":"Ewout"},{"family":"Ben-Shakhar","given":"Gershon"}],"issued":{"date-parts":[["2017"]]}},"label":"page"},{"id":516,"uris":["http://zotero.org/users/3334739/items/KQYVKXQP"],"itemData":{"id":516,"type":"article-journal","abstract":"The present study focused on the potential application of fNIRS in the detection of concealed information. Participants either committed a mock crime or not and then were presented with a randomized series of probes (crime-related information) and irrelevants (crime-irrelevant information) in a standard concealed information test (CIT). Participants in the guilty group were instructed to conceal crime-related information they obtained from the mock crime, thus making deceptive response to the probes. Meanwhile, their brain activity to probes and irrelevants was recorded by functional near-infrared spectroscopy (fNIRS). At the group level, we found that probe items were associated with longer reaction times and greater activity in bilateral dorsolateral prefrontal cortex and supplementary motor cortex than irrelevant items in the guilty group, but not in the innocent group. These findings provided evidence on neural correlates of recognition during a CIT. Finally, on the basis of the activity in bilateral dorsolateral prefrontal cortex and supplementary motor cortex, the correct classification of guilty versus innocent participants was approximately 75 % and the combination of fNIRS and reaction time measures yielded a better classification rate of 83.3 %. These findings illustrate the feasibility and promise of using fNIRS to detect concealed information.","container-title":"Brain Topography","DOI":"10.1007/s10548-014-0352-z","ISSN":"1573-6792","issue":"5","journalAbbreviation":"Brain Topogr","language":"eng","note":"PMID: 24514911","page":"652-662","source":"PubMed","title":"Detecting concealed information using functional near-infrared spectroscopy","volume":"27","author":[{"family":"Sai","given":"Liyang"},{"family":"Zhou","given":"Xiaomei"},{"family":"Ding","given":"Xiao Pan"},{"family":"Fu","given":"Genyue"},{"family":"Sang","given":"Biao"}],"issued":{"date-parts":[["2014",9]]}},"label":"page"},{"id":3639,"uris":["http://zotero.org/users/3334739/items/66E9N3B5"],"itemData":{"id":3639,"type":"article-journal","abstract":"In this study, brain imaging data from functional near-infrared spectroscopy (fNIRS) associated with skin conductance response (SCR), heart rate (HR), and reaction time (RT) were combined to determine if the combination of these indicators could improve the efficiency of deception detection in concealed information test (CIT). During the CIT, participants were presented with a series of names and cities that served as target, probe, or irrelevant stimuli. In the guilty group, the probe stimuli were the participants’ own names and hometown cities, and they were asked to deny this information. Our results revealed that probe items were associated with longer RT, larger SCR, slower HR, and higher oxyhemoglobin (HbO) concentration changes in the inferior prefrontal gyrus (IFG), middle frontal gyrus (MFG), and the superior frontal gyrus (SFG) compared with irrelevant items for participants in the guilty group but not in the innocent group. Furthermore, our results suggested that the combination of RT, SCR, HR, and fNIRS indicators could improve the deception detection efficiency to a very high area under the ROC curve (0.94) compared with any of the single indicators (0.74–0.89). The improved deception detection efficiency might be attributed to the reduction of random error and the diversiform underlying the psychophysiological mechanisms reflected by each indicator. These findings demonstrate a feasible way to improve the deception detection efficiency by using combined multiple indicators.","container-title":"Psychophysiology","DOI":"10/gppmbn","ISSN":"1469-8986","issue":"n/a","language":"en","note":"_eprint: https://onlinelibrary.wiley.com/doi/pdf/10.1111/psyp.14029","page":"e14029","source":"Wiley Online Library","title":"Detecting concealed information using functional near-infrared spectroscopy (fNIRS) combined with skin conductance, heart rate, and behavioral measures","volume":"n/a","author":[{"family":"Wang","given":"Di"},{"family":"Wang","given":"Chongxiang"},{"family":"Yi","given":"Xingyu"},{"family":"Sai","given":"Liyang"},{"family":"Fu","given":"Genyue"},{"family":"Lin","given":"Xiaohong Allison"}],"issued":{"date-parts":[["2022",2,22]]}},"label":"page"}],"schema":"https://github.com/citation-style-language/schema/raw/master/csl-citation.json"} </w:instrText>
      </w:r>
      <w:r w:rsidR="00E910F0">
        <w:rPr>
          <w:rFonts w:cs="Times New Roman"/>
        </w:rPr>
        <w:fldChar w:fldCharType="separate"/>
      </w:r>
      <w:r w:rsidR="00E910F0" w:rsidRPr="00E910F0">
        <w:rPr>
          <w:rFonts w:cs="Times New Roman"/>
        </w:rPr>
        <w:t>(Klein Selle et al., 2016, 2017; Sai, Zhou, et al., 2014; Wang et al., 2022)</w:t>
      </w:r>
      <w:r w:rsidR="00E910F0">
        <w:rPr>
          <w:rFonts w:cs="Times New Roman"/>
        </w:rPr>
        <w:fldChar w:fldCharType="end"/>
      </w:r>
      <w:r>
        <w:t xml:space="preserve">. </w:t>
      </w:r>
      <w:r w:rsidR="00B562FA">
        <w:t>What’s more</w:t>
      </w:r>
      <w:r>
        <w:t>, the ROC analysis showed that all of the indicators, including fNIRS-based brain imaging data, SCR, HR, and RT, could significantly discriminate guilty from innocent participants, with AUC ranging from</w:t>
      </w:r>
      <w:r w:rsidRPr="0046764A">
        <w:t xml:space="preserve"> 0.6</w:t>
      </w:r>
      <w:r w:rsidR="00D262A1">
        <w:t>6</w:t>
      </w:r>
      <w:r>
        <w:t xml:space="preserve"> to </w:t>
      </w:r>
      <w:r w:rsidRPr="002C5BEF">
        <w:t xml:space="preserve">0.86. </w:t>
      </w:r>
      <w:r w:rsidR="00F84F9C" w:rsidRPr="002C5BEF">
        <w:t>Moreover, our resu</w:t>
      </w:r>
      <w:r w:rsidR="00F84F9C" w:rsidRPr="00F84F9C">
        <w:t>lts demonstrated that combining fNIRS data</w:t>
      </w:r>
      <w:r w:rsidR="00D262A1">
        <w:t xml:space="preserve"> (represented channel 8)</w:t>
      </w:r>
      <w:r w:rsidR="00F84F9C" w:rsidRPr="00F84F9C">
        <w:t>, SCR, HR, and RT can detect concealed crime-related information</w:t>
      </w:r>
      <w:r w:rsidR="003C44F7">
        <w:t xml:space="preserve"> </w:t>
      </w:r>
      <w:r w:rsidR="00F84F9C" w:rsidRPr="00F84F9C">
        <w:t>with an associated AUC of 0.</w:t>
      </w:r>
      <w:r w:rsidR="00D262A1" w:rsidRPr="00F84F9C">
        <w:t>9</w:t>
      </w:r>
      <w:r w:rsidR="00D262A1">
        <w:t>6 (0.93 with all 24 fNIRS channels)</w:t>
      </w:r>
      <w:r w:rsidR="00F84F9C" w:rsidRPr="00F84F9C">
        <w:t>, suggesting the validity and potential of multi-indictor</w:t>
      </w:r>
      <w:r w:rsidR="00DF40AA">
        <w:t>s</w:t>
      </w:r>
      <w:r w:rsidR="00F84F9C" w:rsidRPr="00F84F9C">
        <w:t xml:space="preserve">-based CIT for mock crime. </w:t>
      </w:r>
    </w:p>
    <w:p w14:paraId="683FB187" w14:textId="4A27A422" w:rsidR="00DB76FF" w:rsidRPr="002F6FCE" w:rsidRDefault="00DB76FF" w:rsidP="00DB76FF">
      <w:pPr>
        <w:rPr>
          <w:szCs w:val="24"/>
          <w:highlight w:val="yellow"/>
        </w:rPr>
      </w:pPr>
      <w:r>
        <w:lastRenderedPageBreak/>
        <w:t>O</w:t>
      </w:r>
      <w:r>
        <w:rPr>
          <w:rFonts w:hint="eastAsia"/>
        </w:rPr>
        <w:t>ur</w:t>
      </w:r>
      <w:r>
        <w:t xml:space="preserve"> results revealed that RT </w:t>
      </w:r>
      <w:r>
        <w:rPr>
          <w:rFonts w:hint="eastAsia"/>
        </w:rPr>
        <w:t>could</w:t>
      </w:r>
      <w:r>
        <w:t xml:space="preserve"> </w:t>
      </w:r>
      <w:r>
        <w:rPr>
          <w:rFonts w:hint="eastAsia"/>
        </w:rPr>
        <w:t>effectively</w:t>
      </w:r>
      <w:r>
        <w:t xml:space="preserve"> </w:t>
      </w:r>
      <w:r>
        <w:rPr>
          <w:rFonts w:hint="eastAsia"/>
        </w:rPr>
        <w:t>discriminate</w:t>
      </w:r>
      <w:r>
        <w:t xml:space="preserve"> the guilty group from the innocent group, consistent with previous studies</w:t>
      </w:r>
      <w:r w:rsidR="008B3943">
        <w:t xml:space="preserve"> </w:t>
      </w:r>
      <w:r w:rsidR="008B3943">
        <w:fldChar w:fldCharType="begin"/>
      </w:r>
      <w:r w:rsidR="008B3943">
        <w:instrText xml:space="preserve"> ADDIN ZOTERO_ITEM CSL_CITATION {"citationID":"eM7dM9zw","properties":{"formattedCitation":"(Hu et al., 2013; Kleinberg &amp; Verschuere, 2015)","plainCitation":"(Hu et al., 2013; Kleinberg &amp; Verschuere, 2015)","noteIndex":0},"citationItems":[{"id":511,"uris":["http://zotero.org/users/3334739/items/DINVGCF2"],"itemData":{"id":511,"type":"article-journal","container-title":"Psychophysiology","DOI":"10.1111/psyp.12018","issue":"5","page":"454–464","source":"Google Scholar","title":"N200 and P300 as orthogonal and integrable indicators of distinct awareness and recognition processes in memory detection","volume":"50","author":[{"family":"Hu","given":"Xiaoqing"},{"family":"Pornpattananangkul","given":"Narun"},{"family":"Rosenfeld","given":"J. Peter"}],"issued":{"date-parts":[["2013"]]}},"label":"page"},{"id":7157,"uris":["http://zotero.org/users/3334739/items/CAQDNQUV"],"itemData":{"id":7157,"type":"article-journal","abstract":"There is accumulating evidence that reaction times (RTs) can be used to detect recognition of critical (e.g., crime) information. A limitation of this research base is its reliance upon small samples (average n = 24), and indications of publication bias. To advance RT-based memory detection, we report upon the development of the first web-based memory detection test. Participants in this research (Study1: n = 255; Study2: n = 262) tried to hide 2 high salient (birthday, country of origin) and 2 low salient (favourite colour, favourite animal) autobiographical details. RTs allowed to detect concealed autobiographical information, and this, as predicted, more successfully so than error rates, and for high salient than for low salient items. While much remains to be learned, memory detection 2.0 seems to offer an interesting new platform to efficiently and validly conduct RT-based memory detection research.","container-title":"PLOS ONE","DOI":"10.1371/journal.pone.0118715","ISSN":"1932-6203","issue":"4","journalAbbreviation":"PLOS ONE","language":"en","note":"publisher: Public Library of Science","page":"e0118715","source":"PLoS Journals","title":"Memory Detection 2.0: The First Web-Based Memory Detection Test","title-short":"Memory Detection 2.0","volume":"10","author":[{"family":"Kleinberg","given":"Bennett"},{"family":"Verschuere","given":"Bruno"}],"issued":{"date-parts":[["2015",4,13]]}},"label":"page"}],"schema":"https://github.com/citation-style-language/schema/raw/master/csl-citation.json"} </w:instrText>
      </w:r>
      <w:r w:rsidR="008B3943">
        <w:fldChar w:fldCharType="separate"/>
      </w:r>
      <w:r w:rsidR="008B3943" w:rsidRPr="008B3943">
        <w:rPr>
          <w:rFonts w:cs="Times New Roman"/>
        </w:rPr>
        <w:t>(Hu et al., 2013; Kleinberg &amp; Verschuere, 2015)</w:t>
      </w:r>
      <w:r w:rsidR="008B3943">
        <w:fldChar w:fldCharType="end"/>
      </w:r>
      <w:r w:rsidRPr="001F3ACE">
        <w:t>. As</w:t>
      </w:r>
      <w:r w:rsidRPr="00850E0D">
        <w:t xml:space="preserve"> shown in </w:t>
      </w:r>
      <w:r w:rsidRPr="00403E13">
        <w:rPr>
          <w:color w:val="4472C4" w:themeColor="accent1"/>
        </w:rPr>
        <w:t>Figure 2a</w:t>
      </w:r>
      <w:r w:rsidRPr="000730A3">
        <w:t xml:space="preserve">, the CIT effect </w:t>
      </w:r>
      <w:r>
        <w:t xml:space="preserve">of RT </w:t>
      </w:r>
      <w:r w:rsidRPr="000730A3">
        <w:t>was robust in the guilty group, yet not in the innocent group</w:t>
      </w:r>
      <w:r w:rsidRPr="00505C03">
        <w:t>. Previous studies</w:t>
      </w:r>
      <w:r>
        <w:t xml:space="preserve"> have</w:t>
      </w:r>
      <w:r w:rsidRPr="00505C03">
        <w:t xml:space="preserve"> demonstrated that </w:t>
      </w:r>
      <w:r>
        <w:t xml:space="preserve">the </w:t>
      </w:r>
      <w:r w:rsidRPr="00505C03">
        <w:t xml:space="preserve">reaction time for deceptive responses is generally </w:t>
      </w:r>
      <w:r>
        <w:rPr>
          <w:rFonts w:hint="eastAsia"/>
        </w:rPr>
        <w:t>long</w:t>
      </w:r>
      <w:r w:rsidRPr="00505C03">
        <w:t xml:space="preserve">er than </w:t>
      </w:r>
      <w:r w:rsidR="00756C07">
        <w:t xml:space="preserve">for </w:t>
      </w:r>
      <w:r w:rsidRPr="00505C03">
        <w:t xml:space="preserve">truthful responses because deception </w:t>
      </w:r>
      <w:r>
        <w:t xml:space="preserve">behaviors </w:t>
      </w:r>
      <w:r w:rsidRPr="00505C03">
        <w:t xml:space="preserve">require more </w:t>
      </w:r>
      <w:r w:rsidRPr="0080499A">
        <w:t>cognitive effort</w:t>
      </w:r>
      <w:r w:rsidR="008B3943">
        <w:t xml:space="preserve"> </w:t>
      </w:r>
      <w:r w:rsidR="008B3943">
        <w:fldChar w:fldCharType="begin"/>
      </w:r>
      <w:r w:rsidR="008B3943">
        <w:instrText xml:space="preserve"> ADDIN ZOTERO_ITEM CSL_CITATION {"citationID":"iUPpxFt9","properties":{"formattedCitation":"(Sartori et al., 2018; Suchotzki et al., 2017; Vrij et al., 2010)","plainCitation":"(Sartori et al., 2018; Suchotzki et al., 2017; Vrij et al., 2010)","noteIndex":0},"citationItems":[{"id":7159,"uris":["http://zotero.org/users/3334739/items/627Q7XRF"],"itemData":{"id":7159,"type":"chapter","abstract":"In this chapter, we discuss the main behavioral methods used to detect deception. All these methods are based on the measurement of errors and latencies while the subject is responding to questions about an event under scrutiny. Two of the main methodologies in the literature, the Concealed Information Test (CIT) and the Autobiographical Implicit Association Test (aIAT), have shown broad validation and generalization. However, these methodologies suffer from some important application limits. First, they require that the true memory is known. In other words, they cannot be used to determine if any answer is true or false; they can only be used to decide which of two responses is true and which is false. Second, they do not permit covert deception detection because the subjects are always aware that they are under scrutiny. Furthermore, both the aIAT and the CIT are based solely on reaction time (RT), so it is very simple for subjects to train themselves and implement efficient strategies to cheat the test. Finally, both methodologies have complex instructions and need to have a real alternative memory, which makes them unsuitable for large-scale applications. (PsycInfo Database Record (c) 2020 APA, all rights reserved)","container-title":"Detecting concealed information and deception: Recent developments","event-place":"San Diego, CA, US","ISBN":"978-0-12-812729-2","note":"DOI: 10.1016/B978-0-12-812729-2.00010-0","page":"215-241","publisher":"Elsevier Academic Press","publisher-place":"San Diego, CA, US","source":"APA PsycNet","title":"Deception detection with behavioral methods: The Autobiographical Implicit Association Test, concealed information test-reaction time, mouse dynamics, and keystroke dynamics","title-short":"Deception detection with behavioral methods","author":[{"family":"Sartori","given":"Giuseppe"},{"family":"Zangrossi","given":"Andrea"},{"family":"Monaro","given":"Merylin"}],"issued":{"date-parts":[["2018"]]}},"label":"page"},{"id":70,"uris":["http://zotero.org/users/3334739/items/W2BBS6KX"],"itemData":{"id":70,"type":"article-journal","abstract":"Lie detection techniques are frequently used, but most of them have been criticized for the lack of empirical support for their predictive validity and presumed underlying mechanisms. This situation has led to increased efforts to unravel the cognitive mechanisms underlying deception and to develop a comprehensive theory of deception. A cognitive approach to deception has reinvigorated interest in reaction time (RT) measures to differentiate lies from truths and to investigate whether lying is more cognitively demanding than truth telling. Here, we provide the results of a meta-analysis of 114 studies (n = 3307) using computerized RT paradigms to assess the cognitive cost of lying. Results revealed a large standardized RT difference, even after correction for publication bias (d = 1.049; 95% CI [0.930; 1.169]), with a large heterogeneity amongst effect sizes. Moderator analyses revealed that the RT deception effect was smaller, yet still large, in studies in which participants received instructions to avoid detection. The autobiographical Implicit Association Test produced smaller effects than the Concealed Information Test, the Sheffield Lie Test, and the Differentiation of Deception paradigm. An additional meta-analysis (17 studies, n = 348) showed that, like other deception measures, RT deception measures are susceptible to countermeasures. Whereas our meta-analysis corroborates current cognitive approaches to deception, the observed heterogeneity calls for further research on the boundary conditions of the cognitive cost of deception. RT-based measures of deception may have potential in applied settings, but countermeasures remain an important challenge. (PsycINFO Database Record (c) 2017 APA, all rights reserved)","container-title":"Psychological Bulletin","DOI":"10.1037/bul0000087","ISSN":"1939-1455(ELECTRONIC),0033-2909(PRINT)","issue":"4","note":"number: 4","page":"428-453","source":"APA PsycNET","title":"Lying takes time: A meta-analysis on reaction time measures of deception","title-short":"Lying takes time","volume":"143","author":[{"family":"Suchotzki","given":"Kristina"},{"family":"Verschuere","given":"Bruno"},{"family":"Van Bockstaele","given":"Bram"},{"family":"Ben-Shakhar","given":"Gershon"},{"family":"Crombez","given":"Geert"}],"issued":{"date-parts":[["2017"]]}},"label":"page"},{"id":7162,"uris":["http://zotero.org/users/3334739/items/ZLY4LL3K"],"itemData":{"id":7162,"type":"article-journal","container-title":"Psychological science in the public interest","DOI":"10.1177/1529100610390861","issue":"3","note":"publisher: Sage Publications Sage CA: Los Angeles, CA","page":"89–121","source":"Google Scholar","title":"Pitfalls and opportunities in nonverbal and verbal lie detection","volume":"11","author":[{"family":"Vrij","given":"Aldert"},{"family":"Granhag","given":"Pär Anders"},{"family":"Porter","given":"Stephen"}],"issued":{"date-parts":[["2010"]]}},"label":"page"}],"schema":"https://github.com/citation-style-language/schema/raw/master/csl-citation.json"} </w:instrText>
      </w:r>
      <w:r w:rsidR="008B3943">
        <w:fldChar w:fldCharType="separate"/>
      </w:r>
      <w:r w:rsidR="008B3943" w:rsidRPr="008B3943">
        <w:rPr>
          <w:rFonts w:cs="Times New Roman"/>
        </w:rPr>
        <w:t>(Sartori et al., 2018; Suchotzki et al., 2017; Vrij et al., 2010)</w:t>
      </w:r>
      <w:r w:rsidR="008B3943">
        <w:fldChar w:fldCharType="end"/>
      </w:r>
      <w:r w:rsidRPr="00505C03">
        <w:t xml:space="preserve">. </w:t>
      </w:r>
      <w:r w:rsidRPr="004360CA">
        <w:t xml:space="preserve">In the present study, </w:t>
      </w:r>
      <w:r>
        <w:t xml:space="preserve">guilty participants focused on proving their innocence, thus </w:t>
      </w:r>
      <w:r w:rsidR="00817DB7">
        <w:t>having</w:t>
      </w:r>
      <w:r w:rsidR="00A71C06">
        <w:t xml:space="preserve"> </w:t>
      </w:r>
      <w:r>
        <w:t xml:space="preserve">to lie to deny the recognition of probe stimuli and tell </w:t>
      </w:r>
      <w:r w:rsidR="00817DB7">
        <w:t xml:space="preserve">the </w:t>
      </w:r>
      <w:r>
        <w:t>truth for irrelevant stimuli in the CIT. In contrast,</w:t>
      </w:r>
      <w:r w:rsidRPr="004360CA">
        <w:t xml:space="preserve"> innocent</w:t>
      </w:r>
      <w:r>
        <w:t xml:space="preserve"> group</w:t>
      </w:r>
      <w:r w:rsidRPr="004360CA">
        <w:t xml:space="preserve"> participants</w:t>
      </w:r>
      <w:r>
        <w:t xml:space="preserve"> responded</w:t>
      </w:r>
      <w:r w:rsidRPr="004360CA">
        <w:t xml:space="preserve"> truthfully</w:t>
      </w:r>
      <w:r>
        <w:t xml:space="preserve"> when they denied recognizing both probes and irrelevant stimuli, as they indeed did not commit the crime. </w:t>
      </w:r>
      <w:r w:rsidRPr="004360CA">
        <w:t xml:space="preserve">Thus, </w:t>
      </w:r>
      <w:r>
        <w:rPr>
          <w:rFonts w:hint="eastAsia"/>
        </w:rPr>
        <w:t>more</w:t>
      </w:r>
      <w:r>
        <w:t xml:space="preserve"> cognitive effort was needed for the guilty participants to deny the recognition of probe stimuli compared to irrelevant stimuli, but not for innocent participants</w:t>
      </w:r>
      <w:r w:rsidRPr="004360CA">
        <w:t>.</w:t>
      </w:r>
    </w:p>
    <w:p w14:paraId="6E8A7882" w14:textId="3F5F431D" w:rsidR="00DB76FF" w:rsidRPr="00C5680B" w:rsidRDefault="00DB76FF" w:rsidP="00DB76FF">
      <w:pPr>
        <w:rPr>
          <w:rStyle w:val="markedcontent"/>
          <w:rFonts w:cs="Times New Roman"/>
          <w:color w:val="FF0000"/>
          <w:szCs w:val="24"/>
        </w:rPr>
      </w:pPr>
      <w:r w:rsidRPr="00E27296">
        <w:rPr>
          <w:rStyle w:val="markedcontent"/>
          <w:rFonts w:cs="Times New Roman"/>
          <w:szCs w:val="24"/>
        </w:rPr>
        <w:t xml:space="preserve">For the physiological </w:t>
      </w:r>
      <w:r>
        <w:rPr>
          <w:rStyle w:val="markedcontent"/>
          <w:rFonts w:cs="Times New Roman"/>
          <w:szCs w:val="24"/>
        </w:rPr>
        <w:t xml:space="preserve">measurements, we found significantly increased SCR and decreased HR for probe stimuli compared to irrelevant stimuli in the guilty group but not in the innocent group, </w:t>
      </w:r>
      <w:r w:rsidR="0026033F">
        <w:rPr>
          <w:rStyle w:val="markedcontent"/>
          <w:rFonts w:cs="Times New Roman"/>
          <w:szCs w:val="24"/>
        </w:rPr>
        <w:t xml:space="preserve">also </w:t>
      </w:r>
      <w:r>
        <w:rPr>
          <w:rStyle w:val="markedcontent"/>
          <w:rFonts w:cs="Times New Roman"/>
          <w:szCs w:val="24"/>
        </w:rPr>
        <w:t>consistent with previous autonomic-based CIT studies</w:t>
      </w:r>
      <w:r w:rsidR="008B3943">
        <w:rPr>
          <w:rStyle w:val="markedcontent"/>
          <w:rFonts w:cs="Times New Roman"/>
          <w:szCs w:val="24"/>
        </w:rPr>
        <w:t xml:space="preserve"> </w:t>
      </w:r>
      <w:r w:rsidR="008B3943">
        <w:rPr>
          <w:rStyle w:val="markedcontent"/>
          <w:rFonts w:cs="Times New Roman"/>
          <w:szCs w:val="24"/>
        </w:rPr>
        <w:fldChar w:fldCharType="begin"/>
      </w:r>
      <w:r w:rsidR="008B3943">
        <w:rPr>
          <w:rStyle w:val="markedcontent"/>
          <w:rFonts w:cs="Times New Roman"/>
          <w:szCs w:val="24"/>
        </w:rPr>
        <w:instrText xml:space="preserve"> ADDIN ZOTERO_ITEM CSL_CITATION {"citationID":"xPdUbqhE","properties":{"formattedCitation":"(Klein Selle et al., 2016, 2017; Matsuda et al., 2009; Wang et al., 2022)","plainCitation":"(Klein Selle et al., 2016, 2017; Matsuda et al., 2009; Wang et al., 2022)","dontUpdate":true,"noteIndex":0},"citationItems":[{"id":472,"uris":["http://zotero.org/users/3334739/items/ZJIT8RQL"],"itemData":{"id":472,"type":"article-journal","abstract":"The Concealed Information Test (CIT) provides a valid tool for psychophysiological detection of concealed knowledge. However, its precise theoretical underpinnings remain a matter of debate. The differential physiological responses elicited by concealed, relevant items, relative to control items, were traditionally explained as reflecting an orienting response (OR). According to an alternative account, these responses reflect attempts to inhibit arousal. The present study examined whether and to what extent CIT detection efficiency is affected by instructions aimed at manipulating arousal inhibition (AI). One hundred and forty-eight undergraduate students completed a CIT, while electrodermal, cardiac, and respiratory measures were recorded. Half of the participants were requested to imagine that they are suspected of committing a crime and were motivated to avoid detection (presumably eliciting both OR and AI), while the other half were requested to imagine that they are witnesses of a crime and were motivated to be detected (presumably eliciting OR only). All participants were further requested to remain silent throughout the test. In both conditions, concealed items led to a similar increase in skin conductance as compared to the control items. However, the typically observed heart rate deceleration and respiratory suppression were found in suspects, but not in witnesses. These data imply that different mechanisms drive the responding of different psychophysiological measures used in the CIT, with skin conductance reflecting OR, and heart rate and respiration primarily reflecting AI.","container-title":"Psychophysiology","DOI":"10.1111/psyp.12583","ISSN":"1469-8986","issue":"4","language":"en","note":"_eprint: https://onlinelibrary.wiley.com/doi/pdf/10.1111/psyp.12583","page":"579-590","source":"Wiley Online Library","title":"Orienting versus inhibition in the Concealed Information Test: Different cognitive processes drive different physiological measures","title-short":"Orienting versus inhibition in the Concealed Information Test","volume":"53","author":[{"family":"Klein Selle","given":"Nathalie"},{"family":"Verschuere","given":"Bruno"},{"family":"Kindt","given":"Merel"},{"family":"Meijer","given":"Ewout"},{"family":"Ben-Shakhar","given":"Gershon"}],"issued":{"date-parts":[["2016"]]}},"label":"page"},{"id":7139,"uris":["http://zotero.org/users/3334739/items/FGV23A3C"],"itemData":{"id":7139,"type":"article-journal","abstract":"The Concealed Information Test (CIT) is a well-validated tool for physiological and behavioral detection of concealed knowledge. Two distinct theoretical frameworks have been proposed to explain the differential responses to the concealed critical items: orienting response theory versus arousal inhibition theory. klein Selle, Verschuere, Kindt, Meijer, and Ben-Shakhar (2016), however, argued for a response fractionation model and showed that, while the skin conductance reflects pure orienting, both the respiratory and heart rate measures reflect arousal inhibition. The present study intends to (1) provide a constructive replication of klein Selle et al. (2016) using the autobiographical CIT, and (2) extend their work by testing an additional prediction derived from orienting theory, using an item-salience manipulation. One hundred and nine participants were tested on four high salient and four low salient identity items. Half of the participants were motivated to hide their identity (orienting + arousal inhibition), while the other half were motivated to reveal their identity (orienting only). Confirming earlier findings, the results revealed a fractionation between the different measures: while the skin conductance response (SCR) increased to a similar extent in the two motivational conditions, the respiration line length (RLL) shortened and the heart rate (HR) decelerated solely in the conceal condition. Moreover, while the SCR was larger for high than for low salient critical items, the RLL and HR responses were similar for these two item types. These data led us to conclude that, in the CIT, the skin conductance measure reflects orienting and the respiratory and heart rate measures reflect arousal inhibition.","container-title":"Psychophysiology","DOI":"10.1111/psyp.12825","ISSN":"1469-8986","issue":"4","language":"en","license":"© 2017 Society for Psychophysiological Research","note":"_eprint: https://onlinelibrary.wiley.com/doi/pdf/10.1111/psyp.12825","page":"628-639","source":"Wiley Online Library","title":"Unraveling the roles of orienting and inhibition in the Concealed Information Test","volume":"54","author":[{"family":"Klein Selle","given":"Nathalie"},{"family":"Verschuere","given":"Bruno"},{"family":"Kindt","given":"Merel"},{"family":"Meijer","given":"Ewout"},{"family":"Ben-Shakhar","given":"Gershon"}],"issued":{"date-parts":[["2017"]]}},"label":"page"},{"id":7110,"uris":["http://zotero.org/users/3334739/items/WJI8BI7N"],"itemData":{"id":7110,"type":"article-journal","abstract":"The concealed information test (CIT) has been used to detect information that examinees possess by means of their autonomic responses. However, the central activities related to these autonomic responses remain unclear. In this study, we simultaneously recorded 128-ch event-related potentials (ERPs) and various autonomic responses (heart rate, respiratory rate, respiratory amplitude, cutaneous blood flow, and skin conductance response) to a critical item (i.e., the item that participants memorized) and to non-critical items (i.e., items other than the critical item) using the standard protocol of the autonomic-based CIT. A topographic analysis of variance and a temporal–spatial principal component analysis revealed that the critical item elicited a larger negative potential (N2b, 205–298 ms) at central regions and a larger positive potential (positive slow wave, 502–744 ms) at parieto-occipital regions, compared to the non-critical items. Correlation analysis across 21 participants showed a significant correlation between N2b increase and heart rate deceleration in response to critical items compared to non-critical items, but there were no autonomic correlates of the positive slow wave. The results suggest that at least two brain processes are involved in the autonomic-based CIT: The first is an attentional-orienting process that facilitates the processing of critical items, to which heart rate deceleration was linked, and the second is an additional process after the identification of critical items.","container-title":"International Journal of Psychophysiology","DOI":"10.1016/j.ijpsycho.2009.07.004","ISSN":"0167-8760","issue":"1","journalAbbreviation":"International Journal of Psychophysiology","language":"en","page":"58-68","source":"ScienceDirect","title":"Event-related brain potentials during the standard autonomic-based concealed information test","volume":"74","author":[{"family":"Matsuda","given":"Izumi"},{"family":"Nittono","given":"Hiroshi"},{"family":"Hirota","given":"Akihisa"},{"family":"Ogawa","given":"Tokihiro"},{"family":"Takasawa","given":"Noriyoshi"}],"issued":{"date-parts":[["2009",10,1]]}},"label":"page"},{"id":3639,"uris":["http://zotero.org/users/3334739/items/66E9N3B5"],"itemData":{"id":3639,"type":"article-journal","abstract":"In this study, brain imaging data from functional near-infrared spectroscopy (fNIRS) associated with skin conductance response (SCR), heart rate (HR), and reaction time (RT) were combined to determine if the combination of these indicators could improve the efficiency of deception detection in concealed information test (CIT). During the CIT, participants were presented with a series of names and cities that served as target, probe, or irrelevant stimuli. In the guilty group, the probe stimuli were the participants’ own names and hometown cities, and they were asked to deny this information. Our results revealed that probe items were associated with longer RT, larger SCR, slower HR, and higher oxyhemoglobin (HbO) concentration changes in the inferior prefrontal gyrus (IFG), middle frontal gyrus (MFG), and the superior frontal gyrus (SFG) compared with irrelevant items for participants in the guilty group but not in the innocent group. Furthermore, our results suggested that the combination of RT, SCR, HR, and fNIRS indicators could improve the deception detection efficiency to a very high area under the ROC curve (0.94) compared with any of the single indicators (0.74–0.89). The improved deception detection efficiency might be attributed to the reduction of random error and the diversiform underlying the psychophysiological mechanisms reflected by each indicator. These findings demonstrate a feasible way to improve the deception detection efficiency by using combined multiple indicators.","container-title":"Psychophysiology","DOI":"10/gppmbn","ISSN":"1469-8986","issue":"n/a","language":"en","note":"_eprint: https://onlinelibrary.wiley.com/doi/pdf/10.1111/psyp.14029","page":"e14029","source":"Wiley Online Library","title":"Detecting concealed information using functional near-infrared spectroscopy (fNIRS) combined with skin conductance, heart rate, and behavioral measures","volume":"n/a","author":[{"family":"Wang","given":"Di"},{"family":"Wang","given":"Chongxiang"},{"family":"Yi","given":"Xingyu"},{"family":"Sai","given":"Liyang"},{"family":"Fu","given":"Genyue"},{"family":"Lin","given":"Xiaohong Allison"}],"issued":{"date-parts":[["2022",2,22]]}},"label":"page"}],"schema":"https://github.com/citation-style-language/schema/raw/master/csl-citation.json"} </w:instrText>
      </w:r>
      <w:r w:rsidR="008B3943">
        <w:rPr>
          <w:rStyle w:val="markedcontent"/>
          <w:rFonts w:cs="Times New Roman"/>
          <w:szCs w:val="24"/>
        </w:rPr>
        <w:fldChar w:fldCharType="separate"/>
      </w:r>
      <w:r w:rsidR="008B3943" w:rsidRPr="008B3943">
        <w:rPr>
          <w:rFonts w:cs="Times New Roman"/>
        </w:rPr>
        <w:t>(</w:t>
      </w:r>
      <w:r w:rsidR="008B3943">
        <w:rPr>
          <w:rFonts w:cs="Times New Roman"/>
        </w:rPr>
        <w:t xml:space="preserve">e.g., </w:t>
      </w:r>
      <w:r w:rsidR="008B3943" w:rsidRPr="008B3943">
        <w:rPr>
          <w:rFonts w:cs="Times New Roman"/>
        </w:rPr>
        <w:t>Klein Selle et al., 2016, 2017; Matsuda et al., 2009; Wang et al., 2022)</w:t>
      </w:r>
      <w:r w:rsidR="008B3943">
        <w:rPr>
          <w:rStyle w:val="markedcontent"/>
          <w:rFonts w:cs="Times New Roman"/>
          <w:szCs w:val="24"/>
        </w:rPr>
        <w:fldChar w:fldCharType="end"/>
      </w:r>
      <w:r>
        <w:rPr>
          <w:rStyle w:val="markedcontent"/>
          <w:rFonts w:cs="Times New Roman"/>
          <w:szCs w:val="24"/>
        </w:rPr>
        <w:t>.</w:t>
      </w:r>
      <w:r>
        <w:rPr>
          <w:rStyle w:val="markedcontent"/>
          <w:rFonts w:cs="Times New Roman" w:hint="eastAsia"/>
          <w:szCs w:val="24"/>
        </w:rPr>
        <w:t xml:space="preserve"> </w:t>
      </w:r>
      <w:r>
        <w:rPr>
          <w:rStyle w:val="markedcontent"/>
          <w:rFonts w:cs="Times New Roman"/>
          <w:szCs w:val="24"/>
        </w:rPr>
        <w:t>According to the response fractionation model</w:t>
      </w:r>
      <w:r w:rsidR="008B3943">
        <w:t xml:space="preserve"> </w:t>
      </w:r>
      <w:r w:rsidR="008B3943">
        <w:fldChar w:fldCharType="begin"/>
      </w:r>
      <w:r w:rsidR="008B3943">
        <w:instrText xml:space="preserve"> ADDIN ZOTERO_ITEM CSL_CITATION {"citationID":"pfuGAXd6","properties":{"formattedCitation":"(Klein Selle et al., 2016, 2017; Klein Selle &amp; Ben-Shakhar, 2023)","plainCitation":"(Klein Selle et al., 2016, 2017; Klein Selle &amp; Ben-Shakhar, 2023)","noteIndex":0},"citationItems":[{"id":472,"uris":["http://zotero.org/users/3334739/items/ZJIT8RQL"],"itemData":{"id":472,"type":"article-journal","abstract":"The Concealed Information Test (CIT) provides a valid tool for psychophysiological detection of concealed knowledge. However, its precise theoretical underpinnings remain a matter of debate. The differential physiological responses elicited by concealed, relevant items, relative to control items, were traditionally explained as reflecting an orienting response (OR). According to an alternative account, these responses reflect attempts to inhibit arousal. The present study examined whether and to what extent CIT detection efficiency is affected by instructions aimed at manipulating arousal inhibition (AI). One hundred and forty-eight undergraduate students completed a CIT, while electrodermal, cardiac, and respiratory measures were recorded. Half of the participants were requested to imagine that they are suspected of committing a crime and were motivated to avoid detection (presumably eliciting both OR and AI), while the other half were requested to imagine that they are witnesses of a crime and were motivated to be detected (presumably eliciting OR only). All participants were further requested to remain silent throughout the test. In both conditions, concealed items led to a similar increase in skin conductance as compared to the control items. However, the typically observed heart rate deceleration and respiratory suppression were found in suspects, but not in witnesses. These data imply that different mechanisms drive the responding of different psychophysiological measures used in the CIT, with skin conductance reflecting OR, and heart rate and respiration primarily reflecting AI.","container-title":"Psychophysiology","DOI":"10.1111/psyp.12583","ISSN":"1469-8986","issue":"4","language":"en","note":"_eprint: https://onlinelibrary.wiley.com/doi/pdf/10.1111/psyp.12583","page":"579-590","source":"Wiley Online Library","title":"Orienting versus inhibition in the Concealed Information Test: Different cognitive processes drive different physiological measures","title-short":"Orienting versus inhibition in the Concealed Information Test","volume":"53","author":[{"family":"Klein Selle","given":"Nathalie"},{"family":"Verschuere","given":"Bruno"},{"family":"Kindt","given":"Merel"},{"family":"Meijer","given":"Ewout"},{"family":"Ben-Shakhar","given":"Gershon"}],"issued":{"date-parts":[["2016"]]}}},{"id":7139,"uris":["http://zotero.org/users/3334739/items/FGV23A3C"],"itemData":{"id":7139,"type":"article-journal","abstract":"The Concealed Information Test (CIT) is a well-validated tool for physiological and behavioral detection of concealed knowledge. Two distinct theoretical frameworks have been proposed to explain the differential responses to the concealed critical items: orienting response theory versus arousal inhibition theory. klein Selle, Verschuere, Kindt, Meijer, and Ben-Shakhar (2016), however, argued for a response fractionation model and showed that, while the skin conductance reflects pure orienting, both the respiratory and heart rate measures reflect arousal inhibition. The present study intends to (1) provide a constructive replication of klein Selle et al. (2016) using the autobiographical CIT, and (2) extend their work by testing an additional prediction derived from orienting theory, using an item-salience manipulation. One hundred and nine participants were tested on four high salient and four low salient identity items. Half of the participants were motivated to hide their identity (orienting + arousal inhibition), while the other half were motivated to reveal their identity (orienting only). Confirming earlier findings, the results revealed a fractionation between the different measures: while the skin conductance response (SCR) increased to a similar extent in the two motivational conditions, the respiration line length (RLL) shortened and the heart rate (HR) decelerated solely in the conceal condition. Moreover, while the SCR was larger for high than for low salient critical items, the RLL and HR responses were similar for these two item types. These data led us to conclude that, in the CIT, the skin conductance measure reflects orienting and the respiratory and heart rate measures reflect arousal inhibition.","container-title":"Psychophysiology","DOI":"10.1111/psyp.12825","ISSN":"1469-8986","issue":"4","language":"en","license":"© 2017 Society for Psychophysiological Research","note":"_eprint: https://onlinelibrary.wiley.com/doi/pdf/10.1111/psyp.12825","page":"628-639","source":"Wiley Online Library","title":"Unraveling the roles of orienting and inhibition in the Concealed Information Test","volume":"54","author":[{"family":"Klein Selle","given":"Nathalie"},{"family":"Verschuere","given":"Bruno"},{"family":"Kindt","given":"Merel"},{"family":"Meijer","given":"Ewout"},{"family":"Ben-Shakhar","given":"Gershon"}],"issued":{"date-parts":[["2017"]]}}},{"id":7143,"uris":["http://zotero.org/users/3334739/items/LLZ9QH2G"],"itemData":{"id":7143,"type":"article-journal","abstract":"The concealed information test (CIT) was designed to detect concealed knowledge. It does so by measuring differential physiological and behavioral responses to concealed, compared to control, items – i.e., the CIT effect. Although the CIT has gained extensive empirical support in laboratory studies, scientific validity requires also a theoretical understanding of the method's underlying mechanisms. In this article, we present a new theoretical perspective. Specifically, we elaborate and clarify several features of Orienting Response (OR) theory, which has been the dominant theory in this domain. Importantly, we suggest for the first time that the voluntary (rather than the involuntary) OR modulates the CIT effect. Second, we argue that motivational-emotional accounts of the CIT effect are consistent with OR theory and cannot be considered as alternative approaches. Finally, we discuss some more recent developments which highlight the idea that different physiological measures reflect different underlying mechanisms – an idea dubbed as response fractionation.","container-title":"Psychophysiology","DOI":"10.1111/psyp.14187","ISSN":"1469-8986","issue":"3","language":"en","license":"© 2022 The Authors. Psychophysiology published by Wiley Periodicals LLC on behalf of Society for Psychophysiological Research.","note":"_eprint: https://onlinelibrary.wiley.com/doi/pdf/10.1111/psyp.14187","page":"e14187","source":"Wiley Online Library","title":"A new theoretical perspective on concealed information detection","volume":"60","author":[{"family":"Klein Selle","given":"Nathalie"},{"family":"Ben-Shakhar","given":"Gershon"}],"issued":{"date-parts":[["2023"]]}},"label":"page"}],"schema":"https://github.com/citation-style-language/schema/raw/master/csl-citation.json"} </w:instrText>
      </w:r>
      <w:r w:rsidR="008B3943">
        <w:fldChar w:fldCharType="separate"/>
      </w:r>
      <w:r w:rsidR="008B3943" w:rsidRPr="008B3943">
        <w:rPr>
          <w:rFonts w:cs="Times New Roman"/>
        </w:rPr>
        <w:t>(Klein Selle et al., 2016, 2017; Klein Selle &amp; Ben-Shakhar, 2023)</w:t>
      </w:r>
      <w:r w:rsidR="008B3943">
        <w:fldChar w:fldCharType="end"/>
      </w:r>
      <w:r>
        <w:rPr>
          <w:rStyle w:val="markedcontent"/>
          <w:rFonts w:cs="Times New Roman"/>
          <w:szCs w:val="24"/>
        </w:rPr>
        <w:t xml:space="preserve">, </w:t>
      </w:r>
      <w:r w:rsidRPr="000B0DB7">
        <w:rPr>
          <w:rStyle w:val="markedcontent"/>
          <w:rFonts w:cs="Times New Roman"/>
          <w:szCs w:val="24"/>
        </w:rPr>
        <w:t>the SCR re</w:t>
      </w:r>
      <w:r>
        <w:rPr>
          <w:rStyle w:val="markedcontent"/>
          <w:rFonts w:cs="Times New Roman"/>
          <w:szCs w:val="24"/>
        </w:rPr>
        <w:t>fl</w:t>
      </w:r>
      <w:r w:rsidRPr="000B0DB7">
        <w:rPr>
          <w:rStyle w:val="markedcontent"/>
          <w:rFonts w:cs="Times New Roman"/>
          <w:szCs w:val="24"/>
        </w:rPr>
        <w:t>ect</w:t>
      </w:r>
      <w:r>
        <w:rPr>
          <w:rStyle w:val="markedcontent"/>
          <w:rFonts w:cs="Times New Roman"/>
          <w:szCs w:val="24"/>
        </w:rPr>
        <w:t>s an Orienting Responses (</w:t>
      </w:r>
      <w:r w:rsidRPr="000B0DB7">
        <w:rPr>
          <w:rStyle w:val="markedcontent"/>
          <w:rFonts w:cs="Times New Roman"/>
          <w:szCs w:val="24"/>
        </w:rPr>
        <w:t>OR</w:t>
      </w:r>
      <w:r>
        <w:rPr>
          <w:rStyle w:val="markedcontent"/>
          <w:rFonts w:cs="Times New Roman"/>
          <w:szCs w:val="24"/>
        </w:rPr>
        <w:t>),</w:t>
      </w:r>
      <w:r w:rsidRPr="000B0DB7">
        <w:rPr>
          <w:rStyle w:val="markedcontent"/>
          <w:rFonts w:cs="Times New Roman"/>
          <w:szCs w:val="24"/>
        </w:rPr>
        <w:t xml:space="preserve"> </w:t>
      </w:r>
      <w:r>
        <w:rPr>
          <w:rStyle w:val="markedcontent"/>
          <w:rFonts w:cs="Times New Roman"/>
          <w:szCs w:val="24"/>
        </w:rPr>
        <w:t>while</w:t>
      </w:r>
      <w:r w:rsidRPr="000B0DB7">
        <w:rPr>
          <w:rStyle w:val="markedcontent"/>
          <w:rFonts w:cs="Times New Roman"/>
          <w:szCs w:val="24"/>
        </w:rPr>
        <w:t xml:space="preserve"> the HR re</w:t>
      </w:r>
      <w:r>
        <w:rPr>
          <w:rStyle w:val="markedcontent"/>
          <w:rFonts w:cs="Times New Roman"/>
          <w:szCs w:val="24"/>
        </w:rPr>
        <w:t>fl</w:t>
      </w:r>
      <w:r w:rsidRPr="000B0DB7">
        <w:rPr>
          <w:rStyle w:val="markedcontent"/>
          <w:rFonts w:cs="Times New Roman"/>
          <w:szCs w:val="24"/>
        </w:rPr>
        <w:t>ect</w:t>
      </w:r>
      <w:r>
        <w:rPr>
          <w:rStyle w:val="markedcontent"/>
          <w:rFonts w:cs="Times New Roman"/>
          <w:szCs w:val="24"/>
        </w:rPr>
        <w:t>s</w:t>
      </w:r>
      <w:r w:rsidRPr="000B0DB7">
        <w:rPr>
          <w:rStyle w:val="markedcontent"/>
          <w:rFonts w:cs="Times New Roman"/>
          <w:szCs w:val="24"/>
        </w:rPr>
        <w:t xml:space="preserve"> </w:t>
      </w:r>
      <w:r>
        <w:rPr>
          <w:rStyle w:val="markedcontent"/>
          <w:rFonts w:cs="Times New Roman"/>
          <w:szCs w:val="24"/>
        </w:rPr>
        <w:t>A</w:t>
      </w:r>
      <w:r w:rsidRPr="000B0DB7">
        <w:rPr>
          <w:rStyle w:val="markedcontent"/>
          <w:rFonts w:cs="Times New Roman"/>
          <w:szCs w:val="24"/>
        </w:rPr>
        <w:t xml:space="preserve">rousal </w:t>
      </w:r>
      <w:r>
        <w:rPr>
          <w:rStyle w:val="markedcontent"/>
          <w:rFonts w:cs="Times New Roman"/>
          <w:szCs w:val="24"/>
        </w:rPr>
        <w:t>I</w:t>
      </w:r>
      <w:r w:rsidRPr="000B0DB7">
        <w:rPr>
          <w:rStyle w:val="markedcontent"/>
          <w:rFonts w:cs="Times New Roman"/>
          <w:szCs w:val="24"/>
        </w:rPr>
        <w:t>nhibition</w:t>
      </w:r>
      <w:r>
        <w:rPr>
          <w:rStyle w:val="markedcontent"/>
          <w:rFonts w:cs="Times New Roman"/>
          <w:szCs w:val="24"/>
        </w:rPr>
        <w:t xml:space="preserve"> (AI)</w:t>
      </w:r>
      <w:r w:rsidRPr="000B0DB7">
        <w:rPr>
          <w:rStyle w:val="markedcontent"/>
          <w:rFonts w:cs="Times New Roman"/>
          <w:szCs w:val="24"/>
        </w:rPr>
        <w:t>.</w:t>
      </w:r>
      <w:r>
        <w:rPr>
          <w:rStyle w:val="markedcontent"/>
          <w:rFonts w:cs="Times New Roman"/>
          <w:szCs w:val="24"/>
        </w:rPr>
        <w:t xml:space="preserve"> In particular, </w:t>
      </w:r>
      <w:r w:rsidRPr="00BF6A3A">
        <w:rPr>
          <w:rStyle w:val="markedcontent"/>
          <w:rFonts w:cs="Times New Roman"/>
          <w:szCs w:val="24"/>
        </w:rPr>
        <w:t>OR</w:t>
      </w:r>
      <w:r>
        <w:rPr>
          <w:rStyle w:val="markedcontent"/>
          <w:rFonts w:cs="Times New Roman"/>
          <w:szCs w:val="24"/>
        </w:rPr>
        <w:t xml:space="preserve"> is elicited by novel, significant, and</w:t>
      </w:r>
      <w:r w:rsidRPr="00BF6A3A">
        <w:rPr>
          <w:rStyle w:val="markedcontent"/>
          <w:rFonts w:cs="Times New Roman"/>
          <w:szCs w:val="24"/>
        </w:rPr>
        <w:t xml:space="preserve"> external stimuli</w:t>
      </w:r>
      <w:r>
        <w:rPr>
          <w:rStyle w:val="markedcontent"/>
          <w:rFonts w:cs="Times New Roman"/>
          <w:szCs w:val="24"/>
        </w:rPr>
        <w:t>, while AI represents</w:t>
      </w:r>
      <w:r w:rsidRPr="00BF6A3A">
        <w:rPr>
          <w:rStyle w:val="markedcontent"/>
          <w:rFonts w:cs="Times New Roman"/>
          <w:szCs w:val="24"/>
        </w:rPr>
        <w:t xml:space="preserve"> </w:t>
      </w:r>
      <w:r>
        <w:rPr>
          <w:rStyle w:val="markedcontent"/>
          <w:rFonts w:cs="Times New Roman"/>
          <w:szCs w:val="24"/>
        </w:rPr>
        <w:t xml:space="preserve">the response one intentionally </w:t>
      </w:r>
      <w:r w:rsidRPr="00BF6A3A">
        <w:rPr>
          <w:rStyle w:val="markedcontent"/>
          <w:rFonts w:cs="Times New Roman"/>
          <w:szCs w:val="24"/>
        </w:rPr>
        <w:t>inhibi</w:t>
      </w:r>
      <w:r>
        <w:rPr>
          <w:rStyle w:val="markedcontent"/>
          <w:rFonts w:cs="Times New Roman"/>
          <w:szCs w:val="24"/>
        </w:rPr>
        <w:t>ts</w:t>
      </w:r>
      <w:r w:rsidRPr="00BF6A3A">
        <w:rPr>
          <w:rStyle w:val="markedcontent"/>
          <w:rFonts w:cs="Times New Roman"/>
          <w:szCs w:val="24"/>
        </w:rPr>
        <w:t xml:space="preserve"> </w:t>
      </w:r>
      <w:r>
        <w:rPr>
          <w:rStyle w:val="markedcontent"/>
          <w:rFonts w:cs="Times New Roman"/>
          <w:szCs w:val="24"/>
        </w:rPr>
        <w:t xml:space="preserve">dominant </w:t>
      </w:r>
      <w:r w:rsidRPr="00BF6A3A">
        <w:rPr>
          <w:rStyle w:val="markedcontent"/>
          <w:rFonts w:cs="Times New Roman"/>
          <w:szCs w:val="24"/>
        </w:rPr>
        <w:t xml:space="preserve">physiological arousal </w:t>
      </w:r>
      <w:r w:rsidRPr="00A1692E">
        <w:rPr>
          <w:rStyle w:val="markedcontent"/>
          <w:rFonts w:cs="Times New Roman"/>
          <w:szCs w:val="24"/>
        </w:rPr>
        <w:t>induced by</w:t>
      </w:r>
      <w:r w:rsidRPr="00BF6A3A">
        <w:rPr>
          <w:rStyle w:val="markedcontent"/>
          <w:rFonts w:cs="Times New Roman"/>
          <w:szCs w:val="24"/>
        </w:rPr>
        <w:t xml:space="preserve"> </w:t>
      </w:r>
      <w:r>
        <w:rPr>
          <w:rStyle w:val="markedcontent"/>
          <w:rFonts w:cs="Times New Roman"/>
          <w:szCs w:val="24"/>
        </w:rPr>
        <w:t>concealed</w:t>
      </w:r>
      <w:r w:rsidRPr="00BF6A3A">
        <w:rPr>
          <w:rStyle w:val="markedcontent"/>
          <w:rFonts w:cs="Times New Roman"/>
          <w:szCs w:val="24"/>
        </w:rPr>
        <w:t xml:space="preserve"> </w:t>
      </w:r>
      <w:r>
        <w:rPr>
          <w:rStyle w:val="markedcontent"/>
          <w:rFonts w:cs="Times New Roman"/>
          <w:szCs w:val="24"/>
        </w:rPr>
        <w:t>crime-related</w:t>
      </w:r>
      <w:r w:rsidRPr="00BF6A3A">
        <w:rPr>
          <w:rStyle w:val="markedcontent"/>
          <w:rFonts w:cs="Times New Roman"/>
          <w:szCs w:val="24"/>
        </w:rPr>
        <w:t xml:space="preserve"> </w:t>
      </w:r>
      <w:r>
        <w:rPr>
          <w:rStyle w:val="markedcontent"/>
          <w:rFonts w:cs="Times New Roman"/>
          <w:szCs w:val="24"/>
        </w:rPr>
        <w:t>stimuli</w:t>
      </w:r>
      <w:r w:rsidRPr="00BF6A3A">
        <w:rPr>
          <w:rStyle w:val="markedcontent"/>
          <w:rFonts w:cs="Times New Roman"/>
          <w:szCs w:val="24"/>
        </w:rPr>
        <w:t>.</w:t>
      </w:r>
      <w:r>
        <w:rPr>
          <w:rStyle w:val="markedcontent"/>
          <w:rFonts w:cs="Times New Roman"/>
          <w:szCs w:val="24"/>
        </w:rPr>
        <w:t xml:space="preserve"> I</w:t>
      </w:r>
      <w:r>
        <w:rPr>
          <w:rStyle w:val="markedcontent"/>
          <w:rFonts w:cs="Times New Roman" w:hint="eastAsia"/>
          <w:szCs w:val="24"/>
        </w:rPr>
        <w:t>n</w:t>
      </w:r>
      <w:r>
        <w:rPr>
          <w:rStyle w:val="markedcontent"/>
          <w:rFonts w:cs="Times New Roman"/>
          <w:szCs w:val="24"/>
        </w:rPr>
        <w:t xml:space="preserve"> the current study, the probe stimuli (a banknote valued 20 RMB and </w:t>
      </w:r>
      <w:r>
        <w:rPr>
          <w:rStyle w:val="markedcontent"/>
          <w:rFonts w:cs="Times New Roman"/>
          <w:szCs w:val="24"/>
        </w:rPr>
        <w:lastRenderedPageBreak/>
        <w:t xml:space="preserve">the Jack of Spades) stolen by the guilty participants were only meaningful and significant to them. Thus, larger SCRs to probe stimuli compared to irrelevant stimuli were found only in the guilty group, not in the innocent group. </w:t>
      </w:r>
      <w:r>
        <w:rPr>
          <w:rStyle w:val="markedcontent"/>
          <w:rFonts w:cs="Times New Roman"/>
          <w:color w:val="000000" w:themeColor="text1"/>
          <w:szCs w:val="24"/>
        </w:rPr>
        <w:t>Similarly</w:t>
      </w:r>
      <w:r w:rsidRPr="00C5680B">
        <w:rPr>
          <w:rStyle w:val="markedcontent"/>
          <w:rFonts w:cs="Times New Roman"/>
          <w:color w:val="000000" w:themeColor="text1"/>
          <w:szCs w:val="24"/>
        </w:rPr>
        <w:t xml:space="preserve">, the participants in </w:t>
      </w:r>
      <w:r>
        <w:rPr>
          <w:rStyle w:val="markedcontent"/>
          <w:rFonts w:cs="Times New Roman"/>
          <w:color w:val="000000" w:themeColor="text1"/>
          <w:szCs w:val="24"/>
        </w:rPr>
        <w:t xml:space="preserve">the </w:t>
      </w:r>
      <w:r w:rsidRPr="00C5680B">
        <w:rPr>
          <w:rStyle w:val="markedcontent"/>
          <w:rFonts w:cs="Times New Roman"/>
          <w:color w:val="000000" w:themeColor="text1"/>
          <w:szCs w:val="24"/>
        </w:rPr>
        <w:t xml:space="preserve">guilty group </w:t>
      </w:r>
      <w:r w:rsidRPr="007D5C4B">
        <w:rPr>
          <w:rStyle w:val="markedcontent"/>
          <w:rFonts w:cs="Times New Roman"/>
          <w:color w:val="000000" w:themeColor="text1"/>
          <w:szCs w:val="24"/>
        </w:rPr>
        <w:t>inten</w:t>
      </w:r>
      <w:r>
        <w:rPr>
          <w:rStyle w:val="markedcontent"/>
          <w:rFonts w:cs="Times New Roman"/>
          <w:color w:val="000000" w:themeColor="text1"/>
          <w:szCs w:val="24"/>
        </w:rPr>
        <w:t>d</w:t>
      </w:r>
      <w:r w:rsidRPr="00C5680B">
        <w:rPr>
          <w:rStyle w:val="markedcontent"/>
          <w:rFonts w:cs="Times New Roman"/>
          <w:color w:val="000000" w:themeColor="text1"/>
          <w:szCs w:val="24"/>
        </w:rPr>
        <w:t xml:space="preserve">ed to inhibit their heart rate </w:t>
      </w:r>
      <w:r>
        <w:rPr>
          <w:rStyle w:val="markedcontent"/>
          <w:rFonts w:cs="Times New Roman"/>
          <w:color w:val="000000" w:themeColor="text1"/>
          <w:szCs w:val="24"/>
        </w:rPr>
        <w:t>from</w:t>
      </w:r>
      <w:r w:rsidRPr="00C5680B">
        <w:rPr>
          <w:rStyle w:val="markedcontent"/>
          <w:rFonts w:cs="Times New Roman"/>
          <w:color w:val="000000" w:themeColor="text1"/>
          <w:szCs w:val="24"/>
        </w:rPr>
        <w:t xml:space="preserve"> hid</w:t>
      </w:r>
      <w:r>
        <w:rPr>
          <w:rStyle w:val="markedcontent"/>
          <w:rFonts w:cs="Times New Roman"/>
          <w:color w:val="000000" w:themeColor="text1"/>
          <w:szCs w:val="24"/>
        </w:rPr>
        <w:t>ing</w:t>
      </w:r>
      <w:r w:rsidRPr="00C5680B">
        <w:rPr>
          <w:rStyle w:val="markedcontent"/>
          <w:rFonts w:cs="Times New Roman"/>
          <w:color w:val="000000" w:themeColor="text1"/>
          <w:szCs w:val="24"/>
        </w:rPr>
        <w:t xml:space="preserve"> their </w:t>
      </w:r>
      <w:r w:rsidRPr="00E30A83">
        <w:rPr>
          <w:rStyle w:val="markedcontent"/>
          <w:rFonts w:cs="Times New Roman"/>
          <w:color w:val="000000" w:themeColor="text1"/>
          <w:szCs w:val="24"/>
        </w:rPr>
        <w:t>recognition</w:t>
      </w:r>
      <w:r w:rsidRPr="00C5680B">
        <w:rPr>
          <w:rStyle w:val="markedcontent"/>
          <w:rFonts w:cs="Times New Roman"/>
          <w:color w:val="000000" w:themeColor="text1"/>
          <w:szCs w:val="24"/>
        </w:rPr>
        <w:t xml:space="preserve"> of the stolen </w:t>
      </w:r>
      <w:r>
        <w:rPr>
          <w:rStyle w:val="markedcontent"/>
          <w:rFonts w:cs="Times New Roman"/>
          <w:color w:val="000000" w:themeColor="text1"/>
          <w:szCs w:val="24"/>
        </w:rPr>
        <w:t xml:space="preserve">probe items </w:t>
      </w:r>
      <w:r w:rsidRPr="00C5680B">
        <w:rPr>
          <w:rStyle w:val="markedcontent"/>
          <w:rFonts w:cs="Times New Roman"/>
          <w:color w:val="000000" w:themeColor="text1"/>
          <w:szCs w:val="24"/>
        </w:rPr>
        <w:t xml:space="preserve">to avoid </w:t>
      </w:r>
      <w:r w:rsidRPr="007D5C4B">
        <w:rPr>
          <w:rStyle w:val="markedcontent"/>
          <w:rFonts w:cs="Times New Roman"/>
          <w:color w:val="000000" w:themeColor="text1"/>
          <w:szCs w:val="24"/>
        </w:rPr>
        <w:t xml:space="preserve">being </w:t>
      </w:r>
      <w:r w:rsidRPr="00C5680B">
        <w:rPr>
          <w:rStyle w:val="markedcontent"/>
          <w:rFonts w:cs="Times New Roman"/>
          <w:color w:val="000000" w:themeColor="text1"/>
          <w:szCs w:val="24"/>
        </w:rPr>
        <w:t xml:space="preserve">detected when the probe stimuli were presented, </w:t>
      </w:r>
      <w:r w:rsidRPr="007D5C4B">
        <w:rPr>
          <w:rStyle w:val="markedcontent"/>
          <w:rFonts w:cs="Times New Roman"/>
          <w:color w:val="000000" w:themeColor="text1"/>
          <w:szCs w:val="24"/>
        </w:rPr>
        <w:t xml:space="preserve">which could </w:t>
      </w:r>
      <w:r>
        <w:rPr>
          <w:rStyle w:val="markedcontent"/>
          <w:rFonts w:cs="Times New Roman"/>
          <w:color w:val="000000" w:themeColor="text1"/>
          <w:szCs w:val="24"/>
        </w:rPr>
        <w:t xml:space="preserve">explain the </w:t>
      </w:r>
      <w:r w:rsidRPr="00C5680B">
        <w:rPr>
          <w:rStyle w:val="markedcontent"/>
          <w:rFonts w:cs="Times New Roman"/>
          <w:color w:val="000000" w:themeColor="text1"/>
          <w:szCs w:val="24"/>
        </w:rPr>
        <w:t>decrease</w:t>
      </w:r>
      <w:r>
        <w:rPr>
          <w:rStyle w:val="markedcontent"/>
          <w:rFonts w:cs="Times New Roman"/>
          <w:color w:val="000000" w:themeColor="text1"/>
          <w:szCs w:val="24"/>
        </w:rPr>
        <w:t>d</w:t>
      </w:r>
      <w:r w:rsidRPr="00C5680B">
        <w:rPr>
          <w:rStyle w:val="markedcontent"/>
          <w:rFonts w:cs="Times New Roman"/>
          <w:color w:val="000000" w:themeColor="text1"/>
          <w:szCs w:val="24"/>
        </w:rPr>
        <w:t xml:space="preserve"> heart rate</w:t>
      </w:r>
      <w:r>
        <w:rPr>
          <w:rStyle w:val="markedcontent"/>
          <w:rFonts w:cs="Times New Roman"/>
          <w:color w:val="000000" w:themeColor="text1"/>
          <w:szCs w:val="24"/>
        </w:rPr>
        <w:t>.</w:t>
      </w:r>
    </w:p>
    <w:p w14:paraId="513E05B7" w14:textId="4449E9E5" w:rsidR="00DB76FF" w:rsidRPr="008F020F" w:rsidRDefault="00DB76FF" w:rsidP="00DB76FF">
      <w:r w:rsidRPr="00DA0E1A">
        <w:rPr>
          <w:rStyle w:val="markedcontent"/>
          <w:rFonts w:cs="Times New Roman"/>
          <w:szCs w:val="24"/>
        </w:rPr>
        <w:t xml:space="preserve">For </w:t>
      </w:r>
      <w:r>
        <w:rPr>
          <w:rStyle w:val="markedcontent"/>
          <w:rFonts w:cs="Times New Roman"/>
          <w:szCs w:val="24"/>
        </w:rPr>
        <w:t>the fNIRS</w:t>
      </w:r>
      <w:r w:rsidRPr="00DA0E1A">
        <w:rPr>
          <w:rStyle w:val="markedcontent"/>
          <w:rFonts w:cs="Times New Roman"/>
          <w:szCs w:val="24"/>
        </w:rPr>
        <w:t xml:space="preserve"> imaging </w:t>
      </w:r>
      <w:r>
        <w:rPr>
          <w:rStyle w:val="markedcontent"/>
          <w:rFonts w:cs="Times New Roman"/>
          <w:szCs w:val="24"/>
        </w:rPr>
        <w:t>results</w:t>
      </w:r>
      <w:r w:rsidRPr="00DA0E1A">
        <w:rPr>
          <w:rStyle w:val="markedcontent"/>
          <w:rFonts w:cs="Times New Roman"/>
          <w:szCs w:val="24"/>
        </w:rPr>
        <w:t>,</w:t>
      </w:r>
      <w:r w:rsidRPr="00DA0E1A">
        <w:t xml:space="preserve"> we </w:t>
      </w:r>
      <w:r w:rsidRPr="00186F1A">
        <w:t>observed</w:t>
      </w:r>
      <w:r w:rsidRPr="00DA0E1A">
        <w:t xml:space="preserve"> </w:t>
      </w:r>
      <w:r>
        <w:t xml:space="preserve">probe stimuli elicited </w:t>
      </w:r>
      <w:r w:rsidRPr="00DA0E1A">
        <w:t xml:space="preserve">significantly </w:t>
      </w:r>
      <w:r>
        <w:t>larger</w:t>
      </w:r>
      <w:r w:rsidRPr="00DA0E1A">
        <w:t xml:space="preserve"> HbO changes </w:t>
      </w:r>
      <w:r>
        <w:t>compared to</w:t>
      </w:r>
      <w:r w:rsidRPr="00DA0E1A">
        <w:t xml:space="preserve"> irrelevant </w:t>
      </w:r>
      <w:r>
        <w:t>stimuli</w:t>
      </w:r>
      <w:r w:rsidRPr="00DA0E1A">
        <w:t xml:space="preserve"> in the bilateral MFG</w:t>
      </w:r>
      <w:r w:rsidRPr="00DA0E1A">
        <w:rPr>
          <w:rFonts w:hint="eastAsia"/>
        </w:rPr>
        <w:t>,</w:t>
      </w:r>
      <w:r w:rsidRPr="00DA0E1A">
        <w:t xml:space="preserve"> </w:t>
      </w:r>
      <w:r>
        <w:t xml:space="preserve">the </w:t>
      </w:r>
      <w:r w:rsidRPr="00DA0E1A">
        <w:t xml:space="preserve">bilateral SFG, and </w:t>
      </w:r>
      <w:r>
        <w:t xml:space="preserve">the </w:t>
      </w:r>
      <w:r w:rsidRPr="00DA0E1A">
        <w:t>r</w:t>
      </w:r>
      <w:r>
        <w:t xml:space="preserve">ight </w:t>
      </w:r>
      <w:r w:rsidRPr="00DA0E1A">
        <w:t>IFG</w:t>
      </w:r>
      <w:r>
        <w:t xml:space="preserve"> in the guilty group but not</w:t>
      </w:r>
      <w:r w:rsidRPr="00DA0E1A">
        <w:t xml:space="preserve"> in</w:t>
      </w:r>
      <w:r>
        <w:t xml:space="preserve"> the</w:t>
      </w:r>
      <w:r w:rsidRPr="00DA0E1A">
        <w:t xml:space="preserve"> innocent group</w:t>
      </w:r>
      <w:r>
        <w:t xml:space="preserve">, which is </w:t>
      </w:r>
      <w:r w:rsidRPr="00864118">
        <w:t>consistent</w:t>
      </w:r>
      <w:r>
        <w:t xml:space="preserve"> with previous studies</w:t>
      </w:r>
      <w:r w:rsidR="008B3943">
        <w:t xml:space="preserve"> </w:t>
      </w:r>
      <w:r w:rsidR="008B3943">
        <w:fldChar w:fldCharType="begin"/>
      </w:r>
      <w:r w:rsidR="00462853">
        <w:instrText xml:space="preserve"> ADDIN ZOTERO_ITEM CSL_CITATION {"citationID":"uKvAxfmz","properties":{"formattedCitation":"(Gamer et al., 2012; Kozel et al., 2005, 2009; Langleben et al., 2005; Suchotzki et al., 2015)","plainCitation":"(Gamer et al., 2012; Kozel et al., 2005, 2009; Langleben et al., 2005; Suchotzki et al., 2015)","dontUpdate":true,"noteIndex":0},"citationItems":[{"id":709,"uris":["http://zotero.org/users/3334739/items/KLNN3SDQ"],"itemData":{"id":709,"type":"article-journal","abstract":"Abstract.  Recent research on potential applications of fMRI in the detection of concealed knowledge primarily ascribed the reported differences in hemodynamic","container-title":"Social Cognitive and Affective Neuroscience","DOI":"10.1093/scan/nsp005","ISSN":"1749-5016","issue":"5","journalAbbreviation":"Soc. Cogn. Affect Neurosci.","language":"en","note":"number: 5\npublisher: Oxford Academic","page":"506-515","source":"academic.oup.com","title":"fMRI-activation patterns in the detection of concealed information rely on memory-related effects","volume":"7","author":[{"family":"Gamer","given":"Matthias"},{"family":"Klimecki","given":"Olga"},{"family":"Bauermann","given":"Thomas"},{"family":"Stoeter","given":"Peter"},{"family":"Vossel","given":"Gerhard"}],"issued":{"date-parts":[["2012",6,1]]}},"label":"page"},{"id":532,"uris":["http://zotero.org/users/3334739/items/ADI9JWJQ"],"itemData":{"id":532,"type":"article-journal","abstract":"Background\nThe ability to accurately detect deception is presently very limited. Detecting deception might be more accurately achieved by measuring the brain correlates of lying in an individual. In addition, a method to investigate the neurocircuitry of deception might provide a unique opportunity to test the neurocircuitry of persons in whom deception is a prominent component (i.e., conduct disorder, antisocial personality disorder, etc.).\nMethods\nIn this study, we used functional magnetic resonance imaging (fMRI) to show that specific regions were reproducibly activated when subjects deceived. Subjects participated in a mock crime stealing either a ring or a watch. While undergoing an fMRI, the subjects denied taking either object, thus telling the truth with some responses, and lying with others. A Model-Building Group (MBG, n = 30) was used to develop the analysis methods, and the methods were subsequently applied to an independent Model-Testing Group (MTG, n = 31).\nResults\nWe were able to correctly differentiate truthful from deceptive responses, correctly identifying the object stolen, for 93% of the subjects in the MBG and 90% of the subjects in the MTG.\nConclusions\nThis is the first study to use fMRI to detect deception at the individual level. Further work is required to determine how well this technology will work in different settings and populations.","container-title":"Biological Psychiatry","DOI":"10.1016/j.biopsych.2005.07.040","ISSN":"0006-3223","issue":"8","journalAbbreviation":"Biol. Psychiatry","language":"en","note":"number: 8","page":"605-613","source":"ScienceDirect","title":"Detecting Deception Using Functional Magnetic Resonance Imaging","volume":"58","author":[{"family":"Kozel","given":"F. Andrew"},{"family":"Johnson","given":"Kevin A."},{"family":"Mu","given":"Qiwen"},{"family":"Grenesko","given":"Emily L."},{"family":"Laken","given":"Steven J."},{"family":"George","given":"Mark S."}],"issued":{"date-parts":[["2005",10,15]]}}},{"id":719,"uris":["http://zotero.org/users/3334739/items/HR6W5QFU"],"itemData":{"id":719,"type":"article-journal","abstract":"Abstract: Using Blood Oxygen Level Dependent (BOLD) functional MRI (fMRI) to detect deception is feasible in simple laboratory paradigms. A mock sabotage scenario was used to test whether this technology would also be effective in a scenario closer to a real-world situation. Healthy, nonmedicated adults were recruited from the community, screened, and randomized to either a Mock-crime group or a No-crime group. The Mock-crime group damaged and stole compact discs (CDs), which contained incriminating video footage, while the No-crime group did not perform a task. The Mock-crime group also picked up an envelope from a researcher, while the No-crime group did not perform this task. Both groups were instructed to report that they picked up an envelope, but did not sabotage any video evidence. Participants later went to the imaging center and were scanned while being asked questions regarding the mock crime. Participants also performed a simple laboratory based fMRI deception testing (Ring-Watch testing). The Ring-Watch testing consisted of “stealing” either a watch or a ring. The participants were instructed to report that they stole neither object. We correctly identified deception during the Ring-Watch testing in 25 of 36 participants (Validated Group). In this Validated Group for whom a determination was made, computer-based scoring correctly identified nine of nine Mock-crime participants (100% sensitivity) and five of 15 No-crime participants (33% specificity). BOLD fMRI presently can be used to detect deception concerning past events with high sensitivity, but low specificity.","container-title":"Journal of Forensic Sciences","DOI":"10.1111/j.1556-4029.2008.00927.x","ISSN":"1556-4029","issue":"1","journalAbbreviation":"J. Forensic Sci.","language":"en","license":"© 2008 American Academy of Forensic Sciences","note":"number: 1\n_eprint: https://onlinelibrary.wiley.com/doi/pdf/10.1111/j.1556-4029.2008.00927.x","page":"220-231","source":"Wiley Online Library","title":"Functional MRI Detection of Deception After Committing a Mock Sabotage Crime","volume":"54","author":[{"family":"Kozel","given":"F. Andrew"},{"family":"Johnson","given":"Kevin A."},{"family":"Grenesko","given":"Emily L."},{"family":"Laken","given":"Steven J."},{"family":"Kose","given":"Samet"},{"family":"Lu","given":"Xinghua"},{"family":"Pollina","given":"Dean"},{"family":"Ryan","given":"Andrew"},{"family":"George","given":"Mark S."}],"issued":{"date-parts":[["2009"]]}},"label":"page"},{"id":731,"uris":["http://zotero.org/users/3334739/items/7DF24P49"],"itemData":{"id":731,"type":"article-journal","abstract":"Deception is a clinically important behavior with poorly understood neurobiological correlates. Published functional MRI (fMRI) data on the brain activity during deception indicates that, on a multisubject group level, lie is distinguished from truth by increased prefrontal and parietal activity. These findings are theoretically important; however, their applied value will be determined by the accuracy of the discrimination between single deceptive and truthful responses in individual subjects. This study presents the first quantitative estimate of the accuracy of fMRI in conjunction with a formal forced-choice paradigm in detecting deception in individual subjects. We used a paradigm balancing the salience of the target cues to elicit deceptive and truthful responses and determined the accuracy of this model in the classification of single lie and truth events. The relative salience of the task cues affected the net activation associated with lie in the superior medial and inferolateral prefrontal cortices. Lie was discriminated from truth on a single-event level with an accuracy of 78%, while the predictive ability expressed as the area under the curve (AUC) of the receiver operator characteristic curve (ROC) was 85%. Our findings confirm that fMRI, in conjunction with a carefully controlled query procedure, could be used to detect deception in individual subjects. Salience of the task cues is a potential confounding factor in the fMRI pattern attributed to deception in forced choice deception paradigms. Hum Brain Mapp, 2005. © 2005 Wiley-Liss, Inc.","container-title":"Human Brain Mapping","DOI":"10.1002/hbm.20191","ISSN":"1097-0193","issue":"4","journalAbbreviation":"Hum. Brain Mapp.","language":"en","licens</w:instrText>
      </w:r>
      <w:r w:rsidR="00462853">
        <w:rPr>
          <w:rFonts w:hint="eastAsia"/>
        </w:rPr>
        <w:instrText>e":"Copyright © 2005 Wiley</w:instrText>
      </w:r>
      <w:r w:rsidR="00462853">
        <w:rPr>
          <w:rFonts w:hint="eastAsia"/>
        </w:rPr>
        <w:instrText>‐</w:instrText>
      </w:r>
      <w:r w:rsidR="00462853">
        <w:rPr>
          <w:rFonts w:hint="eastAsia"/>
        </w:rPr>
        <w:instrText>Liss, Inc.","note":"number: 4\n_eprint: https://onlinelibrary.wiley.com/doi/pdf/10.1002/hbm.20191","page":"262-272","source":"Wiley Online Library","title":"Telling truth from lie in individual subjects with fast event-related f</w:instrText>
      </w:r>
      <w:r w:rsidR="00462853">
        <w:instrText xml:space="preserve">MRI","volume":"26","author":[{"family":"Langleben","given":"Daniel D."},{"family":"Loughead","given":"James W."},{"family":"Bilker","given":"Warren B."},{"family":"Ruparel","given":"Kosha"},{"family":"Childress","given":"Anna Rose"},{"family":"Busch","given":"Samantha I."},{"family":"Gur","given":"Ruben C."}],"issued":{"date-parts":[["2005"]]}},"label":"page"},{"id":697,"uris":["http://zotero.org/users/3334739/items/IUYYQN6M"],"itemData":{"id":697,"type":"article-journal","abstract":"Developed as an alternative to traditional deception detection methods, the concealed information test (CIT) assesses recognition of critical (e.g., crime-relevant) “probes.” Most often, recognition has been measured as enhanced skin conductance responses (SCRs) to probes compared to irrelevant foils (CIT effect). More recently, also differentially enlarged reaction times (RTs) and increased neural activity in the bilateral inferior frontal gyrus, the right middle frontal gyrus, and the right temporo-parietal junction have been observed. The aims of the current functional magnetic resonance imaging (fMRI) study were to (1) investigate the boundary conditions of the CIT effects in all three measures and thereby (2) gain more insight into the relative contribution of two mechanisms underlying enhanced responding to concealed information (i.e., orienting versus response inhibition). Therefore, we manipulated the proportion of probe versus irrelevant items, and whether suspects were instructed to actively deny recognition of probe knowledge (i.e., deceive) during the test. Results revealed that whereas overt deception was not necessary for the SCR CIT effect, it was crucial for the RT and the fMRI-based CIT effects. The proportion manipulation enhanced the CIT effect in all three measures. The results indicate that different mental processes might underlie the response pattern in the CIT. While skin conductance responding to concealed information may best be explained by orienting theory, it seems that response inhibition drives RT and blood oxygen level dependent responding to concealed information. Hum Brain Mapp 36:427–439, 2015. © 2014 Wiley Periodicals, Inc.","container-title":"Human Brain Mapping","DOI":"10.1002/hbm.22637","ISSN":"1097-0193","issue":"2","journalAbbreviation":"Hum. Brain Mapp.","language":"en","license":"© 2014 Wiley Periodicals, Inc.","note":"number: 2\n_eprint: https://onlinelibrary.wiley.com/doi/pdf/10.1002/hbm.22637","page":"427-439","source":"Wiley Online Library","title":"Manipulating item proportion and deception reveals crucial dissociation between behavioral, autonomic, and neural indices of concealed information","volume":"36","author":[{"family":"Suchotzki","given":"Kristina"},{"family":"Verschuere","given":"Bruno"},{"family":"Peth","given":"Judith"},{"family":"Crombez","given":"Geert"},{"family":"Gamer","given":"Matthias"}],"issued":{"date-parts":[["2015"]]}},"label":"page"}],"schema":"https://github.com/citation-style-language/schema/raw/master/csl-citation.json"} </w:instrText>
      </w:r>
      <w:r w:rsidR="008B3943">
        <w:fldChar w:fldCharType="separate"/>
      </w:r>
      <w:r w:rsidR="008B3943" w:rsidRPr="008B3943">
        <w:rPr>
          <w:rFonts w:cs="Times New Roman"/>
        </w:rPr>
        <w:t>(</w:t>
      </w:r>
      <w:r w:rsidR="00462853">
        <w:rPr>
          <w:rFonts w:cs="Times New Roman"/>
        </w:rPr>
        <w:t xml:space="preserve">e.g., </w:t>
      </w:r>
      <w:r w:rsidR="008B3943" w:rsidRPr="008B3943">
        <w:rPr>
          <w:rFonts w:cs="Times New Roman"/>
        </w:rPr>
        <w:t>Gamer et al., 2012; Kozel et al., 2005, 2009; Langleben et al., 2005; Suchotzki et al., 2015)</w:t>
      </w:r>
      <w:r w:rsidR="008B3943">
        <w:fldChar w:fldCharType="end"/>
      </w:r>
      <w:r>
        <w:rPr>
          <w:rFonts w:hint="eastAsia"/>
        </w:rPr>
        <w:t>.</w:t>
      </w:r>
      <w:r>
        <w:t xml:space="preserve"> T</w:t>
      </w:r>
      <w:r w:rsidRPr="007E67C7">
        <w:t xml:space="preserve">he bilateral MFG is </w:t>
      </w:r>
      <w:r w:rsidRPr="00186F1A">
        <w:t>generally accepted to be</w:t>
      </w:r>
      <w:r>
        <w:t xml:space="preserve"> </w:t>
      </w:r>
      <w:r w:rsidRPr="007E67C7">
        <w:t xml:space="preserve">related to </w:t>
      </w:r>
      <w:r w:rsidR="000E3162">
        <w:t xml:space="preserve">the function of </w:t>
      </w:r>
      <w:r w:rsidRPr="007E67C7">
        <w:t>response control</w:t>
      </w:r>
      <w:r w:rsidR="00462853">
        <w:t xml:space="preserve"> </w:t>
      </w:r>
      <w:r w:rsidR="00462853">
        <w:fldChar w:fldCharType="begin"/>
      </w:r>
      <w:r w:rsidR="00462853">
        <w:instrText xml:space="preserve"> ADDIN ZOTERO_ITEM CSL_CITATION {"citationID":"gv2h3xFK","properties":{"formattedCitation":"(Barbey et al., 2013; Kozel et al., 2005; Mameli et al., 2010; Priori et al., 2008)","plainCitation":"(Barbey et al., 2013; Kozel et al., 2005; Mameli et al., 2010; Priori et al., 2008)","noteIndex":0},"citationItems":[{"id":308,"uris":["http://zotero.org/users/3334739/items/2WWATGHS"],"itemData":{"id":308,"type":"article-journal","abstract":"Although neuroscience has made remarkable progress in understanding the involvement of prefrontal cortex (PFC) in human memory, the necessity of dorsolateral PFC (dlPFC) for key competencies of working memory remains largely unexplored. We therefore studied human brain lesion patients to determine whether dlPFC is necessary for working memory function, administering subtests of the Wechsler Memory Scale, the Wechsler Adult Intelligence Scale, and the N-Back Task to three participant groups: dlPFC lesions (n = 19), non-dlPFC lesions (n = 152), and no brain lesions (n = 54). DlPFC damage was associated with deficits in the manipulation of verbal and spatial knowledge, with left dlPFC necessary for manipulating information in working memory and right dlPFC critical for manipulating information in a broader range of reasoning contexts. Our findings elucidate the architecture of working memory, providing key neuropsychological evidence for the necessity of dlPFC in the manipulation of verbal and spatial knowledge.","container-title":"Cortex","DOI":"10.1016/j.cortex.2012.05.022","ISSN":"0010-9452","issue":"5","journalAbbreviation":"Cortex","language":"en","page":"1195-1205","source":"ScienceDirect","title":"Dorsolateral prefrontal contributions to human working memory","volume":"49","author":[{"family":"Barbey","given":"Aron K."},{"family":"Koenigs","given":"Michael"},{"family":"Grafman","given":"Jordan"}],"issued":{"date-parts":[["2013",5,1]]}},"label":"page"},{"id":532,"uris":["http://zotero.org/users/3334739/items/ADI9JWJQ"],"itemData":{"id":532,"type":"article-journal","abstract":"Background\nThe ability to accurately detect deception is presently very limited. Detecting deception might be more accurately achieved by measuring the brain correlates of lying in an individual. In addition, a method to investigate the neurocircuitry of deception might provide a unique opportunity to test the neurocircuitry of persons in whom deception is a prominent component (i.e., conduct disorder, antisocial personality disorder, etc.).\nMethods\nIn this study, we used functional magnetic resonance imaging (fMRI) to show that specific regions were reproducibly activated when subjects deceived. Subjects participated in a mock crime stealing either a ring or a watch. While undergoing an fMRI, the subjects denied taking either object, thus telling the truth with some responses, and lying with others. A Model-Building Group (MBG, n = 30) was used to develop the analysis methods, and the methods were subsequently applied to an independent Model-Testing Group (MTG, n = 31).\nResults\nWe were able to correctly differentiate truthful from deceptive responses, correctly identifying the object stolen, for 93% of the subjects in the MBG and 90% of the subjects in the MTG.\nConclusions\nThis is the first study to use fMRI to detect deception at the individual level. Further work is required to determine how well this technology will work in different settings and populations.","container-title":"Biological Psychiatry","DOI":"10.1016/j.biopsych.2005.07.040","ISSN":"0006-3223","issue":"8","journalAbbreviation":"Biol. Psychiatry","language":"en","note":"number: 8","page":"605-613","source":"ScienceDirect","title":"Detecting Deception Using Functional Magnetic Resonance Imaging","volume":"58","author":[{"family":"Kozel","given":"F. Andrew"},{"family":"Johnson","given":"Kevin A."},{"family":"Mu","given":"Qiwen"},{"family":"Grenesko","given":"Emily L."},{"family":"Laken","given":"Steven J."},{"family":"George","given":"Mark S."}],"issued":{"date-parts":[["2005",10,15]]}},"label":"page"},{"id":7164,"uris":["http://zotero.org/users/3334739/items/L5A7GARF"],"itemData":{"id":7164,"type":"article-journal","abstract":"Despite intensive research into ways of detecting deception in legal, moral and clinical contexts, few experimental data are available on the neural substrate for the different types of lies. We used transcranial direct current stimulation (tDCS) to modulate dorsolateral prefrontal cortex (DLPFC) function and to assess its influence on various types of lies. Twenty healthy volunteers were tested before and after tDCS (anodal and sham). In each session the Guilty Knowledge Task and Visual Attention Task were administered at baseline and immediately after tDCS ended. A computer-controlled task was used to evaluate truthful responses and lie responses to questions referring to personal information and general knowledge. Dependent variables collected were reaction times (RTs) and accuracy. At baseline the RTs were significantly longer for lies than for truthful responses. After sham stimulation, lie responses remained unchanged (p=0.24) but after anodal tDCS, RTs decreased significantly only for lies involving general knowledge (p=0.02). tDCS left the Visual Attention Task unaffected. These findings show that manipulating DLPFC function with tDCS specifically modulates deceptive responses for general information leaving those on personal information unaffected. Multiple cortical networks intervene in deception involving general and personal knowledge. Deception referring to general and personal knowledge probably involves multiple cortical networks.","container-title":"Behavioural Brain Research","DOI":"10.1016/j.bbr.2010.03.024","ISSN":"0166-4328","issue":"2","journalAbbreviation":"Behavioural Brain Research","language":"en","page":"164-168","source":"ScienceDirect","title":"Dorsolateral prefrontal cortex specifically processes general – but not personal – knowledge deception: Multiple brain networks for lying","title-short":"Dorsolateral prefrontal cortex specifically processes general – but not personal – knowledge deception","volume":"211","author":[{"family":"Mameli","given":"Francesca"},{"family":"Mrakic-Sposta","given":"Simona"},{"family":"Vergari","given":"Maurizio"},{"family":"Fumagalli","given":"Manuela"},{"family":"Macis","given":"Margherita"},{"family":"Ferrucci","given":"Roberta"},{"family":"Nordio","given":"Francesco"},{"family":"Consonni","given":"Dario"},{"family":"Sartori","given":"Giuseppe"},{"family":"Priori","given":"Alberto"}],"issued":{"date-parts":[["2010",8,25]]}}},{"id":7167,"uris":["http://zotero.org/users/3334739/items/TEEWSVLX"],"itemData":{"id":7167,"type":"article-journal","abstract":"Lies are intentional distortions of event knowledge. No experimental data are available on manipulating lying processes. To address this issue, we stimulated the dorsolateral prefrontal cortex (DLPFC) using transcranial direct current stimulation (tDCS). Fifteen healthy volunteers were tested before and after tDCS (anodal, cathodal, and sham). Two types of truthful (truthful selected: TS; truthful unselected: TU) and deceptive (lie selected: LS; lie unselected: LU) responses were evaluated using a computer-controlled task. Reaction times (RTs) and accuracy were collected and used as dependent variables. In the baseline task, the RT was significantly longer for lie responses than for true responses ([mean ± standard error] 1153.4 ± 42.0 ms vs. 1039.6 ± 36.6 ms; F1,14 = 27.25, P = 0.00013). At baseline, RT for selected pictures was significantly shorter than RT for unselected pictures (1051.26 ± 39.0 ms vs. 1141.76 ± 41.1 ms; F1,14 = 34.85, P = 0.00004). Whereas after cathodal and sham stimulation, lie responses remained unchanged (cathodal 5.26 ± 2.7%; sham 5.66 ± 3.6%), after anodal tDCS, RTs significantly increased but did so only for LS responses (16.86 ± 5.0%; P = 0.002). These findings show that manipulation of brain function with DLPFC tDCS specifically influences experimental deception and that distinctive neural mechanisms underlie different types of lies.","container-title":"Cerebral Cortex","DOI":"10.1093/cercor/bhm088","ISSN":"1047-3211","issue":"2","journalAbbreviation":"Cerebral Cortex","page":"451-455","source":"Silverchair","title":"Lie-Specific Involvement of Dorsolateral Prefrontal Cortex in Deception","volume":"18","author":[{"family":"Priori","given":"Alberto"},{"family":"Mameli","given":"F."},{"family":"Cogiamanian","given":"F."},{"family":"Marceglia","given":"S."},{"family":"Tiriticco","given":"M."},{"family":"Mrakic-Sposta","given":"S."},{"family":"Ferrucci","given":"R."},{"family":"Zago","given":"S."},{"family":"Polezzi","given":"D."},{"family":"Sartori","given":"G."}],"issued":{"date-parts":[["2008",2,1]]}},"label":"page"}],"schema":"https://github.com/citation-style-language/schema/raw/master/csl-citation.json"} </w:instrText>
      </w:r>
      <w:r w:rsidR="00462853">
        <w:fldChar w:fldCharType="separate"/>
      </w:r>
      <w:r w:rsidR="00462853" w:rsidRPr="00462853">
        <w:rPr>
          <w:rFonts w:cs="Times New Roman"/>
        </w:rPr>
        <w:t>(Barbey et al., 2013; Kozel et al., 2005; Mameli et al., 2010; Priori et al., 2008)</w:t>
      </w:r>
      <w:r w:rsidR="00462853">
        <w:fldChar w:fldCharType="end"/>
      </w:r>
      <w:r w:rsidRPr="007E67C7">
        <w:t xml:space="preserve">. </w:t>
      </w:r>
      <w:r w:rsidRPr="00186F1A">
        <w:t xml:space="preserve">In our paradigm, the probe stimuli could only be recognized by the person who committed the crime (i.e., the guilty participants). </w:t>
      </w:r>
      <w:r w:rsidR="006D701C">
        <w:t>In the CIT, t</w:t>
      </w:r>
      <w:r w:rsidRPr="00186F1A">
        <w:t xml:space="preserve">o </w:t>
      </w:r>
      <w:r>
        <w:t>show</w:t>
      </w:r>
      <w:r w:rsidRPr="00186F1A">
        <w:t xml:space="preserve"> their innocence, the guilty participants needed</w:t>
      </w:r>
      <w:r>
        <w:t xml:space="preserve"> </w:t>
      </w:r>
      <w:r w:rsidRPr="00186F1A">
        <w:t xml:space="preserve">to perform two cognitive processes: a) preventing themselves from conducting an intuitively honest response, and b) inhibiting their guilty knowledge to </w:t>
      </w:r>
      <w:r w:rsidR="000B0B7D">
        <w:t>pretend their innocen</w:t>
      </w:r>
      <w:r w:rsidR="006E33C6">
        <w:t>ce</w:t>
      </w:r>
      <w:r w:rsidRPr="00186F1A">
        <w:t>.</w:t>
      </w:r>
      <w:r>
        <w:t xml:space="preserve"> </w:t>
      </w:r>
      <w:r w:rsidRPr="00186F1A">
        <w:t xml:space="preserve">The former </w:t>
      </w:r>
      <w:r>
        <w:t>process</w:t>
      </w:r>
      <w:r w:rsidRPr="00186F1A">
        <w:t xml:space="preserve"> required them to avoid admitting recognition of the two probe stimuli (i.e., the banknote valued 20RMB and the Jack of Spades) and make opposite responses</w:t>
      </w:r>
      <w:r w:rsidR="00B52932">
        <w:t xml:space="preserve"> (i.e., to </w:t>
      </w:r>
      <w:r w:rsidR="004A0D03">
        <w:t>press the</w:t>
      </w:r>
      <w:r w:rsidR="0036786E">
        <w:t xml:space="preserve"> button </w:t>
      </w:r>
      <w:r w:rsidR="008D5449" w:rsidRPr="008D5449">
        <w:t>signifying</w:t>
      </w:r>
      <w:r w:rsidR="00B52932">
        <w:t xml:space="preserve"> “I do not </w:t>
      </w:r>
      <w:r w:rsidR="0036786E" w:rsidRPr="002D6CC2">
        <w:t>recognize</w:t>
      </w:r>
      <w:r w:rsidR="00B52932" w:rsidRPr="002D6CC2">
        <w:t xml:space="preserve"> the item</w:t>
      </w:r>
      <w:r w:rsidR="00B52932">
        <w:t>”)</w:t>
      </w:r>
      <w:r w:rsidRPr="00186F1A">
        <w:t>, which is associated with the bilateral MFG and the function of response control</w:t>
      </w:r>
      <w:r w:rsidR="00462853">
        <w:t xml:space="preserve"> </w:t>
      </w:r>
      <w:r w:rsidR="00462853">
        <w:fldChar w:fldCharType="begin"/>
      </w:r>
      <w:r w:rsidR="00462853">
        <w:instrText xml:space="preserve"> ADDIN ZOTERO_ITEM CSL_CITATION {"citationID":"En7YHJTj","properties":{"formattedCitation":"(Mameli et al., 2010; Wang et al., 2022)","plainCitation":"(Mameli et al., 2010; Wang et al., 2022)","noteIndex":0},"citationItems":[{"id":7164,"uris":["http://zotero.org/users/3334739/items/L5A7GARF"],"itemData":{"id":7164,"type":"article-journal","abstract":"Despite intensive research into ways of detecting deception in legal, moral and clinical contexts, few experimental data are available on the neural substrate for the different types of lies. We used transcranial direct current stimulation (tDCS) to modulate dorsolateral prefrontal cortex (DLPFC) function and to assess its influence on various types of lies. Twenty healthy volunteers were tested before and after tDCS (anodal and sham). In each session the Guilty Knowledge Task and Visual Attention Task were administered at baseline and immediately after tDCS ended. A computer-controlled task was used to evaluate truthful responses and lie responses to questions referring to personal information and general knowledge. Dependent variables collected were reaction times (RTs) and accuracy. At baseline the RTs were significantly longer for lies than for truthful responses. After sham stimulation, lie responses remained unchanged (p=0.24) but after anodal tDCS, RTs decreased significantly only for lies involving general knowledge (p=0.02). tDCS left the Visual Attention Task unaffected. These findings show that manipulating DLPFC function with tDCS specifically modulates deceptive responses for general information leaving those on personal information unaffected. Multiple cortical networks intervene in deception involving general and personal knowledge. Deception referring to general and personal knowledge probably involves multiple cortical networks.","container-title":"Behavioural Brain Research","DOI":"10.1016/j.bbr.2010.03.024","ISSN":"0166-4328","issue":"2","journalAbbreviation":"Behavioural Brain Research","language":"en","page":"164-168","source":"ScienceDirect","title":"Dorsolateral prefrontal cortex specifically processes general – but not personal – knowledge deception: Multiple brain networks for lying","title-short":"Dorsolateral prefrontal cortex specifically processes general – but not personal – knowledge deception","volume":"211","author":[{"family":"Mameli","given":"Francesca"},{"family":"Mrakic-Sposta","given":"Simona"},{"family":"Vergari","given":"Maurizio"},{"family":"Fumagalli","given":"Manuela"},{"family":"Macis","given":"Margherita"},{"family":"Ferrucci","given":"Roberta"},{"family":"Nordio","given":"Francesco"},{"family":"Consonni","given":"Dario"},{"family":"Sartori","given":"Giuseppe"},{"family":"Priori","given":"Alberto"}],"issued":{"date-parts":[["2010",8,25]]}},"label":"page"},{"id":3639,"uris":["http://zotero.org/users/3334739/items/66E9N3B5"],"itemData":{"id":3639,"type":"article-journal","abstract":"In this study, brain imaging data from functional near-infrared spectroscopy (fNIRS) associated with skin conductance response (SCR), heart rate (HR), and reaction time (RT) were combined to determine if the combination of these indicators could improve the efficiency of deception detection in concealed information test (CIT). During the CIT, participants were presented with a series of names and cities that served as target, probe, or irrelevant stimuli. In the guilty group, the probe stimuli were the participants’ own names and hometown cities, and they were asked to deny this information. Our results revealed that probe items were associated with longer RT, larger SCR, slower HR, and higher oxyhemoglobin (HbO) concentration changes in the inferior prefrontal gyrus (IFG), middle frontal gyrus (MFG), and the superior frontal gyrus (SFG) compared with irrelevant items for participants in the guilty group but not in the innocent group. Furthermore, our results suggested that the combination of RT, SCR, HR, and fNIRS indicators could improve the deception detection efficiency to a very high area under the ROC curve (0.94) compared with any of the single indicators (0.74–0.89). The improved deception detection efficiency might be attributed to the reduction of random error and the diversiform underlying the psychophysiological mechanisms reflected by each indicator. These findings demonstrate a feasible way to improve the deception detection efficiency by using combined multiple indicators.","container-title":"Psychophysiology","DOI":"10/gppmbn","ISSN":"1469-8986","issue":"n/a","language":"en","note":"_eprint: https://onlinelibrary.wiley.com/doi/pdf/10.1111/psyp.14029","page":"e14029","source":"Wiley Online Library","title":"Detecting concealed information using functional near-infrared spectroscopy (fNIRS) combined with skin conductance, heart rate, and behavioral measures","volume":"n/a","author":[{"family":"Wang","given":"Di"},{"family":"Wang","given":"Chongxiang"},{"family":"Yi","given":"Xingyu"},{"family":"Sai","given":"Liyang"},{"family":"Fu","given":"Genyue"},{"family":"Lin","given":"Xiaohong Allison"}],"issued":{"date-parts":[["2022",2,22]]}},"label":"page"}],"schema":"https://github.com/citation-style-language/schema/raw/master/csl-citation.json"} </w:instrText>
      </w:r>
      <w:r w:rsidR="00462853">
        <w:fldChar w:fldCharType="separate"/>
      </w:r>
      <w:r w:rsidR="00462853" w:rsidRPr="00462853">
        <w:rPr>
          <w:rFonts w:cs="Times New Roman"/>
        </w:rPr>
        <w:t>(Mameli et al., 2010; Wang et al., 2022)</w:t>
      </w:r>
      <w:r w:rsidR="00462853">
        <w:fldChar w:fldCharType="end"/>
      </w:r>
      <w:r w:rsidRPr="00186F1A">
        <w:t>.</w:t>
      </w:r>
      <w:r>
        <w:t xml:space="preserve"> </w:t>
      </w:r>
      <w:r w:rsidRPr="00186F1A">
        <w:t xml:space="preserve">The latter </w:t>
      </w:r>
      <w:r>
        <w:t>process</w:t>
      </w:r>
      <w:r w:rsidRPr="00186F1A">
        <w:t xml:space="preserve"> required the guilty participants to</w:t>
      </w:r>
      <w:r w:rsidR="00801983">
        <w:t xml:space="preserve"> hide their guilty </w:t>
      </w:r>
      <w:r w:rsidR="00801983">
        <w:lastRenderedPageBreak/>
        <w:t>knowledge</w:t>
      </w:r>
      <w:r w:rsidR="00717A4B">
        <w:t xml:space="preserve"> and</w:t>
      </w:r>
      <w:r w:rsidRPr="00186F1A">
        <w:t xml:space="preserve"> inhibit their pop-out honesty impulsion, thus is involved with a different function called inhibition control, which is related </w:t>
      </w:r>
      <w:r w:rsidR="00817DB7">
        <w:t>to</w:t>
      </w:r>
      <w:r w:rsidR="00817DB7" w:rsidRPr="00186F1A">
        <w:t xml:space="preserve"> </w:t>
      </w:r>
      <w:r w:rsidRPr="00186F1A">
        <w:t xml:space="preserve">the </w:t>
      </w:r>
      <w:r w:rsidR="005965B1">
        <w:rPr>
          <w:rFonts w:hint="eastAsia"/>
        </w:rPr>
        <w:t>right</w:t>
      </w:r>
      <w:r w:rsidR="008D5449">
        <w:t xml:space="preserve"> </w:t>
      </w:r>
      <w:r w:rsidRPr="00186F1A">
        <w:t>IFG</w:t>
      </w:r>
      <w:r w:rsidR="00462853">
        <w:t xml:space="preserve"> </w:t>
      </w:r>
      <w:r w:rsidR="00462853">
        <w:fldChar w:fldCharType="begin"/>
      </w:r>
      <w:r w:rsidR="00462853">
        <w:instrText xml:space="preserve"> ADDIN ZOTERO_ITEM CSL_CITATION {"citationID":"efPqqOET","properties":{"formattedCitation":"(Aron et al., 2004, 2014; Suchotzki et al., 2015)","plainCitation":"(Aron et al., 2004, 2014; Suchotzki et al., 2015)","noteIndex":0},"citationItems":[{"id":7170,"uris":["http://zotero.org/users/3334739/items/CG6L4VKB"],"itemData":{"id":7170,"type":"article-journal","abstract":"It is controversial whether different cognitive functions can be mapped to discrete regions of the prefrontal cortex (PFC). The localisationist tradition has associated one cognitive function – inhibition – by turns with dorsolateral prefrontal cortex (DLPFC), inferior frontal cortex (IFC), or orbital frontal cortex (OFC). Inhibition is postulated to be a mechanism by which PFC exerts its effects on subcortical and posterior-cortical regions to implement executive control. We review evidence concerning inhibition of responses and task-sets. Whereas neuroimaging implicates diverse PFC foci, advances in human lesion-mapping support the functional localization of such inhibition to right IFC alone. Future research should investigate the generality of this proposed inhibitory function to other task domains, and its interaction within a wider network.","container-title":"Trends in Cognitive Sciences","DOI":"10.1016/j.tics.2004.02.010","ISSN":"1364-6613","issue":"4","journalAbbreviation":"Trends in Cognitive Sciences","language":"en","page":"170-177","source":"ScienceDirect","title":"Inhibition and the right inferior frontal cortex","volume":"8","author":[{"family":"Aron","given":"Adam R."},{"family":"Robbins","given":"Trevor W."},{"family":"Poldrack","given":"Russell A."}],"issued":{"date-parts":[["2004",4,1]]}},"label":"page"},{"id":160,"uris":["http://zotero.org/users/3334739/items/Y9FDY2RE"],"itemData":{"id":160,"type":"article-journal","abstract":"In our TICS Review in 2004, we proposed that a sector of the right inferior frontal cortex (rIFC) in humans is critical for inhibiting response tendencies. Here we survey new evidence, discuss ongoing controversies, and provide an updated theory. We propose that the rIFC (along with one or more fronto–basal–ganglia networks) is best characterized as a brake. This brake can be turned on in different modes (totally, to outright suppress a response; or partially, to pause), and in different contexts (externally, by stop or salient signals; or internally, by goals). We affirm inhibition as a central component of executive control that relies upon the rIFC and associated networks, and explain why rIFC disruption could generally underpin response control disorders.","container-title":"Trends in Cognitive Sciences","DOI":"10.1016/j.tics.2013.12.003","ISSN":"1364-6613","issue":"4","journalAbbreviation":"Trends in Cognitive Sciences","note":"number: 4","page":"177-185","source":"ScienceDirect","title":"Inhibition and the right inferior frontal cortex: one decade on","title-short":"Inhibition and the right inferior frontal cortex","volume":"18","author":[{"family":"Aron","given":"Adam R."},{"family":"Robbins","given":"Trevor W."},{"family":"Poldrack","given":"Russell A."}],"issued":{"date-parts":[["2014",4,1]]}}},{"id":697,"uris":["http://zotero.org/users/3334739/items/IUYYQN6M"],"itemData":{"id":697,"type":"article-journal","abstract":"Developed as an alternative to traditional deception detection methods, the concealed information test (CIT) assesses recognition of critical (e.g., crime-relevant) “probes.” Most often, recognition has been measured as enhanced skin conductance responses (SCRs) to probes compared to irrelevant foils (CIT effect). More recently, also differentially enlarged reaction times (RTs) and increased neural activity in the bilateral inferior frontal gyrus, the right middle frontal gyrus, and the right temporo-parietal junction have been observed. The aims of the current functional magnetic resonance imaging (fMRI) study were to (1) investigate the boundary conditions of the CIT effects in all three measures and thereby (2) gain more insight into the relative contribution of two mechanisms underlying enhanced responding to concealed information (i.e., orienting versus response inhibition). Therefore, we manipulated the proportion of probe versus irrelevant items, and whether suspects were instructed to actively deny recognition of probe knowledge (i.e., deceive) during the test. Results revealed that whereas overt deception was not necessary for the SCR CIT effect, it was crucial for the RT and the fMRI-based CIT effects. The proportion manipulation enhanced the CIT effect in all three measures. The results indicate that different mental processes might underlie the response pattern in the CIT. While skin conductance responding to concealed information may best be explained by orienting theory, it seems that response inhibition drives RT and blood oxygen level dependent responding to concealed information. Hum Brain Mapp 36:427–439, 2015. © 2014 Wiley Periodicals, Inc.","container-title":"Human Brain Mapping","DOI":"10.1002/hbm.22637","ISSN":"1097-0193","issue":"2","journalAbbreviation":"Hum. Brain Mapp.","language":"en","license":"© 2014 Wiley Periodicals, Inc.","note":"number: 2\n_eprint: https://onlinelibrary.wiley.com/doi/pdf/10.1002/hbm.22637","page":"427-439","source":"Wiley Online Library","title":"Manipulating item proportion and deception reveals crucial dissociation between behavioral, autonomic, and neural indices of concealed information","volume":"36","author":[{"family":"Suchotzki","given":"Kristina"},{"family":"Verschuere","given":"Bruno"},{"family":"Peth","given":"Judith"},{"family":"Crombez","given":"Geert"},{"family":"Gamer","given":"Matthias"}],"issued":{"date-parts":[["2015"]]}},"label":"page"}],"schema":"https://github.com/citation-style-language/schema/raw/master/csl-citation.json"} </w:instrText>
      </w:r>
      <w:r w:rsidR="00462853">
        <w:fldChar w:fldCharType="separate"/>
      </w:r>
      <w:r w:rsidR="00462853" w:rsidRPr="00462853">
        <w:rPr>
          <w:rFonts w:cs="Times New Roman"/>
        </w:rPr>
        <w:t>(Aron et al., 2004, 2014; Suchotzki et al., 2015)</w:t>
      </w:r>
      <w:r w:rsidR="00462853">
        <w:fldChar w:fldCharType="end"/>
      </w:r>
      <w:r w:rsidRPr="00186F1A">
        <w:t>.</w:t>
      </w:r>
      <w:r>
        <w:t xml:space="preserve"> </w:t>
      </w:r>
      <w:r w:rsidRPr="00024555">
        <w:t>Additionally, we found activation in the bilateral SFG, which is believed to be related to goal-processing operations and planning of complex actions</w:t>
      </w:r>
      <w:r w:rsidR="00462853">
        <w:t xml:space="preserve"> </w:t>
      </w:r>
      <w:r w:rsidR="00462853">
        <w:fldChar w:fldCharType="begin"/>
      </w:r>
      <w:r w:rsidR="00462853">
        <w:instrText xml:space="preserve"> ADDIN ZOTERO_ITEM CSL_CITATION {"citationID":"D5mtc69e","properties":{"formattedCitation":"(Ding et al., 2014; Fincham et al., 2002; Hogeveen et al., 2022; Mansouri et al., 2017)","plainCitation":"(Ding et al., 2014; Fincham et al., 2002; Hogeveen et al., 2022; Mansouri et al., 2017)","noteIndex":0},"citationItems":[{"id":517,"uris":["http://zotero.org/users/3334739/items/REE5QSSL"],"itemData":{"id":517,"type":"article-journal","abstract":"The present study focused on neural correlates underlying second-order deception. In first-order deception, the recipient of deception is unaware of the deceiver's deceptive intention. However, during second-order deception, the recipient is fully aware of the deceiver's deceptive intention and thus the deceiver needs to use both lies and truths to deceive the recipient. Using the functional near-infrared spectroscopy (fNIRS) methodology and a naturalistic interactive game, we found that second-order deception elicited significantly greater [oxy-Hb] changes in the prefrontal cortex (the right superior frontal gyrus (SFG), BA6) than the non-deceptive control condition. This finding suggests that second-order deception, like first-order deception, engages specifically the cortical regions associated with the planning of complex actions and goal processing. We also found that lying to deceive produced greater neural activities in the right middle frontal gyrus than truth-telling to deceive. This suggests that although both actions serve deceptive purposes, making a false statement contradicting the true state of affairs still requires more executive control and thus greater neural responses in the cortical regions associated with this function. In addition, we found that the successful deception produced greater neural activities in a broad area of the prefrontal frontal cortex than failure to deceive, indicating the involvement of the cortical reward system during second-order deception. Further, failure of truth-telling to deceive produced greater neural responses in the right SFG than failure of lying to deceive. The present findings taken together suggest that second-order deception engages both the cortical executive and reward systems.","container-title":"NeuroImage","DOI":"10.1016/j.neuroimage.2013.10.023","ISSN":"1053-8119","journalAbbreviation":"NeuroImage","language":"en","page":"505-514","source":"ScienceDirect","title":"Neural correlates of second-order verbal deception: A functional near-infrared spectroscopy (fNIRS) study","title-short":"Neural correlates of second-order verbal deception","volume":"87","author":[{"family":"Ding","given":"Xiao Pan"},{"family":"Sai","given":"Liyang"},{"family":"Fu","given":"Genyue"},{"family":"Liu","given":"Jiangang"},{"family":"Lee","given":"Kang"}],"issued":{"date-parts":[["2014",2,15]]}},"label":"page"},{"id":7178,"uris":["http://zotero.org/users/3334739/items/S6LRDIQ4"],"itemData":{"id":7178,"type":"article-journal","abstract":"To investigate the neural mechanisms of planning, we used a novel adaptation of the Tower of Hanoi (TOH) task and event-related functional MRI. Participants were trained in applying a specific strategy to an isomorph of the five-disk TOH task. After training, participants solved novel problems during event-related functional MRI. A computational cognitive model of the task was used to generate a reference time series representing the expected blood oxygen level-dependent response in brain areas involved in the manipulation and planning of goals. This time series was used as one term within a general linear modeling framework to identify brain areas in which the time course of activity varied as a function of goal-processing events. Two distinct time courses of activation were identified, one in which activation varied parametrically with goal-processing operations, and the other in which activation became pronounced only during goal-processing intensive trials. Regions showing the parametric relationship comprised a frontoparietal system and include right dorsolateral prefrontal cortex [Brodmann's area (BA 9)], bilateral parietal (BA 40/7), and bilateral premotor (BA 6) areas. Regions preferentially engaged only during goal-intensive processing include left inferior frontal gyrus (BA 44). The implications of these results for the current model, as well as for our understanding of the neural mechanisms of planning and functional specialization of the prefrontal cortex, are discussed.","container-title":"Proceedings of the National Academy of Sciences","DOI":"10.1073/pnas.052703399","issue":"5","note":"publisher: Proceedings of the National Academy of Sciences","page":"3346-3351","source":"pnas.org (Atypon)","title":"Neural mechanisms of planning: A computational analysis using event-related fMRI","title-short":"Neural mechanisms of planning","volume":"99","author":[{"family":"Fincham","given":"Jon M."},{"family":"Carter","given":"Cameron S."},{"family":"Veen","given":"Vincent","non-dropping-particle":"van"},{"family":"Stenger","given":"V. Andrew"},{"family":"Anderson","given":"John R."}],"issued":{"date-parts":[["2002",3,5]]}},"label":"page"},{"id":7174,"uris":["http://zotero.org/users/3334739/items/KRVU3KQ2"],"itemData":{"id":7174,"type":"article-journal","abstract":"Understanding the unique functions of different subregions of primate prefrontal cortex has been a longstanding goal in cognitive neuroscience. Yet, the anatomy and function of one of its largest subregions (the frontopolar cortex) remain enigmatic and underspecified. Our Society for Neuroscience minisymposium Primate Frontopolar Cortex: From Circuits to Complex Behaviors will comprise a range of new anatomic and functional approaches that have helped to clarify the basic circuit anatomy of the frontal pole, its functional involvement during performance of cognitively demanding behavioral paradigms in monkeys and humans, and its clinical potential as a target for noninvasive brain stimulation in patients with brain disorders. This review consolidates knowledge about the anatomy and connectivity of frontopolar cortex and provides an integrative summary of its function in primates. We aim to answer the question: what, if anything, does frontopolar cortex contribute to goal-directed cognition and action?","container-title":"Journal of Neuroscience","DOI":"10.1523/JNEUROSCI.1143-22.2022","ISSN":"0270-6474, 1529-2401","issue":"45","journalAbbreviation":"J. Neurosci.","language":"en","license":"Copyright © 2022 the authors. SfN exclusive license.","note":"publisher: Society for Neuroscience\nsection: Symposia\nPMID: 36351824","page":"8508-8513","source":"www.jneurosci.org","title":"What Does the Frontopolar Cortex Contribute to Goal-Directed Cognition and Action?","volume":"42","author":[{"family":"Hogeveen","given":"Jeremy"},{"family":"Medalla","given":"Maria"},{"family":"Ainsworth","given":"Matthew"},{"family":"Galeazzi","given":"Juan M."},{"family":"Hanlon","given":"Colleen A."},{"family":"Mansouri","given":"Farshad Alizadeh"},{"family":"Costa","given":"Vincent D."}],"issued":{"date-parts":[["2022",11,9]]}},"label":"page"},{"id":7173,"uris":["http://zotero.org/users/3334739/items/W9ZLYQSY"],"itemData":{"id":7173,"type":"article-journal","abstract":"In primates, the foremost part of prefrontal cortex (the frontopolar cortex) contains cortical 'area 10', which is of special interest because it is exclusive to primates and proportionally larger in humans than in non-human primates and because it has a pattern of anatomical connections that suggests it sits at the top of a prefrontal hierarchy.Although there are many influential theories of frontopolar function based on human neuroimaging and neuropsychological investigations, its contribution to cognition has not yet been specified.Importantly, lesions of the frontopolar cortex in monkeys lead to a distinct pattern of spared, impaired and, in some cases, enhanced cognitive abilities.Considering all these animal experiments, we conclude that a key specialization of primate frontopolar cortex is in managing competing goals, in part by keeping track of the importance of current and alternative goals, and therefore enabling switching away from ongoing behaviour.A particular set of recent studies in humans combining human neuroimaging and computational modelling has provided a synergistic view with these recent animal studies while also revealing new insights about specific features of the human frontopolar cortex, which we argue has acquired additional but related roles in allowing monitoring of the importance of several competing goals in parallel and switching between them.We consider whether these new functions may be linked to a lateral subdivision of cytoarchitectural area 10, which some data suggest might have no clear monkey counterpart; however, if this is the case, then this function may explain the activation of the lateral frontopolar cortex in several key cognitive paradigms, such as exploration, cognitive branching, abstract reasoning and problem-solving.","container-title":"Nature Reviews Neuroscience","DOI":"10.1038/nrn.2017.111","ISSN":"1471-0048","issue":"11","journalAbbreviation":"Nat Rev Neurosci","language":"en","license":"2017 Springer Nature Limited","note":"number: 11\npublisher: Nature Publishing Group","page":"645-657","source":"www.nature.com","title":"Managing competing goals — a key role for the frontopolar cortex","volume":"18","author":[{"family":"Mansouri","given":"Farshad Alizadeh"},{"family":"Koechlin","given":"Etienne"},{"family":"Rosa","given":"Marcello G. P."},{"family":"Buckley","given":"Mark J."}],"issued":{"date-parts":[["2017",11]]}}}],"schema":"https://github.com/citation-style-language/schema/raw/master/csl-citation.json"} </w:instrText>
      </w:r>
      <w:r w:rsidR="00462853">
        <w:fldChar w:fldCharType="separate"/>
      </w:r>
      <w:r w:rsidR="00462853" w:rsidRPr="00462853">
        <w:rPr>
          <w:rFonts w:cs="Times New Roman"/>
        </w:rPr>
        <w:t>(Ding et al., 2014; Fincham et al., 2002; Hogeveen et al., 2022; Mansouri et al., 2017)</w:t>
      </w:r>
      <w:r w:rsidR="00462853">
        <w:fldChar w:fldCharType="end"/>
      </w:r>
      <w:r w:rsidRPr="00024555">
        <w:t>. This result is expected since the guilty participants have a consistent goal throughout the whole CIT</w:t>
      </w:r>
      <w:r w:rsidR="006E6E1C">
        <w:t xml:space="preserve"> </w:t>
      </w:r>
      <w:r w:rsidR="00DA3814">
        <w:t xml:space="preserve">including pretending not </w:t>
      </w:r>
      <w:r w:rsidR="00817DB7">
        <w:t xml:space="preserve">to </w:t>
      </w:r>
      <w:r w:rsidR="00DA3814">
        <w:t xml:space="preserve">know the crime-related </w:t>
      </w:r>
      <w:r w:rsidR="00B92D89">
        <w:t xml:space="preserve">probe items </w:t>
      </w:r>
      <w:r w:rsidR="00BC37D7">
        <w:t xml:space="preserve">just </w:t>
      </w:r>
      <w:r w:rsidR="00B92D89">
        <w:t xml:space="preserve">as </w:t>
      </w:r>
      <w:r w:rsidR="00A31510">
        <w:t>th</w:t>
      </w:r>
      <w:r w:rsidR="00BC37D7">
        <w:t>ose</w:t>
      </w:r>
      <w:r w:rsidR="00A31510">
        <w:t xml:space="preserve"> </w:t>
      </w:r>
      <w:r w:rsidR="00B92D89">
        <w:t xml:space="preserve">innocent </w:t>
      </w:r>
      <w:r w:rsidR="00330D82">
        <w:t>participants</w:t>
      </w:r>
      <w:r w:rsidR="00DC66E9">
        <w:t xml:space="preserve"> and </w:t>
      </w:r>
      <w:r w:rsidR="00A31510">
        <w:t>behav</w:t>
      </w:r>
      <w:r w:rsidR="00817DB7">
        <w:t>ing</w:t>
      </w:r>
      <w:r w:rsidR="00A31510">
        <w:t xml:space="preserve"> normally to other </w:t>
      </w:r>
      <w:r w:rsidR="003346A9">
        <w:t>irrelevant items</w:t>
      </w:r>
      <w:r w:rsidR="00BC37D7">
        <w:t xml:space="preserve">. </w:t>
      </w:r>
      <w:r w:rsidRPr="00024555">
        <w:t xml:space="preserve">The </w:t>
      </w:r>
      <w:r w:rsidR="00EC28F3" w:rsidRPr="00EC28F3">
        <w:t xml:space="preserve">discriminative </w:t>
      </w:r>
      <w:r w:rsidR="00EC28F3">
        <w:t xml:space="preserve">responses to those </w:t>
      </w:r>
      <w:r w:rsidR="00DA369C">
        <w:t xml:space="preserve">different stimuli need the </w:t>
      </w:r>
      <w:r w:rsidRPr="00024555">
        <w:t>involvement of the goal-processing and planning function in the current study, as well as the corresponding activation of the bilateral SFG, therefore seems reasonable.</w:t>
      </w:r>
    </w:p>
    <w:p w14:paraId="536E2C4C" w14:textId="4E271EB0" w:rsidR="00DB76FF" w:rsidRDefault="00DB76FF" w:rsidP="00DB76FF">
      <w:r>
        <w:rPr>
          <w:rStyle w:val="markedcontent"/>
          <w:rFonts w:cs="Times New Roman"/>
          <w:szCs w:val="24"/>
        </w:rPr>
        <w:t>Although the CIT paradigm</w:t>
      </w:r>
      <w:r w:rsidR="008E7DBE">
        <w:rPr>
          <w:rStyle w:val="markedcontent"/>
          <w:rFonts w:cs="Times New Roman"/>
          <w:szCs w:val="24"/>
        </w:rPr>
        <w:t xml:space="preserve"> for deception detection</w:t>
      </w:r>
      <w:r>
        <w:rPr>
          <w:rStyle w:val="markedcontent"/>
          <w:rFonts w:cs="Times New Roman"/>
          <w:szCs w:val="24"/>
        </w:rPr>
        <w:t xml:space="preserve"> has been </w:t>
      </w:r>
      <w:r w:rsidRPr="002553A7">
        <w:rPr>
          <w:rStyle w:val="markedcontent"/>
          <w:rFonts w:cs="Times New Roman"/>
          <w:szCs w:val="24"/>
        </w:rPr>
        <w:t>systematic</w:t>
      </w:r>
      <w:r>
        <w:rPr>
          <w:rStyle w:val="markedcontent"/>
          <w:rFonts w:cs="Times New Roman"/>
          <w:szCs w:val="24"/>
        </w:rPr>
        <w:t>al</w:t>
      </w:r>
      <w:r>
        <w:rPr>
          <w:rStyle w:val="markedcontent"/>
          <w:rFonts w:cs="Times New Roman" w:hint="eastAsia"/>
          <w:szCs w:val="24"/>
        </w:rPr>
        <w:t>ly</w:t>
      </w:r>
      <w:r>
        <w:rPr>
          <w:rStyle w:val="markedcontent"/>
          <w:rFonts w:cs="Times New Roman"/>
          <w:szCs w:val="24"/>
        </w:rPr>
        <w:t xml:space="preserve"> applied in Japan </w:t>
      </w:r>
      <w:r w:rsidR="00817DB7">
        <w:rPr>
          <w:rStyle w:val="markedcontent"/>
          <w:rFonts w:cs="Times New Roman"/>
          <w:szCs w:val="24"/>
        </w:rPr>
        <w:t xml:space="preserve">for </w:t>
      </w:r>
      <w:r w:rsidR="008E7DBE">
        <w:rPr>
          <w:rStyle w:val="markedcontent"/>
          <w:rFonts w:cs="Times New Roman"/>
          <w:szCs w:val="24"/>
        </w:rPr>
        <w:t>over ten years</w:t>
      </w:r>
      <w:r>
        <w:rPr>
          <w:rStyle w:val="markedcontent"/>
          <w:rFonts w:cs="Times New Roman"/>
          <w:szCs w:val="24"/>
        </w:rPr>
        <w:t xml:space="preserve"> </w:t>
      </w:r>
      <w:r w:rsidR="00462853">
        <w:fldChar w:fldCharType="begin"/>
      </w:r>
      <w:r w:rsidR="00462853">
        <w:instrText xml:space="preserve"> ADDIN ZOTERO_ITEM CSL_CITATION {"citationID":"yILrTyD0","properties":{"formattedCitation":"(Osugi, 2011)","plainCitation":"(Osugi, 2011)","noteIndex":0},"citationItems":[{"id":6482,"uris":["http://zotero.org/users/3334739/items/U5L5UEEK"],"itemData":{"id":6482,"type":"article-journal","container-title":"Memory detection: Theory and application of the Concealed Information Test","DOI":"10.1017/CBO9780511975196.015","page":"253","source":"Google Scholar","title":"Daily application of the concealed information test: Japan","title-short":"14. Daily application of the concealed information test","author":[{"family":"Osugi","given":"Akemi"}],"issued":{"date-parts":[["2011"]]}}}],"schema":"https://github.com/citation-style-language/schema/raw/master/csl-citation.json"} </w:instrText>
      </w:r>
      <w:r w:rsidR="00462853">
        <w:fldChar w:fldCharType="separate"/>
      </w:r>
      <w:r w:rsidR="00462853" w:rsidRPr="00462853">
        <w:rPr>
          <w:rFonts w:cs="Times New Roman"/>
        </w:rPr>
        <w:t>(Osugi, 2011)</w:t>
      </w:r>
      <w:r w:rsidR="00462853">
        <w:fldChar w:fldCharType="end"/>
      </w:r>
      <w:r>
        <w:rPr>
          <w:rStyle w:val="markedcontent"/>
          <w:rFonts w:cs="Times New Roman"/>
          <w:szCs w:val="24"/>
        </w:rPr>
        <w:t xml:space="preserve">, the neuroimaging-based CIT has a long way to go for forensic application. </w:t>
      </w:r>
      <w:r w:rsidRPr="00F14093">
        <w:rPr>
          <w:rStyle w:val="markedcontent"/>
          <w:rFonts w:cs="Times New Roman"/>
          <w:szCs w:val="24"/>
        </w:rPr>
        <w:t>As one of the most typical neuroimaging tools, fMRI has a long history of being used for discovering the neural mechanism of deception</w:t>
      </w:r>
      <w:r>
        <w:t xml:space="preserve"> </w:t>
      </w:r>
      <w:r w:rsidR="00462853">
        <w:fldChar w:fldCharType="begin"/>
      </w:r>
      <w:r w:rsidR="00462853">
        <w:instrText xml:space="preserve"> ADDIN ZOTERO_ITEM CSL_CITATION {"citationID":"5kyBe7OY","properties":{"formattedCitation":"(Ganis et al., 2009; Langleben et al., 2002)","plainCitation":"(Ganis et al., 2009; Langleben et al., 2002)","noteIndex":0},"citationItems":[{"id":4799,"uris":["http://zotero.org/users/3334739/items/HC6IES8D"],"itemData":{"id":4799,"type":"article-journal","abstract":"Two hypotheses were tested using a novel individual differences approach, which identifies rate-limiting brain regions, that is, brain regions in which variations in neural activity predict variations in behavioral performance. The first hypothesis is that the rate-limiting regions that support the production of lies about oneself (self-related) are partially distinct from those underlying the production of lies about other individuals (other-related). The second hypothesis is that a cingulate–insular–prefrontal network found to be rate-limiting for interference tasks is involved in both types of lies. The results confirmed both hypotheses and supported the utility of this individual differences approach in the study of deception in particular, as well in the study of complex cognitive phenomena more generally.","container-title":"Social Neuroscience","DOI":"10.1080/17470910801928271","ISSN":"1747-0919","issue":"6","note":"publisher: Routledge\n_eprint: https://doi.org/10.1080/17470910801928271\nPMID: 18925536","page":"539-553","source":"Taylor and Francis+NEJM","title":"Neural processes underlying self- and other-related lies: An individual difference approach using fMRI","title-short":"Neural processes underlying self- and other-related lies","volume":"4","author":[{"family":"Ganis","given":"Giorgio"},{"family":"Morris","given":"Robert R."},{"family":"Kosslyn","given":"Stephen M."}],"issued":{"date-parts":[["2009",12,1]]}},"label":"page"},{"id":536,"uris":["http://zotero.org/users/3334739/items/5MXRZHUV"],"itemData":{"id":536,"type":"article-journal","container-title":"Neuroimage","DOI":"10.1006/nimg.2001.1003","issue":"3","journalAbbreviation":"Neuroimage","note":"number: 3","page":"727–732","source":"Google Scholar","title":"Brain activity during simulated deception: an event-related functional magnetic resonance study","title-short":"Brain activity during simulated deception","volume":"15","author":[{"family":"Langleben","given":"Daniel D."},{"family":"Schroeder","given":"L."},{"family":"Maldjian","given":"Joseph A."},{"family":"Gur","given":"R. C."},{"family":"McDonald","given":"S."},{"family":"Ragland","given":"John D."},{"family":"O'brien","given":"C. P."},{"family":"Childress","given":"Anna R."}],"issued":{"date-parts":[["2002"]]}},"label":"page"}],"schema":"https://github.com/citation-style-language/schema/raw/master/csl-citation.json"} </w:instrText>
      </w:r>
      <w:r w:rsidR="00462853">
        <w:fldChar w:fldCharType="separate"/>
      </w:r>
      <w:r w:rsidR="00462853" w:rsidRPr="00462853">
        <w:rPr>
          <w:rFonts w:cs="Times New Roman"/>
        </w:rPr>
        <w:t>(Ganis et al., 2009; Langleben et al., 2002)</w:t>
      </w:r>
      <w:r w:rsidR="00462853">
        <w:fldChar w:fldCharType="end"/>
      </w:r>
      <w:r>
        <w:t xml:space="preserve">. </w:t>
      </w:r>
      <w:r w:rsidR="00290994" w:rsidRPr="00290994">
        <w:t xml:space="preserve">Prior studies have typically employed the differentiation of </w:t>
      </w:r>
      <w:r w:rsidR="00817DB7">
        <w:t xml:space="preserve">the </w:t>
      </w:r>
      <w:r w:rsidR="00290994" w:rsidRPr="00290994">
        <w:t>deception paradigm</w:t>
      </w:r>
      <w:r w:rsidR="00671174">
        <w:t xml:space="preserve"> </w:t>
      </w:r>
      <w:r w:rsidR="00671174" w:rsidRPr="00290994">
        <w:t>(D</w:t>
      </w:r>
      <w:r w:rsidR="00671174">
        <w:t>DP</w:t>
      </w:r>
      <w:r w:rsidR="00671174" w:rsidRPr="00290994">
        <w:t xml:space="preserve">) </w:t>
      </w:r>
      <w:r w:rsidR="00290994" w:rsidRPr="00290994">
        <w:t>before transitioning to the CIT paradigm for deception detection.</w:t>
      </w:r>
      <w:r w:rsidRPr="00F14093">
        <w:t xml:space="preserve"> </w:t>
      </w:r>
      <w:r>
        <w:t xml:space="preserve">However, most existing </w:t>
      </w:r>
      <w:r w:rsidR="00A55C42">
        <w:t>fMRI</w:t>
      </w:r>
      <w:r w:rsidR="00817DB7">
        <w:t>-</w:t>
      </w:r>
      <w:r w:rsidR="00A55C42">
        <w:t xml:space="preserve">based </w:t>
      </w:r>
      <w:r w:rsidR="00D24F14">
        <w:t xml:space="preserve">CIT </w:t>
      </w:r>
      <w:r>
        <w:t>studies focused on the neural mechanism underpinning deception, and only</w:t>
      </w:r>
      <w:r w:rsidRPr="00F14093">
        <w:t xml:space="preserve"> </w:t>
      </w:r>
      <w:r>
        <w:t xml:space="preserve">a few </w:t>
      </w:r>
      <w:r w:rsidRPr="00F14093">
        <w:t>studies have already tried</w:t>
      </w:r>
      <w:r w:rsidR="00A55C42">
        <w:t xml:space="preserve"> to detect deception</w:t>
      </w:r>
      <w:r w:rsidRPr="00F14093">
        <w:t xml:space="preserve"> and reported a promising detection accuracy ranging from 0.84 to 1</w:t>
      </w:r>
      <w:r w:rsidR="00462853">
        <w:t xml:space="preserve"> </w:t>
      </w:r>
      <w:r w:rsidR="00462853">
        <w:fldChar w:fldCharType="begin"/>
      </w:r>
      <w:r w:rsidR="00462853">
        <w:instrText xml:space="preserve"> ADDIN ZOTERO_ITEM CSL_CITATION {"citationID":"47gwWHrG","properties":{"formattedCitation":"(Ganis et al., 2011; Hsu et al., 2019; Nose et al., 2009; Peth et al., 2015)","plainCitation":"(Ganis et al., 2011; Hsu et al., 2019; Nose et al., 2009; Peth et al., 2015)","noteIndex":0},"citationItems":[{"id":712,"uris":["http://zotero.org/users/3334739/items/D84RNKV5"],"itemData":{"id":712,"type":"article-journal","abstract":"Functional magnetic resonance imaging (fMRI) studies have documented differences between deceptive and honest responses. Capitalizing on this research, companies marketing fMRI-based lie detection services have been founded, generating methodological and ethical concerns in scientific and legal communities. Critically, no fMRI study has examined directly the effect of countermeasures, methods used by prevaricators to defeat deception detection procedures. An fMRI study was conducted to fill this research gap using a concealed information paradigm in which participants were trained to use countermeasures. Robust group fMRI differences between deceptive and honest responses were found without, but not with countermeasures. Furthermore, in single participants, deception detection accuracy was 100% without countermeasures, using activation in ventrolateral and medial prefrontal cortices, but fell to 33% with countermeasures. These findings show that fMRI-based deception detection measures can be vulnerable to countermeasures, calling for caution before applying these methods to real-world situations.","container-title":"NeuroImage","DOI":"10.1016/j.neuroimage.2010.11.025","ISSN":"1053-8119","issue":"1","journalAbbreviation":"NeuroImage","language":"en","note":"number: 1","page":"312-319","source":"ScienceDirect","title":"Lying in the scanner: Covert countermeasures disrupt deception detection by functional magnetic resonance imaging","title-short":"Lying in the scanner","volume":"55","author":[{"family":"Ganis","given":"Giorgio"},{"family":"Rosenfeld","given":"J. Peter"},{"family":"Meixner","given":"John"},{"family":"Kievit","given":"Rogier A."},{"family":"Schendan","given":"Haline E."}],"issued":{"date-parts":[["2011",3,1]]}},"label":"page"},{"id":683,"uris":["http://zotero.org/users/3334739/items/YWI7PSZY"],"itemData":{"id":683,"type":"article-journal","abstract":"During the last decade and a half, functional magnetic resonance imaging (fMRI) has been used to determine whether it is possible to detect concealed knowledge by examining brain activation patterns, with mixed results. Concealed information tests rely on the logic that a familiar item (probe) elicits a stronger response than unfamiliar, but otherwise comparable items (irrelevants). Previous work has shown that physical countermeasures can artificially modulate neural responses in concealed information tests, decreasing the accuracy of these methods. However, the question remains as to whether purely mental countermeasures, which are much more difficult to detect than physical ones, can also be effective. An fMRI study was conducted to address this question by assessing the effect of attentional countermeasures on the accuracy of the classification between knowledge and no-knowledge cases using both univariate and multivariate analyses. Results replicate previous work and show reliable group activation differences between the probe and the irrelevants in fronto-parietal networks. Critically, classification accuracy was generally reduced by the mental countermeasures, but only significantly so with region of interest analyses (both univariate and multivariate). For whole-brain analyses, classification accuracy was relatively low, but it was not significantly reduced by the countermeasures. These results indicate that mental countermeasure need to be addressed before these paradigms can be used in applied settings and that methods to defeat countermeasures, or at least to detect their use, need to be developed. Highlights FMRI-based concealed information tests are vulnerable to mental countermeasures Measures based on regions of interest are affected by mental countermeasures Whole-brain analyses may be more robust than region of interest ones Methods to detect mental countermeasure use are needed for forensic applications","container-title":"Human Brain Mapping","DOI":"10.1002/hbm.24567","ISSN":"1097-0193","issue":"10","journalAbbreviation":"Hum. Brain Mapp.","language":"en","license":"© 2019 Wiley Periodicals, Inc.","note":"number: 10\n_eprint: https://onlinelibrary.wiley.com/doi/pdf/10.1002/hbm.24567","page":"2899-2916","source":"Wiley Online Library","title":"The effect of mental countermeasures on neuroimaging-based concealed information tests","volume":"40","author":[{"family":"Hsu","given":"Chun-Wei"},{"family":"Begliomini","given":"Chiara"},{"family":"Dall'Acqua","given":"Tommaso"},{"family":"Ganis","given":"Giorgio"}],"issued":{"date-parts":[["2019"]]}},"label":"page"},{"id":474,"uris":["http://zotero.org/users/3334739/items/TRHKHZF8"],"itemData":{"id":474,"type":"article-journal","abstract":"Concealed information, which is information only known to oneself is sometimes crucial for criminal investigation. In this study, we examined cortical activations related to incidental responses to concealed information. We found that cortical responses to stimuli related to concealed information were different from those to other stimuli; the bilateral ventrolateral prefrontal (VLPF) areas, left inferior frontal gyrus, right middle frontal gyrus and right inferior parietal lobule were activated, and among those activated areas, the right VLPF was found to be crucial. Furthermore, we examined by discriminant analysis which cortical areas contribute to the determination of whether the subjects had concealed information. On the basis of the activity in the right VLPF, we were able to correctly identify 32 of the 38 subjects (84.21%) as who had concealed information. These results suggest that the right VLPF may play a crucial role in the incidental processing of concealed information, and we were able to determine whether a subject had concealed information without the need for deceptive responses.","container-title":"NeuroImage","DOI":"10.1016/j.neuroimage.2008.11.002","ISSN":"1053-8119","issue":"4","journalAbbreviation":"NeuroImage","language":"en","page":"1380-1386","source":"ScienceDirect","title":"Disclosing concealed information on the basis of cortical activations","volume":"44","author":[{"family":"Nose","given":"Izuru"},{"family":"Murai","given":"Jun'ichiro"},{"family":"Taira","given":"Masato"}],"issued":{"date-parts":[["2009",2,15]]}},"label":"page"},{"id":653,"uris":["http://zotero.org/users/3334739/items/KEF5VPPX"],"itemData":{"id":653,"type":"article-journal","container-title":"NeuroImage","DOI":"10.1016/j.neuroimage.2015.03.051","page":"164–174","source":"Google Scholar","title":"Memory detection using fMRI—Does the encoding context matter?","volume":"113","author":[{"family":"Peth","given":"Judith"},{"family":"Sommer","given":"Tobias"},{"family":"Hebart","given":"Martin N."},{"family":"Vossel","given":"Gerhard"},{"family":"B</w:instrText>
      </w:r>
      <w:r w:rsidR="00462853">
        <w:rPr>
          <w:rFonts w:hint="eastAsia"/>
        </w:rPr>
        <w:instrText>ü</w:instrText>
      </w:r>
      <w:r w:rsidR="00462853">
        <w:instrText xml:space="preserve">chel","given":"Christian"},{"family":"Gamer","given":"Matthias"}],"issued":{"date-parts":[["2015"]]}},"label":"page"}],"schema":"https://github.com/citation-style-language/schema/raw/master/csl-citation.json"} </w:instrText>
      </w:r>
      <w:r w:rsidR="00462853">
        <w:fldChar w:fldCharType="separate"/>
      </w:r>
      <w:r w:rsidR="00462853" w:rsidRPr="00462853">
        <w:rPr>
          <w:rFonts w:cs="Times New Roman"/>
        </w:rPr>
        <w:t>(Ganis et al., 2011; Hsu et al., 2019; Nose et al., 2009; Peth et al., 2015)</w:t>
      </w:r>
      <w:r w:rsidR="00462853">
        <w:fldChar w:fldCharType="end"/>
      </w:r>
      <w:r w:rsidRPr="00F14093">
        <w:t xml:space="preserve">. On the other hand, </w:t>
      </w:r>
      <w:r w:rsidR="00671174">
        <w:t>the</w:t>
      </w:r>
      <w:r w:rsidR="00671174" w:rsidRPr="00F14093">
        <w:t xml:space="preserve"> </w:t>
      </w:r>
      <w:r w:rsidRPr="00F14093">
        <w:t>emerging brain imaging-</w:t>
      </w:r>
      <w:r w:rsidRPr="00F14093">
        <w:lastRenderedPageBreak/>
        <w:t>based technique, fNIRS, may be more suitable for forensic application due to its lower cost, portability, convenience, less physical restraints, and adapted to more people</w:t>
      </w:r>
      <w:r w:rsidR="00462853">
        <w:t xml:space="preserve"> </w:t>
      </w:r>
      <w:r w:rsidR="00462853">
        <w:fldChar w:fldCharType="begin"/>
      </w:r>
      <w:r w:rsidR="00462853">
        <w:instrText xml:space="preserve"> ADDIN ZOTERO_ITEM CSL_CITATION {"citationID":"9F86btzw","properties":{"formattedCitation":"(Beurskens et al., 2014; Lee et al., 2014; Suda et al., 2010)","plainCitation":"(Beurskens et al., 2014; Lee et al., 2014; Suda et al., 2010)","noteIndex":0},"citationItems":[{"id":7180,"uris":["http://zotero.org/users/3334739/items/28JKGFQT"],"itemData":{"id":7180,"type":"article-journal","abstract":"Background\nPrevious studies suggest that the human gait is under control of higher-order cognitive processes, located in the frontal lobes, such that an age-related degradation of cognitive capabilities has a negative impact on gait.\nMethods\nUsing functional Near-Infrared-Spectroscopy (fNIRS) we investigate the frontocortical hemodynamic correlates of dual-task walking in two conditions. 15 young and 10 older individuals walked on a treadmill while completing concurrent tasks that had either visual (checking) or verbal-memory (alphabet recall) demands. We compared subjects' motor performance, as well as their prefrontal activity in single- and dual-task walking.\nResults\nOur behavioral data partly confirm previous accounts on higher dual-task costs in stepping parameters (i.e., decreased step duration) in old age, particularly with a visual task and negative dual-task cost (i.e., improved performance) during the verbal task in young adults. Functional imaging data revealed little change of prefrontal activation from single- to dual-task walking in young individuals. In the elderly, however, prefrontal activation substantially decreased during dual-task walking with a complex visual task.\nConclusion\nWe interpret these findings as evidence for a shift of processing resources from the prefrontal cortex to other brain regions when seniors face the challenge of walking and concurrently executing a visually demanding task.","container-title":"International Journal of Psychophysiology","DOI":"10.1016/j.ijpsycho.2014.03.005","ISSN":"0167-8760","issue":"3","journalAbbreviation":"International Journal of Psychophysiology","language":"en","page":"122-128","source":"ScienceDirect","title":"Age-related changes in prefrontal activity during walking in dual-task situations: A fNIRS study","title-short":"Age-related changes in prefrontal activity during walking in dual-task situations","volume":"92","author":[{"family":"Beurskens","given":"Rainer"},{"family":"Helmich","given":"Ingo"},{"family":"Rein","given":"Robert"},{"family":"Bock","given":"Otmar"}],"issued":{"date-parts":[["2014",6,1]]}},"label":"page"},{"id":7182,"uris":["http://zotero.org/users/3334739/items/AVJY4298"],"itemData":{"id":7182,"type":"paper-conference","abstract":"Recently, a functional near-infrared spectroscopy (fNIRS) is frequently reported optical brain imaging method from the standpoint of clinical feasibility. This paper was aimed at examining whether fNIRS can be an appropriate brain imaging modality for checking the progress of rehabilitation treatments or not. Two healthy adults performed the given task. Stand to sit task was offered in this study. The results showed that stand to sit movement commonly activated the medial primary motor cortex and primary sensory motor cortex. A fNIRS accurately pointed the brain activity coincided with neurophysiological evidences which were commonly accepted. The results from this study we saw the possibility of the utilizing NIRS into the field of rehabilitation medicine and may contribute to better understanding how motor executions can be expressed into cortical activations.","container-title":"2014 14th International Conference on Control, Automation and Systems (ICCAS 2014)","DOI":"10.1109/ICCAS.2014.6988002","event-title":"2014 14th International Conference on Control, Automation and Systems (ICCAS 2014)","note":"ISSN: 2093-7121","page":"279-281","source":"IEEE Xplore","title":"Cortical activities during a stand to sit movement using fNIRS","author":[{"family":"Lee","given":"Seung Hyun"},{"family":"Jang","given":"Gwanghee"},{"family":"Jin","given":"Sang Hyeon"},{"family":"Park","given":"Ji","dropping-particle":"ho"},{"family":"Lee","given":"Yoo Jung"},{"family":"Lee","given":"Jong Min"},{"family":"Kim","given":"Seung-Jong"},{"family":"An","given":"Jinung"}],"issued":{"date-parts":[["2014",10]]}},"label":"page"},{"id":7183,"uris":["http://zotero.org/users/3334739/items/VP7TP33W"],"itemData":{"id":7183,"type":"article-journal","abstract":"Near-infrared spectroscopy (NIRS) is a functional brain imaging technique for monitoring brain activation in a natural setting using near-infrared light, and hence, is considered to have some advantages for studies of brain function during social interactions such as face-to-face conversation compared with functional magnetic resonance imaging and positron emission tomography, which have methodological constraints for studying brain mechanisms underlying social interactions: subjects have to lie down on a bed in a small gantry during examination. The purpose of this study was to validate the possible use of NIRS as a functional brain imaging technique for studying social interactions in a natural setting; therefore, we investigated frontal and temporal lobe activation during face-to-face conversation in healthy subjects in the sitting position. The frontal and superior temporal regions were activated during face-to-face conversation, with higher activity in the speaking segments than in the mute segments during conversation particularly in frontopolar NIRS channels. The magnitude of frontopolar activity negatively correlated with the cooperativeness score of the subjects assessed using the temperament and character inventory. These results demonstrated the successful monitoring of brain function during realistic social interactions using NIRS and interindividual differences in frontopolar activity during conversation in relation to the cooperativeness of an individual.","container-title":"Neuropsychologia","DOI":"10.1016/j.neuropsychologia.2009.09.036","ISSN":"0028-3932","issue":"2","journalAbbreviation":"Neuropsychologia","language":"en","page":"441-447","source":"ScienceDirect","title":"Frontopolar activation during face-to-face conversation: An in situ study using near-infrared spectroscopy","title-short":"Frontopolar activation during face-to-face conversation","volume":"48","author":[{"family":"Suda","given":"Masashi"},{"family":"Takei","given":"Yuichi"},{"family":"Aoyama","given":"Yoshiyuki"},{"family":"Narita","given":"Kosuke"},{"family":"Sato","given":"Toshimasa"},{"family":"Fukuda","given":"Masato"},{"family":"Mikuni","given":"Masahiko"}],"issued":{"date-parts":[["2010",1,1]]}},"label":"page"}],"schema":"https://github.com/citation-style-language/schema/raw/master/csl-citation.json"} </w:instrText>
      </w:r>
      <w:r w:rsidR="00462853">
        <w:fldChar w:fldCharType="separate"/>
      </w:r>
      <w:r w:rsidR="00462853" w:rsidRPr="00462853">
        <w:rPr>
          <w:rFonts w:cs="Times New Roman"/>
        </w:rPr>
        <w:t>(Beurskens et al., 2014; Lee et al., 2014; Suda et al., 2010)</w:t>
      </w:r>
      <w:r w:rsidR="00462853">
        <w:fldChar w:fldCharType="end"/>
      </w:r>
      <w:r w:rsidRPr="00F14093">
        <w:t xml:space="preserve">. Consistent with previous fNIRS studies which </w:t>
      </w:r>
      <w:r>
        <w:t>have</w:t>
      </w:r>
      <w:r w:rsidRPr="00F14093">
        <w:t xml:space="preserve"> proved the validation of f</w:t>
      </w:r>
      <w:r>
        <w:t>NIRS</w:t>
      </w:r>
      <w:r w:rsidRPr="00F14093">
        <w:t>-based deception detection</w:t>
      </w:r>
      <w:r w:rsidR="00462853">
        <w:t xml:space="preserve"> </w:t>
      </w:r>
      <w:r w:rsidR="00462853">
        <w:fldChar w:fldCharType="begin"/>
      </w:r>
      <w:r w:rsidR="00462853">
        <w:instrText xml:space="preserve"> ADDIN ZOTERO_ITEM CSL_CITATION {"citationID":"IP6WfQxr","properties":{"formattedCitation":"(Sai, Zhou, et al., 2014; Wang et al., 2022)","plainCitation":"(Sai, Zhou, et al., 2014; Wang et al., 2022)","noteIndex":0},"citationItems":[{"id":516,"uris":["http://zotero.org/users/3334739/items/KQYVKXQP"],"itemData":{"id":516,"type":"article-journal","abstract":"The present study focused on the potential application of fNIRS in the detection of concealed information. Participants either committed a mock crime or not and then were presented with a randomized series of probes (crime-related information) and irrelevants (crime-irrelevant information) in a standard concealed information test (CIT). Participants in the guilty group were instructed to conceal crime-related information they obtained from the mock crime, thus making deceptive response to the probes. Meanwhile, their brain activity to probes and irrelevants was recorded by functional near-infrared spectroscopy (fNIRS). At the group level, we found that probe items were associated with longer reaction times and greater activity in bilateral dorsolateral prefrontal cortex and supplementary motor cortex than irrelevant items in the guilty group, but not in the innocent group. These findings provided evidence on neural correlates of recognition during a CIT. Finally, on the basis of the activity in bilateral dorsolateral prefrontal cortex and supplementary motor cortex, the correct classification of guilty versus innocent participants was approximately 75 % and the combination of fNIRS and reaction time measures yielded a better classification rate of 83.3 %. These findings illustrate the feasibility and promise of using fNIRS to detect concealed information.","container-title":"Brain Topography","DOI":"10.1007/s10548-014-0352-z","ISSN":"1573-6792","issue":"5","journalAbbreviation":"Brain Topogr","language":"eng","note":"PMID: 24514911","page":"652-662","source":"PubMed","title":"Detecting concealed information using functional near-infrared spectroscopy","volume":"27","author":[{"family":"Sai","given":"Liyang"},{"family":"Zhou","given":"Xiaomei"},{"family":"Ding","given":"Xiao Pan"},{"family":"Fu","given":"Genyue"},{"family":"Sang","given":"Biao"}],"issued":{"date-parts":[["2014",9]]}}},{"id":3639,"uris":["http://zotero.org/users/3334739/items/66E9N3B5"],"itemData":{"id":3639,"type":"article-journal","abstract":"In this study, brain imaging data from functional near-infrared spectroscopy (fNIRS) associated with skin conductance response (SCR), heart rate (HR), and reaction time (RT) were combined to determine if the combination of these indicators could improve the efficiency of deception detection in concealed information test (CIT). During the CIT, participants were presented with a series of names and cities that served as target, probe, or irrelevant stimuli. In the guilty group, the probe stimuli were the participants’ own names and hometown cities, and they were asked to deny this information. Our results revealed that probe items were associated with longer RT, larger SCR, slower HR, and higher oxyhemoglobin (HbO) concentration changes in the inferior prefrontal gyrus (IFG), middle frontal gyrus (MFG), and the superior frontal gyrus (SFG) compared with irrelevant items for participants in the guilty group but not in the innocent group. Furthermore, our results suggested that the combination of RT, SCR, HR, and fNIRS indicators could improve the deception detection efficiency to a very high area under the ROC curve (0.94) compared with any of the single indicators (0.74–0.89). The improved deception detection efficiency might be attributed to the reduction of random error and the diversiform underlying the psychophysiological mechanisms reflected by each indicator. These findings demonstrate a feasible way to improve the deception detection efficiency by using combined multiple indicators.","container-title":"Psychophysiology","DOI":"10/gppmbn","ISSN":"1469-8986","issue":"n/a","language":"en","note":"_eprint: https://onlinelibrary.wiley.com/doi/pdf/10.1111/psyp.14029","page":"e14029","source":"Wiley Online Library","title":"Detecting concealed information using functional near-infrared spectroscopy (fNIRS) combined with skin conductance, heart rate, and behavioral measures","volume":"n/a","author":[{"family":"Wang","given":"Di"},{"family":"Wang","given":"Chongxiang"},{"family":"Yi","given":"Xingyu"},{"family":"Sai","given":"Liyang"},{"family":"Fu","given":"Genyue"},{"family":"Lin","given":"Xiaohong Allison"}],"issued":{"date-parts":[["2022",2,22]]}},"label":"page"}],"schema":"https://github.com/citation-style-language/schema/raw/master/csl-citation.json"} </w:instrText>
      </w:r>
      <w:r w:rsidR="00462853">
        <w:fldChar w:fldCharType="separate"/>
      </w:r>
      <w:r w:rsidR="00462853" w:rsidRPr="00462853">
        <w:rPr>
          <w:rFonts w:cs="Times New Roman"/>
        </w:rPr>
        <w:t>(Sai, Zhou, et al., 2014; Wang et al., 2022)</w:t>
      </w:r>
      <w:r w:rsidR="00462853">
        <w:fldChar w:fldCharType="end"/>
      </w:r>
      <w:r w:rsidRPr="00F14093">
        <w:t>, the current study applied fNIRS to the CIT with a prior mock crime</w:t>
      </w:r>
      <w:r w:rsidR="00B85E3A">
        <w:t xml:space="preserve">, </w:t>
      </w:r>
      <w:r w:rsidR="00DB59D0">
        <w:t xml:space="preserve">and </w:t>
      </w:r>
      <w:r w:rsidR="00DB59D0">
        <w:rPr>
          <w:rFonts w:hint="eastAsia"/>
        </w:rPr>
        <w:t>t</w:t>
      </w:r>
      <w:r w:rsidRPr="00F14093">
        <w:t>he results showed that fNIRS could effectively distinguish guilty from innocent participants with satisfactory deception detection effi</w:t>
      </w:r>
      <w:r w:rsidRPr="002C5BEF">
        <w:t>ciency (AUC = 0.8</w:t>
      </w:r>
      <w:r w:rsidR="00401D6A" w:rsidRPr="002C5BEF">
        <w:t>1</w:t>
      </w:r>
      <w:r w:rsidR="00DB59D0" w:rsidRPr="002C5BEF">
        <w:t xml:space="preserve"> with all </w:t>
      </w:r>
      <w:r w:rsidR="00E314AE" w:rsidRPr="002C5BEF">
        <w:t xml:space="preserve">24 </w:t>
      </w:r>
      <w:r w:rsidR="00DB59D0" w:rsidRPr="002C5BEF">
        <w:t>channels</w:t>
      </w:r>
      <w:r w:rsidR="00CC380A" w:rsidRPr="002C5BEF">
        <w:t xml:space="preserve">; </w:t>
      </w:r>
      <w:r w:rsidR="00A55C42" w:rsidRPr="002C5BEF">
        <w:t xml:space="preserve">or AUC = 0.86 with </w:t>
      </w:r>
      <w:r w:rsidR="000A3A63" w:rsidRPr="002C5BEF">
        <w:t>channel 8</w:t>
      </w:r>
      <w:r w:rsidRPr="002C5BEF">
        <w:t>).</w:t>
      </w:r>
      <w:r w:rsidRPr="00F14093" w:rsidDel="00F14093">
        <w:t xml:space="preserve"> </w:t>
      </w:r>
    </w:p>
    <w:p w14:paraId="44A65240" w14:textId="0BDA26B6" w:rsidR="00DB76FF" w:rsidRDefault="00DB76FF" w:rsidP="00DB76FF">
      <w:pPr>
        <w:rPr>
          <w:rFonts w:eastAsia="宋体"/>
          <w:kern w:val="0"/>
        </w:rPr>
      </w:pPr>
      <w:r w:rsidRPr="00786577">
        <w:rPr>
          <w:rFonts w:eastAsia="宋体"/>
          <w:kern w:val="0"/>
        </w:rPr>
        <w:t>Previous studies have shown that combining multiple indicators could reduce system errors and thus enhance deception detection efficiency</w:t>
      </w:r>
      <w:r w:rsidR="00462853">
        <w:rPr>
          <w:rFonts w:eastAsia="宋体"/>
          <w:kern w:val="0"/>
        </w:rPr>
        <w:t xml:space="preserve"> </w:t>
      </w:r>
      <w:r w:rsidR="00462853">
        <w:rPr>
          <w:rFonts w:eastAsia="宋体"/>
          <w:kern w:val="0"/>
        </w:rPr>
        <w:fldChar w:fldCharType="begin"/>
      </w:r>
      <w:r w:rsidR="00462853">
        <w:rPr>
          <w:rFonts w:eastAsia="宋体"/>
          <w:kern w:val="0"/>
        </w:rPr>
        <w:instrText xml:space="preserve"> ADDIN ZOTERO_ITEM CSL_CITATION {"citationID":"JXp60FqI","properties":{"formattedCitation":"(Gamer et al., 2008; Klein Selle et al., 2016, 2017; Wang et al., 2022)","plainCitation":"(Gamer et al., 2008; Klein Selle et al., 2016, 2017; Wang et al., 2022)","noteIndex":0},"citationItems":[{"id":471,"uris":["http://zotero.org/users/3334739/items/K6J4Q7UB"],"itemData":{"id":471,"type":"article-journal","abstract":"Meta-analytic research has confirmed that skin conductance response (SCR) measures have high validity for the detection of concealed information. Furthermore, cumulating research has provided evidence for the validity of two other autonomic measures: Heart rate (HR) and Respiration Line Length (RLL). In the present report, we compared SCR detection efficiency with HR and RLL, and investigated whether HR and RLL provide incremental validity to electrodermal responses. Analyses were based on data from 7 different samples covering 275 guilty and 53 innocent examinees. Results revealed that the area under the ROC curve was significantly higher for SCR than for HR and RLL. A weighted combination of these measures using a logistic regression model yielded slightly larger validity coefficients than the best single measure. These results proved to be stable across different protocols and various samples.","container-title":"Physiology &amp; Behavior","DOI":"10.1016/j.physbeh.2008.06.011","ISSN":"0031-9384","issue":"3","journalAbbreviation":"Physiology &amp; Behavior","language":"en","page":"333-340","source":"ScienceDirect","title":"Combining physiological measures in the detection of concealed information","volume":"95","author":[{"family":"Gamer","given":"Matthias"},{"family":"Verschuere","given":"Bruno"},{"family":"Crombez","given":"Geert"},{"family":"Vossel","given":"Gerhard"}],"issued":{"date-parts":[["2008",10,20]]}},"label":"page"},{"id":472,"uris":["http://zotero.org/users/3334739/items/ZJIT8RQL"],"itemData":{"id":472,"type":"article-journal","abstract":"The Concealed Information Test (CIT) provides a valid tool for psychophysiological detection of concealed knowledge. However, its precise theoretical underpinnings remain a matter of debate. The differential physiological responses elicited by concealed, relevant items, relative to control items, were traditionally explained as reflecting an orienting response (OR). According to an alternative account, these responses reflect attempts to inhibit arousal. The present study examined whether and to what extent CIT detection efficiency is affected by instructions aimed at manipulating arousal inhibition (AI). One hundred and forty-eight undergraduate students completed a CIT, while electrodermal, cardiac, and respiratory measures were recorded. Half of the participants were requested to imagine that they are suspected of committing a crime and were motivated to avoid detection (presumably eliciting both OR and AI), while the other half were requested to imagine that they are witnesses of a crime and were motivated to be detected (presumably eliciting OR only). All participants were further requested to remain silent throughout the test. In both conditions, concealed items led to a similar increase in skin conductance as compared to the control items. However, the typically observed heart rate deceleration and respiratory suppression were found in suspects, but not in witnesses. These data imply that different mechanisms drive the responding of different psychophysiological measures used in the CIT, with skin conductance reflecting OR, and heart rate and respiration primarily reflecting AI.","container-title":"Psychophysiology","DOI":"10.1111/psyp.12583","ISSN":"1469-8986","issue":"4","language":"en","note":"_eprint: https://onlinelibrary.wiley.com/doi/pdf/10.1111/psyp.12583","page":"579-590","source":"Wiley Online Library","title":"Orienting versus inhibition in the Concealed Information Test: Different cognitive processes drive different physiological measures","title-short":"Orienting versus inhibition in the Concealed Information Test","volume":"53","author":[{"family":"Klein Selle","given":"Nathalie"},{"family":"Verschuere","given":"Bruno"},{"family":"Kindt","given":"Merel"},{"family":"Meijer","given":"Ewout"},{"family":"Ben-Shakhar","given":"Gershon"}],"issued":{"date-parts":[["2016"]]}}},{"id":7139,"uris":["http://zotero.org/users/3334739/items/FGV23A3C"],"itemData":{"id":7139,"type":"article-journal","abstract":"The Concealed Information Test (CIT) is a well-validated tool for physiological and behavioral detection of concealed knowledge. Two distinct theoretical frameworks have been proposed to explain the differential responses to the concealed critical items: orienting response theory versus arousal inhibition theory. klein Selle, Verschuere, Kindt, Meijer, and Ben-Shakhar (2016), however, argued for a response fractionation model and showed that, while the skin conductance reflects pure orienting, both the respiratory and heart rate measures reflect arousal inhibition. The present study intends to (1) provide a constructive replication of klein Selle et al. (2016) using the autobiographical CIT, and (2) extend their work by testing an additional prediction derived from orienting theory, using an item-salience manipulation. One hundred and nine participants were tested on four high salient and four low salient identity items. Half of the participants were motivated to hide their identity (orienting + arousal inhibition), while the other half were motivated to reveal their identity (orienting only). Confirming earlier findings, the results revealed a fractionation between the different measures: while the skin conductance response (SCR) increased to a similar extent in the two motivational conditions, the respiration line length (RLL) shortened and the heart rate (HR) decelerated solely in the conceal condition. Moreover, while the SCR was larger for high than for low salient critical items, the RLL and HR responses were similar for these two item types. These data led us to conclude that, in the CIT, the skin conductance measure reflects orienting and the respiratory and heart rate measures reflect arousal inhibition.","container-title":"Psychophysiology","DOI":"10.1111/psyp.12825","ISSN":"1469-8986","issue":"4","language":"en","license":"© 2017 Society for Psychophysiological Research","note":"_eprint: https://onlinelibrary.wiley.com/doi/pdf/10.1111/psyp.12825","page":"628-639","source":"Wiley Online Library","title":"Unraveling the roles of orienting and inhibition in the Concealed Information Test","volume":"54","author":[{"family":"Klein Selle","given":"Nathalie"},{"family":"Verschuere","given":"Bruno"},{"family":"Kindt","given":"Merel"},{"family":"Meijer","given":"Ewout"},{"family":"Ben-Shakhar","given":"Gershon"}],"issued":{"date-parts":[["2017"]]}},"label":"page"},{"id":3639,"uris":["http://zotero.org/users/3334739/items/66E9N3B5"],"itemData":{"id":3639,"type":"article-journal","abstract":"In this study, brain imaging data from functional near-infrared spectroscopy (fNIRS) associated with skin conductance response (SCR), heart rate (HR), and reaction time (RT) were combined to determine if the combination of these indicators could improve the efficiency of deception detection in concealed information test (CIT). During the CIT, participants were presented with a series of names and cities that served as target, probe, or irrelevant stimuli. In the guilty group, the probe stimuli were the participants’ own names and hometown cities, and they were asked to deny this information. Our results revealed that probe items were associated with longer RT, larger SCR, slower HR, and higher oxyhemoglobin (HbO) concentration changes in the inferior prefrontal gyrus (IFG), middle frontal gyrus (MFG), and the superior frontal gyrus (SFG) compared with irrelevant items for participants in the guilty group but not in the innocent group. Furthermore, our results suggested that the combination of RT, SCR, HR, and fNIRS indicators could improve the deception detection efficiency to a very high area under the ROC curve (0.94) compared with any of the single indicators (0.74–0.89). The improved deception detection efficiency might be attributed to the reduction of random error and the diversiform underlying the psychophysiological mechanisms reflected by each indicator. These findings demonstrate a feasible way to improve the deception detection efficiency by using combined multiple indicators.","container-title":"Psychophysiology","DOI":"10/gppmbn","ISSN":"1469-8986","issue":"n/a","language":"en","note":"_eprint: https://onlinelibrary.wiley.com/doi/pdf/10.1111/psyp.14029","page":"e14029","source":"Wiley Online Library","title":"Detecting concealed information using functional near-infrared spectroscopy (fNIRS) combined with skin conductance, heart rate, and behavioral measures","volume":"n/a","author":[{"family":"Wang","given":"Di"},{"family":"Wang","given":"Chongxiang"},{"family":"Yi","given":"Xingyu"},{"family":"Sai","given":"Liyang"},{"family":"Fu","given":"Genyue"},{"family":"Lin","given":"Xiaohong Allison"}],"issued":{"date-parts":[["2022",2,22]]}},"label":"page"}],"schema":"https://github.com/citation-style-language/schema/raw/master/csl-citation.json"} </w:instrText>
      </w:r>
      <w:r w:rsidR="00462853">
        <w:rPr>
          <w:rFonts w:eastAsia="宋体"/>
          <w:kern w:val="0"/>
        </w:rPr>
        <w:fldChar w:fldCharType="separate"/>
      </w:r>
      <w:r w:rsidR="00462853" w:rsidRPr="00462853">
        <w:rPr>
          <w:rFonts w:cs="Times New Roman"/>
        </w:rPr>
        <w:t>(Gamer et al., 2008; Klein Selle et al., 2016, 2017; Wang et al., 2022)</w:t>
      </w:r>
      <w:r w:rsidR="00462853">
        <w:rPr>
          <w:rFonts w:eastAsia="宋体"/>
          <w:kern w:val="0"/>
        </w:rPr>
        <w:fldChar w:fldCharType="end"/>
      </w:r>
      <w:r w:rsidRPr="00786577">
        <w:rPr>
          <w:rFonts w:eastAsia="宋体"/>
          <w:kern w:val="0"/>
        </w:rPr>
        <w:t xml:space="preserve">. For example, </w:t>
      </w:r>
      <w:r w:rsidR="00B9371B" w:rsidRPr="00C04655">
        <w:rPr>
          <w:rFonts w:eastAsia="宋体"/>
          <w:kern w:val="0"/>
        </w:rPr>
        <w:t xml:space="preserve">Gamer et al. </w:t>
      </w:r>
      <w:r w:rsidR="00B9371B">
        <w:rPr>
          <w:rFonts w:eastAsia="宋体"/>
          <w:kern w:val="0"/>
        </w:rPr>
        <w:fldChar w:fldCharType="begin"/>
      </w:r>
      <w:r w:rsidR="00B9371B">
        <w:rPr>
          <w:rFonts w:eastAsia="宋体"/>
          <w:kern w:val="0"/>
        </w:rPr>
        <w:instrText xml:space="preserve"> ADDIN ZOTERO_ITEM CSL_CITATION {"citationID":"iDUC94fd","properties":{"formattedCitation":"(Gamer et al., 2008)","plainCitation":"(Gamer et al., 2008)","dontUpdate":true,"noteIndex":0},"citationItems":[{"id":471,"uris":["http://zotero.org/users/3334739/items/K6J4Q7UB"],"itemData":{"id":471,"type":"article-journal","abstract":"Meta-analytic research has confirmed that skin conductance response (SCR) measures have high validity for the detection of concealed information. Furthermore, cumulating research has provided evidence for the validity of two other autonomic measures: Heart rate (HR) and Respiration Line Length (RLL). In the present report, we compared SCR detection efficiency with HR and RLL, and investigated whether HR and RLL provide incremental validity to electrodermal responses. Analyses were based on data from 7 different samples covering 275 guilty and 53 innocent examinees. Results revealed that the area under the ROC curve was significantly higher for SCR than for HR and RLL. A weighted combination of these measures using a logistic regression model yielded slightly larger validity coefficients than the best single measure. These results proved to be stable across different protocols and various samples.","container-title":"Physiology &amp; Behavior","DOI":"10.1016/j.physbeh.2008.06.011","ISSN":"0031-9384","issue":"3","journalAbbreviation":"Physiology &amp; Behavior","language":"en","page":"333-340","source":"ScienceDirect","title":"Combining physiological measures in the detection of concealed information","volume":"95","author":[{"family":"Gamer","given":"Matthias"},{"family":"Verschuere","given":"Bruno"},{"family":"Crombez","given":"Geert"},{"family":"Vossel","given":"Gerhard"}],"issued":{"date-parts":[["2008",10,20]]}}}],"schema":"https://github.com/citation-style-language/schema/raw/master/csl-citation.json"} </w:instrText>
      </w:r>
      <w:r w:rsidR="00B9371B">
        <w:rPr>
          <w:rFonts w:eastAsia="宋体"/>
          <w:kern w:val="0"/>
        </w:rPr>
        <w:fldChar w:fldCharType="separate"/>
      </w:r>
      <w:r w:rsidR="00B9371B" w:rsidRPr="00462853">
        <w:rPr>
          <w:rFonts w:cs="Times New Roman"/>
        </w:rPr>
        <w:t>(2008)</w:t>
      </w:r>
      <w:r w:rsidR="00B9371B">
        <w:rPr>
          <w:rFonts w:eastAsia="宋体"/>
          <w:kern w:val="0"/>
        </w:rPr>
        <w:fldChar w:fldCharType="end"/>
      </w:r>
      <w:r w:rsidR="00B9371B" w:rsidRPr="00C04655">
        <w:rPr>
          <w:rFonts w:eastAsia="宋体"/>
          <w:kern w:val="0"/>
        </w:rPr>
        <w:t xml:space="preserve"> found a</w:t>
      </w:r>
      <w:r w:rsidR="00B9371B">
        <w:rPr>
          <w:rFonts w:eastAsia="宋体"/>
          <w:kern w:val="0"/>
        </w:rPr>
        <w:t>n</w:t>
      </w:r>
      <w:r w:rsidR="00B9371B" w:rsidRPr="00C04655">
        <w:rPr>
          <w:rFonts w:eastAsia="宋体"/>
          <w:kern w:val="0"/>
        </w:rPr>
        <w:t xml:space="preserve"> improvement in detection efficiency</w:t>
      </w:r>
      <w:r w:rsidR="00B9371B">
        <w:rPr>
          <w:rFonts w:eastAsia="宋体"/>
          <w:kern w:val="0"/>
        </w:rPr>
        <w:t xml:space="preserve"> by </w:t>
      </w:r>
      <w:r w:rsidR="00817DB7">
        <w:rPr>
          <w:rFonts w:eastAsia="宋体"/>
          <w:kern w:val="0"/>
        </w:rPr>
        <w:t xml:space="preserve">the </w:t>
      </w:r>
      <w:r w:rsidR="00B9371B">
        <w:rPr>
          <w:rFonts w:eastAsia="宋体"/>
          <w:kern w:val="0"/>
        </w:rPr>
        <w:t xml:space="preserve">combination of multiple </w:t>
      </w:r>
      <w:r w:rsidR="00B9371B" w:rsidRPr="00786577">
        <w:rPr>
          <w:rFonts w:eastAsia="宋体"/>
          <w:kern w:val="0"/>
        </w:rPr>
        <w:t>autonomic</w:t>
      </w:r>
      <w:r w:rsidR="00B9371B" w:rsidRPr="00C04655" w:rsidDel="00B9371B">
        <w:rPr>
          <w:rFonts w:eastAsia="宋体"/>
          <w:kern w:val="0"/>
        </w:rPr>
        <w:t xml:space="preserve"> </w:t>
      </w:r>
      <w:r w:rsidR="00B9371B">
        <w:rPr>
          <w:rFonts w:eastAsia="宋体"/>
          <w:kern w:val="0"/>
        </w:rPr>
        <w:t>indic</w:t>
      </w:r>
      <w:r w:rsidR="00817DB7">
        <w:rPr>
          <w:rFonts w:eastAsia="宋体"/>
          <w:kern w:val="0"/>
        </w:rPr>
        <w:t>a</w:t>
      </w:r>
      <w:r w:rsidR="00B9371B">
        <w:rPr>
          <w:rFonts w:eastAsia="宋体"/>
          <w:kern w:val="0"/>
        </w:rPr>
        <w:t xml:space="preserve">tors. </w:t>
      </w:r>
      <w:r w:rsidR="00B9371B" w:rsidRPr="00C04655">
        <w:rPr>
          <w:rFonts w:eastAsia="宋体"/>
          <w:kern w:val="0"/>
        </w:rPr>
        <w:t xml:space="preserve">Likewise, </w:t>
      </w:r>
      <w:r w:rsidRPr="00786577">
        <w:rPr>
          <w:rFonts w:eastAsia="宋体"/>
          <w:kern w:val="0"/>
        </w:rPr>
        <w:t xml:space="preserve">Matsuda et al., </w:t>
      </w:r>
      <w:r w:rsidR="00462853">
        <w:rPr>
          <w:rFonts w:eastAsia="宋体"/>
          <w:kern w:val="0"/>
        </w:rPr>
        <w:fldChar w:fldCharType="begin"/>
      </w:r>
      <w:r w:rsidR="00462853">
        <w:rPr>
          <w:rFonts w:eastAsia="宋体"/>
          <w:kern w:val="0"/>
        </w:rPr>
        <w:instrText xml:space="preserve"> ADDIN ZOTERO_ITEM CSL_CITATION {"citationID":"uiJJhKCo","properties":{"formattedCitation":"(Matsuda et al., 2011)","plainCitation":"(Matsuda et al., 2011)","dontUpdate":true,"noteIndex":0},"citationItems":[{"id":7113,"uris":["http://zotero.org/users/3334739/items/53BXIUGN"],"itemData":{"id":7113,"type":"article-journal","abstract":"The concealed information test (CIT) assesses an examinee's crime-relevant memory on the basis of physiological differences between crime-relevant and irrelevant items. The CIT based on autonomic measures has been used for criminal investigations, while the CIT based on event-related potentials (ERPs) has been suggested as a useful alternative. To combine these two methods, we developed a quantification method of ERPs measured in the autonomic-based CIT where each item was repeated only 5 times. Results showed that the peak amplitude of the ERP difference wave between crime-relevant and irrelevant items could discriminate between guilty and innocent participants effectively even when only 5 trials were used for averaging. This ERP measure could detect some participants who were missed by the autonomic measures. Combining the ERP and autonomic measures significantly improved the discrimination performance of the autonomic-based CIT.","container-title":"Psychophysiology","DOI":"10.1111/j.1469-8986.2011.01266.x","ISSN":"1469-8986","issue":"12","language":"en","license":"Copyright © 2011 Society for Psychophysiological Research","note":"_eprint: https://onlinelibrary.wiley.com/doi/pdf/10.1111/j.1469-8986.2011.01266.x","page":"1701-1710","source":"Wiley Online Library","title":"Event-related potentials increase the discrimination performance of the autonomic-based concealed information test","volume":"48","author":[{"family":"Matsuda","given":"Izumi"},{"family":"Nittono","given":"Hiroshi"},{"family":"Ogawa","given":"Tokihiro"}],"issued":{"date-parts":[["2011"]]}}}],"schema":"https://github.com/citation-style-language/schema/raw/master/csl-citation.json"} </w:instrText>
      </w:r>
      <w:r w:rsidR="00462853">
        <w:rPr>
          <w:rFonts w:eastAsia="宋体"/>
          <w:kern w:val="0"/>
        </w:rPr>
        <w:fldChar w:fldCharType="separate"/>
      </w:r>
      <w:r w:rsidR="00462853" w:rsidRPr="00462853">
        <w:rPr>
          <w:rFonts w:cs="Times New Roman"/>
        </w:rPr>
        <w:t>(2011)</w:t>
      </w:r>
      <w:r w:rsidR="00462853">
        <w:rPr>
          <w:rFonts w:eastAsia="宋体"/>
          <w:kern w:val="0"/>
        </w:rPr>
        <w:fldChar w:fldCharType="end"/>
      </w:r>
      <w:r w:rsidRPr="00786577">
        <w:rPr>
          <w:rFonts w:eastAsia="宋体"/>
          <w:kern w:val="0"/>
        </w:rPr>
        <w:t xml:space="preserve"> used both ERP and autonomic measurements in the CIT and found that introducing ERP data c</w:t>
      </w:r>
      <w:r w:rsidRPr="002C5BEF">
        <w:rPr>
          <w:rFonts w:eastAsia="宋体"/>
          <w:kern w:val="0"/>
        </w:rPr>
        <w:t>ould increase</w:t>
      </w:r>
      <w:r w:rsidR="00925335" w:rsidRPr="002C5BEF">
        <w:rPr>
          <w:rFonts w:eastAsia="宋体"/>
          <w:kern w:val="0"/>
        </w:rPr>
        <w:t xml:space="preserve"> the</w:t>
      </w:r>
      <w:r w:rsidRPr="002C5BEF">
        <w:rPr>
          <w:rFonts w:eastAsia="宋体"/>
          <w:kern w:val="0"/>
        </w:rPr>
        <w:t xml:space="preserve"> </w:t>
      </w:r>
      <w:r w:rsidR="007C7F20" w:rsidRPr="002C5BEF">
        <w:rPr>
          <w:rFonts w:eastAsia="宋体"/>
          <w:kern w:val="0"/>
        </w:rPr>
        <w:t xml:space="preserve">detection efficiency of </w:t>
      </w:r>
      <w:r w:rsidRPr="002C5BEF">
        <w:rPr>
          <w:rFonts w:eastAsia="宋体"/>
          <w:kern w:val="0"/>
        </w:rPr>
        <w:t>autonomic-based CIT.</w:t>
      </w:r>
      <w:r w:rsidRPr="00786577">
        <w:rPr>
          <w:rFonts w:eastAsia="宋体"/>
          <w:kern w:val="0"/>
        </w:rPr>
        <w:t xml:space="preserve"> However, another fMRI study found that combining autonomic measurements with fMRI-based CIT did not improve deception detection accuracy </w:t>
      </w:r>
      <w:r w:rsidR="00462853">
        <w:rPr>
          <w:rFonts w:eastAsia="宋体"/>
          <w:kern w:val="0"/>
        </w:rPr>
        <w:fldChar w:fldCharType="begin"/>
      </w:r>
      <w:r w:rsidR="00462853">
        <w:rPr>
          <w:rFonts w:eastAsia="宋体"/>
          <w:kern w:val="0"/>
        </w:rPr>
        <w:instrText xml:space="preserve"> ADDIN ZOTERO_ITEM CSL_CITATION {"citationID":"Jqjsm0j3","properties":{"formattedCitation":"(Kozel et al., 2009)","plainCitation":"(Kozel et al., 2009)","noteIndex":0},"citationItems":[{"id":719,"uris":["http://zotero.org/users/3334739/items/HR6W5QFU"],"itemData":{"id":719,"type":"article-journal","abstract":"Abstract: Using Blood Oxygen Level Dependent (BOLD) functional MRI (fMRI) to detect deception is feasible in simple laboratory paradigms. A mock sabotage scenario was used to test whether this technology would also be effective in a scenario closer to a real-world situation. Healthy, nonmedicated adults were recruited from the community, screened, and randomized to either a Mock-crime group or a No-crime group. The Mock-crime group damaged and stole compact discs (CDs), which contained incriminating video footage, while the No-crime group did not perform a task. The Mock-crime group also picked up an envelope from a researcher, while the No-crime group did not perform this task. Both groups were instructed to report that they picked up an envelope, but did not sabotage any video evidence. Participants later went to the imaging center and were scanned while being asked questions regarding the mock crime. Participants also performed a simple laboratory based fMRI deception testing (Ring-Watch testing). The Ring-Watch testing consisted of “stealing” either a watch or a ring. The participants were instructed to report that they stole neither object. We correctly identified deception during the Ring-Watch testing in 25 of 36 participants (Validated Group). In this Validated Group for whom a determination was made, computer-based scoring correctly identified nine of nine Mock-crime participants (100% sensitivity) and five of 15 No-crime participants (33% specificity). BOLD fMRI presently can be used to detect deception concerning past events with high sensitivity, but low specificity.","container-title":"Journal of Forensic Sciences","DOI":"10.1111/j.1556-4029.2008.00927.x","ISSN":"1556-4029","issue":"1","journalAbbreviation":"J. Forensic Sci.","language":"en","license":"© 2008 American Academy of Forensic Sciences","note":"number: 1\n_eprint: https://onlinelibrary.wiley.com/doi/pdf/10.1111/j.1556-4029.2008.00927.x","page":"220-231","source":"Wiley Online Library","title":"Functional MRI Detection of Deception After Committing a Mock Sabotage Crime","volume":"54","author":[{"family":"Kozel","given":"F. Andrew"},{"family":"Johnson","given":"Kevin A."},{"family":"Grenesko","given":"Emily L."},{"family":"Laken","given":"Steven J."},{"family":"Kose","given":"Samet"},{"family":"Lu","given":"Xinghua"},{"family":"Pollina","given":"Dean"},{"family":"Ryan","given":"Andrew"},{"family":"George","given":"Mark S."}],"issued":{"date-parts":[["2009"]]}}}],"schema":"https://github.com/citation-style-language/schema/raw/master/csl-citation.json"} </w:instrText>
      </w:r>
      <w:r w:rsidR="00462853">
        <w:rPr>
          <w:rFonts w:eastAsia="宋体"/>
          <w:kern w:val="0"/>
        </w:rPr>
        <w:fldChar w:fldCharType="separate"/>
      </w:r>
      <w:r w:rsidR="00462853" w:rsidRPr="00462853">
        <w:rPr>
          <w:rFonts w:cs="Times New Roman"/>
        </w:rPr>
        <w:t>(Kozel et al., 2009)</w:t>
      </w:r>
      <w:r w:rsidR="00462853">
        <w:rPr>
          <w:rFonts w:eastAsia="宋体"/>
          <w:kern w:val="0"/>
        </w:rPr>
        <w:fldChar w:fldCharType="end"/>
      </w:r>
      <w:r w:rsidRPr="00786577">
        <w:rPr>
          <w:rFonts w:eastAsia="宋体"/>
          <w:kern w:val="0"/>
        </w:rPr>
        <w:t xml:space="preserve">. The current study supports the idea that combining physiological measures and brain-based fNIRS indicators could enhance deception detection efficiency in CIT </w:t>
      </w:r>
      <w:r w:rsidR="00671174">
        <w:rPr>
          <w:rFonts w:eastAsia="宋体"/>
          <w:kern w:val="0"/>
        </w:rPr>
        <w:t>with</w:t>
      </w:r>
      <w:r w:rsidR="00671174" w:rsidRPr="00786577">
        <w:rPr>
          <w:rFonts w:eastAsia="宋体"/>
          <w:kern w:val="0"/>
        </w:rPr>
        <w:t xml:space="preserve"> </w:t>
      </w:r>
      <w:r w:rsidRPr="00786577">
        <w:rPr>
          <w:rFonts w:eastAsia="宋体"/>
          <w:kern w:val="0"/>
        </w:rPr>
        <w:t>a mock crime</w:t>
      </w:r>
      <w:r w:rsidR="00671174">
        <w:rPr>
          <w:rFonts w:eastAsia="宋体"/>
          <w:kern w:val="0"/>
        </w:rPr>
        <w:t xml:space="preserve"> scenario</w:t>
      </w:r>
      <w:r w:rsidRPr="00786577">
        <w:rPr>
          <w:rFonts w:eastAsia="宋体"/>
          <w:kern w:val="0"/>
        </w:rPr>
        <w:t>.</w:t>
      </w:r>
    </w:p>
    <w:p w14:paraId="3BAE37A5" w14:textId="251EE170" w:rsidR="00DB76FF" w:rsidRDefault="00DB76FF">
      <w:pPr>
        <w:rPr>
          <w:rStyle w:val="markedcontent"/>
        </w:rPr>
      </w:pPr>
      <w:r>
        <w:rPr>
          <w:rStyle w:val="markedcontent"/>
        </w:rPr>
        <w:t xml:space="preserve">In conclusion, the current study successfully applied </w:t>
      </w:r>
      <w:r w:rsidRPr="00485906">
        <w:rPr>
          <w:rStyle w:val="markedcontent"/>
        </w:rPr>
        <w:t>fNIRS technology in the CIT</w:t>
      </w:r>
      <w:r>
        <w:rPr>
          <w:rStyle w:val="markedcontent"/>
        </w:rPr>
        <w:t xml:space="preserve"> </w:t>
      </w:r>
      <w:r w:rsidRPr="00485906">
        <w:rPr>
          <w:rStyle w:val="markedcontent"/>
        </w:rPr>
        <w:t xml:space="preserve">with a mock crime, resulting in a </w:t>
      </w:r>
      <w:r w:rsidR="000C5AA0">
        <w:rPr>
          <w:rStyle w:val="markedcontent"/>
        </w:rPr>
        <w:t xml:space="preserve">fine </w:t>
      </w:r>
      <w:r>
        <w:rPr>
          <w:rStyle w:val="markedcontent"/>
        </w:rPr>
        <w:t>deception detection ef</w:t>
      </w:r>
      <w:r w:rsidRPr="002C5BEF">
        <w:rPr>
          <w:rStyle w:val="markedcontent"/>
        </w:rPr>
        <w:t>ficiency (AUC = 0.8</w:t>
      </w:r>
      <w:r w:rsidR="00723F48" w:rsidRPr="002C5BEF">
        <w:rPr>
          <w:rStyle w:val="markedcontent"/>
        </w:rPr>
        <w:t>1</w:t>
      </w:r>
      <w:r w:rsidR="00671174" w:rsidRPr="002C5BEF">
        <w:t xml:space="preserve"> </w:t>
      </w:r>
      <w:r w:rsidR="00925335" w:rsidRPr="002C5BEF">
        <w:t xml:space="preserve">for </w:t>
      </w:r>
      <w:r w:rsidR="00671174" w:rsidRPr="002C5BEF">
        <w:t>all 24 channels</w:t>
      </w:r>
      <w:r w:rsidR="00113033" w:rsidRPr="002C5BEF">
        <w:rPr>
          <w:rStyle w:val="markedcontent"/>
        </w:rPr>
        <w:t>;</w:t>
      </w:r>
      <w:r w:rsidR="00382C3E" w:rsidRPr="002C5BEF">
        <w:rPr>
          <w:rStyle w:val="markedcontent"/>
        </w:rPr>
        <w:t xml:space="preserve"> or</w:t>
      </w:r>
      <w:r w:rsidR="00AE4B25" w:rsidRPr="002C5BEF">
        <w:rPr>
          <w:rStyle w:val="markedcontent"/>
        </w:rPr>
        <w:t xml:space="preserve"> </w:t>
      </w:r>
      <w:r w:rsidR="00382C3E" w:rsidRPr="002C5BEF">
        <w:rPr>
          <w:rStyle w:val="markedcontent"/>
        </w:rPr>
        <w:t xml:space="preserve">AUC = </w:t>
      </w:r>
      <w:r w:rsidR="00AE4B25" w:rsidRPr="002C5BEF">
        <w:rPr>
          <w:rStyle w:val="markedcontent"/>
        </w:rPr>
        <w:t xml:space="preserve">0.86 </w:t>
      </w:r>
      <w:r w:rsidR="00382C3E" w:rsidRPr="002C5BEF">
        <w:rPr>
          <w:rStyle w:val="markedcontent"/>
        </w:rPr>
        <w:t>with</w:t>
      </w:r>
      <w:r w:rsidR="00AE4B25" w:rsidRPr="002C5BEF">
        <w:rPr>
          <w:rStyle w:val="markedcontent"/>
        </w:rPr>
        <w:t xml:space="preserve"> </w:t>
      </w:r>
      <w:r w:rsidR="00A00FE7" w:rsidRPr="002C5BEF">
        <w:rPr>
          <w:rStyle w:val="markedcontent"/>
        </w:rPr>
        <w:t>channel 8</w:t>
      </w:r>
      <w:r w:rsidRPr="002C5BEF">
        <w:rPr>
          <w:rStyle w:val="markedcontent"/>
        </w:rPr>
        <w:t xml:space="preserve">). </w:t>
      </w:r>
      <w:r w:rsidR="000C5AA0" w:rsidRPr="002C5BEF">
        <w:rPr>
          <w:rStyle w:val="markedcontent"/>
        </w:rPr>
        <w:t>The results dem</w:t>
      </w:r>
      <w:r w:rsidR="000C5AA0" w:rsidRPr="00485906">
        <w:rPr>
          <w:rStyle w:val="markedcontent"/>
        </w:rPr>
        <w:t xml:space="preserve">onstrated fNIRS has great potential </w:t>
      </w:r>
      <w:r w:rsidR="000C5AA0" w:rsidRPr="00485906">
        <w:rPr>
          <w:rStyle w:val="markedcontent"/>
        </w:rPr>
        <w:lastRenderedPageBreak/>
        <w:t>for deception detection in forensic applications</w:t>
      </w:r>
      <w:r w:rsidR="000C5AA0">
        <w:rPr>
          <w:rStyle w:val="markedcontent"/>
        </w:rPr>
        <w:t xml:space="preserve"> due to</w:t>
      </w:r>
      <w:r w:rsidR="000C5AA0" w:rsidRPr="000C5AA0">
        <w:rPr>
          <w:rStyle w:val="markedcontent"/>
        </w:rPr>
        <w:t xml:space="preserve"> </w:t>
      </w:r>
      <w:r w:rsidR="000C5AA0" w:rsidRPr="00485906">
        <w:rPr>
          <w:rStyle w:val="markedcontent"/>
        </w:rPr>
        <w:t>its portability and economic advantages</w:t>
      </w:r>
      <w:r w:rsidR="000C5AA0">
        <w:rPr>
          <w:rStyle w:val="markedcontent"/>
        </w:rPr>
        <w:t>. B</w:t>
      </w:r>
      <w:r w:rsidRPr="00485906">
        <w:rPr>
          <w:rStyle w:val="markedcontent"/>
        </w:rPr>
        <w:t>y further combining behavioral and physiological indicators</w:t>
      </w:r>
      <w:r>
        <w:rPr>
          <w:rStyle w:val="markedcontent"/>
        </w:rPr>
        <w:t xml:space="preserve"> into </w:t>
      </w:r>
      <w:r w:rsidR="00925335">
        <w:rPr>
          <w:rStyle w:val="markedcontent"/>
        </w:rPr>
        <w:t xml:space="preserve">the </w:t>
      </w:r>
      <w:r>
        <w:rPr>
          <w:rStyle w:val="markedcontent"/>
        </w:rPr>
        <w:t xml:space="preserve">calculation, </w:t>
      </w:r>
      <w:r w:rsidRPr="00485906">
        <w:rPr>
          <w:rStyle w:val="markedcontent"/>
        </w:rPr>
        <w:t xml:space="preserve">we found that multiple measurements could boost the final deception detection efficiency to </w:t>
      </w:r>
      <w:r w:rsidRPr="0045336A">
        <w:rPr>
          <w:rStyle w:val="markedcontent"/>
        </w:rPr>
        <w:t>0.</w:t>
      </w:r>
      <w:r w:rsidR="00671174" w:rsidRPr="0045336A">
        <w:rPr>
          <w:rStyle w:val="markedcontent"/>
        </w:rPr>
        <w:t>9</w:t>
      </w:r>
      <w:r w:rsidR="00671174">
        <w:rPr>
          <w:rStyle w:val="markedcontent"/>
        </w:rPr>
        <w:t>3</w:t>
      </w:r>
      <w:r w:rsidR="00B750E2">
        <w:rPr>
          <w:rStyle w:val="markedcontent"/>
        </w:rPr>
        <w:t>.</w:t>
      </w:r>
      <w:r w:rsidR="00B750E2" w:rsidRPr="00B750E2">
        <w:t xml:space="preserve"> </w:t>
      </w:r>
      <w:r w:rsidR="00B750E2">
        <w:t>E</w:t>
      </w:r>
      <w:r w:rsidR="00B750E2" w:rsidRPr="00B750E2">
        <w:t>specially</w:t>
      </w:r>
      <w:r w:rsidR="00B750E2">
        <w:t>,</w:t>
      </w:r>
      <w:r w:rsidR="00B750E2" w:rsidRPr="00B750E2">
        <w:rPr>
          <w:rStyle w:val="markedcontent"/>
        </w:rPr>
        <w:t xml:space="preserve"> </w:t>
      </w:r>
      <w:r w:rsidR="00B750E2">
        <w:rPr>
          <w:rStyle w:val="markedcontent"/>
        </w:rPr>
        <w:t>t</w:t>
      </w:r>
      <w:r w:rsidR="00B750E2" w:rsidRPr="00B750E2">
        <w:rPr>
          <w:rStyle w:val="markedcontent"/>
        </w:rPr>
        <w:t xml:space="preserve">he combination of SCR, HR, </w:t>
      </w:r>
      <w:r w:rsidR="000C5AA0">
        <w:rPr>
          <w:rStyle w:val="markedcontent"/>
        </w:rPr>
        <w:t>RT</w:t>
      </w:r>
      <w:r w:rsidR="00925335">
        <w:rPr>
          <w:rStyle w:val="markedcontent"/>
        </w:rPr>
        <w:t>,</w:t>
      </w:r>
      <w:r w:rsidR="000C5AA0">
        <w:rPr>
          <w:rStyle w:val="markedcontent"/>
        </w:rPr>
        <w:t xml:space="preserve"> </w:t>
      </w:r>
      <w:r w:rsidR="00B750E2" w:rsidRPr="00B750E2">
        <w:rPr>
          <w:rStyle w:val="markedcontent"/>
        </w:rPr>
        <w:t>and fNIRS imaging data</w:t>
      </w:r>
      <w:r w:rsidR="00671174">
        <w:rPr>
          <w:rStyle w:val="markedcontent"/>
        </w:rPr>
        <w:t xml:space="preserve"> </w:t>
      </w:r>
      <w:r w:rsidR="00B750E2" w:rsidRPr="00B750E2">
        <w:rPr>
          <w:rStyle w:val="markedcontent"/>
        </w:rPr>
        <w:t>from the left MFG (</w:t>
      </w:r>
      <w:r w:rsidR="007C6CC6">
        <w:rPr>
          <w:rStyle w:val="markedcontent"/>
        </w:rPr>
        <w:t xml:space="preserve">BA10, </w:t>
      </w:r>
      <w:r w:rsidR="00B750E2" w:rsidRPr="00B750E2">
        <w:rPr>
          <w:rStyle w:val="markedcontent"/>
        </w:rPr>
        <w:t xml:space="preserve">channel </w:t>
      </w:r>
      <w:r w:rsidR="00B750E2">
        <w:rPr>
          <w:rStyle w:val="markedcontent"/>
        </w:rPr>
        <w:t>8</w:t>
      </w:r>
      <w:r w:rsidR="00B750E2" w:rsidRPr="00B750E2">
        <w:rPr>
          <w:rStyle w:val="markedcontent"/>
        </w:rPr>
        <w:t>), could increase the AUC to indicate a highly accurate level of deception detection (0.9</w:t>
      </w:r>
      <w:r w:rsidR="00B750E2">
        <w:rPr>
          <w:rStyle w:val="markedcontent"/>
        </w:rPr>
        <w:t>6</w:t>
      </w:r>
      <w:r w:rsidR="00B750E2" w:rsidRPr="00B750E2">
        <w:rPr>
          <w:rStyle w:val="markedcontent"/>
        </w:rPr>
        <w:t>).</w:t>
      </w:r>
      <w:r w:rsidRPr="00485906">
        <w:rPr>
          <w:rStyle w:val="markedcontent"/>
        </w:rPr>
        <w:t xml:space="preserve"> </w:t>
      </w:r>
      <w:r w:rsidR="008B2683">
        <w:rPr>
          <w:rStyle w:val="markedcontent"/>
        </w:rPr>
        <w:t>Therefore, w</w:t>
      </w:r>
      <w:r w:rsidR="000C5AA0">
        <w:rPr>
          <w:rStyle w:val="markedcontent"/>
        </w:rPr>
        <w:t xml:space="preserve">ith the combination of multiple measurements </w:t>
      </w:r>
      <w:r w:rsidR="008B2683">
        <w:rPr>
          <w:rStyle w:val="markedcontent"/>
        </w:rPr>
        <w:t xml:space="preserve">from CNS </w:t>
      </w:r>
      <w:r w:rsidR="00671174">
        <w:rPr>
          <w:rStyle w:val="markedcontent"/>
        </w:rPr>
        <w:t xml:space="preserve">and </w:t>
      </w:r>
      <w:r w:rsidR="008B2683">
        <w:rPr>
          <w:rStyle w:val="markedcontent"/>
        </w:rPr>
        <w:t>ANS</w:t>
      </w:r>
      <w:r w:rsidR="000C5AA0">
        <w:rPr>
          <w:rStyle w:val="markedcontent"/>
        </w:rPr>
        <w:t>, the</w:t>
      </w:r>
      <w:r w:rsidR="008B2683">
        <w:rPr>
          <w:rStyle w:val="markedcontent"/>
        </w:rPr>
        <w:t xml:space="preserve"> deception detection efficiency could reach a very high level</w:t>
      </w:r>
      <w:r w:rsidR="008B2683" w:rsidRPr="008B2683">
        <w:rPr>
          <w:rStyle w:val="markedcontent"/>
        </w:rPr>
        <w:t xml:space="preserve"> </w:t>
      </w:r>
      <w:r w:rsidR="008B2683">
        <w:rPr>
          <w:rStyle w:val="markedcontent"/>
        </w:rPr>
        <w:t xml:space="preserve">in the concealed information test </w:t>
      </w:r>
      <w:r w:rsidR="00671174">
        <w:rPr>
          <w:rStyle w:val="markedcontent"/>
        </w:rPr>
        <w:t xml:space="preserve">in </w:t>
      </w:r>
      <w:r w:rsidR="008B2683">
        <w:rPr>
          <w:rStyle w:val="markedcontent"/>
        </w:rPr>
        <w:t>a mock crime</w:t>
      </w:r>
      <w:r w:rsidR="00671174">
        <w:rPr>
          <w:rStyle w:val="markedcontent"/>
        </w:rPr>
        <w:t xml:space="preserve"> scenario</w:t>
      </w:r>
      <w:r w:rsidR="008B2683">
        <w:rPr>
          <w:rStyle w:val="markedcontent"/>
        </w:rPr>
        <w:t>.</w:t>
      </w:r>
      <w:r w:rsidR="008B2683" w:rsidRPr="00485906" w:rsidDel="000C5AA0">
        <w:rPr>
          <w:rStyle w:val="markedcontent"/>
        </w:rPr>
        <w:t xml:space="preserve"> </w:t>
      </w:r>
    </w:p>
    <w:p w14:paraId="044C0643" w14:textId="77777777" w:rsidR="001E20F5" w:rsidRDefault="001E20F5">
      <w:pPr>
        <w:widowControl/>
        <w:spacing w:line="240" w:lineRule="auto"/>
        <w:ind w:firstLine="0"/>
        <w:rPr>
          <w:rStyle w:val="markedcontent"/>
        </w:rPr>
      </w:pPr>
      <w:r>
        <w:rPr>
          <w:rStyle w:val="markedcontent"/>
        </w:rPr>
        <w:br w:type="page"/>
      </w:r>
    </w:p>
    <w:p w14:paraId="2E90CD4E" w14:textId="1AE874EC" w:rsidR="00DB563E" w:rsidRDefault="00DB563E" w:rsidP="00B568EB">
      <w:pPr>
        <w:pStyle w:val="2"/>
      </w:pPr>
      <w:r>
        <w:rPr>
          <w:rFonts w:hint="eastAsia"/>
        </w:rPr>
        <w:lastRenderedPageBreak/>
        <w:t>Reference</w:t>
      </w:r>
    </w:p>
    <w:p w14:paraId="6C3E78B9" w14:textId="77777777" w:rsidR="002C5BEF" w:rsidRDefault="00462853" w:rsidP="002C5BEF">
      <w:pPr>
        <w:pStyle w:val="af3"/>
      </w:pPr>
      <w:r>
        <w:fldChar w:fldCharType="begin"/>
      </w:r>
      <w:r w:rsidR="002C5BEF">
        <w:instrText xml:space="preserve"> ADDIN ZOTERO_BIBL {"uncited":[],"omitted":[],"custom":[]} CSL_BIBLIOGRAPHY </w:instrText>
      </w:r>
      <w:r>
        <w:fldChar w:fldCharType="separate"/>
      </w:r>
      <w:r w:rsidR="002C5BEF">
        <w:t xml:space="preserve">Ambach, W., Bursch, S., Stark, R., &amp; Vaitl, D. (2010). A Concealed Information Test with multimodal measurement. </w:t>
      </w:r>
      <w:r w:rsidR="002C5BEF">
        <w:rPr>
          <w:i/>
          <w:iCs/>
        </w:rPr>
        <w:t>International Journal of Psychophysiology</w:t>
      </w:r>
      <w:r w:rsidR="002C5BEF">
        <w:t xml:space="preserve">, </w:t>
      </w:r>
      <w:r w:rsidR="002C5BEF">
        <w:rPr>
          <w:i/>
          <w:iCs/>
        </w:rPr>
        <w:t>75</w:t>
      </w:r>
      <w:r w:rsidR="002C5BEF">
        <w:t>(3), 258–267. https://doi.org/10.1016/j.ijpsycho.2009.12.007</w:t>
      </w:r>
    </w:p>
    <w:p w14:paraId="33AA34F0" w14:textId="77777777" w:rsidR="002C5BEF" w:rsidRDefault="002C5BEF" w:rsidP="002C5BEF">
      <w:pPr>
        <w:pStyle w:val="af3"/>
      </w:pPr>
      <w:r>
        <w:t xml:space="preserve">Aron, A. R., Robbins, T. W., &amp; Poldrack, R. A. (2004). Inhibition and the right inferior frontal cortex. </w:t>
      </w:r>
      <w:r>
        <w:rPr>
          <w:i/>
          <w:iCs/>
        </w:rPr>
        <w:t>Trends in Cognitive Sciences</w:t>
      </w:r>
      <w:r>
        <w:t xml:space="preserve">, </w:t>
      </w:r>
      <w:r>
        <w:rPr>
          <w:i/>
          <w:iCs/>
        </w:rPr>
        <w:t>8</w:t>
      </w:r>
      <w:r>
        <w:t>(4), 170–177. https://doi.org/10.1016/j.tics.2004.02.010</w:t>
      </w:r>
    </w:p>
    <w:p w14:paraId="23BDAC0A" w14:textId="77777777" w:rsidR="002C5BEF" w:rsidRDefault="002C5BEF" w:rsidP="002C5BEF">
      <w:pPr>
        <w:pStyle w:val="af3"/>
      </w:pPr>
      <w:r>
        <w:t xml:space="preserve">Aron, A. R., Robbins, T. W., &amp; Poldrack, R. A. (2014). Inhibition and the right inferior frontal cortex: One decade on. </w:t>
      </w:r>
      <w:r>
        <w:rPr>
          <w:i/>
          <w:iCs/>
        </w:rPr>
        <w:t>Trends in Cognitive Sciences</w:t>
      </w:r>
      <w:r>
        <w:t xml:space="preserve">, </w:t>
      </w:r>
      <w:r>
        <w:rPr>
          <w:i/>
          <w:iCs/>
        </w:rPr>
        <w:t>18</w:t>
      </w:r>
      <w:r>
        <w:t>(4), Article 4. https://doi.org/10.1016/j.tics.2013.12.003</w:t>
      </w:r>
    </w:p>
    <w:p w14:paraId="3E7DAEBC" w14:textId="77777777" w:rsidR="002C5BEF" w:rsidRDefault="002C5BEF" w:rsidP="002C5BEF">
      <w:pPr>
        <w:pStyle w:val="af3"/>
      </w:pPr>
      <w:r>
        <w:t xml:space="preserve">Barbey, A. K., Koenigs, M., &amp; Grafman, J. (2013). Dorsolateral prefrontal contributions to human working memory. </w:t>
      </w:r>
      <w:r>
        <w:rPr>
          <w:i/>
          <w:iCs/>
        </w:rPr>
        <w:t>Cortex</w:t>
      </w:r>
      <w:r>
        <w:t xml:space="preserve">, </w:t>
      </w:r>
      <w:r>
        <w:rPr>
          <w:i/>
          <w:iCs/>
        </w:rPr>
        <w:t>49</w:t>
      </w:r>
      <w:r>
        <w:t>(5), 1195–1205. https://doi.org/10.1016/j.cortex.2012.05.022</w:t>
      </w:r>
    </w:p>
    <w:p w14:paraId="76A5377D" w14:textId="77777777" w:rsidR="002C5BEF" w:rsidRDefault="002C5BEF" w:rsidP="002C5BEF">
      <w:pPr>
        <w:pStyle w:val="af3"/>
      </w:pPr>
      <w:r>
        <w:t xml:space="preserve">Ben-Shakhar, G., &amp; Elaad, E. (2003). The validity of psychophysiological detection of information with the Guilty Knowledge Test: A meta-analytic review. </w:t>
      </w:r>
      <w:r>
        <w:rPr>
          <w:i/>
          <w:iCs/>
        </w:rPr>
        <w:t>Journal of Applied Psychology</w:t>
      </w:r>
      <w:r>
        <w:t xml:space="preserve">, </w:t>
      </w:r>
      <w:r>
        <w:rPr>
          <w:i/>
          <w:iCs/>
        </w:rPr>
        <w:t>88</w:t>
      </w:r>
      <w:r>
        <w:t>(1), 131. https://doi.org/10.1037/0021-9010.88.1.131</w:t>
      </w:r>
    </w:p>
    <w:p w14:paraId="3B4EA468" w14:textId="77777777" w:rsidR="002C5BEF" w:rsidRDefault="002C5BEF" w:rsidP="002C5BEF">
      <w:pPr>
        <w:pStyle w:val="af3"/>
      </w:pPr>
      <w:r>
        <w:t xml:space="preserve">Beurskens, R., Helmich, I., Rein, R., &amp; Bock, O. (2014). Age-related changes in prefrontal activity during walking in dual-task situations: A fNIRS study. </w:t>
      </w:r>
      <w:r>
        <w:rPr>
          <w:i/>
          <w:iCs/>
        </w:rPr>
        <w:t>International Journal of Psychophysiology</w:t>
      </w:r>
      <w:r>
        <w:t xml:space="preserve">, </w:t>
      </w:r>
      <w:r>
        <w:rPr>
          <w:i/>
          <w:iCs/>
        </w:rPr>
        <w:t>92</w:t>
      </w:r>
      <w:r>
        <w:t>(3), 122–128. https://doi.org/10.1016/j.ijpsycho.2014.03.005</w:t>
      </w:r>
    </w:p>
    <w:p w14:paraId="5305F622" w14:textId="77777777" w:rsidR="002C5BEF" w:rsidRDefault="002C5BEF" w:rsidP="002C5BEF">
      <w:pPr>
        <w:pStyle w:val="af3"/>
      </w:pPr>
      <w:r>
        <w:t xml:space="preserve">Bhutta, M. R., Hong, M. J., Kim, Y.-H., &amp; Hong, K.-S. (2015). Single-trial lie detection using a combined fNIRS-polygraph system. </w:t>
      </w:r>
      <w:r>
        <w:rPr>
          <w:i/>
          <w:iCs/>
        </w:rPr>
        <w:t>Frontiers in Psychology</w:t>
      </w:r>
      <w:r>
        <w:t xml:space="preserve">, </w:t>
      </w:r>
      <w:r>
        <w:rPr>
          <w:i/>
          <w:iCs/>
        </w:rPr>
        <w:t>6</w:t>
      </w:r>
      <w:r>
        <w:t xml:space="preserve">. </w:t>
      </w:r>
      <w:r>
        <w:lastRenderedPageBreak/>
        <w:t>https://doi.org/10.3389/fpsyg.2015.00709</w:t>
      </w:r>
    </w:p>
    <w:p w14:paraId="26C053B7" w14:textId="77777777" w:rsidR="002C5BEF" w:rsidRDefault="002C5BEF" w:rsidP="002C5BEF">
      <w:pPr>
        <w:pStyle w:val="af3"/>
      </w:pPr>
      <w:r>
        <w:t xml:space="preserve">Cope, M., &amp; Delpy, D. T. (1988). System for long-term measurement of cerebral blood and tissue oxygenation on newborn infants by near infra-red transillumination. </w:t>
      </w:r>
      <w:r>
        <w:rPr>
          <w:i/>
          <w:iCs/>
        </w:rPr>
        <w:t>Medical and Biological Engineering and Computing</w:t>
      </w:r>
      <w:r>
        <w:t xml:space="preserve">, </w:t>
      </w:r>
      <w:r>
        <w:rPr>
          <w:i/>
          <w:iCs/>
        </w:rPr>
        <w:t>26</w:t>
      </w:r>
      <w:r>
        <w:t>(3), 289–294. https://doi.org/10.1007/BF02447083</w:t>
      </w:r>
    </w:p>
    <w:p w14:paraId="3B585365" w14:textId="77777777" w:rsidR="002C5BEF" w:rsidRDefault="002C5BEF" w:rsidP="002C5BEF">
      <w:pPr>
        <w:pStyle w:val="af3"/>
      </w:pPr>
      <w:r>
        <w:t xml:space="preserve">Dai, B., Chen, C., Long, Y., Zheng, L., Zhao, H., Bai, X., Liu, W., Zhang, Y., Liu, L., Guo, T., Ding, G., &amp; Lu, C. (2018). Neural mechanisms for selectively tuning in to the target speaker in a naturalistic noisy situation. </w:t>
      </w:r>
      <w:r>
        <w:rPr>
          <w:i/>
          <w:iCs/>
        </w:rPr>
        <w:t>Nature Communications</w:t>
      </w:r>
      <w:r>
        <w:t xml:space="preserve">, </w:t>
      </w:r>
      <w:r>
        <w:rPr>
          <w:i/>
          <w:iCs/>
        </w:rPr>
        <w:t>9</w:t>
      </w:r>
      <w:r>
        <w:t>(1), Article 1. https://doi.org/10.1038/s41467-018-04819-z</w:t>
      </w:r>
    </w:p>
    <w:p w14:paraId="46842135" w14:textId="77777777" w:rsidR="002C5BEF" w:rsidRDefault="002C5BEF" w:rsidP="002C5BEF">
      <w:pPr>
        <w:pStyle w:val="af3"/>
      </w:pPr>
      <w:r>
        <w:t xml:space="preserve">Davatzikos, C., Ruparel, K., Fan, Y., Shen, D. G., Acharyya, M., Loughead, J. W., Gur, R. C., &amp; Langleben, D. D. (2005). Classifying spatial patterns of brain activity with machine learning methods: Application to lie detection. </w:t>
      </w:r>
      <w:r>
        <w:rPr>
          <w:i/>
          <w:iCs/>
        </w:rPr>
        <w:t>NeuroImage</w:t>
      </w:r>
      <w:r>
        <w:t xml:space="preserve">, </w:t>
      </w:r>
      <w:r>
        <w:rPr>
          <w:i/>
          <w:iCs/>
        </w:rPr>
        <w:t>28</w:t>
      </w:r>
      <w:r>
        <w:t>(3), 663–668. https://doi.org/10.1016/j.neuroimage.2005.08.009</w:t>
      </w:r>
    </w:p>
    <w:p w14:paraId="55FACE16" w14:textId="77777777" w:rsidR="002C5BEF" w:rsidRDefault="002C5BEF" w:rsidP="002C5BEF">
      <w:pPr>
        <w:pStyle w:val="af3"/>
      </w:pPr>
      <w:r>
        <w:t xml:space="preserve">De Clercq, A., Verschuere, B., De Vlieger, P., &amp; Crombez, G. (2006). Psychophysiological Analysis (PSPHA): A modular script-based program for analyzing psychophysiological data. </w:t>
      </w:r>
      <w:r>
        <w:rPr>
          <w:i/>
          <w:iCs/>
        </w:rPr>
        <w:t>Behavior Research Methods</w:t>
      </w:r>
      <w:r>
        <w:t xml:space="preserve">, </w:t>
      </w:r>
      <w:r>
        <w:rPr>
          <w:i/>
          <w:iCs/>
        </w:rPr>
        <w:t>38</w:t>
      </w:r>
      <w:r>
        <w:t>(3), 504–510. https://doi.org/10/cftfzt</w:t>
      </w:r>
    </w:p>
    <w:p w14:paraId="11C1080C" w14:textId="77777777" w:rsidR="002C5BEF" w:rsidRDefault="002C5BEF" w:rsidP="002C5BEF">
      <w:pPr>
        <w:pStyle w:val="af3"/>
      </w:pPr>
      <w:r>
        <w:t xml:space="preserve">Ding, X. P., Gao, X., Fu, G., &amp; Lee, K. (2013). Neural correlates of spontaneous deception: A functional near-infrared spectroscopy (fNIRS)study. </w:t>
      </w:r>
      <w:r>
        <w:rPr>
          <w:i/>
          <w:iCs/>
        </w:rPr>
        <w:t>Neuropsychologia</w:t>
      </w:r>
      <w:r>
        <w:t xml:space="preserve">, </w:t>
      </w:r>
      <w:r>
        <w:rPr>
          <w:i/>
          <w:iCs/>
        </w:rPr>
        <w:t>51</w:t>
      </w:r>
      <w:r>
        <w:t>(4), 704–712. https://doi.org/10.1016/j.neuropsychologia.2012.12.018</w:t>
      </w:r>
    </w:p>
    <w:p w14:paraId="355E76F9" w14:textId="77777777" w:rsidR="002C5BEF" w:rsidRDefault="002C5BEF" w:rsidP="002C5BEF">
      <w:pPr>
        <w:pStyle w:val="af3"/>
      </w:pPr>
      <w:r>
        <w:t xml:space="preserve">Ding, X. P., Sai, L., Fu, G., Liu, J., &amp; Lee, K. (2014). Neural correlates of second-order </w:t>
      </w:r>
      <w:r>
        <w:lastRenderedPageBreak/>
        <w:t xml:space="preserve">verbal deception: A functional near-infrared spectroscopy (fNIRS) study. </w:t>
      </w:r>
      <w:r>
        <w:rPr>
          <w:i/>
          <w:iCs/>
        </w:rPr>
        <w:t>NeuroImage</w:t>
      </w:r>
      <w:r>
        <w:t xml:space="preserve">, </w:t>
      </w:r>
      <w:r>
        <w:rPr>
          <w:i/>
          <w:iCs/>
        </w:rPr>
        <w:t>87</w:t>
      </w:r>
      <w:r>
        <w:t>, 505–514. https://doi.org/10.1016/j.neuroimage.2013.10.023</w:t>
      </w:r>
    </w:p>
    <w:p w14:paraId="0406F44B" w14:textId="77777777" w:rsidR="002C5BEF" w:rsidRDefault="002C5BEF" w:rsidP="002C5BEF">
      <w:pPr>
        <w:pStyle w:val="af3"/>
      </w:pPr>
      <w:r>
        <w:t xml:space="preserve">Farahani, E. D., &amp; Moradi, M. H. (2013). A Concealed Information Test with Combination of ERP Recording and Autonomic Measurements. </w:t>
      </w:r>
      <w:r>
        <w:rPr>
          <w:i/>
          <w:iCs/>
        </w:rPr>
        <w:t>Neurophysiology</w:t>
      </w:r>
      <w:r>
        <w:t xml:space="preserve">, </w:t>
      </w:r>
      <w:r>
        <w:rPr>
          <w:i/>
          <w:iCs/>
        </w:rPr>
        <w:t>45</w:t>
      </w:r>
      <w:r>
        <w:t>(3), 223–233. https://doi.org/10.1007/s11062-013-9360-y</w:t>
      </w:r>
    </w:p>
    <w:p w14:paraId="19D69FD0" w14:textId="77777777" w:rsidR="002C5BEF" w:rsidRDefault="002C5BEF" w:rsidP="002C5BEF">
      <w:pPr>
        <w:pStyle w:val="af3"/>
      </w:pPr>
      <w:r>
        <w:t xml:space="preserve">Ferrari, M., &amp; Quaresima, V. (2012). A brief review on the history of human functional near-infrared spectroscopy (fNIRS) development and fields of application. </w:t>
      </w:r>
      <w:r>
        <w:rPr>
          <w:i/>
          <w:iCs/>
        </w:rPr>
        <w:t>NeuroImage</w:t>
      </w:r>
      <w:r>
        <w:t xml:space="preserve">, </w:t>
      </w:r>
      <w:r>
        <w:rPr>
          <w:i/>
          <w:iCs/>
        </w:rPr>
        <w:t>63</w:t>
      </w:r>
      <w:r>
        <w:t>(2), 921–935. https://doi.org/10.1016/j.neuroimage.2012.03.049</w:t>
      </w:r>
    </w:p>
    <w:p w14:paraId="59BDBBBD" w14:textId="77777777" w:rsidR="002C5BEF" w:rsidRDefault="002C5BEF" w:rsidP="002C5BEF">
      <w:pPr>
        <w:pStyle w:val="af3"/>
      </w:pPr>
      <w:r>
        <w:t xml:space="preserve">Fincham, J. M., Carter, C. S., van Veen, V., Stenger, V. A., &amp; Anderson, J. R. (2002). Neural mechanisms of planning: A computational analysis using event-related fMRI. </w:t>
      </w:r>
      <w:r>
        <w:rPr>
          <w:i/>
          <w:iCs/>
        </w:rPr>
        <w:t>Proceedings of the National Academy of Sciences</w:t>
      </w:r>
      <w:r>
        <w:t xml:space="preserve">, </w:t>
      </w:r>
      <w:r>
        <w:rPr>
          <w:i/>
          <w:iCs/>
        </w:rPr>
        <w:t>99</w:t>
      </w:r>
      <w:r>
        <w:t>(5), 3346–3351. https://doi.org/10.1073/pnas.052703399</w:t>
      </w:r>
    </w:p>
    <w:p w14:paraId="5ED81EF2" w14:textId="77777777" w:rsidR="002C5BEF" w:rsidRDefault="002C5BEF" w:rsidP="002C5BEF">
      <w:pPr>
        <w:pStyle w:val="af3"/>
      </w:pPr>
      <w:r>
        <w:t xml:space="preserve">Gamer, M. (2014). Mind Reading Using Neuroimaging. </w:t>
      </w:r>
      <w:r>
        <w:rPr>
          <w:i/>
          <w:iCs/>
        </w:rPr>
        <w:t>European Psychologist</w:t>
      </w:r>
      <w:r>
        <w:t xml:space="preserve">, </w:t>
      </w:r>
      <w:r>
        <w:rPr>
          <w:i/>
          <w:iCs/>
        </w:rPr>
        <w:t>19</w:t>
      </w:r>
      <w:r>
        <w:t>(3), 172–183. https://doi.org/10.1027/1016-9040/a000193</w:t>
      </w:r>
    </w:p>
    <w:p w14:paraId="2428093A" w14:textId="77777777" w:rsidR="002C5BEF" w:rsidRDefault="002C5BEF" w:rsidP="002C5BEF">
      <w:pPr>
        <w:pStyle w:val="af3"/>
      </w:pPr>
      <w:r>
        <w:t xml:space="preserve">Gamer, M., Bauermann, T., Stoeter, P., &amp; Vossel, G. (2007). Covariations among fMRI, skin conductance, and behavioral data during processing of concealed information. </w:t>
      </w:r>
      <w:r>
        <w:rPr>
          <w:i/>
          <w:iCs/>
        </w:rPr>
        <w:t>Human Brain Mapping</w:t>
      </w:r>
      <w:r>
        <w:t xml:space="preserve">, </w:t>
      </w:r>
      <w:r>
        <w:rPr>
          <w:i/>
          <w:iCs/>
        </w:rPr>
        <w:t>28</w:t>
      </w:r>
      <w:r>
        <w:t>(12), Article 12. https://doi.org/10.1002/hbm.20343</w:t>
      </w:r>
    </w:p>
    <w:p w14:paraId="2EF6AB58" w14:textId="77777777" w:rsidR="002C5BEF" w:rsidRDefault="002C5BEF" w:rsidP="002C5BEF">
      <w:pPr>
        <w:pStyle w:val="af3"/>
      </w:pPr>
      <w:r>
        <w:t xml:space="preserve">Gamer, M., &amp; Berti, S. (2010). Task relevance and recognition of concealed information have different influences on electrodermal activity and event-related brain potentials. </w:t>
      </w:r>
      <w:r>
        <w:rPr>
          <w:i/>
          <w:iCs/>
        </w:rPr>
        <w:t>Psychophysiology</w:t>
      </w:r>
      <w:r>
        <w:t xml:space="preserve">, </w:t>
      </w:r>
      <w:r>
        <w:rPr>
          <w:i/>
          <w:iCs/>
        </w:rPr>
        <w:t>47</w:t>
      </w:r>
      <w:r>
        <w:t>(2), 355–364. https://doi.org/10.1111/j.1469-8986.2009.00933.x</w:t>
      </w:r>
    </w:p>
    <w:p w14:paraId="48182E6D" w14:textId="77777777" w:rsidR="002C5BEF" w:rsidRDefault="002C5BEF" w:rsidP="002C5BEF">
      <w:pPr>
        <w:pStyle w:val="af3"/>
      </w:pPr>
      <w:r>
        <w:t xml:space="preserve">Gamer, M., Klimecki, O., Bauermann, T., Stoeter, P., &amp; Vossel, G. (2012). FMRI-activation </w:t>
      </w:r>
      <w:r>
        <w:lastRenderedPageBreak/>
        <w:t xml:space="preserve">patterns in the detection of concealed information rely on memory-related effects. </w:t>
      </w:r>
      <w:r>
        <w:rPr>
          <w:i/>
          <w:iCs/>
        </w:rPr>
        <w:t>Social Cognitive and Affective Neuroscience</w:t>
      </w:r>
      <w:r>
        <w:t xml:space="preserve">, </w:t>
      </w:r>
      <w:r>
        <w:rPr>
          <w:i/>
          <w:iCs/>
        </w:rPr>
        <w:t>7</w:t>
      </w:r>
      <w:r>
        <w:t>(5), Article 5. https://doi.org/10.1093/scan/nsp005</w:t>
      </w:r>
    </w:p>
    <w:p w14:paraId="62B9F52B" w14:textId="77777777" w:rsidR="002C5BEF" w:rsidRDefault="002C5BEF" w:rsidP="002C5BEF">
      <w:pPr>
        <w:pStyle w:val="af3"/>
      </w:pPr>
      <w:r>
        <w:t xml:space="preserve">Gamer, M., Verschuere, B., Crombez, G., &amp; Vossel, G. (2008). Combining physiological measures in the detection of concealed information. </w:t>
      </w:r>
      <w:r>
        <w:rPr>
          <w:i/>
          <w:iCs/>
        </w:rPr>
        <w:t>Physiology &amp; Behavior</w:t>
      </w:r>
      <w:r>
        <w:t xml:space="preserve">, </w:t>
      </w:r>
      <w:r>
        <w:rPr>
          <w:i/>
          <w:iCs/>
        </w:rPr>
        <w:t>95</w:t>
      </w:r>
      <w:r>
        <w:t>(3), 333–340. https://doi.org/10.1016/j.physbeh.2008.06.011</w:t>
      </w:r>
    </w:p>
    <w:p w14:paraId="12FF7034" w14:textId="77777777" w:rsidR="002C5BEF" w:rsidRDefault="002C5BEF" w:rsidP="002C5BEF">
      <w:pPr>
        <w:pStyle w:val="af3"/>
      </w:pPr>
      <w:r>
        <w:t xml:space="preserve">Ganis, G., Morris, R. R., &amp; Kosslyn, S. M. (2009). Neural processes underlying self- and other-related lies: An individual difference approach using fMRI. </w:t>
      </w:r>
      <w:r>
        <w:rPr>
          <w:i/>
          <w:iCs/>
        </w:rPr>
        <w:t>Social Neuroscience</w:t>
      </w:r>
      <w:r>
        <w:t xml:space="preserve">, </w:t>
      </w:r>
      <w:r>
        <w:rPr>
          <w:i/>
          <w:iCs/>
        </w:rPr>
        <w:t>4</w:t>
      </w:r>
      <w:r>
        <w:t>(6), 539–553. https://doi.org/10.1080/17470910801928271</w:t>
      </w:r>
    </w:p>
    <w:p w14:paraId="6C803ED9" w14:textId="77777777" w:rsidR="002C5BEF" w:rsidRDefault="002C5BEF" w:rsidP="002C5BEF">
      <w:pPr>
        <w:pStyle w:val="af3"/>
      </w:pPr>
      <w:r>
        <w:t xml:space="preserve">Ganis, G., Rosenfeld, J. P., Meixner, J., Kievit, R. A., &amp; Schendan, H. E. (2011). Lying in the scanner: Covert countermeasures disrupt deception detection by functional magnetic resonance imaging. </w:t>
      </w:r>
      <w:r>
        <w:rPr>
          <w:i/>
          <w:iCs/>
        </w:rPr>
        <w:t>NeuroImage</w:t>
      </w:r>
      <w:r>
        <w:t xml:space="preserve">, </w:t>
      </w:r>
      <w:r>
        <w:rPr>
          <w:i/>
          <w:iCs/>
        </w:rPr>
        <w:t>55</w:t>
      </w:r>
      <w:r>
        <w:t>(1), Article 1. https://doi.org/10.1016/j.neuroimage.2010.11.025</w:t>
      </w:r>
    </w:p>
    <w:p w14:paraId="0EF8015F" w14:textId="77777777" w:rsidR="002C5BEF" w:rsidRDefault="002C5BEF" w:rsidP="002C5BEF">
      <w:pPr>
        <w:pStyle w:val="af3"/>
      </w:pPr>
      <w:r>
        <w:t xml:space="preserve">Geven, L. M., Klein Selle, N., Ben-Shakhar, G., Kindt, M., &amp; Verschuere, B. (2018). Self-initiated versus instructed cheating in the physiological Concealed Information Test. </w:t>
      </w:r>
      <w:r>
        <w:rPr>
          <w:i/>
          <w:iCs/>
        </w:rPr>
        <w:t>Biological Psychology</w:t>
      </w:r>
      <w:r>
        <w:t xml:space="preserve">, </w:t>
      </w:r>
      <w:r>
        <w:rPr>
          <w:i/>
          <w:iCs/>
        </w:rPr>
        <w:t>138</w:t>
      </w:r>
      <w:r>
        <w:t>, 146–155. https://doi.org/10.1016/j.biopsycho.2018.09.005</w:t>
      </w:r>
    </w:p>
    <w:p w14:paraId="5B595AC6" w14:textId="77777777" w:rsidR="002C5BEF" w:rsidRDefault="002C5BEF" w:rsidP="002C5BEF">
      <w:pPr>
        <w:pStyle w:val="af3"/>
      </w:pPr>
      <w:r>
        <w:t xml:space="preserve">Gronau, N., Ben-Shakhar, G., &amp; Cohen, A. (2005). Behavioral and Physiological Measures in the Detection of Concealed Information. </w:t>
      </w:r>
      <w:r>
        <w:rPr>
          <w:i/>
          <w:iCs/>
        </w:rPr>
        <w:t>Journal of Applied Psychology</w:t>
      </w:r>
      <w:r>
        <w:t xml:space="preserve">, </w:t>
      </w:r>
      <w:r>
        <w:rPr>
          <w:i/>
          <w:iCs/>
        </w:rPr>
        <w:t>90</w:t>
      </w:r>
      <w:r>
        <w:t>, 147–158. https://doi.org/10.1037/0021-9010.90.1.147</w:t>
      </w:r>
    </w:p>
    <w:p w14:paraId="0DFC3FCA" w14:textId="77777777" w:rsidR="002C5BEF" w:rsidRDefault="002C5BEF" w:rsidP="002C5BEF">
      <w:pPr>
        <w:pStyle w:val="af3"/>
      </w:pPr>
      <w:r>
        <w:t xml:space="preserve">Hogeveen, J., Medalla, M., Ainsworth, M., Galeazzi, J. M., Hanlon, C. A., Mansouri, F. A., &amp; </w:t>
      </w:r>
      <w:r>
        <w:lastRenderedPageBreak/>
        <w:t xml:space="preserve">Costa, V. D. (2022). What Does the Frontopolar Cortex Contribute to Goal-Directed Cognition and Action? </w:t>
      </w:r>
      <w:r>
        <w:rPr>
          <w:i/>
          <w:iCs/>
        </w:rPr>
        <w:t>Journal of Neuroscience</w:t>
      </w:r>
      <w:r>
        <w:t xml:space="preserve">, </w:t>
      </w:r>
      <w:r>
        <w:rPr>
          <w:i/>
          <w:iCs/>
        </w:rPr>
        <w:t>42</w:t>
      </w:r>
      <w:r>
        <w:t>(45), 8508–8513. https://doi.org/10.1523/JNEUROSCI.1143-22.2022</w:t>
      </w:r>
    </w:p>
    <w:p w14:paraId="2127E467" w14:textId="77777777" w:rsidR="002C5BEF" w:rsidRDefault="002C5BEF" w:rsidP="002C5BEF">
      <w:pPr>
        <w:pStyle w:val="af3"/>
      </w:pPr>
      <w:r>
        <w:t xml:space="preserve">Homae, F., Watanabe, H., Nakano, T., &amp; Taga, G. (2007). Prosodic processing in the developing brain. </w:t>
      </w:r>
      <w:r>
        <w:rPr>
          <w:i/>
          <w:iCs/>
        </w:rPr>
        <w:t>Neuroscience Research</w:t>
      </w:r>
      <w:r>
        <w:t xml:space="preserve">, </w:t>
      </w:r>
      <w:r>
        <w:rPr>
          <w:i/>
          <w:iCs/>
        </w:rPr>
        <w:t>59</w:t>
      </w:r>
      <w:r>
        <w:t>(1), 29–39. https://doi.org/10.1016/j.neures.2007.05.005</w:t>
      </w:r>
    </w:p>
    <w:p w14:paraId="127209DB" w14:textId="77777777" w:rsidR="002C5BEF" w:rsidRDefault="002C5BEF" w:rsidP="002C5BEF">
      <w:pPr>
        <w:pStyle w:val="af3"/>
      </w:pPr>
      <w:r>
        <w:t xml:space="preserve">Hsu, C.-W., Begliomini, C., Dall’Acqua, T., &amp; Ganis, G. (2019). The effect of mental countermeasures on neuroimaging-based concealed information tests. </w:t>
      </w:r>
      <w:r>
        <w:rPr>
          <w:i/>
          <w:iCs/>
        </w:rPr>
        <w:t>Human Brain Mapping</w:t>
      </w:r>
      <w:r>
        <w:t xml:space="preserve">, </w:t>
      </w:r>
      <w:r>
        <w:rPr>
          <w:i/>
          <w:iCs/>
        </w:rPr>
        <w:t>40</w:t>
      </w:r>
      <w:r>
        <w:t>(10), Article 10. https://doi.org/10.1002/hbm.24567</w:t>
      </w:r>
    </w:p>
    <w:p w14:paraId="3BF0C025" w14:textId="77777777" w:rsidR="002C5BEF" w:rsidRDefault="002C5BEF" w:rsidP="002C5BEF">
      <w:pPr>
        <w:pStyle w:val="af3"/>
      </w:pPr>
      <w:r>
        <w:t xml:space="preserve">Hu, X., Pornpattananangkul, N., &amp; Rosenfeld, J. P. (2013). N200 and P300 as orthogonal and integrable indicators of distinct awareness and recognition processes in memory detection. </w:t>
      </w:r>
      <w:r>
        <w:rPr>
          <w:i/>
          <w:iCs/>
        </w:rPr>
        <w:t>Psychophysiology</w:t>
      </w:r>
      <w:r>
        <w:t xml:space="preserve">, </w:t>
      </w:r>
      <w:r>
        <w:rPr>
          <w:i/>
          <w:iCs/>
        </w:rPr>
        <w:t>50</w:t>
      </w:r>
      <w:r>
        <w:t>(5), 454–464. https://doi.org/10.1111/psyp.12018</w:t>
      </w:r>
    </w:p>
    <w:p w14:paraId="1E081E04" w14:textId="77777777" w:rsidR="002C5BEF" w:rsidRDefault="002C5BEF" w:rsidP="002C5BEF">
      <w:pPr>
        <w:pStyle w:val="af3"/>
      </w:pPr>
      <w:r>
        <w:t xml:space="preserve">Hyde, D. C., Simon, C. E., Ting, F., &amp; Nikolaeva, J. I. (2018). Functional Organization of the Temporal–Parietal Junction for Theory of Mind in Preverbal Infants: A Near-Infrared Spectroscopy Study. </w:t>
      </w:r>
      <w:r>
        <w:rPr>
          <w:i/>
          <w:iCs/>
        </w:rPr>
        <w:t>Journal of Neuroscience</w:t>
      </w:r>
      <w:r>
        <w:t xml:space="preserve">, </w:t>
      </w:r>
      <w:r>
        <w:rPr>
          <w:i/>
          <w:iCs/>
        </w:rPr>
        <w:t>38</w:t>
      </w:r>
      <w:r>
        <w:t>(18), 4264–4274. https://doi.org/10.1523/JNEUROSCI.0264-17.2018</w:t>
      </w:r>
    </w:p>
    <w:p w14:paraId="38743960" w14:textId="77777777" w:rsidR="002C5BEF" w:rsidRDefault="002C5BEF" w:rsidP="002C5BEF">
      <w:pPr>
        <w:pStyle w:val="af3"/>
      </w:pPr>
      <w:r>
        <w:t xml:space="preserve">Ito, A., Abe, N., Fujii, T., Ueno, A., Koseki, Y., Hashimoto, R., Mugikura, S., Takahashi, S., &amp; Mori, E. (2011). The role of the dorsolateral prefrontal cortex in deception when remembering neutral and emotional events. </w:t>
      </w:r>
      <w:r>
        <w:rPr>
          <w:i/>
          <w:iCs/>
        </w:rPr>
        <w:t>Neuroscience Research</w:t>
      </w:r>
      <w:r>
        <w:t xml:space="preserve">, </w:t>
      </w:r>
      <w:r>
        <w:rPr>
          <w:i/>
          <w:iCs/>
        </w:rPr>
        <w:t>69</w:t>
      </w:r>
      <w:r>
        <w:t>(2), Article 2. https://doi.org/10.1016/j.neures.2010.11.001</w:t>
      </w:r>
    </w:p>
    <w:p w14:paraId="5DC9DB02" w14:textId="77777777" w:rsidR="002C5BEF" w:rsidRDefault="002C5BEF" w:rsidP="002C5BEF">
      <w:pPr>
        <w:pStyle w:val="af3"/>
      </w:pPr>
      <w:r>
        <w:t xml:space="preserve">Klein Selle, N., &amp; Ben-Shakhar, G. (2023). A new theoretical perspective on concealed </w:t>
      </w:r>
      <w:r>
        <w:lastRenderedPageBreak/>
        <w:t xml:space="preserve">information detection. </w:t>
      </w:r>
      <w:r>
        <w:rPr>
          <w:i/>
          <w:iCs/>
        </w:rPr>
        <w:t>Psychophysiology</w:t>
      </w:r>
      <w:r>
        <w:t xml:space="preserve">, </w:t>
      </w:r>
      <w:r>
        <w:rPr>
          <w:i/>
          <w:iCs/>
        </w:rPr>
        <w:t>60</w:t>
      </w:r>
      <w:r>
        <w:t>(3), e14187. https://doi.org/10.1111/psyp.14187</w:t>
      </w:r>
    </w:p>
    <w:p w14:paraId="23E3D257" w14:textId="77777777" w:rsidR="002C5BEF" w:rsidRDefault="002C5BEF" w:rsidP="002C5BEF">
      <w:pPr>
        <w:pStyle w:val="af3"/>
      </w:pPr>
      <w:r>
        <w:t xml:space="preserve">Klein Selle, N., Verschuere, B., Kindt, M., Meijer, E., &amp; Ben-Shakhar, G. (2016). Orienting versus inhibition in the Concealed Information Test: Different cognitive processes drive different physiological measures. </w:t>
      </w:r>
      <w:r>
        <w:rPr>
          <w:i/>
          <w:iCs/>
        </w:rPr>
        <w:t>Psychophysiology</w:t>
      </w:r>
      <w:r>
        <w:t xml:space="preserve">, </w:t>
      </w:r>
      <w:r>
        <w:rPr>
          <w:i/>
          <w:iCs/>
        </w:rPr>
        <w:t>53</w:t>
      </w:r>
      <w:r>
        <w:t>(4), 579–590. https://doi.org/10.1111/psyp.12583</w:t>
      </w:r>
    </w:p>
    <w:p w14:paraId="76091BAF" w14:textId="77777777" w:rsidR="002C5BEF" w:rsidRDefault="002C5BEF" w:rsidP="002C5BEF">
      <w:pPr>
        <w:pStyle w:val="af3"/>
      </w:pPr>
      <w:r>
        <w:t xml:space="preserve">Klein Selle, N., Verschuere, B., Kindt, M., Meijer, E., &amp; Ben-Shakhar, G. (2017). Unraveling the roles of orienting and inhibition in the Concealed Information Test. </w:t>
      </w:r>
      <w:r>
        <w:rPr>
          <w:i/>
          <w:iCs/>
        </w:rPr>
        <w:t>Psychophysiology</w:t>
      </w:r>
      <w:r>
        <w:t xml:space="preserve">, </w:t>
      </w:r>
      <w:r>
        <w:rPr>
          <w:i/>
          <w:iCs/>
        </w:rPr>
        <w:t>54</w:t>
      </w:r>
      <w:r>
        <w:t>(4), 628–639. https://doi.org/10.1111/psyp.12825</w:t>
      </w:r>
    </w:p>
    <w:p w14:paraId="5677FEBC" w14:textId="77777777" w:rsidR="002C5BEF" w:rsidRDefault="002C5BEF" w:rsidP="002C5BEF">
      <w:pPr>
        <w:pStyle w:val="af3"/>
      </w:pPr>
      <w:r>
        <w:t xml:space="preserve">Kleinberg, B., &amp; Verschuere, B. (2015). Memory Detection 2.0: The First Web-Based Memory Detection Test. </w:t>
      </w:r>
      <w:r>
        <w:rPr>
          <w:i/>
          <w:iCs/>
        </w:rPr>
        <w:t>PLOS ONE</w:t>
      </w:r>
      <w:r>
        <w:t xml:space="preserve">, </w:t>
      </w:r>
      <w:r>
        <w:rPr>
          <w:i/>
          <w:iCs/>
        </w:rPr>
        <w:t>10</w:t>
      </w:r>
      <w:r>
        <w:t>(4), e0118715. https://doi.org/10.1371/journal.pone.0118715</w:t>
      </w:r>
    </w:p>
    <w:p w14:paraId="54745D5E" w14:textId="77777777" w:rsidR="002C5BEF" w:rsidRDefault="002C5BEF" w:rsidP="002C5BEF">
      <w:pPr>
        <w:pStyle w:val="af3"/>
      </w:pPr>
      <w:r>
        <w:t xml:space="preserve">Kozel, F. A., Johnson, K. A., Grenesko, E. L., Laken, S. J., Kose, S., Lu, X., Pollina, D., Ryan, A., &amp; George, M. S. (2009). Functional MRI Detection of Deception After Committing a Mock Sabotage Crime. </w:t>
      </w:r>
      <w:r>
        <w:rPr>
          <w:i/>
          <w:iCs/>
        </w:rPr>
        <w:t>Journal of Forensic Sciences</w:t>
      </w:r>
      <w:r>
        <w:t xml:space="preserve">, </w:t>
      </w:r>
      <w:r>
        <w:rPr>
          <w:i/>
          <w:iCs/>
        </w:rPr>
        <w:t>54</w:t>
      </w:r>
      <w:r>
        <w:t>(1), Article 1. https://doi.org/10.1111/j.1556-4029.2008.00927.x</w:t>
      </w:r>
    </w:p>
    <w:p w14:paraId="0F2ECEA5" w14:textId="77777777" w:rsidR="002C5BEF" w:rsidRDefault="002C5BEF" w:rsidP="002C5BEF">
      <w:pPr>
        <w:pStyle w:val="af3"/>
      </w:pPr>
      <w:r>
        <w:t xml:space="preserve">Kozel, F. A., Johnson, K. A., Mu, Q., Grenesko, E. L., Laken, S. J., &amp; George, M. S. (2005). Detecting Deception Using Functional Magnetic Resonance Imaging. </w:t>
      </w:r>
      <w:r>
        <w:rPr>
          <w:i/>
          <w:iCs/>
        </w:rPr>
        <w:t>Biological Psychiatry</w:t>
      </w:r>
      <w:r>
        <w:t xml:space="preserve">, </w:t>
      </w:r>
      <w:r>
        <w:rPr>
          <w:i/>
          <w:iCs/>
        </w:rPr>
        <w:t>58</w:t>
      </w:r>
      <w:r>
        <w:t>(8), Article 8. https://doi.org/10.1016/j.biopsych.2005.07.040</w:t>
      </w:r>
    </w:p>
    <w:p w14:paraId="11BA4E36" w14:textId="77777777" w:rsidR="002C5BEF" w:rsidRDefault="002C5BEF" w:rsidP="002C5BEF">
      <w:pPr>
        <w:pStyle w:val="af3"/>
      </w:pPr>
      <w:r>
        <w:t>Langleben, D. D., Loughead, J. W., Bilker, W. B., Ruparel, K., Childress, A. R., Busch, S. I., &amp; Gur, R. C. (2005). Telling truth from lie in individual subjects with fast event-</w:t>
      </w:r>
      <w:r>
        <w:lastRenderedPageBreak/>
        <w:t xml:space="preserve">related fMRI. </w:t>
      </w:r>
      <w:r>
        <w:rPr>
          <w:i/>
          <w:iCs/>
        </w:rPr>
        <w:t>Human Brain Mapping</w:t>
      </w:r>
      <w:r>
        <w:t xml:space="preserve">, </w:t>
      </w:r>
      <w:r>
        <w:rPr>
          <w:i/>
          <w:iCs/>
        </w:rPr>
        <w:t>26</w:t>
      </w:r>
      <w:r>
        <w:t>(4), Article 4. https://doi.org/10.1002/hbm.20191</w:t>
      </w:r>
    </w:p>
    <w:p w14:paraId="33571EEC" w14:textId="77777777" w:rsidR="002C5BEF" w:rsidRDefault="002C5BEF" w:rsidP="002C5BEF">
      <w:pPr>
        <w:pStyle w:val="af3"/>
      </w:pPr>
      <w:r>
        <w:t xml:space="preserve">Langleben, D. D., Schroeder, L., Maldjian, J. A., Gur, R. C., McDonald, S., Ragland, J. D., O’brien, C. P., &amp; Childress, A. R. (2002). Brain activity during simulated deception: An event-related functional magnetic resonance study. </w:t>
      </w:r>
      <w:r>
        <w:rPr>
          <w:i/>
          <w:iCs/>
        </w:rPr>
        <w:t>Neuroimage</w:t>
      </w:r>
      <w:r>
        <w:t xml:space="preserve">, </w:t>
      </w:r>
      <w:r>
        <w:rPr>
          <w:i/>
          <w:iCs/>
        </w:rPr>
        <w:t>15</w:t>
      </w:r>
      <w:r>
        <w:t>(3), Article 3. https://doi.org/10.1006/nimg.2001.1003</w:t>
      </w:r>
    </w:p>
    <w:p w14:paraId="304A0B24" w14:textId="77777777" w:rsidR="002C5BEF" w:rsidRDefault="002C5BEF" w:rsidP="002C5BEF">
      <w:pPr>
        <w:pStyle w:val="af3"/>
      </w:pPr>
      <w:r>
        <w:t xml:space="preserve">Lee, S. H., Jang, G., Jin, S. H., Park, J. ho, Lee, Y. J., Lee, J. M., Kim, S.-J., &amp; An, J. (2014). Cortical activities during a stand to sit movement using fNIRS. </w:t>
      </w:r>
      <w:r>
        <w:rPr>
          <w:i/>
          <w:iCs/>
        </w:rPr>
        <w:t>2014 14th International Conference on Control, Automation and Systems (ICCAS 2014)</w:t>
      </w:r>
      <w:r>
        <w:t>, 279–281. https://doi.org/10.1109/ICCAS.2014.6988002</w:t>
      </w:r>
    </w:p>
    <w:p w14:paraId="239A41E4" w14:textId="77777777" w:rsidR="002C5BEF" w:rsidRDefault="002C5BEF" w:rsidP="002C5BEF">
      <w:pPr>
        <w:pStyle w:val="af3"/>
      </w:pPr>
      <w:r>
        <w:t xml:space="preserve">Lin, X. A., Wang, C., Zhou, J., Sai, L., &amp; Fu, G. (2021). Neural correlates of spontaneous deception in a non-competitive interpersonal scenario: A functional near-infrared spectroscopy (fNIRS) study. </w:t>
      </w:r>
      <w:r>
        <w:rPr>
          <w:i/>
          <w:iCs/>
        </w:rPr>
        <w:t>Brain and Cognition</w:t>
      </w:r>
      <w:r>
        <w:t xml:space="preserve">, </w:t>
      </w:r>
      <w:r>
        <w:rPr>
          <w:i/>
          <w:iCs/>
        </w:rPr>
        <w:t>150</w:t>
      </w:r>
      <w:r>
        <w:t>, 105704. https://doi.org/10.1016/j.bandc.2021.105704</w:t>
      </w:r>
    </w:p>
    <w:p w14:paraId="6FDE8B30" w14:textId="77777777" w:rsidR="002C5BEF" w:rsidRDefault="002C5BEF" w:rsidP="002C5BEF">
      <w:pPr>
        <w:pStyle w:val="af3"/>
      </w:pPr>
      <w:r>
        <w:t xml:space="preserve">Lin, X., Lei, V. L. C., Li, D., &amp; Yuan, Z. (2018). Which is more costly in Chinese to English simultaneous interpreting, “pairing” or “transphrasing”? Evidence from an fNIRS neuroimaging study. </w:t>
      </w:r>
      <w:r>
        <w:rPr>
          <w:i/>
          <w:iCs/>
        </w:rPr>
        <w:t>Neurophotonics</w:t>
      </w:r>
      <w:r>
        <w:t xml:space="preserve">, </w:t>
      </w:r>
      <w:r>
        <w:rPr>
          <w:i/>
          <w:iCs/>
        </w:rPr>
        <w:t>5</w:t>
      </w:r>
      <w:r>
        <w:t>(2), 025010. https://doi.org/10.1117/1.NPh.5.2.025010</w:t>
      </w:r>
    </w:p>
    <w:p w14:paraId="478E9597" w14:textId="77777777" w:rsidR="002C5BEF" w:rsidRDefault="002C5BEF" w:rsidP="002C5BEF">
      <w:pPr>
        <w:pStyle w:val="af3"/>
      </w:pPr>
      <w:r>
        <w:t xml:space="preserve">Lin, X., Sai, L., &amp; Yuan, Z. (2018). Detecting Concealed Information with Fused Electroencephalography and Functional Near-infrared Spectroscopy. </w:t>
      </w:r>
      <w:r>
        <w:rPr>
          <w:i/>
          <w:iCs/>
        </w:rPr>
        <w:t>Neuroscience</w:t>
      </w:r>
      <w:r>
        <w:t xml:space="preserve">, </w:t>
      </w:r>
      <w:r>
        <w:rPr>
          <w:i/>
          <w:iCs/>
        </w:rPr>
        <w:t>386</w:t>
      </w:r>
      <w:r>
        <w:t>, 284–294. https://doi.org/10.1016/j.neuroscience.2018.06.049</w:t>
      </w:r>
    </w:p>
    <w:p w14:paraId="440DA416" w14:textId="77777777" w:rsidR="002C5BEF" w:rsidRDefault="002C5BEF" w:rsidP="002C5BEF">
      <w:pPr>
        <w:pStyle w:val="af3"/>
      </w:pPr>
      <w:r>
        <w:lastRenderedPageBreak/>
        <w:t xml:space="preserve">Logothetis, N. K., &amp; Wandell, B. A. (2004). Interpreting the BOLD Signal. </w:t>
      </w:r>
      <w:r>
        <w:rPr>
          <w:i/>
          <w:iCs/>
        </w:rPr>
        <w:t>Annual Review of Physiology</w:t>
      </w:r>
      <w:r>
        <w:t xml:space="preserve">, </w:t>
      </w:r>
      <w:r>
        <w:rPr>
          <w:i/>
          <w:iCs/>
        </w:rPr>
        <w:t>66</w:t>
      </w:r>
      <w:r>
        <w:t>(1), 735–769. https://doi.org/10.1146/annurev.physiol.66.082602.092845</w:t>
      </w:r>
    </w:p>
    <w:p w14:paraId="5A5CBEDA" w14:textId="77777777" w:rsidR="002C5BEF" w:rsidRDefault="002C5BEF" w:rsidP="002C5BEF">
      <w:pPr>
        <w:pStyle w:val="af3"/>
      </w:pPr>
      <w:r>
        <w:t xml:space="preserve">Lykken, D. T. (1959). The GSR in the detection of guilt. </w:t>
      </w:r>
      <w:r>
        <w:rPr>
          <w:i/>
          <w:iCs/>
        </w:rPr>
        <w:t>Journal of Applied Psychology</w:t>
      </w:r>
      <w:r>
        <w:t xml:space="preserve">, </w:t>
      </w:r>
      <w:r>
        <w:rPr>
          <w:i/>
          <w:iCs/>
        </w:rPr>
        <w:t>43</w:t>
      </w:r>
      <w:r>
        <w:t>, 385–388. https://doi.org/10.1037/h0046060</w:t>
      </w:r>
    </w:p>
    <w:p w14:paraId="33128963" w14:textId="77777777" w:rsidR="002C5BEF" w:rsidRDefault="002C5BEF" w:rsidP="002C5BEF">
      <w:pPr>
        <w:pStyle w:val="af3"/>
      </w:pPr>
      <w:r>
        <w:t xml:space="preserve">Lykken, D. T. (1960). The validity of the guilty knowledge technique: The effects of faking. </w:t>
      </w:r>
      <w:r>
        <w:rPr>
          <w:i/>
          <w:iCs/>
        </w:rPr>
        <w:t>Journal of Applied Psychology</w:t>
      </w:r>
      <w:r>
        <w:t xml:space="preserve">, </w:t>
      </w:r>
      <w:r>
        <w:rPr>
          <w:i/>
          <w:iCs/>
        </w:rPr>
        <w:t>44</w:t>
      </w:r>
      <w:r>
        <w:t>(4), 258–262. https://doi.org/10.1037/h0044413</w:t>
      </w:r>
    </w:p>
    <w:p w14:paraId="692D6CC9" w14:textId="77777777" w:rsidR="002C5BEF" w:rsidRDefault="002C5BEF" w:rsidP="002C5BEF">
      <w:pPr>
        <w:pStyle w:val="af3"/>
      </w:pPr>
      <w:r>
        <w:t xml:space="preserve">Mameli, F., Mrakic-Sposta, S., Vergari, M., Fumagalli, M., Macis, M., Ferrucci, R., Nordio, F., Consonni, D., Sartori, G., &amp; Priori, A. (2010). Dorsolateral prefrontal cortex specifically processes general – but not personal – knowledge deception: Multiple brain networks for lying. </w:t>
      </w:r>
      <w:r>
        <w:rPr>
          <w:i/>
          <w:iCs/>
        </w:rPr>
        <w:t>Behavioural Brain Research</w:t>
      </w:r>
      <w:r>
        <w:t xml:space="preserve">, </w:t>
      </w:r>
      <w:r>
        <w:rPr>
          <w:i/>
          <w:iCs/>
        </w:rPr>
        <w:t>211</w:t>
      </w:r>
      <w:r>
        <w:t>(2), 164–168. https://doi.org/10.1016/j.bbr.2010.03.024</w:t>
      </w:r>
    </w:p>
    <w:p w14:paraId="0EB34259" w14:textId="77777777" w:rsidR="002C5BEF" w:rsidRDefault="002C5BEF" w:rsidP="002C5BEF">
      <w:pPr>
        <w:pStyle w:val="af3"/>
      </w:pPr>
      <w:r>
        <w:t xml:space="preserve">Mansouri, F. A., Koechlin, E., Rosa, M. G. P., &amp; Buckley, M. J. (2017). Managing competing goals—A key role for the frontopolar cortex. </w:t>
      </w:r>
      <w:r>
        <w:rPr>
          <w:i/>
          <w:iCs/>
        </w:rPr>
        <w:t>Nature Reviews Neuroscience</w:t>
      </w:r>
      <w:r>
        <w:t xml:space="preserve">, </w:t>
      </w:r>
      <w:r>
        <w:rPr>
          <w:i/>
          <w:iCs/>
        </w:rPr>
        <w:t>18</w:t>
      </w:r>
      <w:r>
        <w:t>(11), Article 11. https://doi.org/10.1038/nrn.2017.111</w:t>
      </w:r>
    </w:p>
    <w:p w14:paraId="0E051652" w14:textId="77777777" w:rsidR="002C5BEF" w:rsidRDefault="002C5BEF" w:rsidP="002C5BEF">
      <w:pPr>
        <w:pStyle w:val="af3"/>
      </w:pPr>
      <w:r>
        <w:t xml:space="preserve">Matsuda, I., Nittono, H., Hirota, A., Ogawa, T., &amp; Takasawa, N. (2009). Event-related brain potentials during the standard autonomic-based concealed information test. </w:t>
      </w:r>
      <w:r>
        <w:rPr>
          <w:i/>
          <w:iCs/>
        </w:rPr>
        <w:t>International Journal of Psychophysiology</w:t>
      </w:r>
      <w:r>
        <w:t xml:space="preserve">, </w:t>
      </w:r>
      <w:r>
        <w:rPr>
          <w:i/>
          <w:iCs/>
        </w:rPr>
        <w:t>74</w:t>
      </w:r>
      <w:r>
        <w:t>(1), 58–68. https://doi.org/10.1016/j.ijpsycho.2009.07.004</w:t>
      </w:r>
    </w:p>
    <w:p w14:paraId="7435EDED" w14:textId="77777777" w:rsidR="002C5BEF" w:rsidRDefault="002C5BEF" w:rsidP="002C5BEF">
      <w:pPr>
        <w:pStyle w:val="af3"/>
      </w:pPr>
      <w:r>
        <w:t xml:space="preserve">Matsuda, I., Nittono, H., &amp; Ogawa, T. (2011). Event-related potentials increase the discrimination performance of the autonomic-based concealed information test. </w:t>
      </w:r>
      <w:r>
        <w:rPr>
          <w:i/>
          <w:iCs/>
        </w:rPr>
        <w:lastRenderedPageBreak/>
        <w:t>Psychophysiology</w:t>
      </w:r>
      <w:r>
        <w:t xml:space="preserve">, </w:t>
      </w:r>
      <w:r>
        <w:rPr>
          <w:i/>
          <w:iCs/>
        </w:rPr>
        <w:t>48</w:t>
      </w:r>
      <w:r>
        <w:t>(12), 1701–1710. https://doi.org/10.1111/j.1469-8986.2011.01266.x</w:t>
      </w:r>
    </w:p>
    <w:p w14:paraId="53F58865" w14:textId="77777777" w:rsidR="002C5BEF" w:rsidRDefault="002C5BEF" w:rsidP="002C5BEF">
      <w:pPr>
        <w:pStyle w:val="af3"/>
      </w:pPr>
      <w:r>
        <w:t xml:space="preserve">Meijer, E. H., &amp; Verschuere, B. (2017). Deception detection based on neuroimaging: Better than the polygraph? </w:t>
      </w:r>
      <w:r>
        <w:rPr>
          <w:i/>
          <w:iCs/>
        </w:rPr>
        <w:t>Journal of Forensic Radiology and Imaging</w:t>
      </w:r>
      <w:r>
        <w:t xml:space="preserve">, </w:t>
      </w:r>
      <w:r>
        <w:rPr>
          <w:i/>
          <w:iCs/>
        </w:rPr>
        <w:t>8</w:t>
      </w:r>
      <w:r>
        <w:t>, 17–21. https://doi.org/10.1016/j.jofri.2017.03.003</w:t>
      </w:r>
    </w:p>
    <w:p w14:paraId="0D7E68BB" w14:textId="77777777" w:rsidR="002C5BEF" w:rsidRDefault="002C5BEF" w:rsidP="002C5BEF">
      <w:pPr>
        <w:pStyle w:val="af3"/>
      </w:pPr>
      <w:r>
        <w:t xml:space="preserve">Nose, I., Murai, J., &amp; Taira, M. (2009). Disclosing concealed information on the basis of cortical activations. </w:t>
      </w:r>
      <w:r>
        <w:rPr>
          <w:i/>
          <w:iCs/>
        </w:rPr>
        <w:t>NeuroImage</w:t>
      </w:r>
      <w:r>
        <w:t xml:space="preserve">, </w:t>
      </w:r>
      <w:r>
        <w:rPr>
          <w:i/>
          <w:iCs/>
        </w:rPr>
        <w:t>44</w:t>
      </w:r>
      <w:r>
        <w:t>(4), 1380–1386. https://doi.org/10.1016/j.neuroimage.2008.11.002</w:t>
      </w:r>
    </w:p>
    <w:p w14:paraId="45847FD6" w14:textId="77777777" w:rsidR="002C5BEF" w:rsidRDefault="002C5BEF" w:rsidP="002C5BEF">
      <w:pPr>
        <w:pStyle w:val="af3"/>
      </w:pPr>
      <w:r>
        <w:t xml:space="preserve">Osugi, A. (2011). Daily application of the concealed information test: Japan. </w:t>
      </w:r>
      <w:r>
        <w:rPr>
          <w:i/>
          <w:iCs/>
        </w:rPr>
        <w:t>Memory Detection: Theory and Application of the Concealed Information Test</w:t>
      </w:r>
      <w:r>
        <w:t>, 253. https://doi.org/10.1017/CBO9780511975196.015</w:t>
      </w:r>
    </w:p>
    <w:p w14:paraId="07290D89" w14:textId="77777777" w:rsidR="002C5BEF" w:rsidRDefault="002C5BEF" w:rsidP="002C5BEF">
      <w:pPr>
        <w:pStyle w:val="af3"/>
      </w:pPr>
      <w:r>
        <w:t xml:space="preserve">Peth, J., Sommer, T., Hebart, M. N., Vossel, G., Büchel, C., &amp; Gamer, M. (2015). Memory detection using fMRI—Does the encoding context matter? </w:t>
      </w:r>
      <w:r>
        <w:rPr>
          <w:i/>
          <w:iCs/>
        </w:rPr>
        <w:t>NeuroImage</w:t>
      </w:r>
      <w:r>
        <w:t xml:space="preserve">, </w:t>
      </w:r>
      <w:r>
        <w:rPr>
          <w:i/>
          <w:iCs/>
        </w:rPr>
        <w:t>113</w:t>
      </w:r>
      <w:r>
        <w:t>, 164–174. https://doi.org/10.1016/j.neuroimage.2015.03.051</w:t>
      </w:r>
    </w:p>
    <w:p w14:paraId="4CF8FD9C" w14:textId="77777777" w:rsidR="002C5BEF" w:rsidRDefault="002C5BEF" w:rsidP="002C5BEF">
      <w:pPr>
        <w:pStyle w:val="af3"/>
      </w:pPr>
      <w:r>
        <w:t xml:space="preserve">Priori, A., Mameli, F., Cogiamanian, F., Marceglia, S., Tiriticco, M., Mrakic-Sposta, S., Ferrucci, R., Zago, S., Polezzi, D., &amp; Sartori, G. (2008). Lie-Specific Involvement of Dorsolateral Prefrontal Cortex in Deception. </w:t>
      </w:r>
      <w:r>
        <w:rPr>
          <w:i/>
          <w:iCs/>
        </w:rPr>
        <w:t>Cerebral Cortex</w:t>
      </w:r>
      <w:r>
        <w:t xml:space="preserve">, </w:t>
      </w:r>
      <w:r>
        <w:rPr>
          <w:i/>
          <w:iCs/>
        </w:rPr>
        <w:t>18</w:t>
      </w:r>
      <w:r>
        <w:t>(2), 451–455. https://doi.org/10.1093/cercor/bhm088</w:t>
      </w:r>
    </w:p>
    <w:p w14:paraId="07263666" w14:textId="77777777" w:rsidR="002C5BEF" w:rsidRDefault="002C5BEF" w:rsidP="002C5BEF">
      <w:pPr>
        <w:pStyle w:val="af3"/>
      </w:pPr>
      <w:r>
        <w:t xml:space="preserve">Rosenfeld, J. P. (2019). P300 in detecting concealed information and deception: A review. </w:t>
      </w:r>
      <w:r>
        <w:rPr>
          <w:i/>
          <w:iCs/>
        </w:rPr>
        <w:t>Psychophysiology</w:t>
      </w:r>
      <w:r>
        <w:t xml:space="preserve">, </w:t>
      </w:r>
      <w:r>
        <w:rPr>
          <w:i/>
          <w:iCs/>
        </w:rPr>
        <w:t>57</w:t>
      </w:r>
      <w:r>
        <w:t>. https://doi.org/10.1111/psyp.13362</w:t>
      </w:r>
    </w:p>
    <w:p w14:paraId="600189AC" w14:textId="77777777" w:rsidR="002C5BEF" w:rsidRDefault="002C5BEF" w:rsidP="002C5BEF">
      <w:pPr>
        <w:pStyle w:val="af3"/>
      </w:pPr>
      <w:r>
        <w:t xml:space="preserve">Rosenfeld, J. P., Biroschak, J. R., &amp; Furedy, J. J. (2006). P300-based detection of concealed </w:t>
      </w:r>
      <w:r>
        <w:lastRenderedPageBreak/>
        <w:t xml:space="preserve">autobiographical versus incidentally acquired information in target and non-target paradigms. </w:t>
      </w:r>
      <w:r>
        <w:rPr>
          <w:i/>
          <w:iCs/>
        </w:rPr>
        <w:t>International Journal of Psychophysiology</w:t>
      </w:r>
      <w:r>
        <w:t xml:space="preserve">, </w:t>
      </w:r>
      <w:r>
        <w:rPr>
          <w:i/>
          <w:iCs/>
        </w:rPr>
        <w:t>60</w:t>
      </w:r>
      <w:r>
        <w:t>(3), 251–259. https://doi.org/10.1016/j.ijpsycho.2005.06.002</w:t>
      </w:r>
    </w:p>
    <w:p w14:paraId="360B622D" w14:textId="77777777" w:rsidR="002C5BEF" w:rsidRDefault="002C5BEF" w:rsidP="002C5BEF">
      <w:pPr>
        <w:pStyle w:val="af3"/>
      </w:pPr>
      <w:r>
        <w:t xml:space="preserve">Sai, L., Lin, X., Hu, X., &amp; Fu, G. (2014). Detecting concealed information using feedback related event-related brain potentials. </w:t>
      </w:r>
      <w:r>
        <w:rPr>
          <w:i/>
          <w:iCs/>
        </w:rPr>
        <w:t>Brain and Cognition</w:t>
      </w:r>
      <w:r>
        <w:t xml:space="preserve">, </w:t>
      </w:r>
      <w:r>
        <w:rPr>
          <w:i/>
          <w:iCs/>
        </w:rPr>
        <w:t>90</w:t>
      </w:r>
      <w:r>
        <w:t>, 142–150. https://doi.org/10.1016/j.bandc.2014.06.012</w:t>
      </w:r>
    </w:p>
    <w:p w14:paraId="6DC23841" w14:textId="77777777" w:rsidR="002C5BEF" w:rsidRDefault="002C5BEF" w:rsidP="002C5BEF">
      <w:pPr>
        <w:pStyle w:val="af3"/>
      </w:pPr>
      <w:r>
        <w:t xml:space="preserve">Sai, L., Zhou, X., Ding, X. P., Fu, G., &amp; Sang, B. (2014). Detecting concealed information using functional near-infrared spectroscopy. </w:t>
      </w:r>
      <w:r>
        <w:rPr>
          <w:i/>
          <w:iCs/>
        </w:rPr>
        <w:t>Brain Topography</w:t>
      </w:r>
      <w:r>
        <w:t xml:space="preserve">, </w:t>
      </w:r>
      <w:r>
        <w:rPr>
          <w:i/>
          <w:iCs/>
        </w:rPr>
        <w:t>27</w:t>
      </w:r>
      <w:r>
        <w:t>(5), 652–662. https://doi.org/10.1007/s10548-014-0352-z</w:t>
      </w:r>
    </w:p>
    <w:p w14:paraId="4EF502A2" w14:textId="77777777" w:rsidR="002C5BEF" w:rsidRDefault="002C5BEF" w:rsidP="002C5BEF">
      <w:pPr>
        <w:pStyle w:val="af3"/>
      </w:pPr>
      <w:r>
        <w:t xml:space="preserve">Sartori, G., Zangrossi, A., &amp; Monaro, M. (2018). Deception detection with behavioral methods: The Autobiographical Implicit Association Test, concealed information test-reaction time, mouse dynamics, and keystroke dynamics. In </w:t>
      </w:r>
      <w:r>
        <w:rPr>
          <w:i/>
          <w:iCs/>
        </w:rPr>
        <w:t>Detecting concealed information and deception: Recent developments</w:t>
      </w:r>
      <w:r>
        <w:t xml:space="preserve"> (pp. 215–241). Elsevier Academic Press. https://doi.org/10.1016/B978-0-12-812729-2.00010-0</w:t>
      </w:r>
    </w:p>
    <w:p w14:paraId="2872E5C8" w14:textId="77777777" w:rsidR="002C5BEF" w:rsidRDefault="002C5BEF" w:rsidP="002C5BEF">
      <w:pPr>
        <w:pStyle w:val="af3"/>
      </w:pPr>
      <w:r>
        <w:t xml:space="preserve">Singh, A. K., &amp; Dan, I. (2006). Exploring the false discovery rate in multichannel NIRS. </w:t>
      </w:r>
      <w:r>
        <w:rPr>
          <w:i/>
          <w:iCs/>
        </w:rPr>
        <w:t>NeuroImage</w:t>
      </w:r>
      <w:r>
        <w:t xml:space="preserve">, </w:t>
      </w:r>
      <w:r>
        <w:rPr>
          <w:i/>
          <w:iCs/>
        </w:rPr>
        <w:t>33</w:t>
      </w:r>
      <w:r>
        <w:t>(2), 542–549. https://doi.org/10.1016/j.neuroimage.2006.06.047</w:t>
      </w:r>
    </w:p>
    <w:p w14:paraId="5AE5F6D5" w14:textId="77777777" w:rsidR="002C5BEF" w:rsidRDefault="002C5BEF" w:rsidP="002C5BEF">
      <w:pPr>
        <w:pStyle w:val="af3"/>
      </w:pPr>
      <w:r>
        <w:t xml:space="preserve">Singh, A. K., Okamoto, M., Dan, H., Jurcak, V., &amp; Dan, I. (2005). Spatial registration of multichannel multi-subject fNIRS data to MNI space without MRI. </w:t>
      </w:r>
      <w:r>
        <w:rPr>
          <w:i/>
          <w:iCs/>
        </w:rPr>
        <w:t>NeuroImage</w:t>
      </w:r>
      <w:r>
        <w:t xml:space="preserve">, </w:t>
      </w:r>
      <w:r>
        <w:rPr>
          <w:i/>
          <w:iCs/>
        </w:rPr>
        <w:t>27</w:t>
      </w:r>
      <w:r>
        <w:t>(4), 842–851. https://doi.org/10.1016/j.neuroimage.2005.05.019</w:t>
      </w:r>
    </w:p>
    <w:p w14:paraId="433B26AA" w14:textId="77777777" w:rsidR="002C5BEF" w:rsidRDefault="002C5BEF" w:rsidP="002C5BEF">
      <w:pPr>
        <w:pStyle w:val="af3"/>
      </w:pPr>
      <w:r>
        <w:t xml:space="preserve">Suchotzki, K., Verschuere, B., Peth, J., Crombez, G., &amp; Gamer, M. (2015). Manipulating item proportion and deception reveals crucial dissociation between behavioral, autonomic, </w:t>
      </w:r>
      <w:r>
        <w:lastRenderedPageBreak/>
        <w:t xml:space="preserve">and neural indices of concealed information. </w:t>
      </w:r>
      <w:r>
        <w:rPr>
          <w:i/>
          <w:iCs/>
        </w:rPr>
        <w:t>Human Brain Mapping</w:t>
      </w:r>
      <w:r>
        <w:t xml:space="preserve">, </w:t>
      </w:r>
      <w:r>
        <w:rPr>
          <w:i/>
          <w:iCs/>
        </w:rPr>
        <w:t>36</w:t>
      </w:r>
      <w:r>
        <w:t>(2), Article 2. https://doi.org/10.1002/hbm.22637</w:t>
      </w:r>
    </w:p>
    <w:p w14:paraId="4F472711" w14:textId="77777777" w:rsidR="002C5BEF" w:rsidRDefault="002C5BEF" w:rsidP="002C5BEF">
      <w:pPr>
        <w:pStyle w:val="af3"/>
      </w:pPr>
      <w:r>
        <w:t xml:space="preserve">Suchotzki, K., Verschuere, B., Van Bockstaele, B., Ben-Shakhar, G., &amp; Crombez, G. (2017). Lying takes time: A meta-analysis on reaction time measures of deception. </w:t>
      </w:r>
      <w:r>
        <w:rPr>
          <w:i/>
          <w:iCs/>
        </w:rPr>
        <w:t>Psychological Bulletin</w:t>
      </w:r>
      <w:r>
        <w:t xml:space="preserve">, </w:t>
      </w:r>
      <w:r>
        <w:rPr>
          <w:i/>
          <w:iCs/>
        </w:rPr>
        <w:t>143</w:t>
      </w:r>
      <w:r>
        <w:t>(4), Article 4. https://doi.org/10.1037/bul0000087</w:t>
      </w:r>
    </w:p>
    <w:p w14:paraId="77B292CF" w14:textId="77777777" w:rsidR="002C5BEF" w:rsidRDefault="002C5BEF" w:rsidP="002C5BEF">
      <w:pPr>
        <w:pStyle w:val="af3"/>
      </w:pPr>
      <w:r>
        <w:t xml:space="preserve">Suda, M., Takei, Y., Aoyama, Y., Narita, K., Sato, T., Fukuda, M., &amp; Mikuni, M. (2010). Frontopolar activation during face-to-face conversation: An in situ study using near-infrared spectroscopy. </w:t>
      </w:r>
      <w:r>
        <w:rPr>
          <w:i/>
          <w:iCs/>
        </w:rPr>
        <w:t>Neuropsychologia</w:t>
      </w:r>
      <w:r>
        <w:t xml:space="preserve">, </w:t>
      </w:r>
      <w:r>
        <w:rPr>
          <w:i/>
          <w:iCs/>
        </w:rPr>
        <w:t>48</w:t>
      </w:r>
      <w:r>
        <w:t>(2), 441–447. https://doi.org/10.1016/j.neuropsychologia.2009.09.036</w:t>
      </w:r>
    </w:p>
    <w:p w14:paraId="18B71506" w14:textId="77777777" w:rsidR="002C5BEF" w:rsidRDefault="002C5BEF" w:rsidP="002C5BEF">
      <w:pPr>
        <w:pStyle w:val="af3"/>
      </w:pPr>
      <w:r>
        <w:t xml:space="preserve">Varga, M., Visu-Petra, G., Miclea, M., &amp; Buş, I. (2014). The RT-based Concealed Information Test: An Overview of Current Research and Future Perspectives. </w:t>
      </w:r>
      <w:r>
        <w:rPr>
          <w:i/>
          <w:iCs/>
        </w:rPr>
        <w:t>Procedia - Social and Behavioral Sciences</w:t>
      </w:r>
      <w:r>
        <w:t xml:space="preserve">, </w:t>
      </w:r>
      <w:r>
        <w:rPr>
          <w:i/>
          <w:iCs/>
        </w:rPr>
        <w:t>127</w:t>
      </w:r>
      <w:r>
        <w:t>, 681–685. https://doi.org/10.1016/j.sbspro.2014.03.335</w:t>
      </w:r>
    </w:p>
    <w:p w14:paraId="42AE4A8A" w14:textId="77777777" w:rsidR="002C5BEF" w:rsidRDefault="002C5BEF" w:rsidP="002C5BEF">
      <w:pPr>
        <w:pStyle w:val="af3"/>
      </w:pPr>
      <w:r>
        <w:t xml:space="preserve">Verschuere, B., Ben-Shakhar, G., &amp; Meijer, E. (2011). </w:t>
      </w:r>
      <w:r>
        <w:rPr>
          <w:i/>
          <w:iCs/>
        </w:rPr>
        <w:t>Memory Detection: Theory and Application of the Concealed Information Test</w:t>
      </w:r>
      <w:r>
        <w:t xml:space="preserve"> (1st ed.). Cambridge University Press. http://gen.lib.rus.ec/book/index.php?md5=369735b8860e9eebbeab7cc9579152e4</w:t>
      </w:r>
    </w:p>
    <w:p w14:paraId="336E7549" w14:textId="77777777" w:rsidR="002C5BEF" w:rsidRDefault="002C5BEF" w:rsidP="002C5BEF">
      <w:pPr>
        <w:pStyle w:val="af3"/>
      </w:pPr>
      <w:r>
        <w:t xml:space="preserve">Verschuere, B., Crombez, G., Degrootte, T., &amp; Rosseel, Y. (2010). Detecting concealed information with reaction times: Validity and comparison with the polygraph. </w:t>
      </w:r>
      <w:r>
        <w:rPr>
          <w:i/>
          <w:iCs/>
        </w:rPr>
        <w:t>Applied Cognitive Psychology</w:t>
      </w:r>
      <w:r>
        <w:t xml:space="preserve">, </w:t>
      </w:r>
      <w:r>
        <w:rPr>
          <w:i/>
          <w:iCs/>
        </w:rPr>
        <w:t>24</w:t>
      </w:r>
      <w:r>
        <w:t>(7), 991–1002. https://doi.org/10.1002/acp.1601</w:t>
      </w:r>
    </w:p>
    <w:p w14:paraId="2F96539A" w14:textId="77777777" w:rsidR="002C5BEF" w:rsidRDefault="002C5BEF" w:rsidP="002C5BEF">
      <w:pPr>
        <w:pStyle w:val="af3"/>
      </w:pPr>
      <w:r>
        <w:t xml:space="preserve">Vrij, A., Fisher, R., Mann, S., &amp; Leal, S. (2006). Detecting deception by manipulating cognitive load. </w:t>
      </w:r>
      <w:r>
        <w:rPr>
          <w:i/>
          <w:iCs/>
        </w:rPr>
        <w:t>Trends in Cognitive Sciences</w:t>
      </w:r>
      <w:r>
        <w:t xml:space="preserve">, </w:t>
      </w:r>
      <w:r>
        <w:rPr>
          <w:i/>
          <w:iCs/>
        </w:rPr>
        <w:t>10</w:t>
      </w:r>
      <w:r>
        <w:t xml:space="preserve">(4), 141–142. 3. </w:t>
      </w:r>
      <w:r>
        <w:lastRenderedPageBreak/>
        <w:t>https://doi.org/10.1016/j.tics.2006.02.003</w:t>
      </w:r>
    </w:p>
    <w:p w14:paraId="35120BDE" w14:textId="77777777" w:rsidR="002C5BEF" w:rsidRDefault="002C5BEF" w:rsidP="002C5BEF">
      <w:pPr>
        <w:pStyle w:val="af3"/>
      </w:pPr>
      <w:r>
        <w:t xml:space="preserve">Vrij, A., Granhag, P. A., &amp; Porter, S. (2010). Pitfalls and opportunities in nonverbal and verbal lie detection. </w:t>
      </w:r>
      <w:r>
        <w:rPr>
          <w:i/>
          <w:iCs/>
        </w:rPr>
        <w:t>Psychological Science in the Public Interest</w:t>
      </w:r>
      <w:r>
        <w:t xml:space="preserve">, </w:t>
      </w:r>
      <w:r>
        <w:rPr>
          <w:i/>
          <w:iCs/>
        </w:rPr>
        <w:t>11</w:t>
      </w:r>
      <w:r>
        <w:t>(3), 89–121. https://doi.org/10.1177/1529100610390861</w:t>
      </w:r>
    </w:p>
    <w:p w14:paraId="105E2416" w14:textId="77777777" w:rsidR="002C5BEF" w:rsidRDefault="002C5BEF" w:rsidP="002C5BEF">
      <w:pPr>
        <w:pStyle w:val="af3"/>
      </w:pPr>
      <w:r>
        <w:t xml:space="preserve">Wang, D., Wang, C., Yi, X., Sai, L., Fu, G., &amp; Lin, X. A. (2022). Detecting concealed information using functional near-infrared spectroscopy (fNIRS) combined with skin conductance, heart rate, and behavioral measures. </w:t>
      </w:r>
      <w:r>
        <w:rPr>
          <w:i/>
          <w:iCs/>
        </w:rPr>
        <w:t>Psychophysiology</w:t>
      </w:r>
      <w:r>
        <w:t xml:space="preserve">, </w:t>
      </w:r>
      <w:r>
        <w:rPr>
          <w:i/>
          <w:iCs/>
        </w:rPr>
        <w:t>n/a</w:t>
      </w:r>
      <w:r>
        <w:t>(n/a), e14029. https://doi.org/10/gppmbn</w:t>
      </w:r>
    </w:p>
    <w:p w14:paraId="069B0AB5" w14:textId="77777777" w:rsidR="002C5BEF" w:rsidRDefault="002C5BEF" w:rsidP="002C5BEF">
      <w:pPr>
        <w:pStyle w:val="af3"/>
      </w:pPr>
      <w:r>
        <w:t xml:space="preserve">Xia, M., Wang, J., &amp; He, Y. (2013). BrainNet Viewer: A Network Visualization Tool for Human Brain Connectomics. </w:t>
      </w:r>
      <w:r>
        <w:rPr>
          <w:i/>
          <w:iCs/>
        </w:rPr>
        <w:t>PLOS ONE</w:t>
      </w:r>
      <w:r>
        <w:t xml:space="preserve">, </w:t>
      </w:r>
      <w:r>
        <w:rPr>
          <w:i/>
          <w:iCs/>
        </w:rPr>
        <w:t>8</w:t>
      </w:r>
      <w:r>
        <w:t>(7), e68910. https://doi.org/10/f5bgcp</w:t>
      </w:r>
    </w:p>
    <w:p w14:paraId="04F66367" w14:textId="77777777" w:rsidR="002C5BEF" w:rsidRDefault="002C5BEF" w:rsidP="002C5BEF">
      <w:pPr>
        <w:pStyle w:val="af3"/>
      </w:pPr>
      <w:r>
        <w:t xml:space="preserve">Yu, J., Tao, Q., Zhang, R., Chan, C. C. H., &amp; Lee, T. M. C. (2019). Can fMRI discriminate between deception and false memory? A meta-analytic comparison between deception and false memory studies. </w:t>
      </w:r>
      <w:r>
        <w:rPr>
          <w:i/>
          <w:iCs/>
        </w:rPr>
        <w:t>Neuroscience &amp; Biobehavioral Reviews</w:t>
      </w:r>
      <w:r>
        <w:t xml:space="preserve">, </w:t>
      </w:r>
      <w:r>
        <w:rPr>
          <w:i/>
          <w:iCs/>
        </w:rPr>
        <w:t>104</w:t>
      </w:r>
      <w:r>
        <w:t>, 43–55. 6. https://doi.org/10.1016/j.neubiorev.2019.06.027</w:t>
      </w:r>
    </w:p>
    <w:p w14:paraId="7B5008E2" w14:textId="77777777" w:rsidR="002C5BEF" w:rsidRDefault="002C5BEF" w:rsidP="002C5BEF">
      <w:pPr>
        <w:pStyle w:val="af3"/>
      </w:pPr>
      <w:r>
        <w:t xml:space="preserve">Zhang, J., Zhang, J., Ren, H., Liu, Q., Du, Z., Wu, L., Sai, L., Yuan, Z., Mo, S., &amp; Lin, X. (2021). A Look Into the Power of fNIRS Signals by Using the Welch Power Spectral Estimate for Deception Detection. </w:t>
      </w:r>
      <w:r>
        <w:rPr>
          <w:i/>
          <w:iCs/>
        </w:rPr>
        <w:t>Frontiers in Human Neuroscience</w:t>
      </w:r>
      <w:r>
        <w:t xml:space="preserve">, </w:t>
      </w:r>
      <w:r>
        <w:rPr>
          <w:i/>
          <w:iCs/>
        </w:rPr>
        <w:t>14</w:t>
      </w:r>
      <w:r>
        <w:t>. https://doi.org/10.3389/fnhum.2020.606238</w:t>
      </w:r>
    </w:p>
    <w:p w14:paraId="27BA5F2B" w14:textId="4D420D92" w:rsidR="00462853" w:rsidRPr="00462853" w:rsidRDefault="00462853" w:rsidP="00462853">
      <w:r>
        <w:fldChar w:fldCharType="end"/>
      </w:r>
    </w:p>
    <w:p w14:paraId="453CFA84" w14:textId="4F637F7B" w:rsidR="00462853" w:rsidRDefault="00462853">
      <w:pPr>
        <w:widowControl/>
        <w:spacing w:line="240" w:lineRule="auto"/>
        <w:ind w:firstLine="0"/>
      </w:pPr>
      <w:r>
        <w:br w:type="page"/>
      </w:r>
    </w:p>
    <w:p w14:paraId="4895099D" w14:textId="77777777" w:rsidR="00AC085C" w:rsidRDefault="00AC085C" w:rsidP="00AC085C">
      <w:pPr>
        <w:pStyle w:val="2"/>
        <w:rPr>
          <w:color w:val="000000" w:themeColor="text1"/>
        </w:rPr>
      </w:pPr>
      <w:bookmarkStart w:id="2" w:name="_Hlk123655656"/>
      <w:r>
        <w:rPr>
          <w:color w:val="000000" w:themeColor="text1"/>
        </w:rPr>
        <w:lastRenderedPageBreak/>
        <w:t>Author Notes</w:t>
      </w:r>
    </w:p>
    <w:p w14:paraId="189E94B8" w14:textId="77777777" w:rsidR="00AC085C" w:rsidRDefault="00AC085C" w:rsidP="00AC085C">
      <w:pPr>
        <w:pStyle w:val="3"/>
        <w:rPr>
          <w:color w:val="000000" w:themeColor="text1"/>
        </w:rPr>
      </w:pPr>
      <w:r>
        <w:rPr>
          <w:color w:val="000000" w:themeColor="text1"/>
        </w:rPr>
        <w:t>Acknowledgments</w:t>
      </w:r>
    </w:p>
    <w:p w14:paraId="693588B3" w14:textId="1EF94A29" w:rsidR="00AC085C" w:rsidRDefault="00AC085C" w:rsidP="008130E7">
      <w:pPr>
        <w:pStyle w:val="EndNoteBibliography"/>
        <w:spacing w:line="480" w:lineRule="auto"/>
        <w:ind w:firstLineChars="0" w:firstLine="720"/>
        <w:rPr>
          <w:rFonts w:ascii="Times New Roman" w:hAnsi="Times New Roman" w:cs="Times New Roman"/>
          <w:color w:val="000000" w:themeColor="text1"/>
          <w:sz w:val="24"/>
        </w:rPr>
      </w:pPr>
      <w:r w:rsidRPr="00AC085C">
        <w:rPr>
          <w:rFonts w:ascii="Times New Roman" w:hAnsi="Times New Roman" w:cs="Times New Roman"/>
          <w:color w:val="000000" w:themeColor="text1"/>
          <w:sz w:val="24"/>
        </w:rPr>
        <w:t xml:space="preserve">We </w:t>
      </w:r>
      <w:r w:rsidR="008130E7" w:rsidRPr="008130E7">
        <w:rPr>
          <w:rFonts w:ascii="Times New Roman" w:hAnsi="Times New Roman" w:cs="Times New Roman"/>
          <w:color w:val="000000" w:themeColor="text1"/>
          <w:sz w:val="24"/>
        </w:rPr>
        <w:t xml:space="preserve">sincerely </w:t>
      </w:r>
      <w:r w:rsidRPr="00AC085C">
        <w:rPr>
          <w:rFonts w:ascii="Times New Roman" w:hAnsi="Times New Roman" w:cs="Times New Roman"/>
          <w:color w:val="000000" w:themeColor="text1"/>
          <w:sz w:val="24"/>
        </w:rPr>
        <w:t xml:space="preserve">thank </w:t>
      </w:r>
      <w:r>
        <w:rPr>
          <w:rFonts w:ascii="Times New Roman" w:hAnsi="Times New Roman" w:cs="Times New Roman" w:hint="eastAsia"/>
          <w:color w:val="000000" w:themeColor="text1"/>
          <w:sz w:val="24"/>
        </w:rPr>
        <w:t>D</w:t>
      </w:r>
      <w:r>
        <w:rPr>
          <w:rFonts w:ascii="Times New Roman" w:hAnsi="Times New Roman" w:cs="Times New Roman"/>
          <w:color w:val="000000" w:themeColor="text1"/>
          <w:sz w:val="24"/>
        </w:rPr>
        <w:t>i Wang</w:t>
      </w:r>
      <w:r w:rsidRPr="00AC085C">
        <w:rPr>
          <w:rFonts w:ascii="Times New Roman" w:hAnsi="Times New Roman" w:cs="Times New Roman"/>
          <w:color w:val="000000" w:themeColor="text1"/>
          <w:sz w:val="24"/>
        </w:rPr>
        <w:t xml:space="preserve"> for helping</w:t>
      </w:r>
      <w:r>
        <w:rPr>
          <w:rFonts w:ascii="Times New Roman" w:hAnsi="Times New Roman" w:cs="Times New Roman"/>
          <w:color w:val="000000" w:themeColor="text1"/>
          <w:sz w:val="24"/>
        </w:rPr>
        <w:t xml:space="preserve"> </w:t>
      </w:r>
      <w:r w:rsidRPr="00AC085C">
        <w:rPr>
          <w:rFonts w:ascii="Times New Roman" w:hAnsi="Times New Roman" w:cs="Times New Roman"/>
          <w:color w:val="000000" w:themeColor="text1"/>
          <w:sz w:val="24"/>
        </w:rPr>
        <w:t>collect the experimental data</w:t>
      </w:r>
      <w:r>
        <w:rPr>
          <w:rFonts w:ascii="Times New Roman" w:hAnsi="Times New Roman" w:cs="Times New Roman"/>
          <w:color w:val="000000" w:themeColor="text1"/>
          <w:sz w:val="24"/>
        </w:rPr>
        <w:t>.</w:t>
      </w:r>
    </w:p>
    <w:p w14:paraId="16BC11AA" w14:textId="4A7442DA" w:rsidR="00AC085C" w:rsidRDefault="00AC085C" w:rsidP="008130E7">
      <w:pPr>
        <w:pStyle w:val="EndNoteBibliography"/>
        <w:spacing w:line="480" w:lineRule="auto"/>
        <w:ind w:firstLineChars="0" w:firstLine="720"/>
        <w:rPr>
          <w:rFonts w:ascii="Times New Roman" w:hAnsi="Times New Roman" w:cs="Times New Roman"/>
          <w:color w:val="000000" w:themeColor="text1"/>
          <w:sz w:val="24"/>
        </w:rPr>
      </w:pPr>
      <w:r>
        <w:rPr>
          <w:rFonts w:ascii="Times New Roman" w:hAnsi="Times New Roman" w:cs="Times New Roman"/>
          <w:color w:val="000000" w:themeColor="text1"/>
          <w:sz w:val="24"/>
        </w:rPr>
        <w:t>The work was supported by the Natural Science Foundation of Zhejiang Province (No. LQ20C090005) to X. A. Lin, and National Natural Science Foundation of China (grant numbers32000772 to X. A. Lin, and 31070894, 31371041 to G. Fu).</w:t>
      </w:r>
    </w:p>
    <w:p w14:paraId="47FE70C9" w14:textId="77777777" w:rsidR="00AC085C" w:rsidRDefault="00AC085C" w:rsidP="00AC085C">
      <w:pPr>
        <w:pStyle w:val="3"/>
        <w:rPr>
          <w:color w:val="000000" w:themeColor="text1"/>
        </w:rPr>
      </w:pPr>
      <w:r>
        <w:rPr>
          <w:color w:val="000000" w:themeColor="text1"/>
        </w:rPr>
        <w:t>Conflict of interest</w:t>
      </w:r>
    </w:p>
    <w:p w14:paraId="0739BA8C" w14:textId="77777777" w:rsidR="00AC085C" w:rsidRDefault="00AC085C" w:rsidP="008130E7">
      <w:pPr>
        <w:pStyle w:val="EndNoteBibliography"/>
        <w:spacing w:line="480" w:lineRule="auto"/>
        <w:ind w:firstLineChars="0" w:firstLine="720"/>
        <w:rPr>
          <w:rFonts w:ascii="Times New Roman" w:hAnsi="Times New Roman" w:cs="Times New Roman"/>
          <w:color w:val="000000" w:themeColor="text1"/>
          <w:sz w:val="24"/>
        </w:rPr>
      </w:pPr>
      <w:r>
        <w:rPr>
          <w:rFonts w:ascii="Times New Roman" w:hAnsi="Times New Roman" w:cs="Times New Roman"/>
          <w:color w:val="000000" w:themeColor="text1"/>
          <w:sz w:val="24"/>
        </w:rPr>
        <w:t>The authors declare that they have no known competing financial interests or personal relationships that could have appeared to influence the work reported in this paper.</w:t>
      </w:r>
    </w:p>
    <w:p w14:paraId="4CB63313" w14:textId="77777777" w:rsidR="00AC085C" w:rsidRDefault="00AC085C" w:rsidP="00AC085C">
      <w:pPr>
        <w:pStyle w:val="3"/>
        <w:rPr>
          <w:color w:val="000000" w:themeColor="text1"/>
        </w:rPr>
      </w:pPr>
      <w:r>
        <w:rPr>
          <w:color w:val="000000" w:themeColor="text1"/>
        </w:rPr>
        <w:t>Author Contributions</w:t>
      </w:r>
    </w:p>
    <w:p w14:paraId="0C63AB38" w14:textId="7BDFFB78" w:rsidR="008130E7" w:rsidRPr="007E1BA5" w:rsidRDefault="008130E7" w:rsidP="008130E7">
      <w:pPr>
        <w:rPr>
          <w:color w:val="000000" w:themeColor="text1"/>
        </w:rPr>
      </w:pPr>
      <w:proofErr w:type="spellStart"/>
      <w:r>
        <w:rPr>
          <w:b/>
          <w:bCs/>
          <w:color w:val="000000" w:themeColor="text1"/>
        </w:rPr>
        <w:t>Xingyu</w:t>
      </w:r>
      <w:proofErr w:type="spellEnd"/>
      <w:r>
        <w:rPr>
          <w:rFonts w:hint="eastAsia"/>
          <w:b/>
          <w:bCs/>
          <w:color w:val="000000" w:themeColor="text1"/>
        </w:rPr>
        <w:t xml:space="preserve"> Yi</w:t>
      </w:r>
      <w:r w:rsidRPr="007E1BA5">
        <w:rPr>
          <w:b/>
          <w:bCs/>
          <w:color w:val="000000" w:themeColor="text1"/>
        </w:rPr>
        <w:t>:</w:t>
      </w:r>
      <w:r w:rsidRPr="007E1BA5">
        <w:rPr>
          <w:color w:val="000000" w:themeColor="text1"/>
        </w:rPr>
        <w:t xml:space="preserve"> Formal analysis; Visualization; Writing-original draft; Writing-review &amp; editing. </w:t>
      </w:r>
      <w:r w:rsidRPr="007E1BA5">
        <w:rPr>
          <w:b/>
          <w:bCs/>
          <w:color w:val="000000" w:themeColor="text1"/>
        </w:rPr>
        <w:t xml:space="preserve">Chongxiang Wang: </w:t>
      </w:r>
      <w:r w:rsidRPr="007E1BA5">
        <w:rPr>
          <w:color w:val="000000" w:themeColor="text1"/>
        </w:rPr>
        <w:t>Software; Formal analysis; Visualization;</w:t>
      </w:r>
      <w:r>
        <w:rPr>
          <w:color w:val="000000" w:themeColor="text1"/>
        </w:rPr>
        <w:t xml:space="preserve"> </w:t>
      </w:r>
      <w:r w:rsidRPr="007E1BA5">
        <w:rPr>
          <w:color w:val="000000" w:themeColor="text1"/>
        </w:rPr>
        <w:t xml:space="preserve">Validation; Writing-review &amp; editing. </w:t>
      </w:r>
      <w:proofErr w:type="spellStart"/>
      <w:r>
        <w:rPr>
          <w:b/>
          <w:bCs/>
          <w:color w:val="000000" w:themeColor="text1"/>
        </w:rPr>
        <w:t>Hongrui</w:t>
      </w:r>
      <w:proofErr w:type="spellEnd"/>
      <w:r>
        <w:rPr>
          <w:b/>
          <w:bCs/>
          <w:color w:val="000000" w:themeColor="text1"/>
        </w:rPr>
        <w:t xml:space="preserve"> Li</w:t>
      </w:r>
      <w:r w:rsidRPr="007E1BA5">
        <w:rPr>
          <w:color w:val="000000" w:themeColor="text1"/>
        </w:rPr>
        <w:t xml:space="preserve">: Writing-review &amp; editing. </w:t>
      </w:r>
      <w:proofErr w:type="spellStart"/>
      <w:r w:rsidRPr="007E1BA5">
        <w:rPr>
          <w:b/>
          <w:bCs/>
          <w:color w:val="000000" w:themeColor="text1"/>
        </w:rPr>
        <w:t>Genyue</w:t>
      </w:r>
      <w:proofErr w:type="spellEnd"/>
      <w:r w:rsidRPr="007E1BA5">
        <w:rPr>
          <w:b/>
          <w:bCs/>
          <w:color w:val="000000" w:themeColor="text1"/>
        </w:rPr>
        <w:t xml:space="preserve"> Fu: </w:t>
      </w:r>
      <w:r w:rsidRPr="007E1BA5">
        <w:rPr>
          <w:color w:val="000000" w:themeColor="text1"/>
        </w:rPr>
        <w:t xml:space="preserve">Resources; Supervision; Writing-review &amp; editing. </w:t>
      </w:r>
      <w:proofErr w:type="spellStart"/>
      <w:r w:rsidRPr="007E1BA5">
        <w:rPr>
          <w:b/>
          <w:bCs/>
          <w:color w:val="000000" w:themeColor="text1"/>
        </w:rPr>
        <w:t>Xiaohong</w:t>
      </w:r>
      <w:proofErr w:type="spellEnd"/>
      <w:r w:rsidRPr="007E1BA5">
        <w:rPr>
          <w:b/>
          <w:bCs/>
          <w:color w:val="000000" w:themeColor="text1"/>
        </w:rPr>
        <w:t xml:space="preserve"> Allison Lin: </w:t>
      </w:r>
      <w:r w:rsidRPr="007E1BA5">
        <w:rPr>
          <w:color w:val="000000" w:themeColor="text1"/>
        </w:rPr>
        <w:t>Conceptualization; Investigation; Formal analysis; Methodology Resources; Funding acquisition; Supervision; Project administration; Resources; Writing-review &amp; editing.</w:t>
      </w:r>
    </w:p>
    <w:bookmarkEnd w:id="2"/>
    <w:p w14:paraId="1F78C971" w14:textId="3F20D89D" w:rsidR="00C46A58" w:rsidRPr="00C46A58" w:rsidRDefault="00C46A58" w:rsidP="00EA5AEF">
      <w:pPr>
        <w:widowControl/>
        <w:spacing w:line="240" w:lineRule="auto"/>
        <w:ind w:firstLine="0"/>
        <w:rPr>
          <w:rFonts w:hint="eastAsia"/>
        </w:rPr>
      </w:pPr>
    </w:p>
    <w:sectPr w:rsidR="00C46A58" w:rsidRPr="00C46A58" w:rsidSect="005A7623">
      <w:pgSz w:w="11906" w:h="16838"/>
      <w:pgMar w:top="1440" w:right="1440" w:bottom="1440" w:left="1440" w:header="851" w:footer="992" w:gutter="0"/>
      <w:cols w:space="425"/>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62B2CB" w14:textId="77777777" w:rsidR="007F1A57" w:rsidRDefault="007F1A57" w:rsidP="005A7623">
      <w:pPr>
        <w:spacing w:line="240" w:lineRule="auto"/>
      </w:pPr>
      <w:r>
        <w:separator/>
      </w:r>
    </w:p>
  </w:endnote>
  <w:endnote w:type="continuationSeparator" w:id="0">
    <w:p w14:paraId="563918C9" w14:textId="77777777" w:rsidR="007F1A57" w:rsidRDefault="007F1A57" w:rsidP="005A762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eiryo">
    <w:altName w:val="MS Gothic"/>
    <w:panose1 w:val="020B0604030504040204"/>
    <w:charset w:val="80"/>
    <w:family w:val="swiss"/>
    <w:pitch w:val="variable"/>
    <w:sig w:usb0="E00002FF" w:usb1="6AC7FFFF" w:usb2="08000012" w:usb3="00000000" w:csb0="0002009F" w:csb1="00000000"/>
  </w:font>
  <w:font w:name="MingLiU">
    <w:altName w:val="細明體"/>
    <w:panose1 w:val="02010609000101010101"/>
    <w:charset w:val="88"/>
    <w:family w:val="modern"/>
    <w:pitch w:val="fixed"/>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D73444" w14:textId="77777777" w:rsidR="007F1A57" w:rsidRDefault="007F1A57" w:rsidP="005A7623">
      <w:pPr>
        <w:spacing w:line="240" w:lineRule="auto"/>
      </w:pPr>
      <w:r>
        <w:separator/>
      </w:r>
    </w:p>
  </w:footnote>
  <w:footnote w:type="continuationSeparator" w:id="0">
    <w:p w14:paraId="767763B9" w14:textId="77777777" w:rsidR="007F1A57" w:rsidRDefault="007F1A57" w:rsidP="005A762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7C8CD5" w14:textId="4A292D24" w:rsidR="00557A47" w:rsidRPr="0073324E" w:rsidRDefault="001637E3" w:rsidP="0073324E">
    <w:pPr>
      <w:pStyle w:val="1"/>
      <w:jc w:val="both"/>
      <w:rPr>
        <w:b w:val="0"/>
        <w:bCs w:val="0"/>
      </w:rPr>
    </w:pPr>
    <w:r>
      <w:rPr>
        <w:rFonts w:hint="eastAsia"/>
        <w:b w:val="0"/>
        <w:bCs w:val="0"/>
      </w:rPr>
      <w:t>M</w:t>
    </w:r>
    <w:r w:rsidRPr="001637E3">
      <w:rPr>
        <w:b w:val="0"/>
        <w:bCs w:val="0"/>
      </w:rPr>
      <w:t>ock crime CIT with multi-indicators</w:t>
    </w:r>
    <w:r w:rsidR="00557A47" w:rsidRPr="00F52255">
      <w:rPr>
        <w:szCs w:val="24"/>
      </w:rPr>
      <w:ptab w:relativeTo="margin" w:alignment="right" w:leader="none"/>
    </w:r>
    <w:sdt>
      <w:sdtPr>
        <w:rPr>
          <w:szCs w:val="24"/>
        </w:rPr>
        <w:id w:val="-1602016845"/>
        <w:docPartObj>
          <w:docPartGallery w:val="Page Numbers (Top of Page)"/>
          <w:docPartUnique/>
        </w:docPartObj>
      </w:sdtPr>
      <w:sdtContent>
        <w:r w:rsidR="00557A47" w:rsidRPr="0073324E">
          <w:rPr>
            <w:b w:val="0"/>
            <w:bCs w:val="0"/>
            <w:szCs w:val="24"/>
          </w:rPr>
          <w:fldChar w:fldCharType="begin"/>
        </w:r>
        <w:r w:rsidR="00557A47" w:rsidRPr="0073324E">
          <w:rPr>
            <w:b w:val="0"/>
            <w:bCs w:val="0"/>
            <w:szCs w:val="24"/>
          </w:rPr>
          <w:instrText>PAGE   \* MERGEFORMAT</w:instrText>
        </w:r>
        <w:r w:rsidR="00557A47" w:rsidRPr="0073324E">
          <w:rPr>
            <w:b w:val="0"/>
            <w:bCs w:val="0"/>
            <w:szCs w:val="24"/>
          </w:rPr>
          <w:fldChar w:fldCharType="separate"/>
        </w:r>
        <w:r w:rsidR="00731FA8">
          <w:rPr>
            <w:b w:val="0"/>
            <w:bCs w:val="0"/>
            <w:noProof/>
            <w:szCs w:val="24"/>
          </w:rPr>
          <w:t>22</w:t>
        </w:r>
        <w:r w:rsidR="00557A47" w:rsidRPr="0073324E">
          <w:rPr>
            <w:b w:val="0"/>
            <w:bCs w:val="0"/>
            <w:szCs w:val="24"/>
          </w:rPr>
          <w:fldChar w:fldCharType="end"/>
        </w:r>
      </w:sdtContent>
    </w:sdt>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10BC"/>
    <w:rsid w:val="00001EA2"/>
    <w:rsid w:val="0000301C"/>
    <w:rsid w:val="00016B80"/>
    <w:rsid w:val="00017B67"/>
    <w:rsid w:val="00024555"/>
    <w:rsid w:val="00025901"/>
    <w:rsid w:val="00026260"/>
    <w:rsid w:val="00027000"/>
    <w:rsid w:val="00031EA9"/>
    <w:rsid w:val="00032220"/>
    <w:rsid w:val="00032A40"/>
    <w:rsid w:val="00033FE9"/>
    <w:rsid w:val="00034EBF"/>
    <w:rsid w:val="00036886"/>
    <w:rsid w:val="000376BB"/>
    <w:rsid w:val="00040154"/>
    <w:rsid w:val="00043A6C"/>
    <w:rsid w:val="00052691"/>
    <w:rsid w:val="000547E4"/>
    <w:rsid w:val="00054C92"/>
    <w:rsid w:val="00061777"/>
    <w:rsid w:val="0007218E"/>
    <w:rsid w:val="00074763"/>
    <w:rsid w:val="000813AA"/>
    <w:rsid w:val="00084C67"/>
    <w:rsid w:val="000929CD"/>
    <w:rsid w:val="00095235"/>
    <w:rsid w:val="00097094"/>
    <w:rsid w:val="00097513"/>
    <w:rsid w:val="00097BD4"/>
    <w:rsid w:val="000A1D8A"/>
    <w:rsid w:val="000A3A63"/>
    <w:rsid w:val="000B0B02"/>
    <w:rsid w:val="000B0B7D"/>
    <w:rsid w:val="000B382A"/>
    <w:rsid w:val="000C0871"/>
    <w:rsid w:val="000C5AA0"/>
    <w:rsid w:val="000C7016"/>
    <w:rsid w:val="000D194D"/>
    <w:rsid w:val="000D3E3C"/>
    <w:rsid w:val="000E3162"/>
    <w:rsid w:val="000E7233"/>
    <w:rsid w:val="000E756E"/>
    <w:rsid w:val="000F2318"/>
    <w:rsid w:val="000F68ED"/>
    <w:rsid w:val="000F7F70"/>
    <w:rsid w:val="0010039F"/>
    <w:rsid w:val="00102790"/>
    <w:rsid w:val="0010527D"/>
    <w:rsid w:val="00105500"/>
    <w:rsid w:val="00107CC4"/>
    <w:rsid w:val="001108FF"/>
    <w:rsid w:val="00113033"/>
    <w:rsid w:val="001140EF"/>
    <w:rsid w:val="0011623F"/>
    <w:rsid w:val="00134F35"/>
    <w:rsid w:val="001364EA"/>
    <w:rsid w:val="00137AFD"/>
    <w:rsid w:val="00140E06"/>
    <w:rsid w:val="00141D59"/>
    <w:rsid w:val="00145F1B"/>
    <w:rsid w:val="00147C32"/>
    <w:rsid w:val="001505DE"/>
    <w:rsid w:val="001562C3"/>
    <w:rsid w:val="00161EE0"/>
    <w:rsid w:val="001637E3"/>
    <w:rsid w:val="00167FC8"/>
    <w:rsid w:val="0017741F"/>
    <w:rsid w:val="00180E2A"/>
    <w:rsid w:val="00183289"/>
    <w:rsid w:val="00183514"/>
    <w:rsid w:val="0018374C"/>
    <w:rsid w:val="00183E1A"/>
    <w:rsid w:val="00186531"/>
    <w:rsid w:val="00186F1A"/>
    <w:rsid w:val="0019014C"/>
    <w:rsid w:val="0019063A"/>
    <w:rsid w:val="00191F1E"/>
    <w:rsid w:val="0019309E"/>
    <w:rsid w:val="001952C8"/>
    <w:rsid w:val="001975E3"/>
    <w:rsid w:val="001A13A7"/>
    <w:rsid w:val="001B6769"/>
    <w:rsid w:val="001C5EB4"/>
    <w:rsid w:val="001C672F"/>
    <w:rsid w:val="001D21CD"/>
    <w:rsid w:val="001D47BB"/>
    <w:rsid w:val="001D4D94"/>
    <w:rsid w:val="001E1341"/>
    <w:rsid w:val="001E19E3"/>
    <w:rsid w:val="001E20F5"/>
    <w:rsid w:val="001E420F"/>
    <w:rsid w:val="001E451D"/>
    <w:rsid w:val="001E565E"/>
    <w:rsid w:val="001F01BA"/>
    <w:rsid w:val="001F4077"/>
    <w:rsid w:val="001F484C"/>
    <w:rsid w:val="001F595F"/>
    <w:rsid w:val="00201273"/>
    <w:rsid w:val="00205FBF"/>
    <w:rsid w:val="002067D5"/>
    <w:rsid w:val="00213217"/>
    <w:rsid w:val="00223251"/>
    <w:rsid w:val="00230631"/>
    <w:rsid w:val="00230CF1"/>
    <w:rsid w:val="00235CA0"/>
    <w:rsid w:val="00236245"/>
    <w:rsid w:val="002403BA"/>
    <w:rsid w:val="002422D3"/>
    <w:rsid w:val="00252E6C"/>
    <w:rsid w:val="002553A7"/>
    <w:rsid w:val="00256CBD"/>
    <w:rsid w:val="0026028B"/>
    <w:rsid w:val="0026033F"/>
    <w:rsid w:val="00261766"/>
    <w:rsid w:val="002637BE"/>
    <w:rsid w:val="00264540"/>
    <w:rsid w:val="002646E1"/>
    <w:rsid w:val="00265AC2"/>
    <w:rsid w:val="00273BA9"/>
    <w:rsid w:val="00274DE9"/>
    <w:rsid w:val="00281913"/>
    <w:rsid w:val="002846F3"/>
    <w:rsid w:val="00286381"/>
    <w:rsid w:val="00286E00"/>
    <w:rsid w:val="00290994"/>
    <w:rsid w:val="00296B1B"/>
    <w:rsid w:val="002B2404"/>
    <w:rsid w:val="002B32E1"/>
    <w:rsid w:val="002B39BF"/>
    <w:rsid w:val="002B3ECD"/>
    <w:rsid w:val="002B46A9"/>
    <w:rsid w:val="002B7C85"/>
    <w:rsid w:val="002C5BEF"/>
    <w:rsid w:val="002C6388"/>
    <w:rsid w:val="002C75F6"/>
    <w:rsid w:val="002D020C"/>
    <w:rsid w:val="002D1DEC"/>
    <w:rsid w:val="002D42DE"/>
    <w:rsid w:val="002D6043"/>
    <w:rsid w:val="002D6CC2"/>
    <w:rsid w:val="002D703A"/>
    <w:rsid w:val="002D749E"/>
    <w:rsid w:val="002D7816"/>
    <w:rsid w:val="002E2035"/>
    <w:rsid w:val="002F005F"/>
    <w:rsid w:val="002F077A"/>
    <w:rsid w:val="002F4AA8"/>
    <w:rsid w:val="002F7D0D"/>
    <w:rsid w:val="00304AC3"/>
    <w:rsid w:val="003060E7"/>
    <w:rsid w:val="00317D9F"/>
    <w:rsid w:val="0032316E"/>
    <w:rsid w:val="00326046"/>
    <w:rsid w:val="00326110"/>
    <w:rsid w:val="00326CA5"/>
    <w:rsid w:val="00330D82"/>
    <w:rsid w:val="003346A9"/>
    <w:rsid w:val="003376D0"/>
    <w:rsid w:val="00350556"/>
    <w:rsid w:val="003517F9"/>
    <w:rsid w:val="003613CE"/>
    <w:rsid w:val="00361492"/>
    <w:rsid w:val="00364C11"/>
    <w:rsid w:val="00364CA7"/>
    <w:rsid w:val="0036711B"/>
    <w:rsid w:val="0036786E"/>
    <w:rsid w:val="00367C1A"/>
    <w:rsid w:val="0037392C"/>
    <w:rsid w:val="0037565F"/>
    <w:rsid w:val="00382C3E"/>
    <w:rsid w:val="00387866"/>
    <w:rsid w:val="00394BAF"/>
    <w:rsid w:val="00394C3A"/>
    <w:rsid w:val="00395D48"/>
    <w:rsid w:val="003A740A"/>
    <w:rsid w:val="003B0DC3"/>
    <w:rsid w:val="003B4865"/>
    <w:rsid w:val="003B5655"/>
    <w:rsid w:val="003B5D5A"/>
    <w:rsid w:val="003C1722"/>
    <w:rsid w:val="003C2730"/>
    <w:rsid w:val="003C44F7"/>
    <w:rsid w:val="003C5661"/>
    <w:rsid w:val="003D404F"/>
    <w:rsid w:val="003F6DA0"/>
    <w:rsid w:val="003F7A9D"/>
    <w:rsid w:val="00400B75"/>
    <w:rsid w:val="00401D6A"/>
    <w:rsid w:val="00405A01"/>
    <w:rsid w:val="00406ACA"/>
    <w:rsid w:val="004079FF"/>
    <w:rsid w:val="00415CA0"/>
    <w:rsid w:val="00416051"/>
    <w:rsid w:val="00423B90"/>
    <w:rsid w:val="0042474A"/>
    <w:rsid w:val="00433DE8"/>
    <w:rsid w:val="00436504"/>
    <w:rsid w:val="00440263"/>
    <w:rsid w:val="004405C7"/>
    <w:rsid w:val="004424E2"/>
    <w:rsid w:val="00444CA3"/>
    <w:rsid w:val="00447C37"/>
    <w:rsid w:val="0045336A"/>
    <w:rsid w:val="00457544"/>
    <w:rsid w:val="00461772"/>
    <w:rsid w:val="00462324"/>
    <w:rsid w:val="00462853"/>
    <w:rsid w:val="00462FF4"/>
    <w:rsid w:val="00482E9C"/>
    <w:rsid w:val="00485906"/>
    <w:rsid w:val="00491DD7"/>
    <w:rsid w:val="00492A87"/>
    <w:rsid w:val="00497521"/>
    <w:rsid w:val="004A0D03"/>
    <w:rsid w:val="004A1602"/>
    <w:rsid w:val="004A1DC4"/>
    <w:rsid w:val="004A2724"/>
    <w:rsid w:val="004A31BB"/>
    <w:rsid w:val="004A4153"/>
    <w:rsid w:val="004A6034"/>
    <w:rsid w:val="004B0122"/>
    <w:rsid w:val="004B1E77"/>
    <w:rsid w:val="004B3498"/>
    <w:rsid w:val="004B6E70"/>
    <w:rsid w:val="004C2283"/>
    <w:rsid w:val="004C5A4E"/>
    <w:rsid w:val="004C7E20"/>
    <w:rsid w:val="004D10BC"/>
    <w:rsid w:val="004D78E5"/>
    <w:rsid w:val="004E3FE2"/>
    <w:rsid w:val="004E43F2"/>
    <w:rsid w:val="004E4E35"/>
    <w:rsid w:val="004E757E"/>
    <w:rsid w:val="004F11A8"/>
    <w:rsid w:val="004F3E4D"/>
    <w:rsid w:val="004F583E"/>
    <w:rsid w:val="0050172F"/>
    <w:rsid w:val="00505773"/>
    <w:rsid w:val="005229A7"/>
    <w:rsid w:val="005247E0"/>
    <w:rsid w:val="00525726"/>
    <w:rsid w:val="00534729"/>
    <w:rsid w:val="00535439"/>
    <w:rsid w:val="00535EC0"/>
    <w:rsid w:val="00542CF4"/>
    <w:rsid w:val="00547912"/>
    <w:rsid w:val="00555BFC"/>
    <w:rsid w:val="005560B9"/>
    <w:rsid w:val="00556CC1"/>
    <w:rsid w:val="00557721"/>
    <w:rsid w:val="00557A47"/>
    <w:rsid w:val="00560859"/>
    <w:rsid w:val="00561D80"/>
    <w:rsid w:val="00564779"/>
    <w:rsid w:val="00570C02"/>
    <w:rsid w:val="005711DC"/>
    <w:rsid w:val="00571B0C"/>
    <w:rsid w:val="00575517"/>
    <w:rsid w:val="0058079E"/>
    <w:rsid w:val="00581C4D"/>
    <w:rsid w:val="00585F38"/>
    <w:rsid w:val="005862CE"/>
    <w:rsid w:val="00594B31"/>
    <w:rsid w:val="005965B1"/>
    <w:rsid w:val="005A0C24"/>
    <w:rsid w:val="005A20DE"/>
    <w:rsid w:val="005A5AEB"/>
    <w:rsid w:val="005A7623"/>
    <w:rsid w:val="005B026D"/>
    <w:rsid w:val="005B184D"/>
    <w:rsid w:val="005B24A8"/>
    <w:rsid w:val="005B2E39"/>
    <w:rsid w:val="005B3BAF"/>
    <w:rsid w:val="005B4A34"/>
    <w:rsid w:val="005C1B88"/>
    <w:rsid w:val="005C3080"/>
    <w:rsid w:val="005C3386"/>
    <w:rsid w:val="005D2D8C"/>
    <w:rsid w:val="005D3709"/>
    <w:rsid w:val="005D6A70"/>
    <w:rsid w:val="005E73F0"/>
    <w:rsid w:val="005F575B"/>
    <w:rsid w:val="005F65DC"/>
    <w:rsid w:val="005F6DBD"/>
    <w:rsid w:val="006008EE"/>
    <w:rsid w:val="006057D3"/>
    <w:rsid w:val="00605EFA"/>
    <w:rsid w:val="006067AD"/>
    <w:rsid w:val="00606ADD"/>
    <w:rsid w:val="00610993"/>
    <w:rsid w:val="00611222"/>
    <w:rsid w:val="00621343"/>
    <w:rsid w:val="00625477"/>
    <w:rsid w:val="0062765A"/>
    <w:rsid w:val="0063611F"/>
    <w:rsid w:val="00640130"/>
    <w:rsid w:val="00644918"/>
    <w:rsid w:val="00651927"/>
    <w:rsid w:val="006542F3"/>
    <w:rsid w:val="00655AEA"/>
    <w:rsid w:val="006623E8"/>
    <w:rsid w:val="006639FF"/>
    <w:rsid w:val="00665C30"/>
    <w:rsid w:val="006669B3"/>
    <w:rsid w:val="00671174"/>
    <w:rsid w:val="00671F66"/>
    <w:rsid w:val="00672535"/>
    <w:rsid w:val="00673795"/>
    <w:rsid w:val="00675641"/>
    <w:rsid w:val="00676647"/>
    <w:rsid w:val="0068009B"/>
    <w:rsid w:val="00680B6E"/>
    <w:rsid w:val="006815D6"/>
    <w:rsid w:val="00681BEC"/>
    <w:rsid w:val="00685CBD"/>
    <w:rsid w:val="006875A2"/>
    <w:rsid w:val="006A1ECD"/>
    <w:rsid w:val="006A1F9B"/>
    <w:rsid w:val="006A21D6"/>
    <w:rsid w:val="006A3D46"/>
    <w:rsid w:val="006B0189"/>
    <w:rsid w:val="006B0341"/>
    <w:rsid w:val="006B2CFB"/>
    <w:rsid w:val="006B530F"/>
    <w:rsid w:val="006C1155"/>
    <w:rsid w:val="006C487C"/>
    <w:rsid w:val="006C524D"/>
    <w:rsid w:val="006C6526"/>
    <w:rsid w:val="006D1743"/>
    <w:rsid w:val="006D701C"/>
    <w:rsid w:val="006E33C6"/>
    <w:rsid w:val="006E4574"/>
    <w:rsid w:val="006E554A"/>
    <w:rsid w:val="006E6E1C"/>
    <w:rsid w:val="006E76CD"/>
    <w:rsid w:val="006F2AB3"/>
    <w:rsid w:val="006F66B2"/>
    <w:rsid w:val="006F70FE"/>
    <w:rsid w:val="0070011A"/>
    <w:rsid w:val="007012B6"/>
    <w:rsid w:val="00705382"/>
    <w:rsid w:val="00715795"/>
    <w:rsid w:val="00717A4B"/>
    <w:rsid w:val="007207C9"/>
    <w:rsid w:val="00723F48"/>
    <w:rsid w:val="00731FA8"/>
    <w:rsid w:val="0073324E"/>
    <w:rsid w:val="00743342"/>
    <w:rsid w:val="007433E5"/>
    <w:rsid w:val="00756C07"/>
    <w:rsid w:val="007804E8"/>
    <w:rsid w:val="0078287A"/>
    <w:rsid w:val="00785F9A"/>
    <w:rsid w:val="00786577"/>
    <w:rsid w:val="00787127"/>
    <w:rsid w:val="007911A7"/>
    <w:rsid w:val="00793588"/>
    <w:rsid w:val="007A371B"/>
    <w:rsid w:val="007A5B26"/>
    <w:rsid w:val="007C5A6C"/>
    <w:rsid w:val="007C633E"/>
    <w:rsid w:val="007C66B6"/>
    <w:rsid w:val="007C6CC6"/>
    <w:rsid w:val="007C7F20"/>
    <w:rsid w:val="007D1C88"/>
    <w:rsid w:val="007D1E6B"/>
    <w:rsid w:val="007D3DCE"/>
    <w:rsid w:val="007D62BD"/>
    <w:rsid w:val="007E1DCD"/>
    <w:rsid w:val="007E23EC"/>
    <w:rsid w:val="007F1A57"/>
    <w:rsid w:val="00801892"/>
    <w:rsid w:val="00801983"/>
    <w:rsid w:val="0080222F"/>
    <w:rsid w:val="008106AA"/>
    <w:rsid w:val="008130E7"/>
    <w:rsid w:val="008130F1"/>
    <w:rsid w:val="00817DB7"/>
    <w:rsid w:val="008222FB"/>
    <w:rsid w:val="008235F3"/>
    <w:rsid w:val="00826BC0"/>
    <w:rsid w:val="00846D4B"/>
    <w:rsid w:val="008509CC"/>
    <w:rsid w:val="00857540"/>
    <w:rsid w:val="00862642"/>
    <w:rsid w:val="00863254"/>
    <w:rsid w:val="0086516D"/>
    <w:rsid w:val="00866855"/>
    <w:rsid w:val="00876FB0"/>
    <w:rsid w:val="00880D2B"/>
    <w:rsid w:val="00883A02"/>
    <w:rsid w:val="00885E97"/>
    <w:rsid w:val="00886E0F"/>
    <w:rsid w:val="00890B62"/>
    <w:rsid w:val="00895E1E"/>
    <w:rsid w:val="0089642E"/>
    <w:rsid w:val="00896BCA"/>
    <w:rsid w:val="008A187D"/>
    <w:rsid w:val="008A3019"/>
    <w:rsid w:val="008A4029"/>
    <w:rsid w:val="008B21CB"/>
    <w:rsid w:val="008B2683"/>
    <w:rsid w:val="008B29E4"/>
    <w:rsid w:val="008B3943"/>
    <w:rsid w:val="008B7928"/>
    <w:rsid w:val="008C1845"/>
    <w:rsid w:val="008D0C0A"/>
    <w:rsid w:val="008D164A"/>
    <w:rsid w:val="008D2DD3"/>
    <w:rsid w:val="008D31AA"/>
    <w:rsid w:val="008D5449"/>
    <w:rsid w:val="008D5BB1"/>
    <w:rsid w:val="008E1A52"/>
    <w:rsid w:val="008E54BA"/>
    <w:rsid w:val="008E606B"/>
    <w:rsid w:val="008E671F"/>
    <w:rsid w:val="008E7DBE"/>
    <w:rsid w:val="008E7F75"/>
    <w:rsid w:val="008F0A8F"/>
    <w:rsid w:val="008F3DEB"/>
    <w:rsid w:val="008F522D"/>
    <w:rsid w:val="008F6DF0"/>
    <w:rsid w:val="009110F7"/>
    <w:rsid w:val="00914B0D"/>
    <w:rsid w:val="00916E0C"/>
    <w:rsid w:val="00922715"/>
    <w:rsid w:val="00923657"/>
    <w:rsid w:val="00925335"/>
    <w:rsid w:val="0092560A"/>
    <w:rsid w:val="00925DD9"/>
    <w:rsid w:val="00930DE8"/>
    <w:rsid w:val="00936DEF"/>
    <w:rsid w:val="00942F46"/>
    <w:rsid w:val="009441EC"/>
    <w:rsid w:val="00946AFF"/>
    <w:rsid w:val="009551BD"/>
    <w:rsid w:val="00955B6B"/>
    <w:rsid w:val="00956021"/>
    <w:rsid w:val="009566CB"/>
    <w:rsid w:val="00966890"/>
    <w:rsid w:val="009719E9"/>
    <w:rsid w:val="009744EB"/>
    <w:rsid w:val="009749C7"/>
    <w:rsid w:val="0097645C"/>
    <w:rsid w:val="0098163C"/>
    <w:rsid w:val="00986259"/>
    <w:rsid w:val="0098744E"/>
    <w:rsid w:val="009959A2"/>
    <w:rsid w:val="009A171F"/>
    <w:rsid w:val="009A214C"/>
    <w:rsid w:val="009A21C5"/>
    <w:rsid w:val="009A24E4"/>
    <w:rsid w:val="009A4BFF"/>
    <w:rsid w:val="009A5570"/>
    <w:rsid w:val="009A662B"/>
    <w:rsid w:val="009C1742"/>
    <w:rsid w:val="009C19F5"/>
    <w:rsid w:val="009C4237"/>
    <w:rsid w:val="009D04C1"/>
    <w:rsid w:val="009D0DFC"/>
    <w:rsid w:val="009D3C40"/>
    <w:rsid w:val="009D4A7C"/>
    <w:rsid w:val="009E22FC"/>
    <w:rsid w:val="009E2A9E"/>
    <w:rsid w:val="009E7B04"/>
    <w:rsid w:val="009F6EA9"/>
    <w:rsid w:val="00A00C05"/>
    <w:rsid w:val="00A00FE7"/>
    <w:rsid w:val="00A01F07"/>
    <w:rsid w:val="00A02A9D"/>
    <w:rsid w:val="00A0585A"/>
    <w:rsid w:val="00A06209"/>
    <w:rsid w:val="00A13DFA"/>
    <w:rsid w:val="00A1655D"/>
    <w:rsid w:val="00A31510"/>
    <w:rsid w:val="00A3172A"/>
    <w:rsid w:val="00A31E5C"/>
    <w:rsid w:val="00A330CA"/>
    <w:rsid w:val="00A37BAA"/>
    <w:rsid w:val="00A418CD"/>
    <w:rsid w:val="00A429C3"/>
    <w:rsid w:val="00A45DDF"/>
    <w:rsid w:val="00A55650"/>
    <w:rsid w:val="00A55C42"/>
    <w:rsid w:val="00A55FF1"/>
    <w:rsid w:val="00A60E92"/>
    <w:rsid w:val="00A61BA5"/>
    <w:rsid w:val="00A66F4A"/>
    <w:rsid w:val="00A71C06"/>
    <w:rsid w:val="00A762BA"/>
    <w:rsid w:val="00A77C18"/>
    <w:rsid w:val="00A84067"/>
    <w:rsid w:val="00A91389"/>
    <w:rsid w:val="00A92A7C"/>
    <w:rsid w:val="00A92D43"/>
    <w:rsid w:val="00A95B46"/>
    <w:rsid w:val="00A97116"/>
    <w:rsid w:val="00AA4A49"/>
    <w:rsid w:val="00AA745F"/>
    <w:rsid w:val="00AB6EA7"/>
    <w:rsid w:val="00AB7519"/>
    <w:rsid w:val="00AB7A9B"/>
    <w:rsid w:val="00AB7FA6"/>
    <w:rsid w:val="00AC085C"/>
    <w:rsid w:val="00AC2365"/>
    <w:rsid w:val="00AC2640"/>
    <w:rsid w:val="00AC39D2"/>
    <w:rsid w:val="00AC5306"/>
    <w:rsid w:val="00AC55A0"/>
    <w:rsid w:val="00AC5EDB"/>
    <w:rsid w:val="00AD1237"/>
    <w:rsid w:val="00AD3C2D"/>
    <w:rsid w:val="00AD40C8"/>
    <w:rsid w:val="00AD4AB0"/>
    <w:rsid w:val="00AD5D99"/>
    <w:rsid w:val="00AD5F7F"/>
    <w:rsid w:val="00AE0C6C"/>
    <w:rsid w:val="00AE3147"/>
    <w:rsid w:val="00AE4AE4"/>
    <w:rsid w:val="00AE4B25"/>
    <w:rsid w:val="00AE547B"/>
    <w:rsid w:val="00AF494A"/>
    <w:rsid w:val="00AF63C2"/>
    <w:rsid w:val="00B002DC"/>
    <w:rsid w:val="00B21A37"/>
    <w:rsid w:val="00B22B0D"/>
    <w:rsid w:val="00B22FB8"/>
    <w:rsid w:val="00B234C6"/>
    <w:rsid w:val="00B30BDC"/>
    <w:rsid w:val="00B30D09"/>
    <w:rsid w:val="00B33361"/>
    <w:rsid w:val="00B336FC"/>
    <w:rsid w:val="00B353DB"/>
    <w:rsid w:val="00B3563B"/>
    <w:rsid w:val="00B4270B"/>
    <w:rsid w:val="00B42E3C"/>
    <w:rsid w:val="00B51B7F"/>
    <w:rsid w:val="00B52932"/>
    <w:rsid w:val="00B55D1C"/>
    <w:rsid w:val="00B562FA"/>
    <w:rsid w:val="00B5661A"/>
    <w:rsid w:val="00B568EB"/>
    <w:rsid w:val="00B5732F"/>
    <w:rsid w:val="00B63BCF"/>
    <w:rsid w:val="00B6421D"/>
    <w:rsid w:val="00B66910"/>
    <w:rsid w:val="00B67BBE"/>
    <w:rsid w:val="00B7125A"/>
    <w:rsid w:val="00B71AF3"/>
    <w:rsid w:val="00B741DE"/>
    <w:rsid w:val="00B750E2"/>
    <w:rsid w:val="00B77906"/>
    <w:rsid w:val="00B8189D"/>
    <w:rsid w:val="00B8460D"/>
    <w:rsid w:val="00B84A59"/>
    <w:rsid w:val="00B85867"/>
    <w:rsid w:val="00B85E3A"/>
    <w:rsid w:val="00B86A36"/>
    <w:rsid w:val="00B903E7"/>
    <w:rsid w:val="00B906C7"/>
    <w:rsid w:val="00B92D89"/>
    <w:rsid w:val="00B9371B"/>
    <w:rsid w:val="00B93B4E"/>
    <w:rsid w:val="00B95274"/>
    <w:rsid w:val="00B95AAD"/>
    <w:rsid w:val="00BA13C3"/>
    <w:rsid w:val="00BA2D9A"/>
    <w:rsid w:val="00BB0DEB"/>
    <w:rsid w:val="00BB168A"/>
    <w:rsid w:val="00BB1949"/>
    <w:rsid w:val="00BB3783"/>
    <w:rsid w:val="00BC32B5"/>
    <w:rsid w:val="00BC37D7"/>
    <w:rsid w:val="00BC678A"/>
    <w:rsid w:val="00BC6F10"/>
    <w:rsid w:val="00BD201A"/>
    <w:rsid w:val="00BD55C4"/>
    <w:rsid w:val="00BD62B9"/>
    <w:rsid w:val="00BE0BE8"/>
    <w:rsid w:val="00BE0D57"/>
    <w:rsid w:val="00BE6DE1"/>
    <w:rsid w:val="00BE78A8"/>
    <w:rsid w:val="00BF35BB"/>
    <w:rsid w:val="00BF5653"/>
    <w:rsid w:val="00BF77B8"/>
    <w:rsid w:val="00C012A6"/>
    <w:rsid w:val="00C04655"/>
    <w:rsid w:val="00C04DD7"/>
    <w:rsid w:val="00C127C6"/>
    <w:rsid w:val="00C13117"/>
    <w:rsid w:val="00C16F88"/>
    <w:rsid w:val="00C247CE"/>
    <w:rsid w:val="00C32AD3"/>
    <w:rsid w:val="00C32E45"/>
    <w:rsid w:val="00C45EEF"/>
    <w:rsid w:val="00C46603"/>
    <w:rsid w:val="00C46A58"/>
    <w:rsid w:val="00C5198A"/>
    <w:rsid w:val="00C527EE"/>
    <w:rsid w:val="00C528E4"/>
    <w:rsid w:val="00C5367D"/>
    <w:rsid w:val="00C55B6E"/>
    <w:rsid w:val="00C64224"/>
    <w:rsid w:val="00C6436A"/>
    <w:rsid w:val="00C76FC0"/>
    <w:rsid w:val="00C77B66"/>
    <w:rsid w:val="00C77F61"/>
    <w:rsid w:val="00C8170E"/>
    <w:rsid w:val="00C82988"/>
    <w:rsid w:val="00C870B7"/>
    <w:rsid w:val="00C939A0"/>
    <w:rsid w:val="00CA5B1D"/>
    <w:rsid w:val="00CB3AC1"/>
    <w:rsid w:val="00CB4893"/>
    <w:rsid w:val="00CB7141"/>
    <w:rsid w:val="00CB71CC"/>
    <w:rsid w:val="00CC187B"/>
    <w:rsid w:val="00CC380A"/>
    <w:rsid w:val="00CC5BB7"/>
    <w:rsid w:val="00CD3454"/>
    <w:rsid w:val="00CD53CE"/>
    <w:rsid w:val="00CE0A6D"/>
    <w:rsid w:val="00CE30EA"/>
    <w:rsid w:val="00CE34ED"/>
    <w:rsid w:val="00CE5717"/>
    <w:rsid w:val="00CF186C"/>
    <w:rsid w:val="00CF1EA9"/>
    <w:rsid w:val="00CF7585"/>
    <w:rsid w:val="00D02FFC"/>
    <w:rsid w:val="00D060BC"/>
    <w:rsid w:val="00D07BE7"/>
    <w:rsid w:val="00D1300A"/>
    <w:rsid w:val="00D1512D"/>
    <w:rsid w:val="00D178C8"/>
    <w:rsid w:val="00D20B8F"/>
    <w:rsid w:val="00D20FB2"/>
    <w:rsid w:val="00D22A12"/>
    <w:rsid w:val="00D24F14"/>
    <w:rsid w:val="00D262A1"/>
    <w:rsid w:val="00D266CE"/>
    <w:rsid w:val="00D30A67"/>
    <w:rsid w:val="00D344C2"/>
    <w:rsid w:val="00D403A2"/>
    <w:rsid w:val="00D46B7C"/>
    <w:rsid w:val="00D536D1"/>
    <w:rsid w:val="00D54F43"/>
    <w:rsid w:val="00D6391B"/>
    <w:rsid w:val="00D65E50"/>
    <w:rsid w:val="00D66C2F"/>
    <w:rsid w:val="00D6789F"/>
    <w:rsid w:val="00D7413C"/>
    <w:rsid w:val="00D9245D"/>
    <w:rsid w:val="00D94A44"/>
    <w:rsid w:val="00D95CA0"/>
    <w:rsid w:val="00D97207"/>
    <w:rsid w:val="00DA369C"/>
    <w:rsid w:val="00DA3814"/>
    <w:rsid w:val="00DA5D10"/>
    <w:rsid w:val="00DB0DC9"/>
    <w:rsid w:val="00DB2AA1"/>
    <w:rsid w:val="00DB4C97"/>
    <w:rsid w:val="00DB563E"/>
    <w:rsid w:val="00DB59D0"/>
    <w:rsid w:val="00DB76FF"/>
    <w:rsid w:val="00DC09E7"/>
    <w:rsid w:val="00DC20ED"/>
    <w:rsid w:val="00DC2A9D"/>
    <w:rsid w:val="00DC2D76"/>
    <w:rsid w:val="00DC66E9"/>
    <w:rsid w:val="00DD2AE7"/>
    <w:rsid w:val="00DD414B"/>
    <w:rsid w:val="00DD63F5"/>
    <w:rsid w:val="00DE7DDC"/>
    <w:rsid w:val="00DF40AA"/>
    <w:rsid w:val="00DF4615"/>
    <w:rsid w:val="00DF6424"/>
    <w:rsid w:val="00E05134"/>
    <w:rsid w:val="00E10CF4"/>
    <w:rsid w:val="00E117CF"/>
    <w:rsid w:val="00E16DEA"/>
    <w:rsid w:val="00E176A8"/>
    <w:rsid w:val="00E218CC"/>
    <w:rsid w:val="00E23484"/>
    <w:rsid w:val="00E260CB"/>
    <w:rsid w:val="00E314AE"/>
    <w:rsid w:val="00E35EB1"/>
    <w:rsid w:val="00E36234"/>
    <w:rsid w:val="00E37EC0"/>
    <w:rsid w:val="00E40431"/>
    <w:rsid w:val="00E433B9"/>
    <w:rsid w:val="00E52623"/>
    <w:rsid w:val="00E54B75"/>
    <w:rsid w:val="00E56B12"/>
    <w:rsid w:val="00E571B2"/>
    <w:rsid w:val="00E638D9"/>
    <w:rsid w:val="00E64C99"/>
    <w:rsid w:val="00E67779"/>
    <w:rsid w:val="00E67AF9"/>
    <w:rsid w:val="00E711CE"/>
    <w:rsid w:val="00E713B4"/>
    <w:rsid w:val="00E722A2"/>
    <w:rsid w:val="00E849C9"/>
    <w:rsid w:val="00E910F0"/>
    <w:rsid w:val="00E93C57"/>
    <w:rsid w:val="00EA5AEF"/>
    <w:rsid w:val="00EB0AC1"/>
    <w:rsid w:val="00EB605D"/>
    <w:rsid w:val="00EC28F3"/>
    <w:rsid w:val="00EC493C"/>
    <w:rsid w:val="00EC52F9"/>
    <w:rsid w:val="00ED258E"/>
    <w:rsid w:val="00ED271F"/>
    <w:rsid w:val="00ED7811"/>
    <w:rsid w:val="00EE53B3"/>
    <w:rsid w:val="00EE5D96"/>
    <w:rsid w:val="00EF334B"/>
    <w:rsid w:val="00EF7695"/>
    <w:rsid w:val="00F00E1C"/>
    <w:rsid w:val="00F03A9A"/>
    <w:rsid w:val="00F05CA8"/>
    <w:rsid w:val="00F05F22"/>
    <w:rsid w:val="00F07FE0"/>
    <w:rsid w:val="00F11B74"/>
    <w:rsid w:val="00F14093"/>
    <w:rsid w:val="00F142E8"/>
    <w:rsid w:val="00F17362"/>
    <w:rsid w:val="00F22817"/>
    <w:rsid w:val="00F3415E"/>
    <w:rsid w:val="00F361AA"/>
    <w:rsid w:val="00F409AC"/>
    <w:rsid w:val="00F410F9"/>
    <w:rsid w:val="00F42783"/>
    <w:rsid w:val="00F430B1"/>
    <w:rsid w:val="00F51E27"/>
    <w:rsid w:val="00F52255"/>
    <w:rsid w:val="00F552DB"/>
    <w:rsid w:val="00F608E7"/>
    <w:rsid w:val="00F66EE2"/>
    <w:rsid w:val="00F67090"/>
    <w:rsid w:val="00F723A7"/>
    <w:rsid w:val="00F7750E"/>
    <w:rsid w:val="00F77A51"/>
    <w:rsid w:val="00F84F9C"/>
    <w:rsid w:val="00F86A87"/>
    <w:rsid w:val="00F90326"/>
    <w:rsid w:val="00F91B16"/>
    <w:rsid w:val="00F924CC"/>
    <w:rsid w:val="00F97383"/>
    <w:rsid w:val="00FA1316"/>
    <w:rsid w:val="00FA1E5D"/>
    <w:rsid w:val="00FA301D"/>
    <w:rsid w:val="00FA339D"/>
    <w:rsid w:val="00FA4EDA"/>
    <w:rsid w:val="00FB19F1"/>
    <w:rsid w:val="00FB3C99"/>
    <w:rsid w:val="00FB3D88"/>
    <w:rsid w:val="00FB4E8B"/>
    <w:rsid w:val="00FB5987"/>
    <w:rsid w:val="00FB6224"/>
    <w:rsid w:val="00FB773F"/>
    <w:rsid w:val="00FB7EC0"/>
    <w:rsid w:val="00FC20C8"/>
    <w:rsid w:val="00FC2EA9"/>
    <w:rsid w:val="00FD4B45"/>
    <w:rsid w:val="00FD7CBE"/>
    <w:rsid w:val="00FE10DA"/>
    <w:rsid w:val="00FE40A5"/>
    <w:rsid w:val="00FF0D94"/>
    <w:rsid w:val="00FF1035"/>
    <w:rsid w:val="00FF2CC5"/>
    <w:rsid w:val="00FF34F8"/>
    <w:rsid w:val="00FF6BF3"/>
    <w:rsid w:val="00FF76B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FDFAD0"/>
  <w15:chartTrackingRefBased/>
  <w15:docId w15:val="{11585D28-BE31-4237-AE2E-6C97043179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85E97"/>
    <w:pPr>
      <w:widowControl w:val="0"/>
      <w:spacing w:line="480" w:lineRule="auto"/>
      <w:ind w:firstLine="720"/>
    </w:pPr>
    <w:rPr>
      <w:rFonts w:ascii="Times New Roman" w:hAnsi="Times New Roman"/>
      <w:sz w:val="24"/>
    </w:rPr>
  </w:style>
  <w:style w:type="paragraph" w:styleId="1">
    <w:name w:val="heading 1"/>
    <w:basedOn w:val="a"/>
    <w:next w:val="a"/>
    <w:link w:val="10"/>
    <w:uiPriority w:val="9"/>
    <w:qFormat/>
    <w:rsid w:val="00885E97"/>
    <w:pPr>
      <w:ind w:firstLine="0"/>
      <w:jc w:val="center"/>
      <w:outlineLvl w:val="0"/>
    </w:pPr>
    <w:rPr>
      <w:b/>
      <w:bCs/>
      <w:kern w:val="44"/>
      <w:szCs w:val="44"/>
    </w:rPr>
  </w:style>
  <w:style w:type="paragraph" w:styleId="2">
    <w:name w:val="heading 2"/>
    <w:basedOn w:val="a"/>
    <w:next w:val="a"/>
    <w:link w:val="20"/>
    <w:uiPriority w:val="9"/>
    <w:unhideWhenUsed/>
    <w:qFormat/>
    <w:rsid w:val="00885E97"/>
    <w:pPr>
      <w:ind w:firstLine="0"/>
      <w:outlineLvl w:val="1"/>
    </w:pPr>
    <w:rPr>
      <w:rFonts w:cstheme="majorBidi"/>
      <w:b/>
      <w:bCs/>
      <w:szCs w:val="32"/>
    </w:rPr>
  </w:style>
  <w:style w:type="paragraph" w:styleId="3">
    <w:name w:val="heading 3"/>
    <w:basedOn w:val="a"/>
    <w:next w:val="a"/>
    <w:link w:val="30"/>
    <w:uiPriority w:val="9"/>
    <w:unhideWhenUsed/>
    <w:qFormat/>
    <w:rsid w:val="00885E97"/>
    <w:pPr>
      <w:ind w:firstLine="0"/>
      <w:outlineLvl w:val="2"/>
    </w:pPr>
    <w:rPr>
      <w:b/>
      <w:bCs/>
      <w:i/>
      <w:szCs w:val="32"/>
    </w:rPr>
  </w:style>
  <w:style w:type="paragraph" w:styleId="4">
    <w:name w:val="heading 4"/>
    <w:basedOn w:val="a"/>
    <w:next w:val="a"/>
    <w:link w:val="40"/>
    <w:uiPriority w:val="9"/>
    <w:unhideWhenUsed/>
    <w:qFormat/>
    <w:rsid w:val="00885E97"/>
    <w:pPr>
      <w:ind w:firstLine="0"/>
      <w:outlineLvl w:val="3"/>
    </w:pPr>
    <w:rPr>
      <w:rFonts w:eastAsiaTheme="majorEastAsia" w:cstheme="majorBidi"/>
      <w:bCs/>
      <w:i/>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885E97"/>
    <w:rPr>
      <w:rFonts w:ascii="Times New Roman" w:hAnsi="Times New Roman" w:cstheme="majorBidi"/>
      <w:b/>
      <w:bCs/>
      <w:sz w:val="24"/>
      <w:szCs w:val="32"/>
    </w:rPr>
  </w:style>
  <w:style w:type="character" w:customStyle="1" w:styleId="10">
    <w:name w:val="标题 1 字符"/>
    <w:basedOn w:val="a0"/>
    <w:link w:val="1"/>
    <w:uiPriority w:val="9"/>
    <w:rsid w:val="00885E97"/>
    <w:rPr>
      <w:rFonts w:ascii="Times New Roman" w:hAnsi="Times New Roman"/>
      <w:b/>
      <w:bCs/>
      <w:kern w:val="44"/>
      <w:sz w:val="24"/>
      <w:szCs w:val="44"/>
    </w:rPr>
  </w:style>
  <w:style w:type="character" w:customStyle="1" w:styleId="30">
    <w:name w:val="标题 3 字符"/>
    <w:basedOn w:val="a0"/>
    <w:link w:val="3"/>
    <w:uiPriority w:val="9"/>
    <w:rsid w:val="00885E97"/>
    <w:rPr>
      <w:rFonts w:ascii="Times New Roman" w:hAnsi="Times New Roman"/>
      <w:b/>
      <w:bCs/>
      <w:i/>
      <w:sz w:val="24"/>
      <w:szCs w:val="32"/>
    </w:rPr>
  </w:style>
  <w:style w:type="character" w:customStyle="1" w:styleId="40">
    <w:name w:val="标题 4 字符"/>
    <w:basedOn w:val="a0"/>
    <w:link w:val="4"/>
    <w:uiPriority w:val="9"/>
    <w:rsid w:val="00885E97"/>
    <w:rPr>
      <w:rFonts w:ascii="Times New Roman" w:eastAsiaTheme="majorEastAsia" w:hAnsi="Times New Roman" w:cstheme="majorBidi"/>
      <w:bCs/>
      <w:i/>
      <w:sz w:val="24"/>
      <w:szCs w:val="28"/>
    </w:rPr>
  </w:style>
  <w:style w:type="paragraph" w:styleId="a3">
    <w:name w:val="header"/>
    <w:basedOn w:val="a"/>
    <w:link w:val="a4"/>
    <w:uiPriority w:val="99"/>
    <w:unhideWhenUsed/>
    <w:rsid w:val="005A7623"/>
    <w:pPr>
      <w:pBdr>
        <w:bottom w:val="single" w:sz="6" w:space="1" w:color="auto"/>
      </w:pBdr>
      <w:tabs>
        <w:tab w:val="center" w:pos="4153"/>
        <w:tab w:val="right" w:pos="8306"/>
      </w:tabs>
      <w:snapToGrid w:val="0"/>
      <w:spacing w:line="240" w:lineRule="auto"/>
      <w:jc w:val="center"/>
    </w:pPr>
    <w:rPr>
      <w:sz w:val="18"/>
      <w:szCs w:val="18"/>
    </w:rPr>
  </w:style>
  <w:style w:type="character" w:customStyle="1" w:styleId="a4">
    <w:name w:val="页眉 字符"/>
    <w:basedOn w:val="a0"/>
    <w:link w:val="a3"/>
    <w:uiPriority w:val="99"/>
    <w:rsid w:val="005A7623"/>
    <w:rPr>
      <w:rFonts w:ascii="Times New Roman" w:hAnsi="Times New Roman"/>
      <w:sz w:val="18"/>
      <w:szCs w:val="18"/>
    </w:rPr>
  </w:style>
  <w:style w:type="paragraph" w:styleId="a5">
    <w:name w:val="footer"/>
    <w:basedOn w:val="a"/>
    <w:link w:val="a6"/>
    <w:uiPriority w:val="99"/>
    <w:unhideWhenUsed/>
    <w:rsid w:val="005A7623"/>
    <w:pPr>
      <w:tabs>
        <w:tab w:val="center" w:pos="4153"/>
        <w:tab w:val="right" w:pos="8306"/>
      </w:tabs>
      <w:snapToGrid w:val="0"/>
      <w:spacing w:line="240" w:lineRule="auto"/>
    </w:pPr>
    <w:rPr>
      <w:sz w:val="18"/>
      <w:szCs w:val="18"/>
    </w:rPr>
  </w:style>
  <w:style w:type="character" w:customStyle="1" w:styleId="a6">
    <w:name w:val="页脚 字符"/>
    <w:basedOn w:val="a0"/>
    <w:link w:val="a5"/>
    <w:uiPriority w:val="99"/>
    <w:rsid w:val="005A7623"/>
    <w:rPr>
      <w:rFonts w:ascii="Times New Roman" w:hAnsi="Times New Roman"/>
      <w:sz w:val="18"/>
      <w:szCs w:val="18"/>
    </w:rPr>
  </w:style>
  <w:style w:type="table" w:styleId="a7">
    <w:name w:val="Table Grid"/>
    <w:basedOn w:val="a1"/>
    <w:uiPriority w:val="39"/>
    <w:rsid w:val="003C56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annotation text"/>
    <w:basedOn w:val="a"/>
    <w:link w:val="a9"/>
    <w:uiPriority w:val="99"/>
    <w:unhideWhenUsed/>
    <w:qFormat/>
    <w:rsid w:val="00394C3A"/>
    <w:pPr>
      <w:ind w:firstLineChars="200" w:firstLine="200"/>
    </w:pPr>
  </w:style>
  <w:style w:type="character" w:customStyle="1" w:styleId="a9">
    <w:name w:val="批注文字 字符"/>
    <w:basedOn w:val="a0"/>
    <w:link w:val="a8"/>
    <w:uiPriority w:val="99"/>
    <w:qFormat/>
    <w:rsid w:val="00394C3A"/>
    <w:rPr>
      <w:rFonts w:ascii="Times New Roman" w:hAnsi="Times New Roman"/>
      <w:sz w:val="24"/>
    </w:rPr>
  </w:style>
  <w:style w:type="character" w:styleId="aa">
    <w:name w:val="annotation reference"/>
    <w:basedOn w:val="a0"/>
    <w:uiPriority w:val="99"/>
    <w:semiHidden/>
    <w:unhideWhenUsed/>
    <w:qFormat/>
    <w:rsid w:val="00394C3A"/>
    <w:rPr>
      <w:sz w:val="21"/>
      <w:szCs w:val="21"/>
    </w:rPr>
  </w:style>
  <w:style w:type="paragraph" w:customStyle="1" w:styleId="ab">
    <w:name w:val="表格"/>
    <w:basedOn w:val="a"/>
    <w:link w:val="ac"/>
    <w:qFormat/>
    <w:rsid w:val="00394C3A"/>
    <w:pPr>
      <w:spacing w:line="240" w:lineRule="auto"/>
      <w:ind w:firstLine="0"/>
      <w:jc w:val="both"/>
    </w:pPr>
    <w:rPr>
      <w:rFonts w:cs="Times New Roman"/>
      <w:sz w:val="21"/>
    </w:rPr>
  </w:style>
  <w:style w:type="character" w:customStyle="1" w:styleId="ac">
    <w:name w:val="表格 字符"/>
    <w:basedOn w:val="a0"/>
    <w:link w:val="ab"/>
    <w:rsid w:val="00394C3A"/>
    <w:rPr>
      <w:rFonts w:ascii="Times New Roman" w:hAnsi="Times New Roman" w:cs="Times New Roman"/>
    </w:rPr>
  </w:style>
  <w:style w:type="character" w:customStyle="1" w:styleId="markedcontent">
    <w:name w:val="markedcontent"/>
    <w:basedOn w:val="a0"/>
    <w:rsid w:val="00DB563E"/>
  </w:style>
  <w:style w:type="character" w:styleId="ad">
    <w:name w:val="Hyperlink"/>
    <w:basedOn w:val="a0"/>
    <w:uiPriority w:val="99"/>
    <w:unhideWhenUsed/>
    <w:rsid w:val="00A330CA"/>
    <w:rPr>
      <w:color w:val="0563C1" w:themeColor="hyperlink"/>
      <w:u w:val="single"/>
    </w:rPr>
  </w:style>
  <w:style w:type="character" w:customStyle="1" w:styleId="11">
    <w:name w:val="未处理的提及1"/>
    <w:basedOn w:val="a0"/>
    <w:uiPriority w:val="99"/>
    <w:semiHidden/>
    <w:unhideWhenUsed/>
    <w:rsid w:val="00A330CA"/>
    <w:rPr>
      <w:color w:val="605E5C"/>
      <w:shd w:val="clear" w:color="auto" w:fill="E1DFDD"/>
    </w:rPr>
  </w:style>
  <w:style w:type="paragraph" w:styleId="ae">
    <w:name w:val="Revision"/>
    <w:hidden/>
    <w:uiPriority w:val="99"/>
    <w:semiHidden/>
    <w:rsid w:val="00236245"/>
    <w:rPr>
      <w:rFonts w:ascii="Times New Roman" w:hAnsi="Times New Roman"/>
      <w:sz w:val="24"/>
    </w:rPr>
  </w:style>
  <w:style w:type="paragraph" w:styleId="af">
    <w:name w:val="annotation subject"/>
    <w:basedOn w:val="a8"/>
    <w:next w:val="a8"/>
    <w:link w:val="af0"/>
    <w:uiPriority w:val="99"/>
    <w:semiHidden/>
    <w:unhideWhenUsed/>
    <w:rsid w:val="00256CBD"/>
    <w:pPr>
      <w:ind w:firstLineChars="0" w:firstLine="720"/>
    </w:pPr>
    <w:rPr>
      <w:b/>
      <w:bCs/>
    </w:rPr>
  </w:style>
  <w:style w:type="character" w:customStyle="1" w:styleId="af0">
    <w:name w:val="批注主题 字符"/>
    <w:basedOn w:val="a9"/>
    <w:link w:val="af"/>
    <w:uiPriority w:val="99"/>
    <w:semiHidden/>
    <w:rsid w:val="00256CBD"/>
    <w:rPr>
      <w:rFonts w:ascii="Times New Roman" w:hAnsi="Times New Roman"/>
      <w:b/>
      <w:bCs/>
      <w:sz w:val="24"/>
    </w:rPr>
  </w:style>
  <w:style w:type="paragraph" w:styleId="af1">
    <w:name w:val="Balloon Text"/>
    <w:basedOn w:val="a"/>
    <w:link w:val="af2"/>
    <w:uiPriority w:val="99"/>
    <w:semiHidden/>
    <w:unhideWhenUsed/>
    <w:rsid w:val="00361492"/>
    <w:pPr>
      <w:spacing w:line="240" w:lineRule="auto"/>
    </w:pPr>
    <w:rPr>
      <w:sz w:val="18"/>
      <w:szCs w:val="18"/>
    </w:rPr>
  </w:style>
  <w:style w:type="character" w:customStyle="1" w:styleId="af2">
    <w:name w:val="批注框文本 字符"/>
    <w:basedOn w:val="a0"/>
    <w:link w:val="af1"/>
    <w:uiPriority w:val="99"/>
    <w:semiHidden/>
    <w:rsid w:val="00361492"/>
    <w:rPr>
      <w:rFonts w:ascii="Times New Roman" w:hAnsi="Times New Roman"/>
      <w:sz w:val="18"/>
      <w:szCs w:val="18"/>
    </w:rPr>
  </w:style>
  <w:style w:type="character" w:customStyle="1" w:styleId="EndNoteBibliographyChar">
    <w:name w:val="EndNote Bibliography Char"/>
    <w:basedOn w:val="a0"/>
    <w:link w:val="EndNoteBibliography"/>
    <w:qFormat/>
    <w:locked/>
    <w:rsid w:val="00AC085C"/>
    <w:rPr>
      <w:rFonts w:ascii="Calibri" w:hAnsi="Calibri" w:cs="Calibri"/>
      <w:szCs w:val="24"/>
    </w:rPr>
  </w:style>
  <w:style w:type="paragraph" w:customStyle="1" w:styleId="EndNoteBibliography">
    <w:name w:val="EndNote Bibliography"/>
    <w:basedOn w:val="a"/>
    <w:link w:val="EndNoteBibliographyChar"/>
    <w:qFormat/>
    <w:rsid w:val="00AC085C"/>
    <w:pPr>
      <w:widowControl/>
      <w:spacing w:line="240" w:lineRule="auto"/>
      <w:ind w:hangingChars="175" w:hanging="175"/>
    </w:pPr>
    <w:rPr>
      <w:rFonts w:ascii="Calibri" w:hAnsi="Calibri" w:cs="Calibri"/>
      <w:sz w:val="21"/>
      <w:szCs w:val="24"/>
    </w:rPr>
  </w:style>
  <w:style w:type="paragraph" w:styleId="af3">
    <w:name w:val="Bibliography"/>
    <w:basedOn w:val="a"/>
    <w:next w:val="a"/>
    <w:uiPriority w:val="37"/>
    <w:unhideWhenUsed/>
    <w:rsid w:val="00462853"/>
    <w:pPr>
      <w:ind w:left="720" w:hanging="720"/>
    </w:pPr>
  </w:style>
  <w:style w:type="character" w:styleId="af4">
    <w:name w:val="Strong"/>
    <w:basedOn w:val="a0"/>
    <w:uiPriority w:val="22"/>
    <w:qFormat/>
    <w:rsid w:val="008A402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99037837">
      <w:bodyDiv w:val="1"/>
      <w:marLeft w:val="0"/>
      <w:marRight w:val="0"/>
      <w:marTop w:val="0"/>
      <w:marBottom w:val="0"/>
      <w:divBdr>
        <w:top w:val="none" w:sz="0" w:space="0" w:color="auto"/>
        <w:left w:val="none" w:sz="0" w:space="0" w:color="auto"/>
        <w:bottom w:val="none" w:sz="0" w:space="0" w:color="auto"/>
        <w:right w:val="none" w:sz="0" w:space="0" w:color="auto"/>
      </w:divBdr>
    </w:div>
    <w:div w:id="1316644106">
      <w:bodyDiv w:val="1"/>
      <w:marLeft w:val="0"/>
      <w:marRight w:val="0"/>
      <w:marTop w:val="0"/>
      <w:marBottom w:val="0"/>
      <w:divBdr>
        <w:top w:val="none" w:sz="0" w:space="0" w:color="auto"/>
        <w:left w:val="none" w:sz="0" w:space="0" w:color="auto"/>
        <w:bottom w:val="none" w:sz="0" w:space="0" w:color="auto"/>
        <w:right w:val="none" w:sz="0" w:space="0" w:color="auto"/>
      </w:divBdr>
    </w:div>
    <w:div w:id="1653295479">
      <w:bodyDiv w:val="1"/>
      <w:marLeft w:val="0"/>
      <w:marRight w:val="0"/>
      <w:marTop w:val="0"/>
      <w:marBottom w:val="0"/>
      <w:divBdr>
        <w:top w:val="none" w:sz="0" w:space="0" w:color="auto"/>
        <w:left w:val="none" w:sz="0" w:space="0" w:color="auto"/>
        <w:bottom w:val="none" w:sz="0" w:space="0" w:color="auto"/>
        <w:right w:val="none" w:sz="0" w:space="0" w:color="auto"/>
      </w:divBdr>
    </w:div>
    <w:div w:id="2047874062">
      <w:bodyDiv w:val="1"/>
      <w:marLeft w:val="0"/>
      <w:marRight w:val="0"/>
      <w:marTop w:val="0"/>
      <w:marBottom w:val="0"/>
      <w:divBdr>
        <w:top w:val="none" w:sz="0" w:space="0" w:color="auto"/>
        <w:left w:val="none" w:sz="0" w:space="0" w:color="auto"/>
        <w:bottom w:val="none" w:sz="0" w:space="0" w:color="auto"/>
        <w:right w:val="none" w:sz="0" w:space="0" w:color="auto"/>
      </w:divBdr>
    </w:div>
    <w:div w:id="20778494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0" Type="http://schemas.openxmlformats.org/officeDocument/2006/relationships/image" Target="media/image3.tiff"/><Relationship Id="rId4" Type="http://schemas.openxmlformats.org/officeDocument/2006/relationships/webSettings" Target="webSettings.xml"/><Relationship Id="rId9" Type="http://schemas.openxmlformats.org/officeDocument/2006/relationships/image" Target="media/image2.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2077E-6753-401A-88BE-A4113327E3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235</TotalTime>
  <Pages>40</Pages>
  <Words>51142</Words>
  <Characters>291513</Characters>
  <Application>Microsoft Office Word</Application>
  <DocSecurity>0</DocSecurity>
  <Lines>2429</Lines>
  <Paragraphs>683</Paragraphs>
  <ScaleCrop>false</ScaleCrop>
  <Company/>
  <LinksUpToDate>false</LinksUpToDate>
  <CharactersWithSpaces>341972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王 重翔</dc:creator>
  <cp:keywords/>
  <dc:description/>
  <cp:lastModifiedBy>王 重翔</cp:lastModifiedBy>
  <cp:revision>21</cp:revision>
  <dcterms:created xsi:type="dcterms:W3CDTF">2023-07-12T05:53:00Z</dcterms:created>
  <dcterms:modified xsi:type="dcterms:W3CDTF">2023-07-13T08:28:00Z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1c129e8da41b571f74ecf317ace81fbe8cbe8ac90d7b91a0a22ffaf84bb0e679</vt:lpwstr>
  </property>
  <property fmtid="{D5CDD505-2E9C-101B-9397-08002B2CF9AE}" pid="3" name="ZOTERO_PREF_1">
    <vt:lpwstr>&lt;data data-version="3" zotero-version="6.0.26"&gt;&lt;session id="isb1mwWC"/&gt;&lt;style id="http://www.zotero.org/styles/apa" locale="en-US" hasBibliography="1" bibliographyStyleHasBeenSet="1"/&gt;&lt;prefs&gt;&lt;pref name="fieldType" value="Field"/&gt;&lt;/prefs&gt;&lt;/data&gt;</vt:lpwstr>
  </property>
</Properties>
</file>