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HelveticaNeueLTStd-Lt" w:hAnsi="HelveticaNeueLTStd-Lt" w:eastAsia="HelveticaNeueLTStd-Lt" w:cs="HelveticaNeueLTStd-Lt"/>
          <w:color w:val="231F20"/>
          <w:kern w:val="0"/>
          <w:sz w:val="14"/>
          <w:szCs w:val="14"/>
          <w:lang w:eastAsia="zh-CN" w:bidi="ar"/>
        </w:rPr>
      </w:pPr>
      <w:r>
        <w:rPr>
          <w:rFonts w:hint="default" w:ascii="HelveticaNeueLTStd-Lt" w:hAnsi="HelveticaNeueLTStd-Lt" w:eastAsia="HelveticaNeueLTStd-Lt" w:cs="HelveticaNeueLTStd-Lt"/>
          <w:b/>
          <w:bCs/>
          <w:color w:val="231F20"/>
          <w:kern w:val="0"/>
          <w:sz w:val="14"/>
          <w:szCs w:val="14"/>
          <w:lang w:eastAsia="zh-Hans" w:bidi="ar"/>
        </w:rPr>
        <w:t>TABLE</w:t>
      </w:r>
      <w:r>
        <w:rPr>
          <w:rFonts w:ascii="HelveticaNeueLTStd-Lt" w:hAnsi="HelveticaNeueLTStd-Lt" w:eastAsia="HelveticaNeueLTStd-Lt" w:cs="HelveticaNeueLTStd-Lt"/>
          <w:b/>
          <w:bCs/>
          <w:color w:val="231F20"/>
          <w:kern w:val="0"/>
          <w:sz w:val="14"/>
          <w:szCs w:val="14"/>
          <w:lang w:eastAsia="zh-CN" w:bidi="ar"/>
        </w:rPr>
        <w:t xml:space="preserve"> </w:t>
      </w:r>
      <w:r>
        <w:rPr>
          <w:rFonts w:hint="default" w:ascii="HelveticaNeueLTStd-Lt" w:hAnsi="HelveticaNeueLTStd-Lt" w:eastAsia="HelveticaNeueLTStd-Lt" w:cs="HelveticaNeueLTStd-Lt"/>
          <w:b/>
          <w:bCs/>
          <w:color w:val="231F20"/>
          <w:kern w:val="0"/>
          <w:sz w:val="14"/>
          <w:szCs w:val="14"/>
          <w:lang w:eastAsia="zh-Hans" w:bidi="ar"/>
        </w:rPr>
        <w:t>1</w:t>
      </w:r>
      <w:r>
        <w:rPr>
          <w:rFonts w:hint="eastAsia" w:ascii="HelveticaNeueLTStd-Lt" w:hAnsi="HelveticaNeueLTStd-Lt" w:eastAsia="HelveticaNeueLTStd-Lt" w:cs="HelveticaNeueLTStd-Lt"/>
          <w:b/>
          <w:bCs/>
          <w:color w:val="231F20"/>
          <w:kern w:val="0"/>
          <w:sz w:val="14"/>
          <w:szCs w:val="14"/>
          <w:lang w:val="en-US" w:eastAsia="zh-Hans" w:bidi="ar"/>
        </w:rPr>
        <w:t>┃</w:t>
      </w:r>
      <w:r>
        <w:rPr>
          <w:rFonts w:ascii="HelveticaNeueLTStd-Lt" w:hAnsi="HelveticaNeueLTStd-Lt" w:eastAsia="HelveticaNeueLTStd-Lt" w:cs="HelveticaNeueLTStd-Lt"/>
          <w:color w:val="231F20"/>
          <w:kern w:val="0"/>
          <w:sz w:val="14"/>
          <w:szCs w:val="14"/>
          <w:lang w:val="en-US" w:eastAsia="zh-CN" w:bidi="ar"/>
        </w:rPr>
        <w:t>Reported cases of</w:t>
      </w:r>
      <w:r>
        <w:rPr>
          <w:rFonts w:ascii="HelveticaNeueLTStd-Lt" w:hAnsi="HelveticaNeueLTStd-Lt" w:eastAsia="HelveticaNeueLTStd-Lt" w:cs="HelveticaNeueLTStd-Lt"/>
          <w:color w:val="231F20"/>
          <w:kern w:val="0"/>
          <w:sz w:val="14"/>
          <w:szCs w:val="14"/>
          <w:lang w:eastAsia="zh-CN" w:bidi="ar"/>
        </w:rPr>
        <w:t xml:space="preserve"> </w:t>
      </w:r>
      <w:r>
        <w:rPr>
          <w:rFonts w:hint="eastAsia" w:ascii="HelveticaNeueLTStd-Lt" w:hAnsi="HelveticaNeueLTStd-Lt" w:eastAsia="HelveticaNeueLTStd-Lt" w:cs="HelveticaNeueLTStd-Lt"/>
          <w:color w:val="231F20"/>
          <w:kern w:val="0"/>
          <w:sz w:val="14"/>
          <w:szCs w:val="14"/>
          <w:lang w:val="en-US" w:eastAsia="zh-CN" w:bidi="ar"/>
        </w:rPr>
        <w:t>primary lymphatic malformations</w:t>
      </w:r>
      <w:r>
        <w:rPr>
          <w:rFonts w:hint="default" w:ascii="HelveticaNeueLTStd-Lt" w:hAnsi="HelveticaNeueLTStd-Lt" w:eastAsia="HelveticaNeueLTStd-Lt" w:cs="HelveticaNeueLTStd-Lt"/>
          <w:color w:val="231F20"/>
          <w:kern w:val="0"/>
          <w:sz w:val="14"/>
          <w:szCs w:val="14"/>
          <w:lang w:val="en-US" w:eastAsia="zh-CN" w:bidi="ar"/>
        </w:rPr>
        <w:t xml:space="preserve"> </w:t>
      </w:r>
      <w:r>
        <w:rPr>
          <w:rFonts w:hint="eastAsia" w:ascii="HelveticaNeueLTStd-Lt" w:hAnsi="HelveticaNeueLTStd-Lt" w:eastAsia="HelveticaNeueLTStd-Lt" w:cs="HelveticaNeueLTStd-Lt"/>
          <w:color w:val="231F20"/>
          <w:kern w:val="0"/>
          <w:sz w:val="14"/>
          <w:szCs w:val="14"/>
          <w:lang w:val="en-US" w:eastAsia="zh-Hans" w:bidi="ar"/>
        </w:rPr>
        <w:t>of</w:t>
      </w:r>
      <w:r>
        <w:rPr>
          <w:rFonts w:hint="default" w:ascii="HelveticaNeueLTStd-Lt" w:hAnsi="HelveticaNeueLTStd-Lt" w:eastAsia="HelveticaNeueLTStd-Lt" w:cs="HelveticaNeueLTStd-Lt"/>
          <w:color w:val="231F20"/>
          <w:kern w:val="0"/>
          <w:sz w:val="14"/>
          <w:szCs w:val="14"/>
          <w:lang w:val="en-US" w:eastAsia="zh-CN" w:bidi="ar"/>
        </w:rPr>
        <w:t xml:space="preserve"> </w:t>
      </w:r>
      <w:r>
        <w:rPr>
          <w:rFonts w:hint="eastAsia" w:ascii="HelveticaNeueLTStd-Lt" w:hAnsi="HelveticaNeueLTStd-Lt" w:eastAsia="HelveticaNeueLTStd-Lt" w:cs="HelveticaNeueLTStd-Lt"/>
          <w:color w:val="231F20"/>
          <w:kern w:val="0"/>
          <w:sz w:val="14"/>
          <w:szCs w:val="14"/>
          <w:lang w:val="en-US" w:eastAsia="zh-Hans" w:bidi="ar"/>
        </w:rPr>
        <w:t>p</w:t>
      </w:r>
      <w:r>
        <w:rPr>
          <w:rFonts w:hint="default" w:ascii="HelveticaNeueLTStd-Lt" w:hAnsi="HelveticaNeueLTStd-Lt" w:eastAsia="HelveticaNeueLTStd-Lt" w:cs="HelveticaNeueLTStd-Lt"/>
          <w:color w:val="231F20"/>
          <w:kern w:val="0"/>
          <w:sz w:val="14"/>
          <w:szCs w:val="14"/>
          <w:lang w:val="en-US" w:eastAsia="zh-CN" w:bidi="ar"/>
        </w:rPr>
        <w:t>erineum worldwide</w:t>
      </w:r>
      <w:r>
        <w:rPr>
          <w:rFonts w:hint="default" w:ascii="HelveticaNeueLTStd-Lt" w:hAnsi="HelveticaNeueLTStd-Lt" w:eastAsia="HelveticaNeueLTStd-Lt" w:cs="HelveticaNeueLTStd-Lt"/>
          <w:color w:val="231F20"/>
          <w:kern w:val="0"/>
          <w:sz w:val="14"/>
          <w:szCs w:val="14"/>
          <w:lang w:eastAsia="zh-CN" w:bidi="ar"/>
        </w:rPr>
        <w:t xml:space="preserve"> onset during childhood.</w:t>
      </w:r>
      <w:bookmarkStart w:id="1" w:name="_GoBack"/>
      <w:bookmarkEnd w:id="1"/>
    </w:p>
    <w:tbl>
      <w:tblPr>
        <w:tblStyle w:val="4"/>
        <w:tblpPr w:leftFromText="180" w:rightFromText="180" w:vertAnchor="text" w:horzAnchor="page" w:tblpXSpec="center" w:tblpY="573"/>
        <w:tblOverlap w:val="never"/>
        <w:tblW w:w="100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982"/>
        <w:gridCol w:w="873"/>
        <w:gridCol w:w="986"/>
        <w:gridCol w:w="1662"/>
        <w:gridCol w:w="1252"/>
        <w:gridCol w:w="1209"/>
        <w:gridCol w:w="21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  <w:t>Case NO.</w:t>
            </w:r>
          </w:p>
        </w:tc>
        <w:tc>
          <w:tcPr>
            <w:tcW w:w="98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  <w:t>Age of onset(year)</w:t>
            </w:r>
          </w:p>
        </w:tc>
        <w:tc>
          <w:tcPr>
            <w:tcW w:w="87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Hans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Hans" w:bidi="ar"/>
              </w:rPr>
              <w:t>Age of diagnosis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Hans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Hans" w:bidi="ar"/>
              </w:rPr>
              <w:t>(year)</w:t>
            </w:r>
          </w:p>
        </w:tc>
        <w:tc>
          <w:tcPr>
            <w:tcW w:w="98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  <w:t>Basis of diagnosis</w:t>
            </w:r>
          </w:p>
        </w:tc>
        <w:tc>
          <w:tcPr>
            <w:tcW w:w="166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  <w:t>Lesion site</w:t>
            </w:r>
          </w:p>
        </w:tc>
        <w:tc>
          <w:tcPr>
            <w:tcW w:w="125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val="en-US" w:eastAsia="zh-Hans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val="en-US" w:eastAsia="zh-Hans" w:bidi="ar"/>
              </w:rPr>
              <w:t>Inter</w:t>
            </w:r>
            <w:r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Hans" w:bidi="ar"/>
              </w:rPr>
              <w:t>vention</w:t>
            </w:r>
          </w:p>
        </w:tc>
        <w:tc>
          <w:tcPr>
            <w:tcW w:w="12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  <w:t>Prognosis</w:t>
            </w:r>
          </w:p>
        </w:tc>
        <w:tc>
          <w:tcPr>
            <w:tcW w:w="217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b/>
                <w:bCs/>
                <w:color w:val="231F20"/>
                <w:kern w:val="0"/>
                <w:sz w:val="14"/>
                <w:szCs w:val="14"/>
                <w:lang w:eastAsia="zh-CN" w:bidi="ar"/>
              </w:rPr>
              <w:t>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bookmarkStart w:id="0" w:name="OLE_LINK14" w:colFirst="5" w:colLast="6"/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982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873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17</w:t>
            </w:r>
          </w:p>
        </w:tc>
        <w:tc>
          <w:tcPr>
            <w:tcW w:w="986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Pathology</w:t>
            </w:r>
          </w:p>
        </w:tc>
        <w:tc>
          <w:tcPr>
            <w:tcW w:w="1662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abium majus</w:t>
            </w:r>
          </w:p>
        </w:tc>
        <w:tc>
          <w:tcPr>
            <w:tcW w:w="1252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Surgic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al</w:t>
            </w:r>
          </w:p>
        </w:tc>
        <w:tc>
          <w:tcPr>
            <w:tcW w:w="1209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S C Gupta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(7)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Puberty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17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Pathology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abium majus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Surgic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al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Rashmi Bagga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Pathology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abium m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inus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Kamal Aggarwal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Pathology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abium m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inus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Surgic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al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No recurrence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 xml:space="preserve"> in 6 month follow-up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Takashi Watanabe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16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Pathology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abium majus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Laser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No recurrence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 xml:space="preserve"> in 2 years follow-up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Ryosuke Sasaki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20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Pathology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abium majus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Virendra N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Puberty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28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MRI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Inguines, uterus, vagina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Lo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Hans" w:bidi="ar"/>
              </w:rPr>
              <w:t>w-fat diet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Mariam S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8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vulva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Observation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Anastasia V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9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12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MRI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Retroperitoneum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,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spleen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 xml:space="preserve">, 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spinalmuscle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,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rectovaginal septum, vagina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parenteral nutrition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Hans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Hans" w:bidi="ar"/>
              </w:rPr>
              <w:t>-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Tang G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98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14</w:t>
            </w:r>
          </w:p>
        </w:tc>
        <w:tc>
          <w:tcPr>
            <w:tcW w:w="87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98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Pathology</w:t>
            </w:r>
          </w:p>
        </w:tc>
        <w:tc>
          <w:tcPr>
            <w:tcW w:w="166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abium majus</w:t>
            </w:r>
          </w:p>
        </w:tc>
        <w:tc>
          <w:tcPr>
            <w:tcW w:w="125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12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Oceane D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11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50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Tc99m、CT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Perineum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Observation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Balasubramanian P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12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21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X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ray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、Pathology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Pelvic cavity, vulva, groin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Li Xiaojie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Pathology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abium majus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Observation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-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Yu Nan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(19)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14</w:t>
            </w: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8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17</w:t>
            </w:r>
          </w:p>
        </w:tc>
        <w:tc>
          <w:tcPr>
            <w:tcW w:w="98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Pathology</w:t>
            </w:r>
          </w:p>
        </w:tc>
        <w:tc>
          <w:tcPr>
            <w:tcW w:w="1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L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abium m</w:t>
            </w: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inus</w:t>
            </w:r>
          </w:p>
        </w:tc>
        <w:tc>
          <w:tcPr>
            <w:tcW w:w="12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Surgical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No recurrence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 xml:space="preserve"> in 6 month follow-up</w:t>
            </w:r>
          </w:p>
        </w:tc>
        <w:tc>
          <w:tcPr>
            <w:tcW w:w="21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Yin Dong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(20)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72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982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873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986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MRI</w:t>
            </w:r>
          </w:p>
        </w:tc>
        <w:tc>
          <w:tcPr>
            <w:tcW w:w="1662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Vagina, around bilateral iliac vessels, inguinal region, uterus, and around rectum</w:t>
            </w:r>
          </w:p>
        </w:tc>
        <w:tc>
          <w:tcPr>
            <w:tcW w:w="1252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Sclerotherapy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Hans" w:bidi="ar"/>
              </w:rPr>
              <w:t xml:space="preserve"> +oral 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Hans" w:bidi="ar"/>
              </w:rPr>
              <w:t>sirolimus</w:t>
            </w:r>
          </w:p>
        </w:tc>
        <w:tc>
          <w:tcPr>
            <w:tcW w:w="1209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  <w:t>No recurrence</w:t>
            </w: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 xml:space="preserve"> in 14 month follow-up</w:t>
            </w:r>
          </w:p>
        </w:tc>
        <w:tc>
          <w:tcPr>
            <w:tcW w:w="2172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HelveticaNeueLTStd-Lt" w:hAnsi="HelveticaNeueLTStd-Lt" w:eastAsia="HelveticaNeueLTStd-Lt" w:cs="HelveticaNeueLTStd-Lt"/>
                <w:color w:val="231F20"/>
                <w:kern w:val="0"/>
                <w:sz w:val="14"/>
                <w:szCs w:val="14"/>
                <w:lang w:eastAsia="zh-CN" w:bidi="ar"/>
              </w:rPr>
              <w:t>This case</w:t>
            </w:r>
          </w:p>
        </w:tc>
      </w:tr>
    </w:tbl>
    <w:p/>
    <w:p/>
    <w:p>
      <w:pPr>
        <w:keepNext w:val="0"/>
        <w:keepLines w:val="0"/>
        <w:widowControl/>
        <w:suppressLineNumbers w:val="0"/>
        <w:jc w:val="left"/>
        <w:rPr>
          <w:rFonts w:ascii="HelveticaNeueLTStd-LtIt" w:hAnsi="HelveticaNeueLTStd-LtIt" w:eastAsia="HelveticaNeueLTStd-LtIt" w:cs="HelveticaNeueLTStd-LtIt"/>
          <w:i/>
          <w:color w:val="231F20"/>
          <w:kern w:val="0"/>
          <w:sz w:val="14"/>
          <w:szCs w:val="14"/>
          <w:lang w:val="en-US" w:eastAsia="zh-CN" w:bidi="ar"/>
        </w:rPr>
      </w:pPr>
      <w:r>
        <w:rPr>
          <w:rFonts w:hint="eastAsia" w:ascii="HelveticaNeueLTStd-LtIt" w:hAnsi="HelveticaNeueLTStd-LtIt" w:eastAsia="HelveticaNeueLTStd-LtIt" w:cs="HelveticaNeueLTStd-LtIt"/>
          <w:i/>
          <w:color w:val="231F20"/>
          <w:kern w:val="0"/>
          <w:sz w:val="14"/>
          <w:szCs w:val="14"/>
          <w:lang w:eastAsia="zh-Hans" w:bidi="ar"/>
        </w:rPr>
        <w:t>“</w:t>
      </w:r>
      <w:r>
        <w:rPr>
          <w:rFonts w:hint="default" w:ascii="HelveticaNeueLTStd-LtIt" w:hAnsi="HelveticaNeueLTStd-LtIt" w:eastAsia="HelveticaNeueLTStd-LtIt" w:cs="HelveticaNeueLTStd-LtIt"/>
          <w:i/>
          <w:color w:val="231F20"/>
          <w:kern w:val="0"/>
          <w:sz w:val="14"/>
          <w:szCs w:val="14"/>
          <w:lang w:eastAsia="zh-Hans" w:bidi="ar"/>
        </w:rPr>
        <w:t>-</w:t>
      </w:r>
      <w:r>
        <w:rPr>
          <w:rFonts w:hint="eastAsia" w:ascii="HelveticaNeueLTStd-LtIt" w:hAnsi="HelveticaNeueLTStd-LtIt" w:eastAsia="HelveticaNeueLTStd-LtIt" w:cs="HelveticaNeueLTStd-LtIt"/>
          <w:i/>
          <w:color w:val="231F20"/>
          <w:kern w:val="0"/>
          <w:sz w:val="14"/>
          <w:szCs w:val="14"/>
          <w:lang w:eastAsia="zh-Hans" w:bidi="ar"/>
        </w:rPr>
        <w:t>”</w:t>
      </w:r>
      <w:r>
        <w:rPr>
          <w:rFonts w:hint="default" w:ascii="HelveticaNeueLTStd-LtIt" w:hAnsi="HelveticaNeueLTStd-LtIt" w:eastAsia="HelveticaNeueLTStd-LtIt" w:cs="HelveticaNeueLTStd-LtIt"/>
          <w:i/>
          <w:color w:val="231F20"/>
          <w:kern w:val="0"/>
          <w:sz w:val="14"/>
          <w:szCs w:val="14"/>
          <w:lang w:eastAsia="zh-Hans" w:bidi="ar"/>
        </w:rPr>
        <w:t xml:space="preserve"> indicates “not mentioned”.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iekieliuqiyingbixingshu">
    <w:panose1 w:val="02000503000000000000"/>
    <w:charset w:val="86"/>
    <w:family w:val="auto"/>
    <w:pitch w:val="default"/>
    <w:sig w:usb0="A00002BF" w:usb1="18CF7CFB" w:usb2="00000012" w:usb3="00000000" w:csb0="00040001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MuseoSlab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AdvTT1875e499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ionPro-Regula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ionPro-Bol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5b8bu4f53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lanti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PSA183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kzidenzGroteskBE-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kzidenzGroteskBE-M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d76a530b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o-Regula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LTStd-B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-BoldMT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linkMacSystem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LTStd-L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LTStd-LtI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BF3DF6"/>
    <w:rsid w:val="3F77F528"/>
    <w:rsid w:val="776E6F13"/>
    <w:rsid w:val="7EDF18B8"/>
    <w:rsid w:val="CFBF602E"/>
    <w:rsid w:val="F5BF3DF6"/>
    <w:rsid w:val="FBF7B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2022-12-08T23:34:00Z</dcterms:created>
  <dc:creator>keli</dc:creator>
  <cp:lastModifiedBy>keli</cp:lastModifiedBy>
  <dcterms:modified xsi:type="dcterms:W3CDTF">2022-12-08T16:44:22Z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