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Times New Roman" w:hAnsi="Times New Roman" w:cs="Times New Roman"/>
          <w:b/>
          <w:bCs/>
          <w:sz w:val="36"/>
          <w:szCs w:val="36"/>
        </w:rPr>
      </w:pPr>
      <w:r>
        <w:rPr>
          <w:rFonts w:hint="eastAsia" w:ascii="Times New Roman" w:hAnsi="Times New Roman" w:cs="Times New Roman"/>
          <w:b/>
          <w:bCs/>
          <w:sz w:val="36"/>
          <w:szCs w:val="36"/>
        </w:rPr>
        <w:t>Spatial distribution and influencing factors of stable hydrogen and oxygen isotopes in water body during rainy period in Shiyang River Basin</w:t>
      </w:r>
    </w:p>
    <w:p>
      <w:pPr>
        <w:spacing w:line="360" w:lineRule="auto"/>
        <w:jc w:val="center"/>
        <w:rPr>
          <w:rFonts w:ascii="Times New Roman" w:hAnsi="Times New Roman" w:cs="Times New Roman"/>
          <w:b/>
          <w:bCs/>
          <w:szCs w:val="21"/>
        </w:rPr>
      </w:pPr>
      <w:r>
        <w:rPr>
          <w:rFonts w:hint="eastAsia" w:ascii="Times New Roman" w:hAnsi="Times New Roman" w:cs="Times New Roman"/>
          <w:b/>
          <w:bCs/>
          <w:szCs w:val="21"/>
        </w:rPr>
        <w:t xml:space="preserve">Junju Zhou </w:t>
      </w:r>
      <w:r>
        <w:rPr>
          <w:rFonts w:hint="eastAsia" w:ascii="Times New Roman" w:hAnsi="Times New Roman" w:cs="Times New Roman"/>
          <w:bCs/>
          <w:szCs w:val="21"/>
          <w:vertAlign w:val="superscript"/>
        </w:rPr>
        <w:t>a,b,c,*</w:t>
      </w:r>
      <w:r>
        <w:rPr>
          <w:rFonts w:hint="eastAsia" w:ascii="Times New Roman" w:hAnsi="Times New Roman" w:cs="Times New Roman"/>
          <w:b/>
          <w:bCs/>
          <w:szCs w:val="21"/>
        </w:rPr>
        <w:t xml:space="preserve">, Jiawei Chen </w:t>
      </w:r>
      <w:r>
        <w:rPr>
          <w:rFonts w:hint="eastAsia" w:ascii="Times New Roman" w:hAnsi="Times New Roman" w:cs="Times New Roman"/>
          <w:bCs/>
          <w:szCs w:val="21"/>
          <w:vertAlign w:val="superscript"/>
        </w:rPr>
        <w:t>a,b,c</w:t>
      </w:r>
      <w:r>
        <w:rPr>
          <w:rFonts w:hint="eastAsia" w:ascii="Times New Roman" w:hAnsi="Times New Roman" w:cs="Times New Roman"/>
          <w:b/>
          <w:bCs/>
          <w:szCs w:val="21"/>
        </w:rPr>
        <w:t xml:space="preserve">, Suhan Shi </w:t>
      </w:r>
      <w:r>
        <w:rPr>
          <w:rFonts w:hint="eastAsia" w:ascii="Times New Roman" w:hAnsi="Times New Roman" w:cs="Times New Roman"/>
          <w:bCs/>
          <w:szCs w:val="21"/>
          <w:vertAlign w:val="superscript"/>
        </w:rPr>
        <w:t>a</w:t>
      </w:r>
      <w:r>
        <w:rPr>
          <w:rFonts w:hint="eastAsia" w:ascii="Times New Roman" w:hAnsi="Times New Roman" w:cs="Times New Roman"/>
          <w:b/>
          <w:bCs/>
          <w:szCs w:val="21"/>
        </w:rPr>
        <w:t>, Peiyuan Song</w:t>
      </w:r>
      <w:r>
        <w:rPr>
          <w:rFonts w:ascii="Times New Roman" w:hAnsi="Times New Roman" w:cs="Times New Roman"/>
          <w:szCs w:val="21"/>
          <w:vertAlign w:val="superscript"/>
        </w:rPr>
        <w:t>d</w:t>
      </w:r>
      <w:r>
        <w:rPr>
          <w:rFonts w:hint="eastAsia" w:ascii="Times New Roman" w:hAnsi="Times New Roman" w:cs="Times New Roman"/>
          <w:szCs w:val="21"/>
          <w:vertAlign w:val="superscript"/>
        </w:rPr>
        <w:t xml:space="preserve"> </w:t>
      </w:r>
      <w:r>
        <w:rPr>
          <w:rFonts w:hint="eastAsia" w:ascii="Times New Roman" w:hAnsi="Times New Roman" w:cs="Times New Roman"/>
          <w:b/>
          <w:bCs/>
          <w:szCs w:val="21"/>
        </w:rPr>
        <w:t xml:space="preserve">, Yanni Luo </w:t>
      </w:r>
      <w:r>
        <w:rPr>
          <w:rFonts w:hint="eastAsia" w:ascii="Times New Roman" w:hAnsi="Times New Roman" w:cs="Times New Roman"/>
          <w:b/>
          <w:bCs/>
          <w:szCs w:val="21"/>
          <w:vertAlign w:val="superscript"/>
        </w:rPr>
        <w:t>a</w:t>
      </w:r>
      <w:r>
        <w:rPr>
          <w:rFonts w:hint="eastAsia" w:ascii="Times New Roman" w:hAnsi="Times New Roman" w:cs="Times New Roman"/>
          <w:b/>
          <w:bCs/>
          <w:szCs w:val="21"/>
        </w:rPr>
        <w:t xml:space="preserve"> ,Dongxia Zhang </w:t>
      </w:r>
      <w:r>
        <w:rPr>
          <w:rFonts w:hint="eastAsia" w:ascii="Times New Roman" w:hAnsi="Times New Roman" w:cs="Times New Roman"/>
          <w:bCs/>
          <w:szCs w:val="21"/>
          <w:vertAlign w:val="superscript"/>
        </w:rPr>
        <w:t>a</w:t>
      </w:r>
      <w:r>
        <w:rPr>
          <w:rFonts w:hint="eastAsia" w:ascii="Times New Roman" w:hAnsi="Times New Roman" w:cs="Times New Roman"/>
          <w:b/>
          <w:bCs/>
          <w:szCs w:val="21"/>
        </w:rPr>
        <w:t xml:space="preserve">, Guofeng Zhu </w:t>
      </w:r>
      <w:r>
        <w:rPr>
          <w:rFonts w:hint="eastAsia" w:ascii="Times New Roman" w:hAnsi="Times New Roman" w:cs="Times New Roman"/>
          <w:bCs/>
          <w:szCs w:val="21"/>
          <w:vertAlign w:val="superscript"/>
        </w:rPr>
        <w:t>a</w:t>
      </w:r>
      <w:r>
        <w:rPr>
          <w:rFonts w:hint="eastAsia" w:ascii="Times New Roman" w:hAnsi="Times New Roman" w:cs="Times New Roman"/>
          <w:b/>
          <w:bCs/>
          <w:szCs w:val="21"/>
        </w:rPr>
        <w:t xml:space="preserve">, Chunfang Liu </w:t>
      </w:r>
      <w:r>
        <w:rPr>
          <w:rFonts w:ascii="Times New Roman" w:hAnsi="Times New Roman" w:cs="Times New Roman"/>
          <w:bCs/>
          <w:szCs w:val="21"/>
          <w:vertAlign w:val="superscript"/>
        </w:rPr>
        <w:t>e</w:t>
      </w:r>
      <w:r>
        <w:rPr>
          <w:rFonts w:hint="eastAsia" w:ascii="Times New Roman" w:hAnsi="Times New Roman" w:cs="Times New Roman"/>
          <w:b/>
          <w:bCs/>
          <w:szCs w:val="21"/>
        </w:rPr>
        <w:t xml:space="preserve">, Xuemei Yang </w:t>
      </w:r>
      <w:r>
        <w:rPr>
          <w:rFonts w:ascii="Times New Roman" w:hAnsi="Times New Roman" w:cs="Times New Roman"/>
          <w:bCs/>
          <w:szCs w:val="21"/>
          <w:vertAlign w:val="superscript"/>
        </w:rPr>
        <w:t>f</w:t>
      </w:r>
      <w:r>
        <w:rPr>
          <w:rFonts w:hint="eastAsia" w:ascii="Times New Roman" w:hAnsi="Times New Roman" w:cs="Times New Roman"/>
          <w:b/>
          <w:bCs/>
          <w:szCs w:val="21"/>
        </w:rPr>
        <w:t xml:space="preserve">, Wei Wei </w:t>
      </w:r>
      <w:r>
        <w:rPr>
          <w:rFonts w:hint="eastAsia" w:ascii="Times New Roman" w:hAnsi="Times New Roman" w:cs="Times New Roman"/>
          <w:bCs/>
          <w:szCs w:val="21"/>
          <w:vertAlign w:val="superscript"/>
        </w:rPr>
        <w:t>a</w:t>
      </w:r>
    </w:p>
    <w:p>
      <w:pPr>
        <w:spacing w:line="360" w:lineRule="auto"/>
        <w:rPr>
          <w:rFonts w:ascii="Times New Roman" w:hAnsi="Times New Roman" w:cs="Times New Roman"/>
          <w:b/>
          <w:bCs/>
          <w:sz w:val="28"/>
          <w:szCs w:val="28"/>
        </w:rPr>
      </w:pPr>
    </w:p>
    <w:p>
      <w:pPr>
        <w:rPr>
          <w:rFonts w:ascii="Times New Roman" w:hAnsi="Times New Roman" w:cs="Times New Roman"/>
          <w:szCs w:val="21"/>
        </w:rPr>
      </w:pPr>
      <w:r>
        <w:rPr>
          <w:rFonts w:ascii="Times New Roman" w:hAnsi="Times New Roman" w:cs="Times New Roman"/>
          <w:szCs w:val="21"/>
          <w:vertAlign w:val="superscript"/>
        </w:rPr>
        <w:t xml:space="preserve">a </w:t>
      </w:r>
      <w:r>
        <w:rPr>
          <w:rFonts w:ascii="Times New Roman" w:hAnsi="Times New Roman" w:eastAsia="Times New Roman" w:cs="Times New Roman"/>
          <w:iCs/>
          <w:color w:val="000000"/>
          <w:kern w:val="0"/>
          <w:szCs w:val="21"/>
          <w:lang w:eastAsia="de-DE" w:bidi="en-US"/>
        </w:rPr>
        <w:t>College of Geography and Environment Science, Northwest Normal University, Lanzhou 730070, China</w:t>
      </w:r>
      <w:r>
        <w:rPr>
          <w:rFonts w:ascii="Times New Roman" w:hAnsi="Times New Roman" w:eastAsia="Times New Roman" w:cs="Times New Roman"/>
          <w:iCs/>
          <w:kern w:val="0"/>
          <w:szCs w:val="21"/>
          <w:lang w:eastAsia="de-DE" w:bidi="en-US"/>
        </w:rPr>
        <w:t>;</w:t>
      </w:r>
    </w:p>
    <w:p>
      <w:pPr>
        <w:rPr>
          <w:rFonts w:ascii="Times New Roman" w:hAnsi="Times New Roman" w:cs="Times New Roman"/>
          <w:szCs w:val="21"/>
        </w:rPr>
      </w:pPr>
      <w:r>
        <w:rPr>
          <w:rFonts w:ascii="Times New Roman" w:hAnsi="Times New Roman" w:cs="Times New Roman"/>
          <w:szCs w:val="21"/>
          <w:vertAlign w:val="superscript"/>
        </w:rPr>
        <w:t xml:space="preserve">b </w:t>
      </w:r>
      <w:r>
        <w:rPr>
          <w:rFonts w:ascii="Times New Roman" w:hAnsi="Times New Roman" w:cs="Times New Roman"/>
          <w:szCs w:val="21"/>
        </w:rPr>
        <w:t>Gansu Engineering Research Center of Land Use and Comprehension Consolidation,</w:t>
      </w:r>
      <w:r>
        <w:rPr>
          <w:rFonts w:ascii="Times New Roman" w:hAnsi="Times New Roman" w:eastAsia="Times New Roman" w:cs="Times New Roman"/>
          <w:iCs/>
          <w:color w:val="000000"/>
          <w:kern w:val="0"/>
          <w:szCs w:val="21"/>
          <w:lang w:eastAsia="de-DE" w:bidi="en-US"/>
        </w:rPr>
        <w:t xml:space="preserve"> Lanzhou 730070, China</w:t>
      </w:r>
      <w:r>
        <w:rPr>
          <w:rFonts w:ascii="Times New Roman" w:hAnsi="Times New Roman" w:eastAsia="Times New Roman" w:cs="Times New Roman"/>
          <w:iCs/>
          <w:kern w:val="0"/>
          <w:szCs w:val="21"/>
          <w:lang w:eastAsia="de-DE" w:bidi="en-US"/>
        </w:rPr>
        <w:t>;</w:t>
      </w:r>
    </w:p>
    <w:p>
      <w:pPr>
        <w:rPr>
          <w:rFonts w:ascii="Times New Roman" w:hAnsi="Times New Roman" w:cs="Times New Roman"/>
          <w:szCs w:val="21"/>
        </w:rPr>
      </w:pPr>
      <w:r>
        <w:rPr>
          <w:rFonts w:ascii="Times New Roman" w:hAnsi="Times New Roman" w:cs="Times New Roman"/>
          <w:szCs w:val="21"/>
          <w:vertAlign w:val="superscript"/>
        </w:rPr>
        <w:t>c</w:t>
      </w:r>
      <w:r>
        <w:rPr>
          <w:rFonts w:ascii="Times New Roman" w:hAnsi="Times New Roman" w:cs="Times New Roman"/>
          <w:szCs w:val="21"/>
        </w:rPr>
        <w:t xml:space="preserve"> Key Laboratory of Resource Environment and Sustainable Development of Oasis, Lanzhou, Gansu Province 730070, China</w:t>
      </w:r>
    </w:p>
    <w:p>
      <w:pPr>
        <w:rPr>
          <w:rFonts w:ascii="Times New Roman" w:hAnsi="Times New Roman" w:cs="Times New Roman"/>
          <w:szCs w:val="21"/>
        </w:rPr>
      </w:pPr>
      <w:r>
        <w:rPr>
          <w:rFonts w:ascii="Times New Roman" w:hAnsi="Times New Roman" w:cs="Times New Roman"/>
          <w:szCs w:val="21"/>
          <w:vertAlign w:val="superscript"/>
        </w:rPr>
        <w:t>d</w:t>
      </w:r>
      <w:r>
        <w:rPr>
          <w:rFonts w:ascii="Times New Roman" w:hAnsi="Times New Roman" w:cs="Times New Roman"/>
          <w:szCs w:val="21"/>
        </w:rPr>
        <w:t xml:space="preserve"> Hua County, Henan Province, 456400, China</w:t>
      </w:r>
    </w:p>
    <w:p>
      <w:pPr>
        <w:rPr>
          <w:rFonts w:ascii="Times New Roman" w:hAnsi="Times New Roman" w:cs="Times New Roman"/>
          <w:iCs/>
          <w:color w:val="000000"/>
          <w:kern w:val="0"/>
          <w:szCs w:val="21"/>
          <w:lang w:bidi="en-US"/>
        </w:rPr>
      </w:pPr>
      <w:bookmarkStart w:id="0" w:name="_Hlk139355467"/>
      <w:r>
        <w:rPr>
          <w:rFonts w:ascii="Times New Roman" w:hAnsi="Times New Roman" w:cs="Times New Roman"/>
          <w:szCs w:val="21"/>
          <w:vertAlign w:val="superscript"/>
        </w:rPr>
        <w:t>e</w:t>
      </w:r>
      <w:r>
        <w:rPr>
          <w:rFonts w:ascii="Times New Roman" w:hAnsi="Times New Roman" w:cs="Times New Roman"/>
          <w:szCs w:val="21"/>
        </w:rPr>
        <w:t xml:space="preserve"> College of Social Development and Public Administration,</w:t>
      </w:r>
      <w:r>
        <w:rPr>
          <w:rFonts w:ascii="Times New Roman" w:hAnsi="Times New Roman" w:eastAsia="Times New Roman" w:cs="Times New Roman"/>
          <w:iCs/>
          <w:color w:val="000000"/>
          <w:kern w:val="0"/>
          <w:szCs w:val="21"/>
          <w:lang w:eastAsia="de-DE" w:bidi="en-US"/>
        </w:rPr>
        <w:t xml:space="preserve"> Northwest Normal University, Lanzhou 730070, China.</w:t>
      </w:r>
      <w:bookmarkEnd w:id="0"/>
    </w:p>
    <w:p>
      <w:pPr>
        <w:rPr>
          <w:rFonts w:ascii="Times New Roman" w:hAnsi="Times New Roman" w:cs="Times New Roman"/>
          <w:iCs/>
          <w:color w:val="000000"/>
          <w:kern w:val="0"/>
          <w:szCs w:val="21"/>
          <w:lang w:bidi="en-US"/>
        </w:rPr>
      </w:pPr>
      <w:r>
        <w:rPr>
          <w:rFonts w:ascii="Times New Roman" w:hAnsi="Times New Roman" w:cs="Times New Roman"/>
          <w:iCs/>
          <w:color w:val="000000"/>
          <w:kern w:val="0"/>
          <w:szCs w:val="21"/>
          <w:vertAlign w:val="superscript"/>
          <w:lang w:bidi="en-US"/>
        </w:rPr>
        <w:t>f</w:t>
      </w:r>
      <w:r>
        <w:rPr>
          <w:rFonts w:hint="eastAsia" w:ascii="Times New Roman" w:hAnsi="Times New Roman" w:cs="Times New Roman"/>
          <w:iCs/>
          <w:color w:val="000000"/>
          <w:kern w:val="0"/>
          <w:szCs w:val="21"/>
          <w:lang w:bidi="en-US"/>
        </w:rPr>
        <w:t xml:space="preserve"> </w:t>
      </w:r>
      <w:r>
        <w:rPr>
          <w:rFonts w:hint="eastAsia" w:ascii="Times New Roman" w:hAnsi="Times New Roman" w:eastAsia="宋体" w:cs="Times New Roman"/>
          <w:color w:val="000000"/>
          <w:szCs w:val="21"/>
        </w:rPr>
        <w:t>Tourism school, Lanzhou University of Arts and Science, Lanzhou, 730000, China</w:t>
      </w:r>
    </w:p>
    <w:p>
      <w:pPr>
        <w:rPr>
          <w:rFonts w:ascii="Times New Roman" w:hAnsi="Times New Roman" w:eastAsia="Times New Roman" w:cs="Times New Roman"/>
          <w:iCs/>
          <w:color w:val="000000"/>
          <w:kern w:val="0"/>
          <w:szCs w:val="21"/>
          <w:lang w:eastAsia="de-DE" w:bidi="en-US"/>
        </w:rPr>
      </w:pPr>
      <w:r>
        <w:rPr>
          <w:rFonts w:ascii="Times New Roman" w:hAnsi="Times New Roman" w:eastAsia="Times New Roman" w:cs="Times New Roman"/>
          <w:iCs/>
          <w:color w:val="000000"/>
          <w:kern w:val="0"/>
          <w:szCs w:val="21"/>
          <w:vertAlign w:val="superscript"/>
          <w:lang w:eastAsia="de-DE" w:bidi="en-US"/>
        </w:rPr>
        <w:t>*</w:t>
      </w:r>
      <w:r>
        <w:rPr>
          <w:rFonts w:ascii="Times New Roman" w:hAnsi="Times New Roman" w:eastAsia="Times New Roman" w:cs="Times New Roman"/>
          <w:iCs/>
          <w:color w:val="000000"/>
          <w:kern w:val="0"/>
          <w:szCs w:val="21"/>
          <w:lang w:eastAsia="de-DE" w:bidi="en-US"/>
        </w:rPr>
        <w:t xml:space="preserve"> Corresponding author.</w:t>
      </w:r>
    </w:p>
    <w:p>
      <w:pPr>
        <w:spacing w:before="156" w:beforeLines="50" w:line="360" w:lineRule="auto"/>
        <w:jc w:val="left"/>
        <w:rPr>
          <w:rFonts w:ascii="Times New Roman" w:hAnsi="Times New Roman" w:eastAsia="宋体" w:cs="Times New Roman"/>
          <w:sz w:val="24"/>
          <w:szCs w:val="24"/>
        </w:rPr>
      </w:pPr>
      <w:r>
        <w:rPr>
          <w:rFonts w:ascii="Times New Roman" w:hAnsi="Times New Roman" w:eastAsia="宋体" w:cs="Times New Roman"/>
          <w:b/>
          <w:i/>
          <w:sz w:val="24"/>
          <w:szCs w:val="24"/>
        </w:rPr>
        <w:t>Corresponding author:</w:t>
      </w:r>
      <w:r>
        <w:rPr>
          <w:rFonts w:ascii="Times New Roman" w:hAnsi="Times New Roman" w:eastAsia="宋体" w:cs="Times New Roman"/>
          <w:i/>
          <w:sz w:val="24"/>
          <w:szCs w:val="24"/>
        </w:rPr>
        <w:t xml:space="preserve"> </w:t>
      </w:r>
      <w:r>
        <w:rPr>
          <w:rFonts w:hint="eastAsia" w:ascii="Times New Roman" w:hAnsi="Times New Roman" w:eastAsia="宋体" w:cs="Times New Roman"/>
          <w:sz w:val="24"/>
          <w:szCs w:val="24"/>
        </w:rPr>
        <w:t>Junju Zhou</w:t>
      </w:r>
    </w:p>
    <w:p>
      <w:pPr>
        <w:widowControl/>
        <w:adjustRightInd w:val="0"/>
        <w:snapToGrid w:val="0"/>
        <w:spacing w:line="360" w:lineRule="auto"/>
        <w:jc w:val="left"/>
        <w:rPr>
          <w:rFonts w:ascii="Times New Roman" w:hAnsi="Times New Roman" w:eastAsia="宋体" w:cs="Times New Roman"/>
          <w:iCs/>
          <w:kern w:val="0"/>
          <w:szCs w:val="21"/>
          <w:lang w:bidi="en-US"/>
        </w:rPr>
      </w:pPr>
      <w:r>
        <w:rPr>
          <w:rFonts w:ascii="Times New Roman" w:hAnsi="Times New Roman" w:eastAsia="宋体" w:cs="Times New Roman"/>
          <w:b/>
          <w:iCs/>
          <w:kern w:val="0"/>
          <w:szCs w:val="21"/>
          <w:lang w:bidi="en-US"/>
        </w:rPr>
        <w:t>Address</w:t>
      </w:r>
      <w:r>
        <w:rPr>
          <w:rFonts w:ascii="Times New Roman" w:hAnsi="Times New Roman" w:eastAsia="宋体" w:cs="Times New Roman"/>
          <w:iCs/>
          <w:kern w:val="0"/>
          <w:szCs w:val="21"/>
          <w:lang w:bidi="en-US"/>
        </w:rPr>
        <w:t>: College of Geography and Environment Science of Northwest Normal</w:t>
      </w:r>
      <w:r>
        <w:rPr>
          <w:rFonts w:hint="eastAsia" w:ascii="Times New Roman" w:hAnsi="Times New Roman" w:eastAsia="宋体" w:cs="Times New Roman"/>
          <w:iCs/>
          <w:kern w:val="0"/>
          <w:szCs w:val="21"/>
          <w:lang w:bidi="en-US"/>
        </w:rPr>
        <w:t xml:space="preserve"> </w:t>
      </w:r>
      <w:r>
        <w:rPr>
          <w:rFonts w:ascii="Times New Roman" w:hAnsi="Times New Roman" w:eastAsia="宋体" w:cs="Times New Roman"/>
          <w:iCs/>
          <w:kern w:val="0"/>
          <w:szCs w:val="21"/>
          <w:lang w:bidi="en-US"/>
        </w:rPr>
        <w:t>University, 967 Anning East Road, Lanzhou, Gansu Province 730070, China.</w:t>
      </w:r>
    </w:p>
    <w:p>
      <w:pPr>
        <w:widowControl/>
        <w:adjustRightInd w:val="0"/>
        <w:snapToGrid w:val="0"/>
        <w:spacing w:line="360" w:lineRule="auto"/>
        <w:jc w:val="left"/>
        <w:rPr>
          <w:rFonts w:hint="eastAsia" w:ascii="Times New Roman" w:hAnsi="Times New Roman" w:eastAsia="宋体" w:cs="Times New Roman"/>
          <w:b/>
          <w:bCs/>
          <w:i/>
          <w:iCs w:val="0"/>
          <w:kern w:val="0"/>
          <w:sz w:val="24"/>
          <w:szCs w:val="24"/>
          <w:lang w:val="en-US" w:eastAsia="zh-CN" w:bidi="en-US"/>
        </w:rPr>
      </w:pPr>
      <w:r>
        <w:rPr>
          <w:rFonts w:hint="eastAsia" w:ascii="Times New Roman" w:hAnsi="Times New Roman" w:eastAsia="宋体" w:cs="Times New Roman"/>
          <w:b/>
          <w:bCs/>
          <w:i/>
          <w:iCs w:val="0"/>
          <w:kern w:val="0"/>
          <w:sz w:val="24"/>
          <w:szCs w:val="24"/>
          <w:lang w:bidi="en-US"/>
        </w:rPr>
        <w:t>Funding information</w:t>
      </w:r>
      <w:r>
        <w:rPr>
          <w:rFonts w:hint="eastAsia" w:ascii="Times New Roman" w:hAnsi="Times New Roman" w:eastAsia="宋体" w:cs="Times New Roman"/>
          <w:b/>
          <w:bCs/>
          <w:i/>
          <w:iCs w:val="0"/>
          <w:kern w:val="0"/>
          <w:sz w:val="24"/>
          <w:szCs w:val="24"/>
          <w:lang w:val="en-US" w:eastAsia="zh-CN" w:bidi="en-US"/>
        </w:rPr>
        <w:t>:</w:t>
      </w:r>
    </w:p>
    <w:p>
      <w:pPr>
        <w:widowControl/>
        <w:adjustRightInd w:val="0"/>
        <w:snapToGrid w:val="0"/>
        <w:spacing w:line="360" w:lineRule="auto"/>
        <w:jc w:val="left"/>
        <w:rPr>
          <w:rFonts w:hint="eastAsia" w:ascii="Times New Roman" w:hAnsi="Times New Roman" w:eastAsia="宋体" w:cs="Times New Roman"/>
          <w:b w:val="0"/>
          <w:bCs w:val="0"/>
          <w:i w:val="0"/>
          <w:iCs/>
          <w:kern w:val="0"/>
          <w:sz w:val="21"/>
          <w:szCs w:val="21"/>
          <w:lang w:val="en-US" w:eastAsia="zh-CN" w:bidi="en-US"/>
        </w:rPr>
      </w:pPr>
      <w:r>
        <w:rPr>
          <w:rFonts w:hint="eastAsia" w:ascii="Times New Roman" w:hAnsi="Times New Roman" w:eastAsia="宋体" w:cs="Times New Roman"/>
          <w:b w:val="0"/>
          <w:bCs w:val="0"/>
          <w:i w:val="0"/>
          <w:iCs/>
          <w:kern w:val="0"/>
          <w:sz w:val="21"/>
          <w:szCs w:val="21"/>
          <w:lang w:val="en-US" w:eastAsia="zh-CN" w:bidi="en-US"/>
        </w:rPr>
        <w:t>National Natural Science Foundation of China</w:t>
      </w:r>
    </w:p>
    <w:p>
      <w:pPr>
        <w:widowControl/>
        <w:adjustRightInd w:val="0"/>
        <w:snapToGrid w:val="0"/>
        <w:spacing w:line="360" w:lineRule="auto"/>
        <w:jc w:val="left"/>
        <w:rPr>
          <w:rFonts w:hint="default" w:ascii="Times New Roman" w:hAnsi="Times New Roman" w:eastAsia="宋体" w:cs="Times New Roman"/>
          <w:b w:val="0"/>
          <w:bCs w:val="0"/>
          <w:i w:val="0"/>
          <w:iCs/>
          <w:kern w:val="0"/>
          <w:sz w:val="24"/>
          <w:szCs w:val="24"/>
          <w:lang w:val="en-US" w:eastAsia="zh-CN" w:bidi="en-US"/>
        </w:rPr>
      </w:pPr>
      <w:r>
        <w:rPr>
          <w:rFonts w:hint="eastAsia" w:ascii="Times New Roman" w:hAnsi="Times New Roman" w:eastAsia="宋体" w:cs="Times New Roman"/>
          <w:b w:val="0"/>
          <w:bCs w:val="0"/>
          <w:i w:val="0"/>
          <w:iCs/>
          <w:kern w:val="0"/>
          <w:sz w:val="21"/>
          <w:szCs w:val="21"/>
          <w:lang w:val="en-US" w:eastAsia="zh-CN" w:bidi="en-US"/>
        </w:rPr>
        <w:t>Number:41971036</w:t>
      </w:r>
    </w:p>
    <w:p>
      <w:pPr>
        <w:spacing w:line="360" w:lineRule="auto"/>
        <w:rPr>
          <w:rFonts w:ascii="Times New Roman" w:hAnsi="Times New Roman" w:eastAsia="宋体" w:cs="Times New Roman"/>
          <w:iCs/>
          <w:kern w:val="0"/>
          <w:szCs w:val="21"/>
          <w:lang w:bidi="en-US"/>
        </w:rPr>
      </w:pPr>
      <w:r>
        <w:rPr>
          <w:rFonts w:ascii="Times New Roman" w:hAnsi="Times New Roman" w:eastAsia="宋体" w:cs="Times New Roman"/>
          <w:b/>
          <w:iCs/>
          <w:kern w:val="0"/>
          <w:szCs w:val="21"/>
          <w:lang w:bidi="en-US"/>
        </w:rPr>
        <w:t>E-mail</w:t>
      </w:r>
      <w:r>
        <w:rPr>
          <w:rFonts w:hint="eastAsia" w:ascii="Times New Roman" w:hAnsi="Times New Roman" w:eastAsia="宋体" w:cs="Times New Roman"/>
          <w:iCs/>
          <w:kern w:val="0"/>
          <w:szCs w:val="21"/>
          <w:lang w:bidi="en-US"/>
        </w:rPr>
        <w:t>:</w:t>
      </w:r>
      <w:r>
        <w:rPr>
          <w:rFonts w:ascii="Times New Roman" w:hAnsi="Times New Roman" w:eastAsia="宋体" w:cs="Times New Roman"/>
          <w:iCs/>
          <w:kern w:val="0"/>
          <w:szCs w:val="21"/>
          <w:lang w:bidi="en-US"/>
        </w:rPr>
        <w:t xml:space="preserve"> </w:t>
      </w:r>
      <w:r>
        <w:rPr>
          <w:rFonts w:hint="eastAsia" w:ascii="Times New Roman" w:hAnsi="Times New Roman" w:eastAsia="宋体" w:cs="Times New Roman"/>
          <w:iCs/>
          <w:color w:val="000000" w:themeColor="text1"/>
          <w:kern w:val="0"/>
          <w:szCs w:val="21"/>
          <w:lang w:val="en-US" w:eastAsia="zh-CN" w:bidi="en-US"/>
          <w14:textFill>
            <w14:solidFill>
              <w14:schemeClr w14:val="tx1"/>
            </w14:solidFill>
          </w14:textFill>
        </w:rPr>
        <w:t>yzh_su</w:t>
      </w:r>
      <w:r>
        <w:rPr>
          <w:rFonts w:ascii="Times New Roman" w:hAnsi="Times New Roman" w:eastAsia="宋体" w:cs="Times New Roman"/>
          <w:iCs/>
          <w:color w:val="000000" w:themeColor="text1"/>
          <w:kern w:val="0"/>
          <w:szCs w:val="21"/>
          <w:lang w:bidi="en-US"/>
          <w14:textFill>
            <w14:solidFill>
              <w14:schemeClr w14:val="tx1"/>
            </w14:solidFill>
          </w14:textFill>
        </w:rPr>
        <w:t>@</w:t>
      </w:r>
      <w:r>
        <w:rPr>
          <w:rFonts w:hint="eastAsia" w:ascii="Times New Roman" w:hAnsi="Times New Roman" w:eastAsia="宋体" w:cs="Times New Roman"/>
          <w:iCs/>
          <w:color w:val="000000" w:themeColor="text1"/>
          <w:kern w:val="0"/>
          <w:szCs w:val="21"/>
          <w:lang w:val="en-US" w:eastAsia="zh-CN" w:bidi="en-US"/>
          <w14:textFill>
            <w14:solidFill>
              <w14:schemeClr w14:val="tx1"/>
            </w14:solidFill>
          </w14:textFill>
        </w:rPr>
        <w:t>163</w:t>
      </w:r>
      <w:r>
        <w:rPr>
          <w:rFonts w:ascii="Times New Roman" w:hAnsi="Times New Roman" w:eastAsia="宋体" w:cs="Times New Roman"/>
          <w:iCs/>
          <w:color w:val="000000" w:themeColor="text1"/>
          <w:kern w:val="0"/>
          <w:szCs w:val="21"/>
          <w:lang w:bidi="en-US"/>
          <w14:textFill>
            <w14:solidFill>
              <w14:schemeClr w14:val="tx1"/>
            </w14:solidFill>
          </w14:textFill>
        </w:rPr>
        <w:t>.com</w:t>
      </w:r>
      <w:r>
        <w:rPr>
          <w:rFonts w:ascii="Times New Roman" w:hAnsi="Times New Roman" w:eastAsia="宋体" w:cs="Times New Roman"/>
          <w:iCs/>
          <w:kern w:val="0"/>
          <w:szCs w:val="21"/>
          <w:lang w:bidi="en-US"/>
        </w:rPr>
        <w:t>;</w:t>
      </w:r>
      <w:r>
        <w:rPr>
          <w:rFonts w:ascii="Times New Roman" w:hAnsi="Times New Roman" w:eastAsia="宋体" w:cs="Times New Roman"/>
          <w:b/>
          <w:iCs/>
          <w:kern w:val="0"/>
          <w:szCs w:val="21"/>
          <w:lang w:bidi="en-US"/>
        </w:rPr>
        <w:t xml:space="preserve"> </w:t>
      </w:r>
      <w:r>
        <w:rPr>
          <w:rFonts w:ascii="Times New Roman" w:hAnsi="Times New Roman" w:eastAsia="宋体" w:cs="Times New Roman"/>
          <w:iCs/>
          <w:kern w:val="0"/>
          <w:szCs w:val="21"/>
          <w:lang w:bidi="en-US"/>
        </w:rPr>
        <w:t>Te</w:t>
      </w:r>
      <w:bookmarkStart w:id="15" w:name="_GoBack"/>
      <w:bookmarkEnd w:id="15"/>
      <w:r>
        <w:rPr>
          <w:rFonts w:ascii="Times New Roman" w:hAnsi="Times New Roman" w:eastAsia="宋体" w:cs="Times New Roman"/>
          <w:iCs/>
          <w:kern w:val="0"/>
          <w:szCs w:val="21"/>
          <w:lang w:bidi="en-US"/>
        </w:rPr>
        <w:t>l: +86-18</w:t>
      </w:r>
      <w:r>
        <w:rPr>
          <w:rFonts w:hint="eastAsia" w:ascii="Times New Roman" w:hAnsi="Times New Roman" w:eastAsia="宋体" w:cs="Times New Roman"/>
          <w:iCs/>
          <w:kern w:val="0"/>
          <w:szCs w:val="21"/>
          <w:lang w:bidi="en-US"/>
        </w:rPr>
        <w:t>919163218.</w:t>
      </w:r>
    </w:p>
    <w:p>
      <w:pPr>
        <w:spacing w:line="360" w:lineRule="auto"/>
        <w:rPr>
          <w:rFonts w:ascii="Times New Roman" w:hAnsi="Times New Roman" w:eastAsia="宋体" w:cs="Times New Roman"/>
          <w:iCs/>
          <w:kern w:val="0"/>
          <w:szCs w:val="21"/>
          <w:lang w:bidi="en-US"/>
        </w:rPr>
      </w:pPr>
    </w:p>
    <w:p>
      <w:pPr>
        <w:spacing w:line="360" w:lineRule="auto"/>
        <w:rPr>
          <w:rFonts w:ascii="Times New Roman" w:hAnsi="Times New Roman" w:eastAsia="宋体" w:cs="Times New Roman"/>
          <w:iCs/>
          <w:kern w:val="0"/>
          <w:szCs w:val="21"/>
          <w:lang w:bidi="en-US"/>
        </w:rPr>
      </w:pPr>
    </w:p>
    <w:p>
      <w:pPr>
        <w:spacing w:line="360" w:lineRule="auto"/>
        <w:rPr>
          <w:rFonts w:ascii="Times New Roman" w:hAnsi="Times New Roman" w:eastAsia="宋体" w:cs="Times New Roman"/>
          <w:iCs/>
          <w:kern w:val="0"/>
          <w:szCs w:val="21"/>
          <w:lang w:bidi="en-US"/>
        </w:rPr>
      </w:pPr>
    </w:p>
    <w:p>
      <w:pPr>
        <w:spacing w:line="360" w:lineRule="auto"/>
        <w:rPr>
          <w:rFonts w:ascii="Times New Roman" w:hAnsi="Times New Roman" w:eastAsia="宋体" w:cs="Times New Roman"/>
          <w:iCs/>
          <w:kern w:val="0"/>
          <w:szCs w:val="21"/>
          <w:lang w:bidi="en-US"/>
        </w:rPr>
      </w:pPr>
    </w:p>
    <w:p>
      <w:pPr>
        <w:spacing w:line="360" w:lineRule="auto"/>
        <w:rPr>
          <w:rFonts w:ascii="Times New Roman" w:hAnsi="Times New Roman" w:eastAsia="宋体" w:cs="Times New Roman"/>
          <w:iCs/>
          <w:kern w:val="0"/>
          <w:szCs w:val="21"/>
          <w:lang w:bidi="en-US"/>
        </w:rPr>
      </w:pPr>
    </w:p>
    <w:p>
      <w:pPr>
        <w:spacing w:line="360" w:lineRule="auto"/>
        <w:rPr>
          <w:rFonts w:ascii="Times New Roman" w:hAnsi="Times New Roman" w:eastAsia="宋体" w:cs="Times New Roman"/>
          <w:iCs/>
          <w:kern w:val="0"/>
          <w:szCs w:val="21"/>
          <w:lang w:bidi="en-US"/>
        </w:rPr>
      </w:pPr>
    </w:p>
    <w:p>
      <w:pPr>
        <w:spacing w:line="360" w:lineRule="auto"/>
        <w:rPr>
          <w:rFonts w:ascii="Times New Roman" w:hAnsi="Times New Roman" w:eastAsia="宋体" w:cs="Times New Roman"/>
          <w:iCs/>
          <w:kern w:val="0"/>
          <w:szCs w:val="21"/>
          <w:lang w:bidi="en-US"/>
        </w:rPr>
      </w:pPr>
    </w:p>
    <w:p>
      <w:pPr>
        <w:spacing w:line="360" w:lineRule="auto"/>
        <w:rPr>
          <w:rFonts w:ascii="Times New Roman" w:hAnsi="Times New Roman" w:eastAsia="宋体" w:cs="Times New Roman"/>
          <w:iCs/>
          <w:kern w:val="0"/>
          <w:szCs w:val="21"/>
          <w:lang w:bidi="en-US"/>
        </w:rPr>
      </w:pPr>
    </w:p>
    <w:p>
      <w:pPr>
        <w:spacing w:line="360" w:lineRule="auto"/>
        <w:rPr>
          <w:rFonts w:ascii="Times New Roman" w:hAnsi="Times New Roman" w:eastAsia="宋体" w:cs="Times New Roman"/>
          <w:iCs/>
          <w:kern w:val="0"/>
          <w:szCs w:val="21"/>
          <w:lang w:bidi="en-US"/>
        </w:rPr>
      </w:pPr>
    </w:p>
    <w:p>
      <w:pPr>
        <w:spacing w:line="360" w:lineRule="auto"/>
        <w:rPr>
          <w:rFonts w:ascii="Times New Roman" w:hAnsi="Times New Roman" w:eastAsia="宋体" w:cs="Times New Roman"/>
          <w:iCs/>
          <w:kern w:val="0"/>
          <w:szCs w:val="21"/>
          <w:lang w:bidi="en-US"/>
        </w:rPr>
      </w:pPr>
    </w:p>
    <w:p>
      <w:pPr>
        <w:spacing w:line="360" w:lineRule="auto"/>
        <w:rPr>
          <w:rFonts w:ascii="Times New Roman" w:hAnsi="Times New Roman" w:eastAsia="宋体" w:cs="Times New Roman"/>
          <w:iCs/>
          <w:kern w:val="0"/>
          <w:szCs w:val="21"/>
          <w:lang w:bidi="en-US"/>
        </w:rPr>
      </w:pPr>
    </w:p>
    <w:p>
      <w:pPr>
        <w:spacing w:line="360" w:lineRule="auto"/>
        <w:rPr>
          <w:rFonts w:ascii="Times New Roman" w:hAnsi="Times New Roman" w:eastAsia="宋体" w:cs="Times New Roman"/>
          <w:iCs/>
          <w:kern w:val="0"/>
          <w:szCs w:val="21"/>
          <w:lang w:bidi="en-US"/>
        </w:rPr>
      </w:pPr>
    </w:p>
    <w:p>
      <w:pPr>
        <w:spacing w:line="360" w:lineRule="auto"/>
        <w:rPr>
          <w:rFonts w:ascii="Times New Roman" w:hAnsi="Times New Roman" w:cs="Times New Roman"/>
          <w:sz w:val="24"/>
          <w:szCs w:val="24"/>
        </w:rPr>
      </w:pPr>
      <w:r>
        <w:rPr>
          <w:rFonts w:ascii="Times New Roman" w:hAnsi="Times New Roman" w:cs="Times New Roman"/>
          <w:b/>
          <w:bCs/>
          <w:sz w:val="28"/>
          <w:szCs w:val="28"/>
        </w:rPr>
        <w:t xml:space="preserve">Abstract: </w:t>
      </w:r>
      <w:r>
        <w:rPr>
          <w:rFonts w:ascii="Times New Roman" w:hAnsi="Times New Roman" w:cs="Times New Roman"/>
          <w:sz w:val="24"/>
          <w:szCs w:val="24"/>
        </w:rPr>
        <w:t>Understanding the stable hydrogen and oxygen isotope composition of river water in the basin is of great significance for identifying the evolution mechanism of water cycle and the composition of water source. Based on the test results of δD and δ</w:t>
      </w:r>
      <w:r>
        <w:rPr>
          <w:rFonts w:ascii="Times New Roman" w:hAnsi="Times New Roman" w:cs="Times New Roman"/>
          <w:sz w:val="24"/>
          <w:szCs w:val="24"/>
          <w:vertAlign w:val="superscript"/>
        </w:rPr>
        <w:t>18</w:t>
      </w:r>
      <w:r>
        <w:rPr>
          <w:rFonts w:ascii="Times New Roman" w:hAnsi="Times New Roman" w:cs="Times New Roman"/>
          <w:sz w:val="24"/>
          <w:szCs w:val="24"/>
        </w:rPr>
        <w:t>O of river water and precipitation samples collected from Shiyang River in August 2020, this paper analyzed the composition characteristics of δ</w:t>
      </w:r>
      <w:r>
        <w:rPr>
          <w:rFonts w:ascii="Times New Roman" w:hAnsi="Times New Roman" w:cs="Times New Roman"/>
          <w:sz w:val="24"/>
          <w:szCs w:val="24"/>
          <w:vertAlign w:val="superscript"/>
        </w:rPr>
        <w:t>18</w:t>
      </w:r>
      <w:r>
        <w:rPr>
          <w:rFonts w:ascii="Times New Roman" w:hAnsi="Times New Roman" w:cs="Times New Roman"/>
          <w:sz w:val="24"/>
          <w:szCs w:val="24"/>
        </w:rPr>
        <w:t>O and δD of river water in Shiyang River Basin during rainy period, and further revealed the spatial evolution characteristics and influencing factors. The results show that the δ</w:t>
      </w:r>
      <w:r>
        <w:rPr>
          <w:rFonts w:ascii="Times New Roman" w:hAnsi="Times New Roman" w:cs="Times New Roman"/>
          <w:sz w:val="24"/>
          <w:szCs w:val="24"/>
          <w:vertAlign w:val="superscript"/>
        </w:rPr>
        <w:t>18</w:t>
      </w:r>
      <w:r>
        <w:rPr>
          <w:rFonts w:ascii="Times New Roman" w:hAnsi="Times New Roman" w:cs="Times New Roman"/>
          <w:sz w:val="24"/>
          <w:szCs w:val="24"/>
        </w:rPr>
        <w:t>O and δD values of the main and tributaries of Shiyang River are gradually enriched along the river, showing an increasing trend, while the excess deuterium is decreasing along the river. The effect of δ</w:t>
      </w:r>
      <w:r>
        <w:rPr>
          <w:rFonts w:ascii="Times New Roman" w:hAnsi="Times New Roman" w:cs="Times New Roman"/>
          <w:sz w:val="24"/>
          <w:szCs w:val="24"/>
          <w:vertAlign w:val="superscript"/>
        </w:rPr>
        <w:t>18</w:t>
      </w:r>
      <w:r>
        <w:rPr>
          <w:rFonts w:ascii="Times New Roman" w:hAnsi="Times New Roman" w:cs="Times New Roman"/>
          <w:sz w:val="24"/>
          <w:szCs w:val="24"/>
        </w:rPr>
        <w:t>O and δD in river water is significant, and the variation of δ</w:t>
      </w:r>
      <w:r>
        <w:rPr>
          <w:rFonts w:ascii="Times New Roman" w:hAnsi="Times New Roman" w:cs="Times New Roman"/>
          <w:sz w:val="24"/>
          <w:szCs w:val="24"/>
          <w:vertAlign w:val="superscript"/>
        </w:rPr>
        <w:t>18</w:t>
      </w:r>
      <w:r>
        <w:rPr>
          <w:rFonts w:ascii="Times New Roman" w:hAnsi="Times New Roman" w:cs="Times New Roman"/>
          <w:sz w:val="24"/>
          <w:szCs w:val="24"/>
        </w:rPr>
        <w:t>O altitude gradient is smaller than that of local precipitation and global precipitation. Using the evaporation loss calculation model, it can be seen that evaporation fractionation has an obvious effect on the water isotope change of Shiyang River, and the main stream of Shiyang River has the greatest effect, followed by Jinta River and Zamu River. The evaporation of reservoir water is more intense than that of river water. Precipitation is the main source of river water, and the isotope is mainly affected by the isotopic composition of river water in tributaries, and is controlled by the elevation effect, the continuous evaporation effect along the direction of runoff, and the higher degree of evaporation effect in the rainy season.</w:t>
      </w:r>
    </w:p>
    <w:p>
      <w:pPr>
        <w:spacing w:line="360" w:lineRule="auto"/>
        <w:rPr>
          <w:rFonts w:ascii="Times New Roman" w:hAnsi="Times New Roman" w:cs="Times New Roman"/>
          <w:sz w:val="24"/>
          <w:szCs w:val="24"/>
        </w:rPr>
      </w:pPr>
      <w:r>
        <w:rPr>
          <w:rFonts w:ascii="Times New Roman" w:hAnsi="Times New Roman" w:cs="Times New Roman"/>
          <w:b/>
          <w:bCs/>
          <w:sz w:val="28"/>
          <w:szCs w:val="28"/>
        </w:rPr>
        <w:t>Key words:</w:t>
      </w:r>
      <w:r>
        <w:rPr>
          <w:rFonts w:ascii="Times New Roman" w:hAnsi="Times New Roman" w:cs="Times New Roman"/>
          <w:sz w:val="24"/>
          <w:szCs w:val="24"/>
        </w:rPr>
        <w:t>Hydrogen and oxygen isotopes;; Elevation effect; Evaporation loss</w:t>
      </w:r>
    </w:p>
    <w:p>
      <w:pPr>
        <w:spacing w:line="360" w:lineRule="auto"/>
        <w:rPr>
          <w:rFonts w:ascii="Times New Roman" w:hAnsi="Times New Roman" w:cs="Times New Roman"/>
          <w:b/>
          <w:bCs/>
          <w:sz w:val="28"/>
          <w:szCs w:val="28"/>
        </w:rPr>
      </w:pPr>
      <w:r>
        <w:rPr>
          <w:rFonts w:ascii="Times New Roman" w:hAnsi="Times New Roman" w:cs="Times New Roman"/>
          <w:b/>
          <w:bCs/>
          <w:sz w:val="28"/>
          <w:szCs w:val="28"/>
        </w:rPr>
        <w:t>1 Introduction</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There is a serious water shortage problem in the arid and semi-arid inland areas of China (Wang et al., 2006). As the most important fresh water resource that can be directly utilized, the study of river water is of great significance (Zhao et al., 2017). River systems play an important role in the water cycle of inland regions (Bosilovich et al., 2006; Natali et al., 2016), the investigation of river system can provide an understanding of the status of related ecosystems and water resources (Natali et al., 2016; Ye et al.,2022). As a natural tracer of water, stable hydrogen and oxygen isotopes are very useful in hydrological studies to label and determine the characteristics, origin, composition and evaporation loss of water (Bowen et al., 2011; Gibson et al., 2005; Gammons et al., 2006; Marchina et al., 2015; Noble et al., 2019). At present, many studies have been carried out on river basins, but most of them focus on precipitation (Merlivat et al., 1979; Jia et al., 2019), Water cycle (Ma et al., 2019; Hw et al., 2022), stable hydrogen-oxygen isotope interaction between groundwater and surface water (Zhang et al., 2022; Che et al., 2021) and plant water sources (Sprenger et al., 2018; Benettin et al., 2018) are mainly characterized by stable hydrogen and oxygen isotopes.</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The stable isotopes in river water have a complex change process, because the changes of stable hydrogen and oxygen isotopes in river water are affected by many factors (Penna et al., 2016), such as precipitation (Liu et al., 2008; Ma et al., 2012; Song et al., 2015), Altitude (Jie LI et al., 2022; Yang et al., 2019), Evaporation (Chen et al., 2021; Hoa et al., 2021), groundwater recharge and human activities lead to differences in the spatial distribution and variation characteristics of stable hydrogen and oxygen isotopes in river water in different regions, and these differences can well explain regional hydrological processes (Bershaw J et al., 2014; Nan et al., 2019). Zheng et al. analyzed the stable isotope characteristics of the Yarlung Zangbo River and found that deuterium excess and δ</w:t>
      </w:r>
      <w:r>
        <w:rPr>
          <w:rFonts w:ascii="Times New Roman" w:hAnsi="Times New Roman" w:cs="Times New Roman"/>
          <w:sz w:val="24"/>
          <w:szCs w:val="24"/>
          <w:vertAlign w:val="superscript"/>
        </w:rPr>
        <w:t>18</w:t>
      </w:r>
      <w:r>
        <w:rPr>
          <w:rFonts w:ascii="Times New Roman" w:hAnsi="Times New Roman" w:cs="Times New Roman"/>
          <w:sz w:val="24"/>
          <w:szCs w:val="24"/>
        </w:rPr>
        <w:t>O showed a spatial variation trend of decreasing first and then increasing, which was influenced by temperature, altitude and other factors. Fan et al. studied the spatial distribution of stable hydrogen and oxygen isotopes (δ</w:t>
      </w:r>
      <w:r>
        <w:rPr>
          <w:rFonts w:ascii="Times New Roman" w:hAnsi="Times New Roman" w:cs="Times New Roman"/>
          <w:sz w:val="24"/>
          <w:szCs w:val="24"/>
          <w:vertAlign w:val="superscript"/>
        </w:rPr>
        <w:t>18</w:t>
      </w:r>
      <w:r>
        <w:rPr>
          <w:rFonts w:ascii="Times New Roman" w:hAnsi="Times New Roman" w:cs="Times New Roman"/>
          <w:sz w:val="24"/>
          <w:szCs w:val="24"/>
        </w:rPr>
        <w:t>O and δD) in the water source and river of the Tizinapu River in North Kunlun, and evaluated the response of hydrogen and oxygen isotopes and deuterium excess to evaporation by correlation analysis. Wang et al. analyzed the variation characteristics of δ</w:t>
      </w:r>
      <w:r>
        <w:rPr>
          <w:rFonts w:ascii="Times New Roman" w:hAnsi="Times New Roman" w:cs="Times New Roman"/>
          <w:sz w:val="24"/>
          <w:szCs w:val="24"/>
          <w:vertAlign w:val="superscript"/>
        </w:rPr>
        <w:t>18</w:t>
      </w:r>
      <w:r>
        <w:rPr>
          <w:rFonts w:ascii="Times New Roman" w:hAnsi="Times New Roman" w:cs="Times New Roman"/>
          <w:sz w:val="24"/>
          <w:szCs w:val="24"/>
        </w:rPr>
        <w:t>O and δD in the Kaidu River in the northwestern arid region, and found that the spatial variability of δ</w:t>
      </w:r>
      <w:r>
        <w:rPr>
          <w:rFonts w:ascii="Times New Roman" w:hAnsi="Times New Roman" w:cs="Times New Roman"/>
          <w:sz w:val="24"/>
          <w:szCs w:val="24"/>
          <w:vertAlign w:val="superscript"/>
        </w:rPr>
        <w:t>18</w:t>
      </w:r>
      <w:r>
        <w:rPr>
          <w:rFonts w:ascii="Times New Roman" w:hAnsi="Times New Roman" w:cs="Times New Roman"/>
          <w:sz w:val="24"/>
          <w:szCs w:val="24"/>
        </w:rPr>
        <w:t>O in the main stream river showed an "increase - decrease - increase" due to strong evaporation. Sun et al. found that the increasing trend of δ</w:t>
      </w:r>
      <w:r>
        <w:rPr>
          <w:rFonts w:ascii="Times New Roman" w:hAnsi="Times New Roman" w:cs="Times New Roman"/>
          <w:sz w:val="24"/>
          <w:szCs w:val="24"/>
          <w:vertAlign w:val="superscript"/>
        </w:rPr>
        <w:t>18</w:t>
      </w:r>
      <w:r>
        <w:rPr>
          <w:rFonts w:ascii="Times New Roman" w:hAnsi="Times New Roman" w:cs="Times New Roman"/>
          <w:sz w:val="24"/>
          <w:szCs w:val="24"/>
        </w:rPr>
        <w:t>O and δD in the river water of Tarim River Basin along the river is related to the intense evaporation and the construction of reservoir in this area. However, there are relatively few studies focusing on the spatial variation of stable hydrogen and oxygen isotopes of river water in the whole basin, especially in the arid and semi-arid areas deep inland. Therefore, it is of great significance to study the changes of stable hydrogen and oxygen isotopes of small rivers in arid and semi-arid regions. These studies on stable hydrogen and oxygen isotopes of surface water in river basins provide important information for understanding regional hydrological processes.</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The spatial variation characteristics of stable hydrogen and oxygen isotopes in river water are different (Voss et al., 2020), affected by altitude (Yang et al., 2019; Rowley et al., 2001; Araguas et al., 2000;) And the continuous evaporation effect along the runoff direction (Jiang et al., 2018; Li et al., 2016; Dansgaard et al., 1964) and a higher degree of evaporation during the rainy season (Crawford et al., 2013; Joussaume et al., 1984). Arid and semi-arid regions are especially affected by evaporation, which enricues the isotopic composition of surface water (Zhu et al., 2022). The fractionation effect of hydrogen and oxygen isotopes leads to a certain degree of differences in the natural abundance of hydrogen and oxygen isotopes in different water sources in river ecosystems (Middelburg, 2014). Water from different sources has different characteristics of hydrogen and oxygen isotopes (Dutton et al. , 2005; Kabeya et al. , 2008), a large number of tributaries flow into the main stream of a river, and the differences in geographical conditions of each small watershed affect the composition of stable isotopes in these tributaries, thus affecting the changes of stable isotopes in the main stream water (Liu et al., 2008). Therefore, when studying the isotopic changes of river water in the whole basin, the water body movement trajectory can be traced by comparing the hydrogen and oxygen isotopic compositions of water bodies from different sources (Moratti et al., 1997), and the contribution ratio of tributary water systems to main stream water can be quantitatively estimated (Chen et al.,2019).</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The Shiyang River Basin originates from the eastern part of the Qilian Mountains and is located in the arid and semi-arid inland region. It is composed of eight tributaries (Dajing River, Gulang River, Huangyang River, Zamu River, Jinta River, Xiying River, Dongdahe River and Xidahe River). The runoff of the downstream basin mainly depends on the upstream tributaries, which has a great influence on the regional hydrological process. In order to better understand the whole Shiyang River basin, through the investigation of stable hydrogen and oxygen isotope data of water samples, the content and spatial distribution characteristics of hydrogen and oxygen isotopes in the whole Shiyang River basin were analyzed, the altitude effect of water isotopes in the Shiyang River basin was studied, and the evaporation loss of rivers in the main and tributaries in the basin was explored, as well as the contribution rate of tributaries in the basin to the main stream. The purpose of this study is to improve the understanding of hydrogen and oxygen isotope characteristics of water bodies in Shiyang River Basin and to improve the understanding of water resources in inland arid and semi-arid areas.</w:t>
      </w:r>
    </w:p>
    <w:p>
      <w:pPr>
        <w:spacing w:line="360" w:lineRule="auto"/>
        <w:rPr>
          <w:rFonts w:ascii="Times New Roman" w:hAnsi="Times New Roman" w:cs="Times New Roman"/>
          <w:color w:val="FF0000"/>
          <w:sz w:val="24"/>
          <w:szCs w:val="24"/>
        </w:rPr>
      </w:pPr>
      <w:r>
        <w:rPr>
          <w:rFonts w:hint="eastAsia" w:ascii="Times New Roman" w:hAnsi="Times New Roman" w:cs="Times New Roman"/>
          <w:b/>
          <w:bCs/>
          <w:sz w:val="28"/>
          <w:szCs w:val="28"/>
        </w:rPr>
        <w:t xml:space="preserve">2. </w:t>
      </w:r>
      <w:r>
        <w:rPr>
          <w:rFonts w:ascii="Times New Roman" w:hAnsi="Times New Roman" w:cs="Times New Roman"/>
          <w:b/>
          <w:bCs/>
          <w:sz w:val="28"/>
          <w:szCs w:val="28"/>
        </w:rPr>
        <w:t>Materials and methods</w:t>
      </w:r>
    </w:p>
    <w:p>
      <w:pPr>
        <w:numPr>
          <w:ilvl w:val="1"/>
          <w:numId w:val="1"/>
        </w:numPr>
        <w:spacing w:line="360" w:lineRule="auto"/>
        <w:rPr>
          <w:rFonts w:ascii="Times New Roman" w:hAnsi="Times New Roman" w:cs="Times New Roman"/>
          <w:sz w:val="28"/>
          <w:szCs w:val="28"/>
        </w:rPr>
      </w:pPr>
      <w:r>
        <w:rPr>
          <w:rFonts w:ascii="Times New Roman" w:hAnsi="Times New Roman" w:cs="Times New Roman"/>
          <w:sz w:val="28"/>
          <w:szCs w:val="28"/>
        </w:rPr>
        <w:t>Overview of the study area</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Shiyang River is the third largest river in the Hexi Corridor of Gansu Province. It originates from Daxue Mountain on the north side of Lenglong Mountain in the eastern part of Qilian Mountains. Its geographical coordinates are 101°22'-104°04' east longitude and 37°07'-39°27' north latitude. It includes eight tributaries, namely, Dajing River, Gulang River, Huangyang River, Zamu River, Jinta River, Xiying River, Dongdahe River and Xidahe River(FIG. 1). It can be divided into three river systems according to different river flows and pooling areas. The Dajing River system includes the Dajing River, the Xidahe River system includes the Xidahe River, and the Liuhe River system includes the other six tributaries. The Shiyang River originates from the cold, wet and semi-arid Qilian Mountains at an altitude of 2000-5000 m, flows into the middle temperate zone at an altitude of 1400-2000 m in the Wuwei Basin, and then continues to flow into the lower warm temperate zone at an altitude of 1000-1400 m in the Minqin Basin (Ma et al., 2005). The drought index increased from the upper reaches to the middle reaches to the lower reaches. The river is mainly fed by rainfall, snowmelt and glacial meltwater from the Qilian Mountains. The average annual runoff of Shiyang River is 1.591 billion cubic meters, with a runoff area of 11,100 square kilometers. (Kang et al., 2004; Ma et al., 2005). Based on records from 1971 to 2021, the combined annual average runoff of the eight tributaries was 1.396 billion square meters, about 181.7 million square meters in the Caiqi area in the middle reaches and 217.4 million square meters in the lower reaches. There are 15 large reservoirs in the whole basin, among which the downstream Hongyashan reservoir is the most famous.</w:t>
      </w:r>
    </w:p>
    <w:p>
      <w:pPr>
        <w:spacing w:line="360" w:lineRule="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drawing>
          <wp:inline distT="0" distB="0" distL="0" distR="0">
            <wp:extent cx="5274310" cy="3515995"/>
            <wp:effectExtent l="0" t="0" r="13970"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4"/>
                    <a:stretch>
                      <a:fillRect/>
                    </a:stretch>
                  </pic:blipFill>
                  <pic:spPr>
                    <a:xfrm>
                      <a:off x="0" y="0"/>
                      <a:ext cx="5274310" cy="3515995"/>
                    </a:xfrm>
                    <a:prstGeom prst="rect">
                      <a:avLst/>
                    </a:prstGeom>
                  </pic:spPr>
                </pic:pic>
              </a:graphicData>
            </a:graphic>
          </wp:inline>
        </w:drawing>
      </w:r>
    </w:p>
    <w:p>
      <w:pPr>
        <w:spacing w:line="360" w:lineRule="auto"/>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Figure 1 Geographical location of the study area</w:t>
      </w:r>
    </w:p>
    <w:p>
      <w:pPr>
        <w:spacing w:line="360" w:lineRule="auto"/>
        <w:rPr>
          <w:rFonts w:ascii="Times New Roman" w:hAnsi="Times New Roman" w:cs="Times New Roman"/>
          <w:color w:val="FF0000"/>
          <w:sz w:val="24"/>
          <w:szCs w:val="24"/>
        </w:rPr>
      </w:pPr>
      <w:r>
        <w:rPr>
          <w:rFonts w:hint="eastAsia" w:ascii="Times New Roman" w:hAnsi="Times New Roman" w:cs="Times New Roman"/>
          <w:sz w:val="28"/>
          <w:szCs w:val="28"/>
        </w:rPr>
        <w:t>2.2</w:t>
      </w:r>
      <w:r>
        <w:rPr>
          <w:rFonts w:ascii="Times New Roman" w:hAnsi="Times New Roman" w:cs="Times New Roman"/>
          <w:sz w:val="28"/>
          <w:szCs w:val="28"/>
        </w:rPr>
        <w:t xml:space="preserve"> Sample collection and experimental analysis</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From August 7 to August 12, 2020, 57 sampling sites were selected in eight tributaries and main streams of the Shiyang River. Eight times of precipitation were collected at Binggou River meteorological station and Caiqi meteorological station in August. Before sampling, clean a 5mL glass sample bottle three times with sampling water and fill it with water. Each vial is immediately sealed with Parafilm to prevent evaporation. All samples were sealed in glass bottles immediately after collection and stored in a cryogenic laboratory at −18°C. Just prior to analysis, samples are stored in a 4°C refrigerator to gradually melt and avoid evaporation. The samples were pre-processed and determined in Isotope Laboratory, College of Geography and Environmental Sciences, Northwest Normal University. All water samples were analyzed using the DLT-100 liquid water isotope analyzer developed by Los Gatos Research. The microliter syringe was used to inject all samples and isotope reference materials successively for six times, and the first two injections were discarded. The average of the four injections results was taken as the final value. The analytically derived δD and δ</w:t>
      </w:r>
      <w:r>
        <w:rPr>
          <w:rFonts w:ascii="Times New Roman" w:hAnsi="Times New Roman" w:cs="Times New Roman"/>
          <w:sz w:val="24"/>
          <w:szCs w:val="24"/>
          <w:vertAlign w:val="superscript"/>
        </w:rPr>
        <w:t>18</w:t>
      </w:r>
      <w:r>
        <w:rPr>
          <w:rFonts w:ascii="Times New Roman" w:hAnsi="Times New Roman" w:cs="Times New Roman"/>
          <w:sz w:val="24"/>
          <w:szCs w:val="24"/>
        </w:rPr>
        <w:t>O are expressed in terms of the difference of one thousandth of Vienna Standard mean Seawater (VSMOW) :</w:t>
      </w:r>
    </w:p>
    <w:p>
      <w:pPr>
        <w:spacing w:line="360" w:lineRule="auto"/>
        <w:ind w:firstLine="1920" w:firstLineChars="800"/>
        <w:rPr>
          <w:rFonts w:ascii="Times New Roman" w:hAnsi="Times New Roman" w:eastAsia="宋体" w:cs="Times New Roman"/>
          <w:sz w:val="24"/>
          <w:szCs w:val="24"/>
        </w:rPr>
      </w:pPr>
      <w:r>
        <w:rPr>
          <w:rFonts w:ascii="Times New Roman" w:hAnsi="Times New Roman" w:eastAsia="宋体" w:cs="Times New Roman"/>
          <w:sz w:val="24"/>
          <w:szCs w:val="24"/>
        </w:rPr>
        <w:t xml:space="preserve">        </w:t>
      </w:r>
      <m:oMath>
        <m:r>
          <m:rPr/>
          <w:rPr>
            <w:rFonts w:ascii="Cambria Math" w:hAnsi="Cambria Math" w:eastAsia="宋体" w:cs="Times New Roman"/>
            <w:sz w:val="24"/>
            <w:szCs w:val="24"/>
          </w:rPr>
          <m:t xml:space="preserve">  </m:t>
        </m:r>
        <m:r>
          <m:rPr>
            <m:nor/>
            <m:sty m:val="p"/>
          </m:rPr>
          <w:rPr>
            <w:rFonts w:ascii="Cambria Math" w:hAnsi="Cambria Math" w:eastAsia="宋体" w:cs="Times New Roman"/>
            <w:sz w:val="24"/>
            <w:szCs w:val="24"/>
          </w:rPr>
          <m:t>δ=</m:t>
        </m:r>
        <m:d>
          <m:dPr>
            <m:begChr m:val="（"/>
            <m:endChr m:val="）"/>
            <m:ctrlPr>
              <w:rPr>
                <w:rFonts w:ascii="Cambria Math" w:hAnsi="Cambria Math" w:eastAsia="宋体" w:cs="Times New Roman"/>
                <w:sz w:val="24"/>
                <w:szCs w:val="24"/>
              </w:rPr>
            </m:ctrlPr>
          </m:dPr>
          <m:e>
            <m:f>
              <m:fPr>
                <m:ctrlPr>
                  <w:rPr>
                    <w:rFonts w:ascii="Cambria Math" w:hAnsi="Cambria Math" w:eastAsia="宋体" w:cs="Times New Roman"/>
                    <w:sz w:val="24"/>
                    <w:szCs w:val="24"/>
                  </w:rPr>
                </m:ctrlPr>
              </m:fPr>
              <m:num>
                <m:sSub>
                  <m:sSubPr>
                    <m:ctrlPr>
                      <w:rPr>
                        <w:rFonts w:ascii="Cambria Math" w:hAnsi="Cambria Math" w:eastAsia="宋体" w:cs="Times New Roman"/>
                        <w:i/>
                        <w:sz w:val="24"/>
                        <w:szCs w:val="24"/>
                      </w:rPr>
                    </m:ctrlPr>
                  </m:sSubPr>
                  <m:e>
                    <m:r>
                      <m:rPr>
                        <m:nor/>
                        <m:sty m:val="p"/>
                      </m:rPr>
                      <w:rPr>
                        <w:rFonts w:ascii="Cambria Math" w:hAnsi="Cambria Math" w:eastAsia="宋体" w:cs="Times New Roman"/>
                        <w:sz w:val="24"/>
                        <w:szCs w:val="24"/>
                      </w:rPr>
                      <m:t>R</m:t>
                    </m:r>
                    <m:ctrlPr>
                      <w:rPr>
                        <w:rFonts w:ascii="Cambria Math" w:hAnsi="Cambria Math" w:eastAsia="宋体" w:cs="Times New Roman"/>
                        <w:i/>
                        <w:sz w:val="24"/>
                        <w:szCs w:val="24"/>
                      </w:rPr>
                    </m:ctrlPr>
                  </m:e>
                  <m:sub>
                    <m:r>
                      <m:rPr>
                        <m:nor/>
                        <m:sty m:val="p"/>
                      </m:rPr>
                      <w:rPr>
                        <w:rFonts w:ascii="Cambria Math" w:hAnsi="Cambria Math" w:eastAsia="宋体" w:cs="Times New Roman"/>
                        <w:sz w:val="24"/>
                        <w:szCs w:val="24"/>
                      </w:rPr>
                      <m:t>sample</m:t>
                    </m:r>
                    <m:ctrlPr>
                      <w:rPr>
                        <w:rFonts w:ascii="Cambria Math" w:hAnsi="Cambria Math" w:eastAsia="宋体" w:cs="Times New Roman"/>
                        <w:i/>
                        <w:sz w:val="24"/>
                        <w:szCs w:val="24"/>
                      </w:rPr>
                    </m:ctrlPr>
                  </m:sub>
                </m:sSub>
                <m:ctrlPr>
                  <w:rPr>
                    <w:rFonts w:ascii="Cambria Math" w:hAnsi="Cambria Math" w:eastAsia="宋体" w:cs="Times New Roman"/>
                    <w:sz w:val="24"/>
                    <w:szCs w:val="24"/>
                  </w:rPr>
                </m:ctrlPr>
              </m:num>
              <m:den>
                <m:sSub>
                  <m:sSubPr>
                    <m:ctrlPr>
                      <w:rPr>
                        <w:rFonts w:ascii="Cambria Math" w:hAnsi="Cambria Math" w:eastAsia="宋体" w:cs="Times New Roman"/>
                        <w:i/>
                        <w:sz w:val="24"/>
                        <w:szCs w:val="24"/>
                      </w:rPr>
                    </m:ctrlPr>
                  </m:sSubPr>
                  <m:e>
                    <m:r>
                      <m:rPr>
                        <m:nor/>
                        <m:sty m:val="p"/>
                      </m:rPr>
                      <w:rPr>
                        <w:rFonts w:ascii="Cambria Math" w:hAnsi="Cambria Math" w:eastAsia="宋体" w:cs="Times New Roman"/>
                        <w:sz w:val="24"/>
                        <w:szCs w:val="24"/>
                      </w:rPr>
                      <m:t>R</m:t>
                    </m:r>
                    <m:ctrlPr>
                      <w:rPr>
                        <w:rFonts w:ascii="Cambria Math" w:hAnsi="Cambria Math" w:eastAsia="宋体" w:cs="Times New Roman"/>
                        <w:i/>
                        <w:sz w:val="24"/>
                        <w:szCs w:val="24"/>
                      </w:rPr>
                    </m:ctrlPr>
                  </m:e>
                  <m:sub>
                    <m:r>
                      <m:rPr>
                        <m:nor/>
                        <m:sty m:val="p"/>
                      </m:rPr>
                      <w:rPr>
                        <w:rFonts w:ascii="Cambria Math" w:hAnsi="Cambria Math" w:eastAsia="宋体" w:cs="Times New Roman"/>
                        <w:sz w:val="24"/>
                        <w:szCs w:val="24"/>
                      </w:rPr>
                      <m:t>standard</m:t>
                    </m:r>
                    <m:ctrlPr>
                      <w:rPr>
                        <w:rFonts w:ascii="Cambria Math" w:hAnsi="Cambria Math" w:eastAsia="宋体" w:cs="Times New Roman"/>
                        <w:i/>
                        <w:sz w:val="24"/>
                        <w:szCs w:val="24"/>
                      </w:rPr>
                    </m:ctrlPr>
                  </m:sub>
                </m:sSub>
                <m:ctrlPr>
                  <w:rPr>
                    <w:rFonts w:ascii="Cambria Math" w:hAnsi="Cambria Math" w:eastAsia="宋体" w:cs="Times New Roman"/>
                    <w:sz w:val="24"/>
                    <w:szCs w:val="24"/>
                  </w:rPr>
                </m:ctrlPr>
              </m:den>
            </m:f>
            <m:r>
              <m:rPr>
                <m:nor/>
                <m:sty m:val="p"/>
              </m:rPr>
              <w:rPr>
                <w:rFonts w:ascii="Cambria Math" w:hAnsi="Cambria Math" w:eastAsia="宋体" w:cs="Times New Roman"/>
                <w:sz w:val="24"/>
                <w:szCs w:val="24"/>
              </w:rPr>
              <m:t>-1</m:t>
            </m:r>
            <m:ctrlPr>
              <w:rPr>
                <w:rFonts w:ascii="Cambria Math" w:hAnsi="Cambria Math" w:eastAsia="宋体" w:cs="Times New Roman"/>
                <w:sz w:val="24"/>
                <w:szCs w:val="24"/>
              </w:rPr>
            </m:ctrlPr>
          </m:e>
        </m:d>
        <m:r>
          <m:rPr>
            <m:nor/>
            <m:sty m:val="p"/>
          </m:rPr>
          <w:rPr>
            <w:rFonts w:ascii="Cambria Math" w:hAnsi="Cambria Math" w:eastAsia="宋体" w:cs="Times New Roman"/>
            <w:sz w:val="24"/>
            <w:szCs w:val="24"/>
          </w:rPr>
          <m:t>*1000%</m:t>
        </m:r>
      </m:oMath>
      <w:r>
        <w:rPr>
          <w:rFonts w:ascii="Times New Roman" w:hAnsi="Times New Roman" w:eastAsia="宋体" w:cs="Times New Roman"/>
          <w:sz w:val="24"/>
          <w:szCs w:val="24"/>
        </w:rPr>
        <w:t xml:space="preserve">                      (1)</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In the formula, Rsample is the ratio of heavy to light isotopes in the water sample. δD and δ</w:t>
      </w:r>
      <w:r>
        <w:rPr>
          <w:rFonts w:ascii="Times New Roman" w:hAnsi="Times New Roman" w:cs="Times New Roman"/>
          <w:sz w:val="24"/>
          <w:szCs w:val="24"/>
          <w:vertAlign w:val="superscript"/>
        </w:rPr>
        <w:t>18</w:t>
      </w:r>
      <w:r>
        <w:rPr>
          <w:rFonts w:ascii="Times New Roman" w:hAnsi="Times New Roman" w:cs="Times New Roman"/>
          <w:sz w:val="24"/>
          <w:szCs w:val="24"/>
        </w:rPr>
        <w:t xml:space="preserve">O are D/H and </w:t>
      </w:r>
      <w:r>
        <w:rPr>
          <w:rFonts w:ascii="Times New Roman" w:hAnsi="Times New Roman" w:cs="Times New Roman"/>
          <w:sz w:val="24"/>
          <w:szCs w:val="24"/>
          <w:vertAlign w:val="superscript"/>
        </w:rPr>
        <w:t>18</w:t>
      </w:r>
      <w:r>
        <w:rPr>
          <w:rFonts w:ascii="Times New Roman" w:hAnsi="Times New Roman" w:cs="Times New Roman"/>
          <w:sz w:val="24"/>
          <w:szCs w:val="24"/>
        </w:rPr>
        <w:t>O/</w:t>
      </w:r>
      <w:r>
        <w:rPr>
          <w:rFonts w:ascii="Times New Roman" w:hAnsi="Times New Roman" w:cs="Times New Roman"/>
          <w:sz w:val="24"/>
          <w:szCs w:val="24"/>
          <w:vertAlign w:val="superscript"/>
        </w:rPr>
        <w:t>16</w:t>
      </w:r>
      <w:r>
        <w:rPr>
          <w:rFonts w:ascii="Times New Roman" w:hAnsi="Times New Roman" w:cs="Times New Roman"/>
          <w:sz w:val="24"/>
          <w:szCs w:val="24"/>
        </w:rPr>
        <w:t>O, respectively. The measurement uncertainties were 0.6‰ and 0.2‰, respectively.</w:t>
      </w:r>
    </w:p>
    <w:p>
      <w:pPr>
        <w:spacing w:line="360" w:lineRule="auto"/>
        <w:rPr>
          <w:rFonts w:ascii="Times New Roman" w:hAnsi="Times New Roman" w:cs="Times New Roman"/>
          <w:sz w:val="28"/>
          <w:szCs w:val="28"/>
        </w:rPr>
      </w:pPr>
      <w:r>
        <w:rPr>
          <w:rFonts w:ascii="Times New Roman" w:hAnsi="Times New Roman" w:cs="Times New Roman"/>
          <w:sz w:val="28"/>
          <w:szCs w:val="28"/>
        </w:rPr>
        <w:t>2.3 Excessive deuterium in river water</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In order to compare the differences between global and regional atmospheric precipitation, Dansgaard (1984) proposed the concept of deuterium excess (d-excess), defined by the formula:</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                         D-excess=δD–8*δ</w:t>
      </w:r>
      <w:r>
        <w:rPr>
          <w:rFonts w:ascii="Times New Roman" w:hAnsi="Times New Roman" w:eastAsia="宋体" w:cs="Times New Roman"/>
          <w:sz w:val="24"/>
          <w:szCs w:val="24"/>
          <w:vertAlign w:val="superscript"/>
        </w:rPr>
        <w:t>18</w:t>
      </w:r>
      <w:r>
        <w:rPr>
          <w:rFonts w:ascii="Times New Roman" w:hAnsi="Times New Roman" w:eastAsia="宋体" w:cs="Times New Roman"/>
          <w:sz w:val="24"/>
          <w:szCs w:val="24"/>
        </w:rPr>
        <w:t>O                    (2)</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D-excess is associated with source moisture and evaporation process, and this value has been frequently used in precipitation and groundwater studies. D-excess can also be used in the study of surface water, and its characteristics can reflect the influence of surface water on evaporation. The d-excess value in surface water can directly reflect the degree of evaporation enrichment and the source of inter-water recharge (Dansgaard et al., 2015).</w:t>
      </w:r>
    </w:p>
    <w:p>
      <w:pPr>
        <w:spacing w:line="360" w:lineRule="auto"/>
        <w:rPr>
          <w:rFonts w:ascii="Times New Roman" w:hAnsi="Times New Roman" w:cs="Times New Roman"/>
          <w:sz w:val="28"/>
          <w:szCs w:val="28"/>
        </w:rPr>
      </w:pPr>
      <w:r>
        <w:rPr>
          <w:rFonts w:ascii="Times New Roman" w:hAnsi="Times New Roman" w:cs="Times New Roman"/>
          <w:sz w:val="28"/>
          <w:szCs w:val="28"/>
        </w:rPr>
        <w:t>2.4 Evaporation loss calculation model</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Rayleigh distillation is a phase equilibrium process based on an open system, assuming that when evaporation occurs, the water-vapor interface is always in equilibrium between the two phases, and the river water is sufficiently mixed and affected by evaporation (Gat et al., 1981; Gat et al., 1996; Clark et al., 1997). The calculation of river evaporation using Rayleigh distillation equations represents the mean hydrological characteristics, even if the river is a dynamic system (Brooks et al., 2014; Gat et al., 2010). In this paper, Rayleigh equilibrium fractionation equation is used to calculate the evaporation ratio. According to this equation, the isotopic composition of residual water during evaporation can be calculated by (3) :</w:t>
      </w:r>
    </w:p>
    <w:p>
      <w:pPr>
        <w:spacing w:line="360" w:lineRule="auto"/>
        <w:ind w:firstLine="2880" w:firstLineChars="1200"/>
        <w:rPr>
          <w:rFonts w:ascii="Times New Roman" w:hAnsi="Times New Roman" w:eastAsia="宋体" w:cs="Times New Roman"/>
          <w:sz w:val="24"/>
          <w:szCs w:val="24"/>
        </w:rPr>
      </w:pPr>
      <m:oMath>
        <w:bookmarkStart w:id="1" w:name="_Hlk120303805"/>
        <w:bookmarkStart w:id="2" w:name="_Hlk120303761"/>
        <m:r>
          <m:rPr>
            <m:sty m:val="p"/>
          </m:rPr>
          <w:rPr>
            <w:rFonts w:ascii="Cambria Math" w:hAnsi="Cambria Math" w:eastAsia="宋体" w:cs="Times New Roman"/>
            <w:sz w:val="24"/>
            <w:szCs w:val="24"/>
          </w:rPr>
          <m:t>δ</m:t>
        </m:r>
        <m:sPre>
          <m:sPrePr>
            <m:ctrlPr>
              <w:rPr>
                <w:rFonts w:ascii="Cambria Math" w:hAnsi="Cambria Math" w:eastAsia="宋体" w:cs="Times New Roman"/>
                <w:iCs/>
                <w:sz w:val="24"/>
                <w:szCs w:val="24"/>
              </w:rPr>
            </m:ctrlPr>
          </m:sPrePr>
          <m:sub>
            <m:ctrlPr>
              <w:rPr>
                <w:rFonts w:ascii="Cambria Math" w:hAnsi="Cambria Math" w:eastAsia="宋体" w:cs="Times New Roman"/>
                <w:iCs/>
                <w:sz w:val="24"/>
                <w:szCs w:val="24"/>
              </w:rPr>
            </m:ctrlPr>
          </m:sub>
          <m:sup>
            <m:r>
              <m:rPr>
                <m:sty m:val="p"/>
              </m:rPr>
              <w:rPr>
                <w:rFonts w:ascii="Cambria Math" w:hAnsi="Cambria Math" w:eastAsia="宋体" w:cs="Times New Roman"/>
                <w:sz w:val="24"/>
                <w:szCs w:val="24"/>
              </w:rPr>
              <m:t>18</m:t>
            </m:r>
            <m:ctrlPr>
              <w:rPr>
                <w:rFonts w:ascii="Cambria Math" w:hAnsi="Cambria Math" w:eastAsia="宋体" w:cs="Times New Roman"/>
                <w:iCs/>
                <w:sz w:val="24"/>
                <w:szCs w:val="24"/>
              </w:rPr>
            </m:ctrlPr>
          </m:sup>
          <m:e>
            <m:r>
              <m:rPr>
                <m:sty m:val="p"/>
              </m:rPr>
              <w:rPr>
                <w:rFonts w:ascii="Cambria Math" w:hAnsi="Cambria Math" w:eastAsia="宋体" w:cs="Times New Roman"/>
                <w:sz w:val="24"/>
                <w:szCs w:val="24"/>
              </w:rPr>
              <m:t>O</m:t>
            </m:r>
            <m:ctrlPr>
              <w:rPr>
                <w:rFonts w:ascii="Cambria Math" w:hAnsi="Cambria Math" w:eastAsia="宋体" w:cs="Times New Roman"/>
                <w:iCs/>
                <w:sz w:val="24"/>
                <w:szCs w:val="24"/>
              </w:rPr>
            </m:ctrlPr>
          </m:e>
        </m:sPre>
        <m:r>
          <m:rPr/>
          <w:rPr>
            <w:rFonts w:ascii="Cambria Math" w:hAnsi="Cambria Math" w:eastAsia="宋体" w:cs="Times New Roman"/>
            <w:sz w:val="24"/>
            <w:szCs w:val="24"/>
          </w:rPr>
          <m:t>=F</m:t>
        </m:r>
        <m:f>
          <m:fPr>
            <m:ctrlPr>
              <w:rPr>
                <w:rFonts w:ascii="Cambria Math" w:hAnsi="Cambria Math" w:eastAsia="宋体" w:cs="Times New Roman"/>
                <w:i/>
                <w:sz w:val="24"/>
                <w:szCs w:val="24"/>
              </w:rPr>
            </m:ctrlPr>
          </m:fPr>
          <m:num>
            <m:r>
              <m:rPr/>
              <w:rPr>
                <w:rFonts w:ascii="Cambria Math" w:hAnsi="Cambria Math" w:eastAsia="宋体" w:cs="Times New Roman"/>
                <w:sz w:val="24"/>
                <w:szCs w:val="24"/>
              </w:rPr>
              <m:t>1−</m:t>
            </m:r>
            <m:r>
              <m:rPr>
                <m:sty m:val="p"/>
              </m:rPr>
              <w:rPr>
                <w:rFonts w:ascii="Cambria Math" w:hAnsi="Cambria Math" w:eastAsia="宋体" w:cs="Times New Roman"/>
                <w:sz w:val="24"/>
                <w:szCs w:val="24"/>
              </w:rPr>
              <m:t>α</m:t>
            </m:r>
            <m:r>
              <m:rPr>
                <m:sty m:val="p"/>
              </m:rPr>
              <w:rPr>
                <w:rFonts w:ascii="Cambria Math" w:hAnsi="Cambria Math" w:eastAsia="宋体" w:cs="Times New Roman"/>
                <w:sz w:val="24"/>
                <w:szCs w:val="24"/>
                <w:vertAlign w:val="subscript"/>
              </w:rPr>
              <m:t>O</m:t>
            </m:r>
            <m:ctrlPr>
              <w:rPr>
                <w:rFonts w:ascii="Cambria Math" w:hAnsi="Cambria Math" w:eastAsia="宋体" w:cs="Times New Roman"/>
                <w:i/>
                <w:sz w:val="24"/>
                <w:szCs w:val="24"/>
              </w:rPr>
            </m:ctrlPr>
          </m:num>
          <m:den>
            <m:r>
              <m:rPr>
                <m:sty m:val="p"/>
              </m:rPr>
              <w:rPr>
                <w:rFonts w:ascii="Cambria Math" w:hAnsi="Cambria Math" w:eastAsia="宋体" w:cs="Times New Roman"/>
                <w:sz w:val="24"/>
                <w:szCs w:val="24"/>
              </w:rPr>
              <m:t>α</m:t>
            </m:r>
            <m:r>
              <m:rPr>
                <m:sty m:val="p"/>
              </m:rPr>
              <w:rPr>
                <w:rFonts w:ascii="Cambria Math" w:hAnsi="Cambria Math" w:eastAsia="宋体" w:cs="Times New Roman"/>
                <w:sz w:val="24"/>
                <w:szCs w:val="24"/>
                <w:vertAlign w:val="subscript"/>
              </w:rPr>
              <m:t>O</m:t>
            </m:r>
            <m:ctrlPr>
              <w:rPr>
                <w:rFonts w:ascii="Cambria Math" w:hAnsi="Cambria Math" w:eastAsia="宋体" w:cs="Times New Roman"/>
                <w:i/>
                <w:sz w:val="24"/>
                <w:szCs w:val="24"/>
              </w:rPr>
            </m:ctrlPr>
          </m:den>
        </m:f>
        <m:r>
          <m:rPr/>
          <w:rPr>
            <w:rFonts w:ascii="Cambria Math" w:hAnsi="Cambria Math" w:eastAsia="宋体" w:cs="Times New Roman"/>
            <w:sz w:val="24"/>
            <w:szCs w:val="24"/>
          </w:rPr>
          <m:t>[</m:t>
        </m:r>
      </m:oMath>
      <w:r>
        <w:rPr>
          <w:rFonts w:ascii="Times New Roman" w:hAnsi="Times New Roman" w:eastAsia="宋体" w:cs="Times New Roman"/>
          <w:sz w:val="24"/>
          <w:szCs w:val="24"/>
        </w:rPr>
        <w:t>(</w:t>
      </w:r>
      <w:bookmarkStart w:id="3" w:name="_Hlk120382680"/>
      <w:r>
        <w:rPr>
          <w:rFonts w:ascii="Times New Roman" w:hAnsi="Times New Roman" w:eastAsia="宋体" w:cs="Times New Roman"/>
          <w:sz w:val="24"/>
          <w:szCs w:val="24"/>
        </w:rPr>
        <w:t>δ</w:t>
      </w:r>
      <w:r>
        <w:rPr>
          <w:rFonts w:ascii="Times New Roman" w:hAnsi="Times New Roman" w:eastAsia="宋体" w:cs="Times New Roman"/>
          <w:sz w:val="24"/>
          <w:szCs w:val="24"/>
          <w:vertAlign w:val="superscript"/>
        </w:rPr>
        <w:t>18</w:t>
      </w:r>
      <w:r>
        <w:rPr>
          <w:rFonts w:ascii="Times New Roman" w:hAnsi="Times New Roman" w:eastAsia="宋体" w:cs="Times New Roman"/>
          <w:sz w:val="24"/>
          <w:szCs w:val="24"/>
        </w:rPr>
        <w:t>O</w:t>
      </w:r>
      <w:bookmarkEnd w:id="3"/>
      <w:r>
        <w:rPr>
          <w:rFonts w:ascii="Times New Roman" w:hAnsi="Times New Roman" w:eastAsia="宋体" w:cs="Times New Roman"/>
          <w:sz w:val="24"/>
          <w:szCs w:val="24"/>
        </w:rPr>
        <w:t>)</w:t>
      </w:r>
      <w:r>
        <w:rPr>
          <w:rFonts w:ascii="Times New Roman" w:hAnsi="Times New Roman" w:eastAsia="宋体" w:cs="Times New Roman"/>
          <w:sz w:val="24"/>
          <w:szCs w:val="24"/>
          <w:vertAlign w:val="subscript"/>
        </w:rPr>
        <w:t>0</w:t>
      </w:r>
      <w:r>
        <w:rPr>
          <w:rFonts w:ascii="Times New Roman" w:hAnsi="Times New Roman" w:eastAsia="宋体" w:cs="Times New Roman"/>
          <w:sz w:val="24"/>
          <w:szCs w:val="24"/>
        </w:rPr>
        <w:t>+1000]-1000              (4)</w:t>
      </w:r>
      <w:bookmarkEnd w:id="1"/>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Where, F is the proportion of residual water; δ</w:t>
      </w:r>
      <w:r>
        <w:rPr>
          <w:rFonts w:ascii="Times New Roman" w:hAnsi="Times New Roman" w:cs="Times New Roman"/>
          <w:sz w:val="24"/>
          <w:szCs w:val="24"/>
          <w:vertAlign w:val="superscript"/>
        </w:rPr>
        <w:t>18</w:t>
      </w:r>
      <w:r>
        <w:rPr>
          <w:rFonts w:ascii="Times New Roman" w:hAnsi="Times New Roman" w:cs="Times New Roman"/>
          <w:sz w:val="24"/>
          <w:szCs w:val="24"/>
        </w:rPr>
        <w:t>O, (δ</w:t>
      </w:r>
      <w:r>
        <w:rPr>
          <w:rFonts w:ascii="Times New Roman" w:hAnsi="Times New Roman" w:cs="Times New Roman"/>
          <w:sz w:val="24"/>
          <w:szCs w:val="24"/>
          <w:vertAlign w:val="superscript"/>
        </w:rPr>
        <w:t>18</w:t>
      </w:r>
      <w:r>
        <w:rPr>
          <w:rFonts w:ascii="Times New Roman" w:hAnsi="Times New Roman" w:cs="Times New Roman"/>
          <w:sz w:val="24"/>
          <w:szCs w:val="24"/>
        </w:rPr>
        <w:t>O)0, are isotopic components of residual water and initial water, respectively. αO is the fractionation coefficient of δ</w:t>
      </w:r>
      <w:r>
        <w:rPr>
          <w:rFonts w:ascii="Times New Roman" w:hAnsi="Times New Roman" w:cs="Times New Roman"/>
          <w:sz w:val="24"/>
          <w:szCs w:val="24"/>
          <w:vertAlign w:val="superscript"/>
        </w:rPr>
        <w:t>18</w:t>
      </w:r>
      <w:r>
        <w:rPr>
          <w:rFonts w:ascii="Times New Roman" w:hAnsi="Times New Roman" w:cs="Times New Roman"/>
          <w:sz w:val="24"/>
          <w:szCs w:val="24"/>
        </w:rPr>
        <w:t>O in condensation process, and they are equal to the reciprocal of fractionation coefficient in evaporation process, respectively. Since fractionation in evaporation involves equilibrium fractionation between water and steam and dynamic fractionation between steam and boundary layer at the evaporation interface, the fractionation factor can be expressed as:</w:t>
      </w:r>
    </w:p>
    <w:bookmarkEnd w:id="2"/>
    <w:p>
      <w:pPr>
        <w:spacing w:line="360" w:lineRule="auto"/>
        <w:ind w:firstLine="3120" w:firstLineChars="1300"/>
        <w:rPr>
          <w:rFonts w:ascii="Times New Roman" w:hAnsi="Times New Roman" w:eastAsia="宋体" w:cs="Times New Roman"/>
          <w:sz w:val="24"/>
          <w:szCs w:val="24"/>
        </w:rPr>
      </w:pPr>
      <m:oMath>
        <m:sSub>
          <m:sSubPr>
            <m:ctrlPr>
              <w:rPr>
                <w:rFonts w:ascii="Cambria Math" w:hAnsi="Cambria Math" w:eastAsia="宋体" w:cs="Times New Roman"/>
                <w:i/>
                <w:sz w:val="24"/>
                <w:szCs w:val="24"/>
              </w:rPr>
            </m:ctrlPr>
          </m:sSubPr>
          <m:e>
            <m:r>
              <m:rPr/>
              <w:rPr>
                <w:rFonts w:ascii="Cambria Math" w:hAnsi="Cambria Math" w:eastAsia="宋体" w:cs="Times New Roman"/>
                <w:sz w:val="24"/>
                <w:szCs w:val="24"/>
              </w:rPr>
              <m:t>α</m:t>
            </m:r>
            <m:ctrlPr>
              <w:rPr>
                <w:rFonts w:ascii="Cambria Math" w:hAnsi="Cambria Math" w:eastAsia="宋体" w:cs="Times New Roman"/>
                <w:i/>
                <w:sz w:val="24"/>
                <w:szCs w:val="24"/>
              </w:rPr>
            </m:ctrlPr>
          </m:e>
          <m:sub>
            <m:r>
              <m:rPr/>
              <w:rPr>
                <w:rFonts w:ascii="Cambria Math" w:hAnsi="Cambria Math" w:eastAsia="宋体" w:cs="Times New Roman"/>
                <w:sz w:val="24"/>
                <w:szCs w:val="24"/>
              </w:rPr>
              <m:t>o</m:t>
            </m:r>
            <m:ctrlPr>
              <w:rPr>
                <w:rFonts w:ascii="Cambria Math" w:hAnsi="Cambria Math" w:eastAsia="宋体" w:cs="Times New Roman"/>
                <w:i/>
                <w:sz w:val="24"/>
                <w:szCs w:val="24"/>
              </w:rPr>
            </m:ctrlPr>
          </m:sub>
        </m:sSub>
        <m:r>
          <m:rPr/>
          <w:rPr>
            <w:rFonts w:ascii="Cambria Math" w:hAnsi="Cambria Math" w:eastAsia="宋体" w:cs="Times New Roman"/>
            <w:sz w:val="24"/>
            <w:szCs w:val="24"/>
          </w:rPr>
          <m:t>=</m:t>
        </m:r>
        <m:sSub>
          <m:sSubPr>
            <m:ctrlPr>
              <w:rPr>
                <w:rFonts w:ascii="Cambria Math" w:hAnsi="Cambria Math" w:eastAsia="宋体" w:cs="Times New Roman"/>
                <w:i/>
                <w:sz w:val="24"/>
                <w:szCs w:val="24"/>
              </w:rPr>
            </m:ctrlPr>
          </m:sSubPr>
          <m:e>
            <m:r>
              <m:rPr/>
              <w:rPr>
                <w:rFonts w:ascii="Cambria Math" w:hAnsi="Cambria Math" w:eastAsia="宋体" w:cs="Times New Roman"/>
                <w:sz w:val="24"/>
                <w:szCs w:val="24"/>
              </w:rPr>
              <m:t>α</m:t>
            </m:r>
            <m:ctrlPr>
              <w:rPr>
                <w:rFonts w:ascii="Cambria Math" w:hAnsi="Cambria Math" w:eastAsia="宋体" w:cs="Times New Roman"/>
                <w:i/>
                <w:sz w:val="24"/>
                <w:szCs w:val="24"/>
              </w:rPr>
            </m:ctrlPr>
          </m:e>
          <m:sub>
            <m:r>
              <m:rPr/>
              <w:rPr>
                <w:rFonts w:ascii="Cambria Math" w:hAnsi="Cambria Math" w:eastAsia="宋体" w:cs="Times New Roman"/>
                <w:sz w:val="24"/>
                <w:szCs w:val="24"/>
              </w:rPr>
              <m:t>1</m:t>
            </m:r>
            <m:ctrlPr>
              <w:rPr>
                <w:rFonts w:ascii="Cambria Math" w:hAnsi="Cambria Math" w:eastAsia="宋体" w:cs="Times New Roman"/>
                <w:i/>
                <w:sz w:val="24"/>
                <w:szCs w:val="24"/>
              </w:rPr>
            </m:ctrlPr>
          </m:sub>
        </m:sSub>
        <m:r>
          <m:rPr/>
          <w:rPr>
            <w:rFonts w:ascii="Cambria Math" w:hAnsi="Cambria Math" w:eastAsia="宋体" w:cs="Times New Roman"/>
            <w:sz w:val="24"/>
            <w:szCs w:val="24"/>
          </w:rPr>
          <m:t>+</m:t>
        </m:r>
        <m:sSub>
          <m:sSubPr>
            <m:ctrlPr>
              <w:rPr>
                <w:rFonts w:ascii="Cambria Math" w:hAnsi="Cambria Math" w:eastAsia="宋体" w:cs="Times New Roman"/>
                <w:i/>
                <w:sz w:val="24"/>
                <w:szCs w:val="24"/>
              </w:rPr>
            </m:ctrlPr>
          </m:sSubPr>
          <m:e>
            <m:r>
              <m:rPr/>
              <w:rPr>
                <w:rFonts w:ascii="Cambria Math" w:hAnsi="Cambria Math" w:eastAsia="宋体" w:cs="Times New Roman"/>
                <w:sz w:val="24"/>
                <w:szCs w:val="24"/>
              </w:rPr>
              <m:t>α</m:t>
            </m:r>
            <m:ctrlPr>
              <w:rPr>
                <w:rFonts w:ascii="Cambria Math" w:hAnsi="Cambria Math" w:eastAsia="宋体" w:cs="Times New Roman"/>
                <w:i/>
                <w:sz w:val="24"/>
                <w:szCs w:val="24"/>
              </w:rPr>
            </m:ctrlPr>
          </m:e>
          <m:sub>
            <m:r>
              <m:rPr/>
              <w:rPr>
                <w:rFonts w:ascii="Cambria Math" w:hAnsi="Cambria Math" w:eastAsia="宋体" w:cs="Times New Roman"/>
                <w:sz w:val="24"/>
                <w:szCs w:val="24"/>
              </w:rPr>
              <m:t>2</m:t>
            </m:r>
            <m:ctrlPr>
              <w:rPr>
                <w:rFonts w:ascii="Cambria Math" w:hAnsi="Cambria Math" w:eastAsia="宋体" w:cs="Times New Roman"/>
                <w:i/>
                <w:sz w:val="24"/>
                <w:szCs w:val="24"/>
              </w:rPr>
            </m:ctrlPr>
          </m:sub>
        </m:sSub>
      </m:oMath>
      <w:r>
        <w:rPr>
          <w:rFonts w:ascii="Times New Roman" w:hAnsi="Times New Roman" w:eastAsia="宋体" w:cs="Times New Roman"/>
          <w:sz w:val="24"/>
          <w:szCs w:val="24"/>
        </w:rPr>
        <w:t xml:space="preserve">                             (5)</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According to (Majoube, 1971), the relationship between the fractionation coefficient α1 and temperature (T) of liquid-gas phase transition system deduced by theory is as follows:</w:t>
      </w:r>
    </w:p>
    <w:p>
      <w:pPr>
        <w:spacing w:line="360" w:lineRule="auto"/>
        <w:ind w:firstLine="480" w:firstLineChars="200"/>
        <w:rPr>
          <w:rFonts w:ascii="Times New Roman" w:hAnsi="Times New Roman" w:eastAsia="宋体" w:cs="Times New Roman"/>
          <w:iCs/>
          <w:sz w:val="24"/>
          <w:szCs w:val="24"/>
        </w:rPr>
      </w:pPr>
      <w:bookmarkStart w:id="4" w:name="_Hlk120810139"/>
      <w:r>
        <w:rPr>
          <w:rFonts w:ascii="Times New Roman" w:hAnsi="Times New Roman" w:eastAsia="宋体" w:cs="Times New Roman"/>
          <w:sz w:val="24"/>
          <w:szCs w:val="24"/>
        </w:rPr>
        <w:t xml:space="preserve">    </w:t>
      </w:r>
      <m:oMath>
        <m:r>
          <m:rPr>
            <m:sty m:val="p"/>
          </m:rPr>
          <w:rPr>
            <w:rFonts w:ascii="Cambria Math" w:hAnsi="Cambria Math" w:eastAsia="宋体" w:cs="Times New Roman"/>
            <w:sz w:val="24"/>
            <w:szCs w:val="24"/>
          </w:rPr>
          <m:t xml:space="preserve">    10</m:t>
        </m:r>
      </m:oMath>
      <w:r>
        <w:rPr>
          <w:rFonts w:ascii="Times New Roman" w:hAnsi="Times New Roman" w:eastAsia="宋体" w:cs="Times New Roman"/>
          <w:sz w:val="24"/>
          <w:szCs w:val="24"/>
          <w:vertAlign w:val="superscript"/>
        </w:rPr>
        <w:t>3</w:t>
      </w:r>
      <w:r>
        <w:rPr>
          <w:rFonts w:ascii="Times New Roman" w:hAnsi="Times New Roman" w:eastAsia="宋体" w:cs="Times New Roman"/>
          <w:sz w:val="24"/>
          <w:szCs w:val="24"/>
        </w:rPr>
        <w:t>In</w:t>
      </w:r>
      <w:bookmarkEnd w:id="4"/>
      <m:oMath>
        <m:r>
          <m:rPr>
            <m:sty m:val="p"/>
          </m:rPr>
          <w:rPr>
            <w:rFonts w:ascii="Cambria Math" w:hAnsi="Cambria Math" w:eastAsia="宋体" w:cs="Times New Roman"/>
            <w:sz w:val="24"/>
            <w:szCs w:val="24"/>
          </w:rPr>
          <m:t>α</m:t>
        </m:r>
        <m:r>
          <m:rPr>
            <m:sty m:val="p"/>
          </m:rPr>
          <w:rPr>
            <w:rFonts w:ascii="Cambria Math" w:hAnsi="Cambria Math" w:eastAsia="宋体" w:cs="Times New Roman"/>
            <w:sz w:val="24"/>
            <w:szCs w:val="24"/>
            <w:vertAlign w:val="subscript"/>
          </w:rPr>
          <m:t>O</m:t>
        </m:r>
        <m:r>
          <m:rPr>
            <m:sty m:val="p"/>
          </m:rPr>
          <w:rPr>
            <w:rFonts w:ascii="Cambria Math" w:hAnsi="Cambria Math" w:eastAsia="宋体" w:cs="Times New Roman"/>
            <w:sz w:val="24"/>
            <w:szCs w:val="24"/>
          </w:rPr>
          <m:t>=1.137∗(</m:t>
        </m:r>
        <m:r>
          <m:rPr/>
          <w:rPr>
            <w:rFonts w:ascii="Cambria Math" w:hAnsi="Cambria Math" w:eastAsia="宋体" w:cs="Times New Roman"/>
            <w:sz w:val="24"/>
            <w:szCs w:val="24"/>
          </w:rPr>
          <m:t>10</m:t>
        </m:r>
      </m:oMath>
      <w:r>
        <w:rPr>
          <w:rFonts w:ascii="Times New Roman" w:hAnsi="Times New Roman" w:eastAsia="宋体" w:cs="Times New Roman"/>
          <w:iCs/>
          <w:sz w:val="24"/>
          <w:szCs w:val="24"/>
          <w:vertAlign w:val="superscript"/>
        </w:rPr>
        <w:t>6</w:t>
      </w:r>
      <m:oMath>
        <m:r>
          <m:rPr/>
          <w:rPr>
            <w:rFonts w:ascii="Cambria Math" w:hAnsi="Cambria Math" w:eastAsia="宋体" w:cs="Times New Roman"/>
            <w:sz w:val="24"/>
            <w:szCs w:val="24"/>
          </w:rPr>
          <m:t>∗</m:t>
        </m:r>
        <m:r>
          <m:rPr>
            <m:sty m:val="p"/>
          </m:rPr>
          <w:rPr>
            <w:rFonts w:ascii="Cambria Math" w:hAnsi="Cambria Math" w:eastAsia="宋体" w:cs="Times New Roman"/>
            <w:sz w:val="24"/>
            <w:szCs w:val="24"/>
          </w:rPr>
          <m:t>T</m:t>
        </m:r>
      </m:oMath>
      <w:r>
        <w:rPr>
          <w:rFonts w:ascii="Times New Roman" w:hAnsi="Times New Roman" w:eastAsia="宋体" w:cs="Times New Roman"/>
          <w:iCs/>
          <w:sz w:val="24"/>
          <w:szCs w:val="24"/>
          <w:vertAlign w:val="superscript"/>
        </w:rPr>
        <w:t>-2</w:t>
      </w:r>
      <w:r>
        <w:rPr>
          <w:rFonts w:ascii="Times New Roman" w:hAnsi="Times New Roman" w:eastAsia="宋体" w:cs="Times New Roman"/>
          <w:iCs/>
          <w:sz w:val="24"/>
          <w:szCs w:val="24"/>
        </w:rPr>
        <w:t>)-0.4156*(10</w:t>
      </w:r>
      <w:r>
        <w:rPr>
          <w:rFonts w:ascii="Times New Roman" w:hAnsi="Times New Roman" w:eastAsia="宋体" w:cs="Times New Roman"/>
          <w:iCs/>
          <w:sz w:val="24"/>
          <w:szCs w:val="24"/>
          <w:vertAlign w:val="superscript"/>
        </w:rPr>
        <w:t>3</w:t>
      </w:r>
      <w:r>
        <w:rPr>
          <w:rFonts w:ascii="Times New Roman" w:hAnsi="Times New Roman" w:eastAsia="宋体" w:cs="Times New Roman"/>
          <w:iCs/>
          <w:sz w:val="24"/>
          <w:szCs w:val="24"/>
        </w:rPr>
        <w:t>*T</w:t>
      </w:r>
      <w:r>
        <w:rPr>
          <w:rFonts w:ascii="Times New Roman" w:hAnsi="Times New Roman" w:eastAsia="宋体" w:cs="Times New Roman"/>
          <w:iCs/>
          <w:sz w:val="24"/>
          <w:szCs w:val="24"/>
          <w:vertAlign w:val="superscript"/>
        </w:rPr>
        <w:t>-1</w:t>
      </w:r>
      <w:r>
        <w:rPr>
          <w:rFonts w:ascii="Times New Roman" w:hAnsi="Times New Roman" w:eastAsia="宋体" w:cs="Times New Roman"/>
          <w:iCs/>
          <w:sz w:val="24"/>
          <w:szCs w:val="24"/>
        </w:rPr>
        <w:t>)-2.0667            (6)</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Relative humidity plays the most important role among the surface temperature, wind speed, salinity and relative humidity that affect dynamic fractionation (Clack et al., 1997). Gonfiantini (1986) describes kinetic fractionation at relative humidity (h) using the following equation:</w:t>
      </w:r>
    </w:p>
    <w:p>
      <w:pPr>
        <w:spacing w:line="360" w:lineRule="auto"/>
        <w:ind w:firstLine="480" w:firstLineChars="200"/>
        <w:rPr>
          <w:rFonts w:ascii="Times New Roman" w:hAnsi="Times New Roman" w:eastAsia="宋体" w:cs="Times New Roman"/>
          <w:sz w:val="24"/>
          <w:szCs w:val="24"/>
        </w:rPr>
      </w:pPr>
      <m:oMath>
        <m:r>
          <m:rPr/>
          <w:rPr>
            <w:rFonts w:ascii="Cambria Math" w:hAnsi="Cambria Math" w:eastAsia="宋体" w:cs="Times New Roman"/>
            <w:sz w:val="24"/>
            <w:szCs w:val="24"/>
          </w:rPr>
          <m:t xml:space="preserve">                               </m:t>
        </m:r>
        <m:sSub>
          <m:sSubPr>
            <m:ctrlPr>
              <w:rPr>
                <w:rFonts w:ascii="Cambria Math" w:hAnsi="Cambria Math" w:eastAsia="宋体" w:cs="Times New Roman"/>
                <w:iCs/>
                <w:sz w:val="24"/>
                <w:szCs w:val="24"/>
              </w:rPr>
            </m:ctrlPr>
          </m:sSubPr>
          <m:e>
            <m:r>
              <m:rPr>
                <m:sty m:val="p"/>
              </m:rPr>
              <w:rPr>
                <w:rFonts w:ascii="Cambria Math" w:hAnsi="Cambria Math" w:eastAsia="宋体" w:cs="Times New Roman"/>
                <w:sz w:val="24"/>
                <w:szCs w:val="24"/>
              </w:rPr>
              <m:t xml:space="preserve">                α</m:t>
            </m:r>
            <m:ctrlPr>
              <w:rPr>
                <w:rFonts w:ascii="Cambria Math" w:hAnsi="Cambria Math" w:eastAsia="宋体" w:cs="Times New Roman"/>
                <w:iCs/>
                <w:sz w:val="24"/>
                <w:szCs w:val="24"/>
              </w:rPr>
            </m:ctrlPr>
          </m:e>
          <m:sub>
            <m:r>
              <m:rPr>
                <m:sty m:val="p"/>
              </m:rPr>
              <w:rPr>
                <w:rFonts w:ascii="Cambria Math" w:hAnsi="Cambria Math" w:eastAsia="宋体" w:cs="Times New Roman"/>
                <w:sz w:val="24"/>
                <w:szCs w:val="24"/>
              </w:rPr>
              <m:t>2</m:t>
            </m:r>
            <m:ctrlPr>
              <w:rPr>
                <w:rFonts w:ascii="Cambria Math" w:hAnsi="Cambria Math" w:eastAsia="宋体" w:cs="Times New Roman"/>
                <w:iCs/>
                <w:sz w:val="24"/>
                <w:szCs w:val="24"/>
              </w:rPr>
            </m:ctrlPr>
          </m:sub>
        </m:sSub>
        <m:r>
          <m:rPr/>
          <w:rPr>
            <w:rFonts w:ascii="Cambria Math" w:hAnsi="Cambria Math" w:eastAsia="宋体" w:cs="Times New Roman"/>
            <w:sz w:val="24"/>
            <w:szCs w:val="24"/>
          </w:rPr>
          <m:t>=</m:t>
        </m:r>
        <m:d>
          <m:dPr>
            <m:ctrlPr>
              <w:rPr>
                <w:rFonts w:ascii="Cambria Math" w:hAnsi="Cambria Math" w:eastAsia="宋体" w:cs="Times New Roman"/>
                <w:iCs/>
                <w:sz w:val="24"/>
                <w:szCs w:val="24"/>
              </w:rPr>
            </m:ctrlPr>
          </m:dPr>
          <m:e>
            <m:r>
              <m:rPr>
                <m:sty m:val="p"/>
              </m:rPr>
              <w:rPr>
                <w:rFonts w:ascii="Cambria Math" w:hAnsi="Cambria Math" w:eastAsia="宋体" w:cs="Times New Roman"/>
                <w:sz w:val="24"/>
                <w:szCs w:val="24"/>
              </w:rPr>
              <m:t>h−1</m:t>
            </m:r>
            <m:ctrlPr>
              <w:rPr>
                <w:rFonts w:ascii="Cambria Math" w:hAnsi="Cambria Math" w:eastAsia="宋体" w:cs="Times New Roman"/>
                <w:iCs/>
                <w:sz w:val="24"/>
                <w:szCs w:val="24"/>
              </w:rPr>
            </m:ctrlPr>
          </m:e>
        </m:d>
        <m:r>
          <m:rPr/>
          <w:rPr>
            <w:rFonts w:ascii="Cambria Math" w:hAnsi="Cambria Math" w:eastAsia="宋体" w:cs="Times New Roman"/>
            <w:sz w:val="24"/>
            <w:szCs w:val="24"/>
          </w:rPr>
          <m:t>∗</m:t>
        </m:r>
        <m:r>
          <m:rPr>
            <m:sty m:val="p"/>
          </m:rPr>
          <w:rPr>
            <w:rFonts w:ascii="Cambria Math" w:hAnsi="Cambria Math" w:eastAsia="宋体" w:cs="Times New Roman"/>
            <w:sz w:val="24"/>
            <w:szCs w:val="24"/>
          </w:rPr>
          <m:t>14.2</m:t>
        </m:r>
        <m:r>
          <m:rPr/>
          <w:rPr>
            <w:rFonts w:ascii="Cambria Math" w:hAnsi="Cambria Math" w:eastAsia="宋体" w:cs="Times New Roman"/>
            <w:sz w:val="24"/>
            <w:szCs w:val="24"/>
          </w:rPr>
          <m:t>‰</m:t>
        </m:r>
      </m:oMath>
      <w:r>
        <w:rPr>
          <w:rFonts w:ascii="Times New Roman" w:hAnsi="Times New Roman" w:eastAsia="宋体" w:cs="Times New Roman"/>
          <w:i/>
          <w:iCs/>
          <w:sz w:val="24"/>
          <w:szCs w:val="24"/>
        </w:rPr>
        <w:t xml:space="preserve">                       </w:t>
      </w:r>
      <w:r>
        <w:rPr>
          <w:rFonts w:ascii="Times New Roman" w:hAnsi="Times New Roman" w:eastAsia="宋体" w:cs="Times New Roman"/>
          <w:sz w:val="24"/>
          <w:szCs w:val="24"/>
        </w:rPr>
        <w:t>(7)</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Infiltration or transpiration may not strongly affect the isotopic composition of water, so its effects are not considered for the time being (Dogramaci et al., 2015).</w:t>
      </w:r>
    </w:p>
    <w:p>
      <w:pPr>
        <w:numPr>
          <w:ilvl w:val="0"/>
          <w:numId w:val="1"/>
        </w:numPr>
        <w:spacing w:line="360" w:lineRule="auto"/>
        <w:rPr>
          <w:rFonts w:ascii="Times New Roman" w:hAnsi="Times New Roman" w:cs="Times New Roman"/>
          <w:b/>
          <w:bCs/>
          <w:sz w:val="28"/>
          <w:szCs w:val="28"/>
        </w:rPr>
      </w:pPr>
      <w:r>
        <w:rPr>
          <w:rFonts w:ascii="Times New Roman" w:hAnsi="Times New Roman" w:cs="Times New Roman"/>
          <w:b/>
          <w:bCs/>
          <w:sz w:val="28"/>
          <w:szCs w:val="28"/>
        </w:rPr>
        <w:t>Results and analysis</w:t>
      </w:r>
    </w:p>
    <w:p>
      <w:pPr>
        <w:numPr>
          <w:ilvl w:val="1"/>
          <w:numId w:val="1"/>
        </w:numPr>
        <w:spacing w:line="360" w:lineRule="auto"/>
        <w:rPr>
          <w:rFonts w:ascii="Times New Roman" w:hAnsi="Times New Roman" w:cs="Times New Roman"/>
          <w:sz w:val="28"/>
          <w:szCs w:val="28"/>
        </w:rPr>
      </w:pPr>
      <w:r>
        <w:rPr>
          <w:rFonts w:ascii="Times New Roman" w:hAnsi="Times New Roman" w:cs="Times New Roman"/>
          <w:sz w:val="28"/>
          <w:szCs w:val="28"/>
        </w:rPr>
        <w:t>Stable hydrogen and oxygen isotope composition of Shiyang River water</w:t>
      </w:r>
    </w:p>
    <w:p>
      <w:pPr>
        <w:wordWrap w:val="0"/>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The minimum and maximum δ</w:t>
      </w:r>
      <w:r>
        <w:rPr>
          <w:rFonts w:ascii="Times New Roman" w:hAnsi="Times New Roman" w:cs="Times New Roman"/>
          <w:sz w:val="24"/>
          <w:szCs w:val="24"/>
          <w:vertAlign w:val="superscript"/>
        </w:rPr>
        <w:t>18</w:t>
      </w:r>
      <w:r>
        <w:rPr>
          <w:rFonts w:ascii="Times New Roman" w:hAnsi="Times New Roman" w:cs="Times New Roman"/>
          <w:sz w:val="24"/>
          <w:szCs w:val="24"/>
        </w:rPr>
        <w:t>O values of stable hydrogen and oxygen isotopes in Shiyang River water are -9.80‰ and -8.41‰, and the fluctuation range is small; the minimum and maximum δD values are -68.61‰ and -58.93‰,and the fluctuation range is large (Table 1). The average values of δD and δ</w:t>
      </w:r>
      <w:r>
        <w:rPr>
          <w:rFonts w:ascii="Times New Roman" w:hAnsi="Times New Roman" w:cs="Times New Roman"/>
          <w:sz w:val="24"/>
          <w:szCs w:val="24"/>
          <w:vertAlign w:val="superscript"/>
        </w:rPr>
        <w:t>18</w:t>
      </w:r>
      <w:r>
        <w:rPr>
          <w:rFonts w:ascii="Times New Roman" w:hAnsi="Times New Roman" w:cs="Times New Roman"/>
          <w:sz w:val="24"/>
          <w:szCs w:val="24"/>
        </w:rPr>
        <w:t>O are -65.20‰ and -9.28‰, and the coefficient of variation is 0.31‰ and 2.11‰, respectively. The coefficient of variation of δD is larger than that of δ</w:t>
      </w:r>
      <w:r>
        <w:rPr>
          <w:rFonts w:ascii="Times New Roman" w:hAnsi="Times New Roman" w:cs="Times New Roman"/>
          <w:sz w:val="24"/>
          <w:szCs w:val="24"/>
          <w:vertAlign w:val="superscript"/>
        </w:rPr>
        <w:t>18</w:t>
      </w:r>
      <w:r>
        <w:rPr>
          <w:rFonts w:ascii="Times New Roman" w:hAnsi="Times New Roman" w:cs="Times New Roman"/>
          <w:sz w:val="24"/>
          <w:szCs w:val="24"/>
        </w:rPr>
        <w:t>O, and the degree of dispersion of δ</w:t>
      </w:r>
      <w:r>
        <w:rPr>
          <w:rFonts w:ascii="Times New Roman" w:hAnsi="Times New Roman" w:cs="Times New Roman"/>
          <w:sz w:val="24"/>
          <w:szCs w:val="24"/>
          <w:vertAlign w:val="superscript"/>
        </w:rPr>
        <w:t>18</w:t>
      </w:r>
      <w:r>
        <w:rPr>
          <w:rFonts w:ascii="Times New Roman" w:hAnsi="Times New Roman" w:cs="Times New Roman"/>
          <w:sz w:val="24"/>
          <w:szCs w:val="24"/>
        </w:rPr>
        <w:t>O is lower than that of δD, and the change is stable. According to the δD and δ</w:t>
      </w:r>
      <w:r>
        <w:rPr>
          <w:rFonts w:ascii="Times New Roman" w:hAnsi="Times New Roman" w:cs="Times New Roman"/>
          <w:sz w:val="24"/>
          <w:szCs w:val="24"/>
          <w:vertAlign w:val="superscript"/>
        </w:rPr>
        <w:t>18</w:t>
      </w:r>
      <w:r>
        <w:rPr>
          <w:rFonts w:ascii="Times New Roman" w:hAnsi="Times New Roman" w:cs="Times New Roman"/>
          <w:sz w:val="24"/>
          <w:szCs w:val="24"/>
        </w:rPr>
        <w:t>O values in the river water body of Shiyang River Basin, the equation δD= 6.74δ</w:t>
      </w:r>
      <w:r>
        <w:rPr>
          <w:rFonts w:ascii="Times New Roman" w:hAnsi="Times New Roman" w:cs="Times New Roman"/>
          <w:sz w:val="24"/>
          <w:szCs w:val="24"/>
          <w:vertAlign w:val="superscript"/>
        </w:rPr>
        <w:t>18</w:t>
      </w:r>
      <w:r>
        <w:rPr>
          <w:rFonts w:ascii="Times New Roman" w:hAnsi="Times New Roman" w:cs="Times New Roman"/>
          <w:sz w:val="24"/>
          <w:szCs w:val="24"/>
        </w:rPr>
        <w:t>O-2.66 (R</w:t>
      </w:r>
      <w:r>
        <w:rPr>
          <w:rFonts w:ascii="Times New Roman" w:hAnsi="Times New Roman" w:cs="Times New Roman"/>
          <w:sz w:val="24"/>
          <w:szCs w:val="24"/>
          <w:vertAlign w:val="superscript"/>
        </w:rPr>
        <w:t>2</w:t>
      </w:r>
      <w:r>
        <w:rPr>
          <w:rFonts w:ascii="Times New Roman" w:hAnsi="Times New Roman" w:cs="Times New Roman"/>
          <w:sz w:val="24"/>
          <w:szCs w:val="24"/>
        </w:rPr>
        <w:t xml:space="preserve">=0.93) from the whole basin to the river line can be obtained (FIG. </w:t>
      </w:r>
      <w:r>
        <w:rPr>
          <w:rFonts w:hint="eastAsia" w:ascii="Times New Roman" w:hAnsi="Times New Roman" w:cs="Times New Roman"/>
          <w:sz w:val="24"/>
          <w:szCs w:val="24"/>
          <w:lang w:val="en-US" w:eastAsia="zh-CN"/>
        </w:rPr>
        <w:t>2</w:t>
      </w:r>
      <w:r>
        <w:rPr>
          <w:rFonts w:ascii="Times New Roman" w:hAnsi="Times New Roman" w:cs="Times New Roman"/>
          <w:sz w:val="24"/>
          <w:szCs w:val="24"/>
        </w:rPr>
        <w:t>). The equation shows a significant linear correlation, and its slope and intercept are smaller than that of the global atmospheric water line reported by Craig (GMWL, δD=8δ</w:t>
      </w:r>
      <w:r>
        <w:rPr>
          <w:rFonts w:ascii="Times New Roman" w:hAnsi="Times New Roman" w:cs="Times New Roman"/>
          <w:sz w:val="24"/>
          <w:szCs w:val="24"/>
          <w:vertAlign w:val="superscript"/>
        </w:rPr>
        <w:t>18</w:t>
      </w:r>
      <w:r>
        <w:rPr>
          <w:rFonts w:ascii="Times New Roman" w:hAnsi="Times New Roman" w:cs="Times New Roman"/>
          <w:sz w:val="24"/>
          <w:szCs w:val="24"/>
        </w:rPr>
        <w:t>O+10). It can be seen that the slope and intercept of the river line obviously deviate from the atmospheric precipitation line and are located at the lower right of it, because surface water is mainly affected by precipitation, and after being recharged by atmospheric precipitation, it undergoes evaporative fractionation, which leads to the accumulation of stable isotopes in surface water. The equation of atmospheric precipitation line of Shiyang River proposed by Zhu (2021) δD=7.65δ</w:t>
      </w:r>
      <w:r>
        <w:rPr>
          <w:rFonts w:ascii="Times New Roman" w:hAnsi="Times New Roman" w:cs="Times New Roman"/>
          <w:sz w:val="24"/>
          <w:szCs w:val="24"/>
          <w:vertAlign w:val="superscript"/>
        </w:rPr>
        <w:t>18</w:t>
      </w:r>
      <w:r>
        <w:rPr>
          <w:rFonts w:ascii="Times New Roman" w:hAnsi="Times New Roman" w:cs="Times New Roman"/>
          <w:sz w:val="24"/>
          <w:szCs w:val="24"/>
        </w:rPr>
        <w:t>O+9.75(R</w:t>
      </w:r>
      <w:r>
        <w:rPr>
          <w:rFonts w:ascii="Times New Roman" w:hAnsi="Times New Roman" w:cs="Times New Roman"/>
          <w:sz w:val="24"/>
          <w:szCs w:val="24"/>
          <w:vertAlign w:val="superscript"/>
        </w:rPr>
        <w:t>2</w:t>
      </w:r>
      <w:r>
        <w:rPr>
          <w:rFonts w:ascii="Times New Roman" w:hAnsi="Times New Roman" w:cs="Times New Roman"/>
          <w:sz w:val="24"/>
          <w:szCs w:val="24"/>
        </w:rPr>
        <w:t>=0.94).</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0" distR="0">
            <wp:extent cx="5274310" cy="4036695"/>
            <wp:effectExtent l="0" t="0" r="13970" b="1905"/>
            <wp:docPr id="5" name="图片 5" descr="D:\石羊河全流域采样\图例图表\自作图\图片\河水线图.jpg河水线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D:\石羊河全流域采样\图例图表\自作图\图片\河水线图.jpg河水线图"/>
                    <pic:cNvPicPr>
                      <a:picLocks noChangeAspect="1"/>
                    </pic:cNvPicPr>
                  </pic:nvPicPr>
                  <pic:blipFill>
                    <a:blip r:embed="rId5"/>
                    <a:srcRect/>
                    <a:stretch>
                      <a:fillRect/>
                    </a:stretch>
                  </pic:blipFill>
                  <pic:spPr>
                    <a:xfrm>
                      <a:off x="0" y="0"/>
                      <a:ext cx="5274310" cy="4036695"/>
                    </a:xfrm>
                    <a:prstGeom prst="rect">
                      <a:avLst/>
                    </a:prstGeom>
                  </pic:spPr>
                </pic:pic>
              </a:graphicData>
            </a:graphic>
          </wp:inline>
        </w:drawing>
      </w:r>
    </w:p>
    <w:p>
      <w:pPr>
        <w:spacing w:line="360" w:lineRule="auto"/>
        <w:ind w:firstLine="420" w:firstLineChars="200"/>
        <w:jc w:val="center"/>
        <w:rPr>
          <w:rFonts w:ascii="Times New Roman" w:hAnsi="Times New Roman" w:eastAsia="宋体" w:cs="Times New Roman"/>
          <w:szCs w:val="21"/>
        </w:rPr>
      </w:pPr>
      <w:r>
        <w:rPr>
          <w:rFonts w:ascii="Times New Roman" w:hAnsi="Times New Roman" w:eastAsia="宋体" w:cs="Times New Roman"/>
          <w:szCs w:val="21"/>
        </w:rPr>
        <w:t>Figure 2 Relationship between river water and precipitation δD and δ</w:t>
      </w:r>
      <w:r>
        <w:rPr>
          <w:rFonts w:ascii="Times New Roman" w:hAnsi="Times New Roman" w:eastAsia="宋体" w:cs="Times New Roman"/>
          <w:szCs w:val="21"/>
          <w:vertAlign w:val="superscript"/>
        </w:rPr>
        <w:t>18</w:t>
      </w:r>
      <w:r>
        <w:rPr>
          <w:rFonts w:ascii="Times New Roman" w:hAnsi="Times New Roman" w:eastAsia="宋体" w:cs="Times New Roman"/>
          <w:szCs w:val="21"/>
        </w:rPr>
        <w:t>O in Shiyang River Basin</w:t>
      </w:r>
    </w:p>
    <w:p>
      <w:pPr>
        <w:spacing w:line="360" w:lineRule="auto"/>
        <w:ind w:firstLine="480" w:firstLineChars="200"/>
        <w:rPr>
          <w:rFonts w:ascii="Times New Roman" w:hAnsi="Times New Roman" w:eastAsia="宋体" w:cs="Times New Roman"/>
          <w:color w:val="C00000"/>
          <w:sz w:val="24"/>
          <w:szCs w:val="24"/>
        </w:rPr>
      </w:pPr>
      <w:r>
        <w:rPr>
          <w:rFonts w:ascii="Times New Roman" w:hAnsi="Times New Roman" w:eastAsia="宋体" w:cs="Times New Roman"/>
          <w:color w:val="C00000"/>
          <w:sz w:val="24"/>
          <w:szCs w:val="24"/>
        </w:rPr>
        <w:drawing>
          <wp:inline distT="0" distB="0" distL="0" distR="0">
            <wp:extent cx="5273040" cy="3684270"/>
            <wp:effectExtent l="0" t="0" r="0" b="3810"/>
            <wp:docPr id="2" name="图片 2" descr="D:\石羊河全流域采样\图例图表\自作图\图片\干支流A.jpg干支流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石羊河全流域采样\图例图表\自作图\图片\干支流A.jpg干支流A"/>
                    <pic:cNvPicPr>
                      <a:picLocks noChangeAspect="1"/>
                    </pic:cNvPicPr>
                  </pic:nvPicPr>
                  <pic:blipFill>
                    <a:blip r:embed="rId6"/>
                    <a:srcRect/>
                    <a:stretch>
                      <a:fillRect/>
                    </a:stretch>
                  </pic:blipFill>
                  <pic:spPr>
                    <a:xfrm>
                      <a:off x="0" y="0"/>
                      <a:ext cx="5273040" cy="3684270"/>
                    </a:xfrm>
                    <a:prstGeom prst="rect">
                      <a:avLst/>
                    </a:prstGeom>
                  </pic:spPr>
                </pic:pic>
              </a:graphicData>
            </a:graphic>
          </wp:inline>
        </w:drawing>
      </w:r>
    </w:p>
    <w:p>
      <w:pPr>
        <w:spacing w:line="360" w:lineRule="auto"/>
        <w:ind w:firstLine="420" w:firstLineChars="200"/>
        <w:jc w:val="center"/>
        <w:rPr>
          <w:rFonts w:ascii="Times New Roman" w:hAnsi="Times New Roman" w:eastAsia="宋体" w:cs="Times New Roman"/>
          <w:szCs w:val="21"/>
        </w:rPr>
      </w:pPr>
      <w:r>
        <w:rPr>
          <w:rFonts w:ascii="Times New Roman" w:hAnsi="Times New Roman" w:eastAsia="宋体" w:cs="Times New Roman"/>
          <w:szCs w:val="21"/>
        </w:rPr>
        <w:t>Figure 3 The relationship between δD and δ</w:t>
      </w:r>
      <w:r>
        <w:rPr>
          <w:rFonts w:ascii="Times New Roman" w:hAnsi="Times New Roman" w:eastAsia="宋体" w:cs="Times New Roman"/>
          <w:szCs w:val="21"/>
          <w:vertAlign w:val="superscript"/>
        </w:rPr>
        <w:t>18</w:t>
      </w:r>
      <w:r>
        <w:rPr>
          <w:rFonts w:ascii="Times New Roman" w:hAnsi="Times New Roman" w:eastAsia="宋体" w:cs="Times New Roman"/>
          <w:szCs w:val="21"/>
        </w:rPr>
        <w:t>O values of main stream river and tributary river</w:t>
      </w:r>
    </w:p>
    <w:p>
      <w:pPr>
        <w:spacing w:line="360" w:lineRule="auto"/>
        <w:ind w:firstLine="420" w:firstLineChars="200"/>
        <w:jc w:val="center"/>
        <w:rPr>
          <w:rFonts w:ascii="Times New Roman" w:hAnsi="Times New Roman" w:eastAsia="宋体" w:cs="Times New Roman"/>
          <w:color w:val="C00000"/>
          <w:sz w:val="24"/>
          <w:szCs w:val="24"/>
        </w:rPr>
      </w:pPr>
      <w:r>
        <w:rPr>
          <w:rFonts w:ascii="Times New Roman" w:hAnsi="Times New Roman" w:eastAsia="宋体" w:cs="Times New Roman"/>
          <w:szCs w:val="21"/>
        </w:rPr>
        <w:t>Table 1 Isotopic compositions of δ</w:t>
      </w:r>
      <w:r>
        <w:rPr>
          <w:rFonts w:ascii="Times New Roman" w:hAnsi="Times New Roman" w:eastAsia="宋体" w:cs="Times New Roman"/>
          <w:szCs w:val="21"/>
          <w:vertAlign w:val="superscript"/>
        </w:rPr>
        <w:t>18</w:t>
      </w:r>
      <w:r>
        <w:rPr>
          <w:rFonts w:ascii="Times New Roman" w:hAnsi="Times New Roman" w:eastAsia="宋体" w:cs="Times New Roman"/>
          <w:szCs w:val="21"/>
        </w:rPr>
        <w:t>O and δ</w:t>
      </w:r>
      <w:r>
        <w:rPr>
          <w:rFonts w:hint="eastAsia" w:ascii="Times New Roman" w:hAnsi="Times New Roman" w:eastAsia="宋体" w:cs="Times New Roman"/>
          <w:szCs w:val="21"/>
        </w:rPr>
        <w:t>D</w:t>
      </w:r>
      <w:r>
        <w:rPr>
          <w:rFonts w:ascii="Times New Roman" w:hAnsi="Times New Roman" w:eastAsia="宋体" w:cs="Times New Roman"/>
          <w:szCs w:val="21"/>
        </w:rPr>
        <w:t xml:space="preserve"> in river water of main tributaries</w:t>
      </w:r>
    </w:p>
    <w:tbl>
      <w:tblPr>
        <w:tblStyle w:val="6"/>
        <w:tblW w:w="0" w:type="auto"/>
        <w:jc w:val="center"/>
        <w:tblBorders>
          <w:top w:val="single" w:color="auto" w:sz="4" w:space="0"/>
          <w:left w:val="none" w:color="auto" w:sz="0" w:space="0"/>
          <w:bottom w:val="single" w:color="auto" w:sz="4"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
      <w:tblGrid>
        <w:gridCol w:w="1022"/>
        <w:gridCol w:w="890"/>
        <w:gridCol w:w="980"/>
        <w:gridCol w:w="1010"/>
        <w:gridCol w:w="661"/>
        <w:gridCol w:w="943"/>
        <w:gridCol w:w="1067"/>
        <w:gridCol w:w="1279"/>
      </w:tblGrid>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jc w:val="center"/>
        </w:trPr>
        <w:tc>
          <w:tcPr>
            <w:tcW w:w="1022" w:type="dxa"/>
            <w:vMerge w:val="restart"/>
          </w:tcPr>
          <w:p>
            <w:pPr>
              <w:spacing w:line="360" w:lineRule="auto"/>
              <w:jc w:val="center"/>
              <w:rPr>
                <w:rFonts w:ascii="Times New Roman" w:hAnsi="Times New Roman" w:eastAsia="宋体" w:cs="Times New Roman"/>
                <w:sz w:val="18"/>
                <w:szCs w:val="18"/>
              </w:rPr>
            </w:pPr>
          </w:p>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Rivers</w:t>
            </w:r>
          </w:p>
        </w:tc>
        <w:tc>
          <w:tcPr>
            <w:tcW w:w="890" w:type="dxa"/>
            <w:vMerge w:val="restart"/>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Number of samples</w:t>
            </w:r>
          </w:p>
        </w:tc>
        <w:tc>
          <w:tcPr>
            <w:tcW w:w="2651" w:type="dxa"/>
            <w:gridSpan w:val="3"/>
          </w:tcPr>
          <w:p>
            <w:pPr>
              <w:spacing w:line="360" w:lineRule="auto"/>
              <w:jc w:val="center"/>
              <w:rPr>
                <w:rFonts w:ascii="Times New Roman" w:hAnsi="Times New Roman" w:eastAsia="宋体" w:cs="Times New Roman"/>
                <w:sz w:val="18"/>
                <w:szCs w:val="18"/>
              </w:rPr>
            </w:pPr>
            <w:bookmarkStart w:id="5" w:name="_Hlk119776232"/>
            <w:r>
              <w:rPr>
                <w:rFonts w:ascii="Times New Roman" w:hAnsi="Times New Roman" w:eastAsia="宋体" w:cs="Times New Roman"/>
                <w:sz w:val="18"/>
                <w:szCs w:val="18"/>
              </w:rPr>
              <w:t>δ</w:t>
            </w:r>
            <w:r>
              <w:rPr>
                <w:rFonts w:ascii="Times New Roman" w:hAnsi="Times New Roman" w:eastAsia="宋体" w:cs="Times New Roman"/>
                <w:sz w:val="18"/>
                <w:szCs w:val="18"/>
                <w:vertAlign w:val="superscript"/>
              </w:rPr>
              <w:t>18</w:t>
            </w:r>
            <w:r>
              <w:rPr>
                <w:rFonts w:ascii="Times New Roman" w:hAnsi="Times New Roman" w:eastAsia="宋体" w:cs="Times New Roman"/>
                <w:sz w:val="18"/>
                <w:szCs w:val="18"/>
              </w:rPr>
              <w:t>O</w:t>
            </w:r>
            <w:bookmarkEnd w:id="5"/>
          </w:p>
        </w:tc>
        <w:tc>
          <w:tcPr>
            <w:tcW w:w="3289" w:type="dxa"/>
            <w:gridSpan w:val="3"/>
          </w:tcPr>
          <w:p>
            <w:pPr>
              <w:spacing w:line="360" w:lineRule="auto"/>
              <w:jc w:val="center"/>
              <w:rPr>
                <w:rFonts w:ascii="Times New Roman" w:hAnsi="Times New Roman" w:eastAsia="宋体" w:cs="Times New Roman"/>
                <w:sz w:val="18"/>
                <w:szCs w:val="18"/>
              </w:rPr>
            </w:pPr>
            <w:bookmarkStart w:id="6" w:name="_Hlk119776214"/>
            <w:r>
              <w:rPr>
                <w:rFonts w:ascii="Times New Roman" w:hAnsi="Times New Roman" w:eastAsia="宋体" w:cs="Times New Roman"/>
                <w:sz w:val="18"/>
                <w:szCs w:val="18"/>
              </w:rPr>
              <w:t>δ</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H</w:t>
            </w:r>
            <w:bookmarkEnd w:id="6"/>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586" w:hRule="atLeast"/>
          <w:jc w:val="center"/>
        </w:trPr>
        <w:tc>
          <w:tcPr>
            <w:tcW w:w="1022" w:type="dxa"/>
            <w:vMerge w:val="continue"/>
            <w:tcBorders>
              <w:bottom w:val="single" w:color="auto" w:sz="4" w:space="0"/>
            </w:tcBorders>
          </w:tcPr>
          <w:p>
            <w:pPr>
              <w:spacing w:line="360" w:lineRule="auto"/>
              <w:jc w:val="center"/>
              <w:rPr>
                <w:rFonts w:ascii="Times New Roman" w:hAnsi="Times New Roman" w:eastAsia="宋体" w:cs="Times New Roman"/>
                <w:sz w:val="18"/>
                <w:szCs w:val="18"/>
              </w:rPr>
            </w:pPr>
          </w:p>
        </w:tc>
        <w:tc>
          <w:tcPr>
            <w:tcW w:w="890" w:type="dxa"/>
            <w:vMerge w:val="continue"/>
            <w:tcBorders>
              <w:bottom w:val="single" w:color="auto" w:sz="4" w:space="0"/>
            </w:tcBorders>
          </w:tcPr>
          <w:p>
            <w:pPr>
              <w:spacing w:line="360" w:lineRule="auto"/>
              <w:jc w:val="center"/>
              <w:rPr>
                <w:rFonts w:ascii="Times New Roman" w:hAnsi="Times New Roman" w:eastAsia="宋体" w:cs="Times New Roman"/>
                <w:sz w:val="18"/>
                <w:szCs w:val="18"/>
              </w:rPr>
            </w:pPr>
          </w:p>
        </w:tc>
        <w:tc>
          <w:tcPr>
            <w:tcW w:w="980" w:type="dxa"/>
            <w:tcBorders>
              <w:bottom w:val="single" w:color="auto" w:sz="4" w:space="0"/>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Minimum value</w:t>
            </w:r>
          </w:p>
        </w:tc>
        <w:tc>
          <w:tcPr>
            <w:tcW w:w="1010" w:type="dxa"/>
            <w:tcBorders>
              <w:bottom w:val="single" w:color="auto" w:sz="4" w:space="0"/>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Maximum value</w:t>
            </w:r>
          </w:p>
        </w:tc>
        <w:tc>
          <w:tcPr>
            <w:tcW w:w="661" w:type="dxa"/>
            <w:tcBorders>
              <w:bottom w:val="single" w:color="auto" w:sz="4" w:space="0"/>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Mean value</w:t>
            </w:r>
          </w:p>
        </w:tc>
        <w:tc>
          <w:tcPr>
            <w:tcW w:w="943" w:type="dxa"/>
            <w:tcBorders>
              <w:bottom w:val="single" w:color="auto" w:sz="4" w:space="0"/>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Minimum value</w:t>
            </w:r>
          </w:p>
        </w:tc>
        <w:tc>
          <w:tcPr>
            <w:tcW w:w="1067" w:type="dxa"/>
            <w:tcBorders>
              <w:bottom w:val="single" w:color="auto" w:sz="4" w:space="0"/>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Maximum value</w:t>
            </w:r>
          </w:p>
        </w:tc>
        <w:tc>
          <w:tcPr>
            <w:tcW w:w="1279" w:type="dxa"/>
            <w:tcBorders>
              <w:bottom w:val="single" w:color="auto" w:sz="4" w:space="0"/>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Mean value</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jc w:val="center"/>
        </w:trPr>
        <w:tc>
          <w:tcPr>
            <w:tcW w:w="1022" w:type="dxa"/>
            <w:tcBorders>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Xida River</w:t>
            </w:r>
          </w:p>
        </w:tc>
        <w:tc>
          <w:tcPr>
            <w:tcW w:w="890" w:type="dxa"/>
            <w:tcBorders>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8</w:t>
            </w:r>
          </w:p>
        </w:tc>
        <w:tc>
          <w:tcPr>
            <w:tcW w:w="980" w:type="dxa"/>
            <w:tcBorders>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-9.53</w:t>
            </w:r>
          </w:p>
        </w:tc>
        <w:tc>
          <w:tcPr>
            <w:tcW w:w="1010" w:type="dxa"/>
            <w:tcBorders>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-9.07</w:t>
            </w:r>
          </w:p>
        </w:tc>
        <w:tc>
          <w:tcPr>
            <w:tcW w:w="661" w:type="dxa"/>
            <w:tcBorders>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-9.31</w:t>
            </w:r>
          </w:p>
        </w:tc>
        <w:tc>
          <w:tcPr>
            <w:tcW w:w="943" w:type="dxa"/>
            <w:tcBorders>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-67.00</w:t>
            </w:r>
          </w:p>
        </w:tc>
        <w:tc>
          <w:tcPr>
            <w:tcW w:w="1067" w:type="dxa"/>
            <w:tcBorders>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-63.49</w:t>
            </w:r>
          </w:p>
        </w:tc>
        <w:tc>
          <w:tcPr>
            <w:tcW w:w="1279" w:type="dxa"/>
            <w:tcBorders>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-65.48</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826" w:hRule="atLeast"/>
          <w:jc w:val="center"/>
        </w:trPr>
        <w:tc>
          <w:tcPr>
            <w:tcW w:w="1022"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Dongda</w:t>
            </w:r>
          </w:p>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River</w:t>
            </w:r>
          </w:p>
        </w:tc>
        <w:tc>
          <w:tcPr>
            <w:tcW w:w="89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7</w:t>
            </w:r>
          </w:p>
        </w:tc>
        <w:tc>
          <w:tcPr>
            <w:tcW w:w="98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-9.80</w:t>
            </w:r>
          </w:p>
        </w:tc>
        <w:tc>
          <w:tcPr>
            <w:tcW w:w="101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-9.25</w:t>
            </w:r>
          </w:p>
        </w:tc>
        <w:tc>
          <w:tcPr>
            <w:tcW w:w="661"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-9.59</w:t>
            </w:r>
          </w:p>
        </w:tc>
        <w:tc>
          <w:tcPr>
            <w:tcW w:w="943" w:type="dxa"/>
            <w:tcBorders>
              <w:top w:val="nil"/>
              <w:bottom w:val="nil"/>
            </w:tcBorders>
          </w:tcPr>
          <w:p>
            <w:pPr>
              <w:spacing w:line="360" w:lineRule="auto"/>
              <w:jc w:val="center"/>
              <w:rPr>
                <w:rFonts w:ascii="Times New Roman" w:hAnsi="Times New Roman" w:eastAsia="宋体" w:cs="Times New Roman"/>
                <w:sz w:val="18"/>
                <w:szCs w:val="18"/>
              </w:rPr>
            </w:pPr>
            <w:bookmarkStart w:id="7" w:name="_Hlk122436142"/>
            <w:r>
              <w:rPr>
                <w:rFonts w:ascii="Times New Roman" w:hAnsi="Times New Roman" w:eastAsia="宋体" w:cs="Times New Roman"/>
                <w:sz w:val="18"/>
                <w:szCs w:val="18"/>
              </w:rPr>
              <w:t>-68.61</w:t>
            </w:r>
            <w:bookmarkEnd w:id="7"/>
          </w:p>
        </w:tc>
        <w:tc>
          <w:tcPr>
            <w:tcW w:w="1067"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-64.80</w:t>
            </w:r>
          </w:p>
        </w:tc>
        <w:tc>
          <w:tcPr>
            <w:tcW w:w="1279"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-67.19</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jc w:val="center"/>
        </w:trPr>
        <w:tc>
          <w:tcPr>
            <w:tcW w:w="1022"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Gulang River</w:t>
            </w:r>
          </w:p>
        </w:tc>
        <w:tc>
          <w:tcPr>
            <w:tcW w:w="89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7</w:t>
            </w:r>
          </w:p>
        </w:tc>
        <w:tc>
          <w:tcPr>
            <w:tcW w:w="98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-9.68</w:t>
            </w:r>
          </w:p>
        </w:tc>
        <w:tc>
          <w:tcPr>
            <w:tcW w:w="101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color w:val="000000" w:themeColor="text1"/>
                <w:sz w:val="18"/>
                <w:szCs w:val="18"/>
                <w14:textFill>
                  <w14:solidFill>
                    <w14:schemeClr w14:val="tx1"/>
                  </w14:solidFill>
                </w14:textFill>
              </w:rPr>
              <w:t>-9.37</w:t>
            </w:r>
          </w:p>
        </w:tc>
        <w:tc>
          <w:tcPr>
            <w:tcW w:w="661"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-9.48</w:t>
            </w:r>
          </w:p>
        </w:tc>
        <w:tc>
          <w:tcPr>
            <w:tcW w:w="943"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-68.41</w:t>
            </w:r>
          </w:p>
        </w:tc>
        <w:tc>
          <w:tcPr>
            <w:tcW w:w="1067"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-65.97</w:t>
            </w:r>
          </w:p>
        </w:tc>
        <w:tc>
          <w:tcPr>
            <w:tcW w:w="1279"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-66.78</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jc w:val="center"/>
        </w:trPr>
        <w:tc>
          <w:tcPr>
            <w:tcW w:w="1022"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Huangyang River</w:t>
            </w:r>
          </w:p>
        </w:tc>
        <w:tc>
          <w:tcPr>
            <w:tcW w:w="89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w:t>
            </w:r>
          </w:p>
        </w:tc>
        <w:tc>
          <w:tcPr>
            <w:tcW w:w="98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-9.50</w:t>
            </w:r>
          </w:p>
        </w:tc>
        <w:tc>
          <w:tcPr>
            <w:tcW w:w="101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-9.22</w:t>
            </w:r>
          </w:p>
        </w:tc>
        <w:tc>
          <w:tcPr>
            <w:tcW w:w="661"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-9.37</w:t>
            </w:r>
          </w:p>
        </w:tc>
        <w:tc>
          <w:tcPr>
            <w:tcW w:w="943"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-67.01</w:t>
            </w:r>
          </w:p>
        </w:tc>
        <w:tc>
          <w:tcPr>
            <w:tcW w:w="1067"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-64.91</w:t>
            </w:r>
          </w:p>
        </w:tc>
        <w:tc>
          <w:tcPr>
            <w:tcW w:w="1279"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-66.04</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jc w:val="center"/>
        </w:trPr>
        <w:tc>
          <w:tcPr>
            <w:tcW w:w="1022"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Jinta</w:t>
            </w:r>
          </w:p>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River</w:t>
            </w:r>
          </w:p>
        </w:tc>
        <w:tc>
          <w:tcPr>
            <w:tcW w:w="89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8</w:t>
            </w:r>
          </w:p>
        </w:tc>
        <w:tc>
          <w:tcPr>
            <w:tcW w:w="98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-9.24</w:t>
            </w:r>
          </w:p>
        </w:tc>
        <w:tc>
          <w:tcPr>
            <w:tcW w:w="101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-8.68</w:t>
            </w:r>
          </w:p>
        </w:tc>
        <w:tc>
          <w:tcPr>
            <w:tcW w:w="661"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-8.93</w:t>
            </w:r>
          </w:p>
        </w:tc>
        <w:tc>
          <w:tcPr>
            <w:tcW w:w="943"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-66.60</w:t>
            </w:r>
          </w:p>
        </w:tc>
        <w:tc>
          <w:tcPr>
            <w:tcW w:w="1067"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-60.68</w:t>
            </w:r>
          </w:p>
        </w:tc>
        <w:tc>
          <w:tcPr>
            <w:tcW w:w="1279"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-63.51</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jc w:val="center"/>
        </w:trPr>
        <w:tc>
          <w:tcPr>
            <w:tcW w:w="1022"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Xiying River</w:t>
            </w:r>
          </w:p>
        </w:tc>
        <w:tc>
          <w:tcPr>
            <w:tcW w:w="89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w:t>
            </w:r>
          </w:p>
        </w:tc>
        <w:tc>
          <w:tcPr>
            <w:tcW w:w="98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-9.67</w:t>
            </w:r>
          </w:p>
        </w:tc>
        <w:tc>
          <w:tcPr>
            <w:tcW w:w="101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color w:val="000000" w:themeColor="text1"/>
                <w:sz w:val="18"/>
                <w:szCs w:val="18"/>
                <w14:textFill>
                  <w14:solidFill>
                    <w14:schemeClr w14:val="tx1"/>
                  </w14:solidFill>
                </w14:textFill>
              </w:rPr>
              <w:t>-9.48</w:t>
            </w:r>
          </w:p>
        </w:tc>
        <w:tc>
          <w:tcPr>
            <w:tcW w:w="661"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-9.58</w:t>
            </w:r>
          </w:p>
        </w:tc>
        <w:tc>
          <w:tcPr>
            <w:tcW w:w="943"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-67.65</w:t>
            </w:r>
          </w:p>
        </w:tc>
        <w:tc>
          <w:tcPr>
            <w:tcW w:w="1067"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-66.36</w:t>
            </w:r>
          </w:p>
        </w:tc>
        <w:tc>
          <w:tcPr>
            <w:tcW w:w="1279"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-67.00</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jc w:val="center"/>
        </w:trPr>
        <w:tc>
          <w:tcPr>
            <w:tcW w:w="1022"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Zamu</w:t>
            </w:r>
          </w:p>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River</w:t>
            </w:r>
          </w:p>
        </w:tc>
        <w:tc>
          <w:tcPr>
            <w:tcW w:w="89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4</w:t>
            </w:r>
          </w:p>
        </w:tc>
        <w:tc>
          <w:tcPr>
            <w:tcW w:w="98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-9.00</w:t>
            </w:r>
          </w:p>
        </w:tc>
        <w:tc>
          <w:tcPr>
            <w:tcW w:w="101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-8.83</w:t>
            </w:r>
          </w:p>
        </w:tc>
        <w:tc>
          <w:tcPr>
            <w:tcW w:w="661"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-8.93</w:t>
            </w:r>
          </w:p>
        </w:tc>
        <w:tc>
          <w:tcPr>
            <w:tcW w:w="943"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-63.00</w:t>
            </w:r>
          </w:p>
        </w:tc>
        <w:tc>
          <w:tcPr>
            <w:tcW w:w="1067"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-61.07</w:t>
            </w:r>
          </w:p>
        </w:tc>
        <w:tc>
          <w:tcPr>
            <w:tcW w:w="1279"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-61.97</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jc w:val="center"/>
        </w:trPr>
        <w:tc>
          <w:tcPr>
            <w:tcW w:w="1022"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Dajing</w:t>
            </w:r>
          </w:p>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River</w:t>
            </w:r>
          </w:p>
        </w:tc>
        <w:tc>
          <w:tcPr>
            <w:tcW w:w="89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4</w:t>
            </w:r>
          </w:p>
        </w:tc>
        <w:tc>
          <w:tcPr>
            <w:tcW w:w="98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-9.40</w:t>
            </w:r>
          </w:p>
        </w:tc>
        <w:tc>
          <w:tcPr>
            <w:tcW w:w="1010"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color w:val="000000" w:themeColor="text1"/>
                <w:sz w:val="18"/>
                <w:szCs w:val="18"/>
                <w14:textFill>
                  <w14:solidFill>
                    <w14:schemeClr w14:val="tx1"/>
                  </w14:solidFill>
                </w14:textFill>
              </w:rPr>
              <w:t>-9.34</w:t>
            </w:r>
          </w:p>
        </w:tc>
        <w:tc>
          <w:tcPr>
            <w:tcW w:w="661"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-9.38</w:t>
            </w:r>
          </w:p>
        </w:tc>
        <w:tc>
          <w:tcPr>
            <w:tcW w:w="943"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-65.21</w:t>
            </w:r>
          </w:p>
        </w:tc>
        <w:tc>
          <w:tcPr>
            <w:tcW w:w="1067"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-64.97</w:t>
            </w:r>
          </w:p>
        </w:tc>
        <w:tc>
          <w:tcPr>
            <w:tcW w:w="1279" w:type="dxa"/>
            <w:tcBorders>
              <w:top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-65.10</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0" w:type="dxa"/>
            <w:left w:w="108" w:type="dxa"/>
            <w:bottom w:w="0" w:type="dxa"/>
            <w:right w:w="108" w:type="dxa"/>
          </w:tblCellMar>
        </w:tblPrEx>
        <w:trPr>
          <w:jc w:val="center"/>
        </w:trPr>
        <w:tc>
          <w:tcPr>
            <w:tcW w:w="1022" w:type="dxa"/>
            <w:tcBorders>
              <w:top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Main stream</w:t>
            </w:r>
          </w:p>
        </w:tc>
        <w:tc>
          <w:tcPr>
            <w:tcW w:w="890" w:type="dxa"/>
            <w:tcBorders>
              <w:top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7</w:t>
            </w:r>
          </w:p>
        </w:tc>
        <w:tc>
          <w:tcPr>
            <w:tcW w:w="980" w:type="dxa"/>
            <w:tcBorders>
              <w:top w:val="nil"/>
            </w:tcBorders>
          </w:tcPr>
          <w:p>
            <w:pPr>
              <w:spacing w:line="360" w:lineRule="auto"/>
              <w:jc w:val="center"/>
              <w:rPr>
                <w:rFonts w:ascii="Times New Roman" w:hAnsi="Times New Roman" w:eastAsia="宋体" w:cs="Times New Roman"/>
                <w:sz w:val="18"/>
                <w:szCs w:val="18"/>
              </w:rPr>
            </w:pPr>
            <w:bookmarkStart w:id="8" w:name="_Hlk122435124"/>
            <w:r>
              <w:rPr>
                <w:rFonts w:ascii="Times New Roman" w:hAnsi="Times New Roman" w:eastAsia="宋体" w:cs="Times New Roman"/>
                <w:sz w:val="18"/>
                <w:szCs w:val="18"/>
              </w:rPr>
              <w:t>-9.34</w:t>
            </w:r>
            <w:bookmarkEnd w:id="8"/>
          </w:p>
        </w:tc>
        <w:tc>
          <w:tcPr>
            <w:tcW w:w="1010" w:type="dxa"/>
            <w:tcBorders>
              <w:top w:val="nil"/>
            </w:tcBorders>
          </w:tcPr>
          <w:p>
            <w:pPr>
              <w:spacing w:line="360" w:lineRule="auto"/>
              <w:jc w:val="center"/>
              <w:rPr>
                <w:rFonts w:ascii="Times New Roman" w:hAnsi="Times New Roman" w:eastAsia="宋体" w:cs="Times New Roman"/>
                <w:sz w:val="18"/>
                <w:szCs w:val="18"/>
              </w:rPr>
            </w:pPr>
            <w:bookmarkStart w:id="9" w:name="_Hlk122435163"/>
            <w:r>
              <w:rPr>
                <w:rFonts w:ascii="Times New Roman" w:hAnsi="Times New Roman" w:eastAsia="宋体" w:cs="Times New Roman"/>
                <w:sz w:val="18"/>
                <w:szCs w:val="18"/>
              </w:rPr>
              <w:t>-8.41</w:t>
            </w:r>
            <w:bookmarkEnd w:id="9"/>
          </w:p>
        </w:tc>
        <w:tc>
          <w:tcPr>
            <w:tcW w:w="661" w:type="dxa"/>
            <w:tcBorders>
              <w:top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-8.93</w:t>
            </w:r>
          </w:p>
        </w:tc>
        <w:tc>
          <w:tcPr>
            <w:tcW w:w="943" w:type="dxa"/>
            <w:tcBorders>
              <w:top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-65.74</w:t>
            </w:r>
          </w:p>
        </w:tc>
        <w:tc>
          <w:tcPr>
            <w:tcW w:w="1067" w:type="dxa"/>
            <w:tcBorders>
              <w:top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-58.93</w:t>
            </w:r>
          </w:p>
        </w:tc>
        <w:tc>
          <w:tcPr>
            <w:tcW w:w="1279" w:type="dxa"/>
            <w:tcBorders>
              <w:top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-62.43</w:t>
            </w:r>
          </w:p>
        </w:tc>
      </w:tr>
    </w:tbl>
    <w:p>
      <w:pPr>
        <w:spacing w:line="360" w:lineRule="auto"/>
        <w:ind w:firstLine="480" w:firstLineChars="200"/>
        <w:rPr>
          <w:rFonts w:ascii="Times New Roman" w:hAnsi="Times New Roman" w:eastAsia="宋体" w:cs="Times New Roman"/>
          <w:color w:val="C00000"/>
          <w:sz w:val="24"/>
          <w:szCs w:val="24"/>
        </w:rPr>
      </w:pP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δ</w:t>
      </w:r>
      <w:r>
        <w:rPr>
          <w:rFonts w:ascii="Times New Roman" w:hAnsi="Times New Roman" w:cs="Times New Roman"/>
          <w:sz w:val="24"/>
          <w:szCs w:val="24"/>
          <w:vertAlign w:val="superscript"/>
        </w:rPr>
        <w:t>18</w:t>
      </w:r>
      <w:r>
        <w:rPr>
          <w:rFonts w:ascii="Times New Roman" w:hAnsi="Times New Roman" w:cs="Times New Roman"/>
          <w:sz w:val="24"/>
          <w:szCs w:val="24"/>
        </w:rPr>
        <w:t>O ranges from -9.34‰ to -8.41‰ and the average value is -8.93‰; δD ranges from -65.99‰ to -58.93‰ and the average value is -62.43‰; and δ</w:t>
      </w:r>
      <w:r>
        <w:rPr>
          <w:rFonts w:ascii="Times New Roman" w:hAnsi="Times New Roman" w:cs="Times New Roman"/>
          <w:sz w:val="24"/>
          <w:szCs w:val="24"/>
          <w:vertAlign w:val="superscript"/>
        </w:rPr>
        <w:t>18</w:t>
      </w:r>
      <w:r>
        <w:rPr>
          <w:rFonts w:ascii="Times New Roman" w:hAnsi="Times New Roman" w:cs="Times New Roman"/>
          <w:sz w:val="24"/>
          <w:szCs w:val="24"/>
        </w:rPr>
        <w:t>O ranges from -9.80‰ to -8.83‰ and the average value is -9.21‰ in tributary rivers. The value of δD ranges from -68.61‰ to -60.68‰, with an average value of -65.50‰. The δD and δ</w:t>
      </w:r>
      <w:r>
        <w:rPr>
          <w:rFonts w:ascii="Times New Roman" w:hAnsi="Times New Roman" w:cs="Times New Roman"/>
          <w:sz w:val="24"/>
          <w:szCs w:val="24"/>
          <w:vertAlign w:val="superscript"/>
        </w:rPr>
        <w:t>18</w:t>
      </w:r>
      <w:r>
        <w:rPr>
          <w:rFonts w:ascii="Times New Roman" w:hAnsi="Times New Roman" w:cs="Times New Roman"/>
          <w:sz w:val="24"/>
          <w:szCs w:val="24"/>
        </w:rPr>
        <w:t>O values of each tributary river are roughly the same, and the fluctuation range of their composition is small. Because the main stream is in the middle and lower reaches of the Shiyang River basin and the evaporation is intense, the δ</w:t>
      </w:r>
      <w:r>
        <w:rPr>
          <w:rFonts w:ascii="Times New Roman" w:hAnsi="Times New Roman" w:cs="Times New Roman"/>
          <w:sz w:val="24"/>
          <w:szCs w:val="24"/>
          <w:vertAlign w:val="superscript"/>
        </w:rPr>
        <w:t>18</w:t>
      </w:r>
      <w:r>
        <w:rPr>
          <w:rFonts w:ascii="Times New Roman" w:hAnsi="Times New Roman" w:cs="Times New Roman"/>
          <w:sz w:val="24"/>
          <w:szCs w:val="24"/>
        </w:rPr>
        <w:t>O and δD values of the main stream of the Shiyang River are smaller than those of the tributaries, and the variation range is larger than that of the tributaries. It can be seen that the hydrogen and oxygen isotopes of the main stream of Shiyang River are obviously larger, while those of the tributaries are relatively smaller. Figure 3 shows the surface water lines of the main stream and eight tributaries (main stream: δD=7.47δ</w:t>
      </w:r>
      <w:r>
        <w:rPr>
          <w:rFonts w:ascii="Times New Roman" w:hAnsi="Times New Roman" w:cs="Times New Roman"/>
          <w:sz w:val="24"/>
          <w:szCs w:val="24"/>
          <w:vertAlign w:val="superscript"/>
        </w:rPr>
        <w:t>18</w:t>
      </w:r>
      <w:r>
        <w:rPr>
          <w:rFonts w:ascii="Times New Roman" w:hAnsi="Times New Roman" w:cs="Times New Roman"/>
          <w:sz w:val="24"/>
          <w:szCs w:val="24"/>
        </w:rPr>
        <w:t>O+3.77; Tributaries: δD=6.64δ</w:t>
      </w:r>
      <w:r>
        <w:rPr>
          <w:rFonts w:ascii="Times New Roman" w:hAnsi="Times New Roman" w:cs="Times New Roman"/>
          <w:sz w:val="24"/>
          <w:szCs w:val="24"/>
          <w:vertAlign w:val="superscript"/>
        </w:rPr>
        <w:t>18</w:t>
      </w:r>
      <w:r>
        <w:rPr>
          <w:rFonts w:ascii="Times New Roman" w:hAnsi="Times New Roman" w:cs="Times New Roman"/>
          <w:sz w:val="24"/>
          <w:szCs w:val="24"/>
        </w:rPr>
        <w:t>O-3.57), among which the waterline slope of Dongdahe River is greater than that of the main stream, and the slopes of other tributaries are smaller than that of the main stream. The slope intercept of the main stream river line and the precipitation line is similar, and the deviation between the tributary river line and the precipitation line is large, which indicates that the main stream is more affected by precipitation recharge.</w:t>
      </w:r>
    </w:p>
    <w:p>
      <w:pPr>
        <w:numPr>
          <w:ilvl w:val="1"/>
          <w:numId w:val="1"/>
        </w:numPr>
        <w:spacing w:line="360" w:lineRule="auto"/>
        <w:rPr>
          <w:rFonts w:ascii="Times New Roman" w:hAnsi="Times New Roman" w:cs="Times New Roman"/>
          <w:sz w:val="28"/>
          <w:szCs w:val="28"/>
        </w:rPr>
      </w:pPr>
      <w:r>
        <w:rPr>
          <w:rFonts w:ascii="Times New Roman" w:hAnsi="Times New Roman" w:cs="Times New Roman"/>
          <w:sz w:val="28"/>
          <w:szCs w:val="28"/>
        </w:rPr>
        <w:t>Change characteristics of excess deuterium</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The average value of deuterium excess parameters in global precipitation is 10‰, and that in China is close to 8‰(according to Zheng Shuhui, 1980; Wang Dongsheng, 1993 et al. Atmospheric precipitation equation calculation).</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0" distR="0">
            <wp:extent cx="5267960" cy="4036695"/>
            <wp:effectExtent l="0" t="0" r="5080" b="1905"/>
            <wp:docPr id="11" name="图片 11" descr="D:\石羊河全流域采样\图例图表\自作图\图片\氘过量箱式图1.jpg氘过量箱式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D:\石羊河全流域采样\图例图表\自作图\图片\氘过量箱式图1.jpg氘过量箱式图1"/>
                    <pic:cNvPicPr>
                      <a:picLocks noChangeAspect="1"/>
                    </pic:cNvPicPr>
                  </pic:nvPicPr>
                  <pic:blipFill>
                    <a:blip r:embed="rId7"/>
                    <a:srcRect/>
                    <a:stretch>
                      <a:fillRect/>
                    </a:stretch>
                  </pic:blipFill>
                  <pic:spPr>
                    <a:xfrm>
                      <a:off x="0" y="0"/>
                      <a:ext cx="5267960" cy="4036695"/>
                    </a:xfrm>
                    <a:prstGeom prst="rect">
                      <a:avLst/>
                    </a:prstGeom>
                  </pic:spPr>
                </pic:pic>
              </a:graphicData>
            </a:graphic>
          </wp:inline>
        </w:drawing>
      </w:r>
    </w:p>
    <w:p>
      <w:pPr>
        <w:spacing w:line="360" w:lineRule="auto"/>
        <w:ind w:firstLine="420" w:firstLineChars="200"/>
        <w:jc w:val="center"/>
        <w:rPr>
          <w:rFonts w:ascii="Times New Roman" w:hAnsi="Times New Roman" w:eastAsia="宋体" w:cs="Times New Roman"/>
          <w:szCs w:val="21"/>
        </w:rPr>
      </w:pPr>
      <w:r>
        <w:rPr>
          <w:rFonts w:ascii="Times New Roman" w:hAnsi="Times New Roman" w:eastAsia="宋体" w:cs="Times New Roman"/>
          <w:szCs w:val="21"/>
        </w:rPr>
        <w:t>Figure 4. d-excess values of the eight tributaries and main streams, with the squares representing the percentiles of 25%-75%, the lines in the boxes representing the median (50th percentile), the required lines representing the 90th and 10th percentiles, and the dots representing the 95th and 5th percentiles</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Deuterium excess in precipitation depends on the source vapor conditions as well as the water cycle in the area, and the excess deuterium value reflects the characteristics of the source (Krishnamurthy and Bhattacharya, 1991). The variation range of excess deuterium value in river water is 6.98‰~10.17‰, and the variation range of excess deuterium value in river water of main tributaries is different, and the mean difference is not obvious (FIG. 4). The box diagram of excess deuterium value shows that the data of excess deuterium value in the main stream of Jinta River, Zaamu River and Shiyang River show a wide range, which indicates that the evaporation intensity of the sampling points of the river is very different. The variation range of Dajing River, Xiying River, Huangyang River and Gulang River is narrow, which indicates that the difference of evaporation intensity of each sampling point of the river has little change. The excess deuterium value in the global precipitation is 10‰, and the excess deuterium value in the rivers of the main tributaries is roughly around 10‰, and most of the excess deuterium value is under 10‰ (only about 5.26% of the samples have a value greater than 10‰). Among them, the excess deuterium value in the main stream and the Jinta River is relatively small, and the excess deuterium value in the Dajing River is most close to 10‰. In general, the composition of excess deuterium value from small to large is: Gan Liu, Jinta River, Huangyang River, West River, Gulang River, East River, Xiying River, Zaamu River and Dajing River. It shows that during the sampling period, there is a high level of evaporation in all the main and tributaries of Shiyang River basin, in which the main stream evaporation is the strongest, followed by the Jinta River, and the Dajing River evaporation is the least.</w:t>
      </w:r>
    </w:p>
    <w:p>
      <w:pPr>
        <w:numPr>
          <w:ilvl w:val="1"/>
          <w:numId w:val="1"/>
        </w:numPr>
        <w:spacing w:line="360" w:lineRule="auto"/>
        <w:rPr>
          <w:rFonts w:ascii="Times New Roman" w:hAnsi="Times New Roman" w:cs="Times New Roman"/>
          <w:sz w:val="28"/>
          <w:szCs w:val="28"/>
        </w:rPr>
      </w:pPr>
      <w:r>
        <w:rPr>
          <w:rFonts w:ascii="Times New Roman" w:hAnsi="Times New Roman" w:cs="Times New Roman"/>
          <w:sz w:val="28"/>
          <w:szCs w:val="28"/>
        </w:rPr>
        <w:t>Spatial distribution characteristics of isotopes along the flow path</w:t>
      </w:r>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114300" distR="114300">
            <wp:extent cx="5268595" cy="3681095"/>
            <wp:effectExtent l="0" t="0" r="4445" b="6985"/>
            <wp:docPr id="6" name="图片 6" descr="距离比例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距离比例21"/>
                    <pic:cNvPicPr>
                      <a:picLocks noChangeAspect="1"/>
                    </pic:cNvPicPr>
                  </pic:nvPicPr>
                  <pic:blipFill>
                    <a:blip r:embed="rId8"/>
                    <a:stretch>
                      <a:fillRect/>
                    </a:stretch>
                  </pic:blipFill>
                  <pic:spPr>
                    <a:xfrm>
                      <a:off x="0" y="0"/>
                      <a:ext cx="5268595" cy="3681095"/>
                    </a:xfrm>
                    <a:prstGeom prst="rect">
                      <a:avLst/>
                    </a:prstGeom>
                  </pic:spPr>
                </pic:pic>
              </a:graphicData>
            </a:graphic>
          </wp:inline>
        </w:drawing>
      </w:r>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114300" distR="114300">
            <wp:extent cx="5268595" cy="3681095"/>
            <wp:effectExtent l="0" t="0" r="4445" b="6985"/>
            <wp:docPr id="8" name="图片 8" descr="距离比例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距离比例22"/>
                    <pic:cNvPicPr>
                      <a:picLocks noChangeAspect="1"/>
                    </pic:cNvPicPr>
                  </pic:nvPicPr>
                  <pic:blipFill>
                    <a:blip r:embed="rId9"/>
                    <a:stretch>
                      <a:fillRect/>
                    </a:stretch>
                  </pic:blipFill>
                  <pic:spPr>
                    <a:xfrm>
                      <a:off x="0" y="0"/>
                      <a:ext cx="5268595" cy="3681095"/>
                    </a:xfrm>
                    <a:prstGeom prst="rect">
                      <a:avLst/>
                    </a:prstGeom>
                  </pic:spPr>
                </pic:pic>
              </a:graphicData>
            </a:graphic>
          </wp:inline>
        </w:drawing>
      </w:r>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114300" distR="114300">
            <wp:extent cx="5273675" cy="4036060"/>
            <wp:effectExtent l="0" t="0" r="14605" b="2540"/>
            <wp:docPr id="9" name="图片 9" descr="距离比例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距离比例23"/>
                    <pic:cNvPicPr>
                      <a:picLocks noChangeAspect="1"/>
                    </pic:cNvPicPr>
                  </pic:nvPicPr>
                  <pic:blipFill>
                    <a:blip r:embed="rId10"/>
                    <a:stretch>
                      <a:fillRect/>
                    </a:stretch>
                  </pic:blipFill>
                  <pic:spPr>
                    <a:xfrm>
                      <a:off x="0" y="0"/>
                      <a:ext cx="5273675" cy="4036060"/>
                    </a:xfrm>
                    <a:prstGeom prst="rect">
                      <a:avLst/>
                    </a:prstGeom>
                  </pic:spPr>
                </pic:pic>
              </a:graphicData>
            </a:graphic>
          </wp:inline>
        </w:drawing>
      </w:r>
    </w:p>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Figure</w:t>
      </w:r>
      <w:r>
        <w:rPr>
          <w:rFonts w:hint="eastAsia" w:ascii="Times New Roman" w:hAnsi="Times New Roman" w:eastAsia="宋体" w:cs="Times New Roman"/>
          <w:szCs w:val="21"/>
        </w:rPr>
        <w:t xml:space="preserve"> </w:t>
      </w:r>
      <w:r>
        <w:rPr>
          <w:rFonts w:ascii="Times New Roman" w:hAnsi="Times New Roman" w:eastAsia="宋体" w:cs="Times New Roman"/>
          <w:szCs w:val="21"/>
        </w:rPr>
        <w:t>5 (a)(b)(c) Variation of δ</w:t>
      </w:r>
      <w:r>
        <w:rPr>
          <w:rFonts w:ascii="Times New Roman" w:hAnsi="Times New Roman" w:eastAsia="宋体" w:cs="Times New Roman"/>
          <w:szCs w:val="21"/>
          <w:vertAlign w:val="superscript"/>
        </w:rPr>
        <w:t>18</w:t>
      </w:r>
      <w:r>
        <w:rPr>
          <w:rFonts w:ascii="Times New Roman" w:hAnsi="Times New Roman" w:eastAsia="宋体" w:cs="Times New Roman"/>
          <w:szCs w:val="21"/>
        </w:rPr>
        <w:t>O and δD values along the distance of the main tributaries of Shiyang River Basin (horizontal axis distance represents the distance between each sampling point and the westernmost sampling point on the flow path of each river)</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Treat each tributary as a unit and then divide the river into units based on where it was sampled. Sampling points are set from west to east along the flow path of each major river, and the westernmost sampling point is considered the starting point when calculating distances. Due to the existence of strong evaporation, the composition of stable hydrogen and oxygen isotopes in the river has significant spatial variation characteristics. The δ</w:t>
      </w:r>
      <w:r>
        <w:rPr>
          <w:rFonts w:ascii="Times New Roman" w:hAnsi="Times New Roman" w:cs="Times New Roman"/>
          <w:sz w:val="24"/>
          <w:szCs w:val="24"/>
          <w:vertAlign w:val="superscript"/>
        </w:rPr>
        <w:t>18</w:t>
      </w:r>
      <w:r>
        <w:rPr>
          <w:rFonts w:ascii="Times New Roman" w:hAnsi="Times New Roman" w:cs="Times New Roman"/>
          <w:sz w:val="24"/>
          <w:szCs w:val="24"/>
        </w:rPr>
        <w:t>O and δD values of the eight tributary rivers show the same trend along the runoff direction, and some values occasionally decrease, but generally increase with the increase of distance. The d-excess value of the tributary river along the runoff direction is opposite to the trend of δ</w:t>
      </w:r>
      <w:r>
        <w:rPr>
          <w:rFonts w:ascii="Times New Roman" w:hAnsi="Times New Roman" w:cs="Times New Roman"/>
          <w:sz w:val="24"/>
          <w:szCs w:val="24"/>
          <w:vertAlign w:val="superscript"/>
        </w:rPr>
        <w:t>18</w:t>
      </w:r>
      <w:r>
        <w:rPr>
          <w:rFonts w:ascii="Times New Roman" w:hAnsi="Times New Roman" w:cs="Times New Roman"/>
          <w:sz w:val="24"/>
          <w:szCs w:val="24"/>
        </w:rPr>
        <w:t>O and δD values, and decreases with the increase of distance.</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The variation trend of d-excess in river water is exactly opposite to the variation trend of δ</w:t>
      </w:r>
      <w:r>
        <w:rPr>
          <w:rFonts w:ascii="Times New Roman" w:hAnsi="Times New Roman" w:cs="Times New Roman"/>
          <w:sz w:val="24"/>
          <w:szCs w:val="24"/>
          <w:vertAlign w:val="superscript"/>
        </w:rPr>
        <w:t>18</w:t>
      </w:r>
      <w:r>
        <w:rPr>
          <w:rFonts w:ascii="Times New Roman" w:hAnsi="Times New Roman" w:cs="Times New Roman"/>
          <w:sz w:val="24"/>
          <w:szCs w:val="24"/>
        </w:rPr>
        <w:t>O in river water, showing "N" and inverse "N" type changes (Figure 5(c)). The rise or fall of some values that do not follow enrichment may be related to precipitation recharge, groundwater recharge, etc.</w:t>
      </w:r>
    </w:p>
    <w:p>
      <w:pPr>
        <w:spacing w:line="360" w:lineRule="auto"/>
        <w:ind w:firstLine="480" w:firstLineChars="200"/>
        <w:rPr>
          <w:rFonts w:ascii="Times New Roman" w:hAnsi="Times New Roman" w:cs="Times New Roman"/>
          <w:sz w:val="24"/>
          <w:szCs w:val="24"/>
        </w:rPr>
      </w:pPr>
    </w:p>
    <w:p>
      <w:pPr>
        <w:spacing w:line="360" w:lineRule="auto"/>
        <w:ind w:firstLine="420" w:firstLineChars="200"/>
        <w:jc w:val="center"/>
        <w:rPr>
          <w:rFonts w:ascii="Times New Roman" w:hAnsi="Times New Roman" w:cs="Times New Roman"/>
          <w:szCs w:val="21"/>
        </w:rPr>
      </w:pPr>
      <w:r>
        <w:rPr>
          <w:rFonts w:ascii="Times New Roman" w:hAnsi="Times New Roman" w:cs="Times New Roman"/>
          <w:szCs w:val="21"/>
        </w:rPr>
        <w:t>Table 2 Correlation between δ</w:t>
      </w:r>
      <w:r>
        <w:rPr>
          <w:rFonts w:ascii="Times New Roman" w:hAnsi="Times New Roman" w:cs="Times New Roman"/>
          <w:szCs w:val="21"/>
          <w:vertAlign w:val="superscript"/>
        </w:rPr>
        <w:t>18</w:t>
      </w:r>
      <w:r>
        <w:rPr>
          <w:rFonts w:ascii="Times New Roman" w:hAnsi="Times New Roman" w:cs="Times New Roman"/>
          <w:szCs w:val="21"/>
        </w:rPr>
        <w:t>O and δ</w:t>
      </w:r>
      <w:r>
        <w:rPr>
          <w:rFonts w:hint="eastAsia" w:ascii="Times New Roman" w:hAnsi="Times New Roman" w:cs="Times New Roman"/>
          <w:szCs w:val="21"/>
        </w:rPr>
        <w:t>D</w:t>
      </w:r>
      <w:r>
        <w:rPr>
          <w:rFonts w:ascii="Times New Roman" w:hAnsi="Times New Roman" w:cs="Times New Roman"/>
          <w:szCs w:val="21"/>
        </w:rPr>
        <w:t xml:space="preserve"> and distance in main and tributary rivers</w:t>
      </w:r>
    </w:p>
    <w:tbl>
      <w:tblPr>
        <w:tblStyle w:val="6"/>
        <w:tblW w:w="8616"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1526"/>
        <w:gridCol w:w="3685"/>
        <w:gridCol w:w="3405"/>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526" w:type="dxa"/>
            <w:tcBorders>
              <w:top w:val="single" w:color="auto" w:sz="4" w:space="0"/>
              <w:left w:val="nil"/>
              <w:bottom w:val="single" w:color="auto" w:sz="4" w:space="0"/>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Rivers</w:t>
            </w:r>
          </w:p>
        </w:tc>
        <w:tc>
          <w:tcPr>
            <w:tcW w:w="3685" w:type="dxa"/>
            <w:tcBorders>
              <w:top w:val="single" w:color="auto" w:sz="4" w:space="0"/>
              <w:bottom w:val="single" w:color="auto" w:sz="4" w:space="0"/>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 xml:space="preserve">Correlation between </w:t>
            </w:r>
            <w:r>
              <w:rPr>
                <w:rFonts w:ascii="Times New Roman" w:hAnsi="Times New Roman" w:cs="Times New Roman"/>
                <w:sz w:val="18"/>
                <w:szCs w:val="18"/>
              </w:rPr>
              <w:t>δ</w:t>
            </w:r>
            <w:r>
              <w:rPr>
                <w:rFonts w:ascii="Times New Roman" w:hAnsi="Times New Roman" w:cs="Times New Roman"/>
                <w:sz w:val="18"/>
                <w:szCs w:val="18"/>
                <w:vertAlign w:val="superscript"/>
              </w:rPr>
              <w:t>18</w:t>
            </w:r>
            <w:r>
              <w:rPr>
                <w:rFonts w:ascii="Times New Roman" w:hAnsi="Times New Roman" w:cs="Times New Roman"/>
                <w:sz w:val="18"/>
                <w:szCs w:val="18"/>
              </w:rPr>
              <w:t>O</w:t>
            </w:r>
            <w:r>
              <w:rPr>
                <w:rFonts w:ascii="Times New Roman" w:hAnsi="Times New Roman" w:eastAsia="宋体" w:cs="Times New Roman"/>
                <w:sz w:val="18"/>
                <w:szCs w:val="18"/>
              </w:rPr>
              <w:t xml:space="preserve"> and distance</w:t>
            </w:r>
          </w:p>
        </w:tc>
        <w:tc>
          <w:tcPr>
            <w:tcW w:w="3405" w:type="dxa"/>
            <w:tcBorders>
              <w:top w:val="single" w:color="auto" w:sz="4" w:space="0"/>
              <w:bottom w:val="single" w:color="auto" w:sz="4" w:space="0"/>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 xml:space="preserve">Correlation between </w:t>
            </w:r>
            <w:r>
              <w:rPr>
                <w:rFonts w:ascii="Times New Roman" w:hAnsi="Times New Roman" w:cs="Times New Roman"/>
                <w:sz w:val="18"/>
                <w:szCs w:val="18"/>
              </w:rPr>
              <w:t>δD</w:t>
            </w:r>
            <w:r>
              <w:rPr>
                <w:rFonts w:ascii="Times New Roman" w:hAnsi="Times New Roman" w:eastAsia="宋体" w:cs="Times New Roman"/>
                <w:sz w:val="18"/>
                <w:szCs w:val="18"/>
              </w:rPr>
              <w:t xml:space="preserve"> and distance</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526" w:type="dxa"/>
            <w:tcBorders>
              <w:top w:val="single" w:color="auto" w:sz="4" w:space="0"/>
              <w:lef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Xida River</w:t>
            </w:r>
          </w:p>
        </w:tc>
        <w:tc>
          <w:tcPr>
            <w:tcW w:w="3685" w:type="dxa"/>
            <w:tcBorders>
              <w:top w:val="single" w:color="auto" w:sz="4" w:space="0"/>
            </w:tcBorders>
          </w:tcPr>
          <w:p>
            <w:pPr>
              <w:spacing w:line="360" w:lineRule="auto"/>
              <w:ind w:firstLine="540" w:firstLineChars="300"/>
              <w:jc w:val="center"/>
              <w:rPr>
                <w:rFonts w:ascii="Times New Roman" w:hAnsi="Times New Roman" w:eastAsia="宋体" w:cs="Times New Roman"/>
                <w:sz w:val="18"/>
                <w:szCs w:val="18"/>
              </w:rPr>
            </w:pPr>
            <w:r>
              <w:rPr>
                <w:rFonts w:ascii="Times New Roman" w:hAnsi="Times New Roman" w:eastAsia="宋体" w:cs="Times New Roman"/>
                <w:sz w:val="18"/>
                <w:szCs w:val="18"/>
              </w:rPr>
              <w:t>y=0.0076x－9.4551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=0.86</w:t>
            </w:r>
          </w:p>
        </w:tc>
        <w:tc>
          <w:tcPr>
            <w:tcW w:w="3405" w:type="dxa"/>
            <w:tcBorders>
              <w:top w:val="single" w:color="auto" w:sz="4" w:space="0"/>
              <w:right w:val="nil"/>
            </w:tcBorders>
          </w:tcPr>
          <w:p>
            <w:pPr>
              <w:spacing w:line="360" w:lineRule="auto"/>
              <w:ind w:firstLine="360" w:firstLineChars="200"/>
              <w:jc w:val="center"/>
              <w:rPr>
                <w:rFonts w:ascii="Times New Roman" w:hAnsi="Times New Roman" w:eastAsia="宋体" w:cs="Times New Roman"/>
                <w:sz w:val="18"/>
                <w:szCs w:val="18"/>
              </w:rPr>
            </w:pPr>
            <w:r>
              <w:rPr>
                <w:rFonts w:ascii="Times New Roman" w:hAnsi="Times New Roman" w:eastAsia="宋体" w:cs="Times New Roman"/>
                <w:sz w:val="18"/>
                <w:szCs w:val="18"/>
              </w:rPr>
              <w:t>y=0.0662x－66.762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=0.98</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526" w:type="dxa"/>
            <w:tcBorders>
              <w:lef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Dongda River</w:t>
            </w:r>
          </w:p>
        </w:tc>
        <w:tc>
          <w:tcPr>
            <w:tcW w:w="3685" w:type="dxa"/>
          </w:tcPr>
          <w:p>
            <w:pPr>
              <w:spacing w:line="360" w:lineRule="auto"/>
              <w:ind w:firstLine="540" w:firstLineChars="300"/>
              <w:jc w:val="center"/>
              <w:rPr>
                <w:rFonts w:ascii="Times New Roman" w:hAnsi="Times New Roman" w:eastAsia="宋体" w:cs="Times New Roman"/>
                <w:sz w:val="18"/>
                <w:szCs w:val="18"/>
              </w:rPr>
            </w:pPr>
            <w:r>
              <w:rPr>
                <w:rFonts w:ascii="Times New Roman" w:hAnsi="Times New Roman" w:eastAsia="宋体" w:cs="Times New Roman"/>
                <w:sz w:val="18"/>
                <w:szCs w:val="18"/>
              </w:rPr>
              <w:t>y=0.0094x－9.8438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=0.95</w:t>
            </w:r>
          </w:p>
        </w:tc>
        <w:tc>
          <w:tcPr>
            <w:tcW w:w="3405" w:type="dxa"/>
            <w:tcBorders>
              <w:right w:val="nil"/>
            </w:tcBorders>
          </w:tcPr>
          <w:p>
            <w:pPr>
              <w:spacing w:line="360" w:lineRule="auto"/>
              <w:ind w:firstLine="360" w:firstLineChars="200"/>
              <w:jc w:val="center"/>
              <w:rPr>
                <w:rFonts w:ascii="Times New Roman" w:hAnsi="Times New Roman" w:eastAsia="宋体" w:cs="Times New Roman"/>
                <w:sz w:val="18"/>
                <w:szCs w:val="18"/>
              </w:rPr>
            </w:pPr>
            <w:r>
              <w:rPr>
                <w:rFonts w:ascii="Times New Roman" w:hAnsi="Times New Roman" w:eastAsia="宋体" w:cs="Times New Roman"/>
                <w:sz w:val="18"/>
                <w:szCs w:val="18"/>
              </w:rPr>
              <w:t>y=0.0654x－69.957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=0.91</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526" w:type="dxa"/>
            <w:tcBorders>
              <w:lef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Xiying River</w:t>
            </w:r>
          </w:p>
        </w:tc>
        <w:tc>
          <w:tcPr>
            <w:tcW w:w="3685" w:type="dxa"/>
          </w:tcPr>
          <w:p>
            <w:pPr>
              <w:spacing w:line="360" w:lineRule="auto"/>
              <w:ind w:firstLine="559" w:firstLineChars="311"/>
              <w:jc w:val="center"/>
              <w:rPr>
                <w:rFonts w:ascii="Times New Roman" w:hAnsi="Times New Roman" w:eastAsia="宋体" w:cs="Times New Roman"/>
                <w:sz w:val="18"/>
                <w:szCs w:val="18"/>
              </w:rPr>
            </w:pPr>
            <w:r>
              <w:rPr>
                <w:rFonts w:ascii="Times New Roman" w:hAnsi="Times New Roman" w:eastAsia="宋体" w:cs="Times New Roman"/>
                <w:sz w:val="18"/>
                <w:szCs w:val="18"/>
              </w:rPr>
              <w:t>y=0.0068x－9.6804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=0.94</w:t>
            </w:r>
          </w:p>
        </w:tc>
        <w:tc>
          <w:tcPr>
            <w:tcW w:w="3405" w:type="dxa"/>
            <w:tcBorders>
              <w:right w:val="nil"/>
            </w:tcBorders>
          </w:tcPr>
          <w:p>
            <w:pPr>
              <w:spacing w:line="360" w:lineRule="auto"/>
              <w:ind w:firstLine="360" w:firstLineChars="200"/>
              <w:jc w:val="center"/>
              <w:rPr>
                <w:rFonts w:ascii="Times New Roman" w:hAnsi="Times New Roman" w:eastAsia="宋体" w:cs="Times New Roman"/>
                <w:sz w:val="18"/>
                <w:szCs w:val="18"/>
              </w:rPr>
            </w:pPr>
            <w:r>
              <w:rPr>
                <w:rFonts w:ascii="Times New Roman" w:hAnsi="Times New Roman" w:eastAsia="宋体" w:cs="Times New Roman"/>
                <w:sz w:val="18"/>
                <w:szCs w:val="18"/>
              </w:rPr>
              <w:t>y=0.0462x－67.687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=0.98</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526" w:type="dxa"/>
            <w:tcBorders>
              <w:lef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Jinta River</w:t>
            </w:r>
          </w:p>
        </w:tc>
        <w:tc>
          <w:tcPr>
            <w:tcW w:w="3685" w:type="dxa"/>
          </w:tcPr>
          <w:p>
            <w:pPr>
              <w:spacing w:line="360" w:lineRule="auto"/>
              <w:ind w:firstLine="540" w:firstLineChars="300"/>
              <w:jc w:val="center"/>
              <w:rPr>
                <w:rFonts w:ascii="Times New Roman" w:hAnsi="Times New Roman" w:eastAsia="宋体" w:cs="Times New Roman"/>
                <w:sz w:val="18"/>
                <w:szCs w:val="18"/>
              </w:rPr>
            </w:pPr>
            <w:r>
              <w:rPr>
                <w:rFonts w:ascii="Times New Roman" w:hAnsi="Times New Roman" w:eastAsia="宋体" w:cs="Times New Roman"/>
                <w:sz w:val="18"/>
                <w:szCs w:val="18"/>
              </w:rPr>
              <w:t>y=0.0134x－9.1855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=0.91</w:t>
            </w:r>
          </w:p>
        </w:tc>
        <w:tc>
          <w:tcPr>
            <w:tcW w:w="3405" w:type="dxa"/>
            <w:tcBorders>
              <w:right w:val="nil"/>
            </w:tcBorders>
          </w:tcPr>
          <w:p>
            <w:pPr>
              <w:spacing w:line="360" w:lineRule="auto"/>
              <w:ind w:firstLine="360" w:firstLineChars="200"/>
              <w:jc w:val="center"/>
              <w:rPr>
                <w:rFonts w:ascii="Times New Roman" w:hAnsi="Times New Roman" w:eastAsia="宋体" w:cs="Times New Roman"/>
                <w:sz w:val="18"/>
                <w:szCs w:val="18"/>
              </w:rPr>
            </w:pPr>
            <w:r>
              <w:rPr>
                <w:rFonts w:ascii="Times New Roman" w:hAnsi="Times New Roman" w:eastAsia="宋体" w:cs="Times New Roman"/>
                <w:sz w:val="18"/>
                <w:szCs w:val="18"/>
              </w:rPr>
              <w:t>y=0.1075x－65.542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=0.75</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526" w:type="dxa"/>
            <w:tcBorders>
              <w:lef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Zamu River</w:t>
            </w:r>
          </w:p>
        </w:tc>
        <w:tc>
          <w:tcPr>
            <w:tcW w:w="3685" w:type="dxa"/>
          </w:tcPr>
          <w:p>
            <w:pPr>
              <w:spacing w:line="360" w:lineRule="auto"/>
              <w:ind w:firstLine="540" w:firstLineChars="300"/>
              <w:jc w:val="center"/>
              <w:rPr>
                <w:rFonts w:ascii="Times New Roman" w:hAnsi="Times New Roman" w:eastAsia="宋体" w:cs="Times New Roman"/>
                <w:sz w:val="18"/>
                <w:szCs w:val="18"/>
              </w:rPr>
            </w:pPr>
            <w:r>
              <w:rPr>
                <w:rFonts w:ascii="Times New Roman" w:hAnsi="Times New Roman" w:eastAsia="宋体" w:cs="Times New Roman"/>
                <w:sz w:val="18"/>
                <w:szCs w:val="18"/>
              </w:rPr>
              <w:t>y=0.0055x－8.9833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=0.96</w:t>
            </w:r>
          </w:p>
        </w:tc>
        <w:tc>
          <w:tcPr>
            <w:tcW w:w="3405" w:type="dxa"/>
            <w:tcBorders>
              <w:right w:val="nil"/>
            </w:tcBorders>
          </w:tcPr>
          <w:p>
            <w:pPr>
              <w:spacing w:line="360" w:lineRule="auto"/>
              <w:ind w:firstLine="360" w:firstLineChars="200"/>
              <w:jc w:val="center"/>
              <w:rPr>
                <w:rFonts w:ascii="Times New Roman" w:hAnsi="Times New Roman" w:eastAsia="宋体" w:cs="Times New Roman"/>
                <w:sz w:val="18"/>
                <w:szCs w:val="18"/>
              </w:rPr>
            </w:pPr>
            <w:r>
              <w:rPr>
                <w:rFonts w:ascii="Times New Roman" w:hAnsi="Times New Roman" w:eastAsia="宋体" w:cs="Times New Roman"/>
                <w:sz w:val="18"/>
                <w:szCs w:val="18"/>
              </w:rPr>
              <w:t>y=0.0353x－62.348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=0.35</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526" w:type="dxa"/>
            <w:tcBorders>
              <w:lef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Huangyang River</w:t>
            </w:r>
          </w:p>
        </w:tc>
        <w:tc>
          <w:tcPr>
            <w:tcW w:w="3685" w:type="dxa"/>
          </w:tcPr>
          <w:p>
            <w:pPr>
              <w:spacing w:line="360" w:lineRule="auto"/>
              <w:ind w:firstLine="540" w:firstLineChars="300"/>
              <w:jc w:val="center"/>
              <w:rPr>
                <w:rFonts w:ascii="Times New Roman" w:hAnsi="Times New Roman" w:eastAsia="宋体" w:cs="Times New Roman"/>
                <w:sz w:val="18"/>
                <w:szCs w:val="18"/>
              </w:rPr>
            </w:pPr>
            <w:r>
              <w:rPr>
                <w:rFonts w:ascii="Times New Roman" w:hAnsi="Times New Roman" w:eastAsia="宋体" w:cs="Times New Roman"/>
                <w:sz w:val="18"/>
                <w:szCs w:val="18"/>
              </w:rPr>
              <w:t>y=0.0078x－9.5323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=0.96</w:t>
            </w:r>
          </w:p>
        </w:tc>
        <w:tc>
          <w:tcPr>
            <w:tcW w:w="3405" w:type="dxa"/>
            <w:tcBorders>
              <w:right w:val="nil"/>
            </w:tcBorders>
          </w:tcPr>
          <w:p>
            <w:pPr>
              <w:spacing w:line="360" w:lineRule="auto"/>
              <w:ind w:firstLine="360" w:firstLineChars="200"/>
              <w:jc w:val="center"/>
              <w:rPr>
                <w:rFonts w:ascii="Times New Roman" w:hAnsi="Times New Roman" w:eastAsia="宋体" w:cs="Times New Roman"/>
                <w:sz w:val="18"/>
                <w:szCs w:val="18"/>
              </w:rPr>
            </w:pPr>
            <w:r>
              <w:rPr>
                <w:rFonts w:ascii="Times New Roman" w:hAnsi="Times New Roman" w:eastAsia="宋体" w:cs="Times New Roman"/>
                <w:sz w:val="18"/>
                <w:szCs w:val="18"/>
              </w:rPr>
              <w:t>y=0.0573x－67.227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=0.90</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526" w:type="dxa"/>
            <w:tcBorders>
              <w:left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Gulang River</w:t>
            </w:r>
          </w:p>
        </w:tc>
        <w:tc>
          <w:tcPr>
            <w:tcW w:w="3685" w:type="dxa"/>
            <w:tcBorders>
              <w:bottom w:val="nil"/>
            </w:tcBorders>
          </w:tcPr>
          <w:p>
            <w:pPr>
              <w:spacing w:line="360" w:lineRule="auto"/>
              <w:ind w:firstLine="540" w:firstLineChars="300"/>
              <w:jc w:val="center"/>
              <w:rPr>
                <w:rFonts w:ascii="Times New Roman" w:hAnsi="Times New Roman" w:eastAsia="宋体" w:cs="Times New Roman"/>
                <w:sz w:val="18"/>
                <w:szCs w:val="18"/>
              </w:rPr>
            </w:pPr>
            <w:r>
              <w:rPr>
                <w:rFonts w:ascii="Times New Roman" w:hAnsi="Times New Roman" w:eastAsia="宋体" w:cs="Times New Roman"/>
                <w:sz w:val="18"/>
                <w:szCs w:val="18"/>
              </w:rPr>
              <w:t>y=0.0102x－9.6792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=0.84</w:t>
            </w:r>
          </w:p>
        </w:tc>
        <w:tc>
          <w:tcPr>
            <w:tcW w:w="3405" w:type="dxa"/>
            <w:tcBorders>
              <w:bottom w:val="nil"/>
              <w:right w:val="nil"/>
            </w:tcBorders>
          </w:tcPr>
          <w:p>
            <w:pPr>
              <w:spacing w:line="360" w:lineRule="auto"/>
              <w:ind w:firstLine="360" w:firstLineChars="200"/>
              <w:jc w:val="center"/>
              <w:rPr>
                <w:rFonts w:ascii="Times New Roman" w:hAnsi="Times New Roman" w:eastAsia="宋体" w:cs="Times New Roman"/>
                <w:sz w:val="18"/>
                <w:szCs w:val="18"/>
              </w:rPr>
            </w:pPr>
            <w:r>
              <w:rPr>
                <w:rFonts w:ascii="Times New Roman" w:hAnsi="Times New Roman" w:eastAsia="宋体" w:cs="Times New Roman"/>
                <w:sz w:val="18"/>
                <w:szCs w:val="18"/>
              </w:rPr>
              <w:t>y=0.0758x－68.287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=0.72</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526" w:type="dxa"/>
            <w:tcBorders>
              <w:top w:val="nil"/>
              <w:left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Dajing River</w:t>
            </w:r>
          </w:p>
        </w:tc>
        <w:tc>
          <w:tcPr>
            <w:tcW w:w="3685" w:type="dxa"/>
            <w:tcBorders>
              <w:top w:val="nil"/>
              <w:bottom w:val="nil"/>
            </w:tcBorders>
          </w:tcPr>
          <w:p>
            <w:pPr>
              <w:spacing w:line="360" w:lineRule="auto"/>
              <w:ind w:firstLine="540" w:firstLineChars="300"/>
              <w:jc w:val="center"/>
              <w:rPr>
                <w:rFonts w:ascii="Times New Roman" w:hAnsi="Times New Roman" w:eastAsia="宋体" w:cs="Times New Roman"/>
                <w:sz w:val="18"/>
                <w:szCs w:val="18"/>
              </w:rPr>
            </w:pPr>
            <w:r>
              <w:rPr>
                <w:rFonts w:ascii="Times New Roman" w:hAnsi="Times New Roman" w:eastAsia="宋体" w:cs="Times New Roman"/>
                <w:sz w:val="18"/>
                <w:szCs w:val="18"/>
              </w:rPr>
              <w:t>y=0.0097x－9.4060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=0.99</w:t>
            </w:r>
          </w:p>
        </w:tc>
        <w:tc>
          <w:tcPr>
            <w:tcW w:w="3405" w:type="dxa"/>
            <w:tcBorders>
              <w:top w:val="nil"/>
              <w:bottom w:val="nil"/>
              <w:right w:val="nil"/>
            </w:tcBorders>
          </w:tcPr>
          <w:p>
            <w:pPr>
              <w:spacing w:line="360" w:lineRule="auto"/>
              <w:ind w:firstLine="360" w:firstLineChars="200"/>
              <w:jc w:val="center"/>
              <w:rPr>
                <w:rFonts w:ascii="Times New Roman" w:hAnsi="Times New Roman" w:eastAsia="宋体" w:cs="Times New Roman"/>
                <w:sz w:val="18"/>
                <w:szCs w:val="18"/>
              </w:rPr>
            </w:pPr>
            <w:r>
              <w:rPr>
                <w:rFonts w:ascii="Times New Roman" w:hAnsi="Times New Roman" w:eastAsia="宋体" w:cs="Times New Roman"/>
                <w:sz w:val="18"/>
                <w:szCs w:val="18"/>
              </w:rPr>
              <w:t>y=0.0336x－65.191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=0.98</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526" w:type="dxa"/>
            <w:tcBorders>
              <w:top w:val="nil"/>
              <w:left w:val="nil"/>
              <w:bottom w:val="single" w:color="auto" w:sz="4" w:space="0"/>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Main stream</w:t>
            </w:r>
          </w:p>
        </w:tc>
        <w:tc>
          <w:tcPr>
            <w:tcW w:w="3685" w:type="dxa"/>
            <w:tcBorders>
              <w:top w:val="nil"/>
              <w:bottom w:val="single" w:color="auto" w:sz="4" w:space="0"/>
            </w:tcBorders>
          </w:tcPr>
          <w:p>
            <w:pPr>
              <w:spacing w:line="360" w:lineRule="auto"/>
              <w:ind w:firstLine="540" w:firstLineChars="300"/>
              <w:jc w:val="center"/>
              <w:rPr>
                <w:rFonts w:ascii="Times New Roman" w:hAnsi="Times New Roman" w:eastAsia="宋体" w:cs="Times New Roman"/>
                <w:sz w:val="18"/>
                <w:szCs w:val="18"/>
              </w:rPr>
            </w:pPr>
            <w:r>
              <w:rPr>
                <w:rFonts w:ascii="Times New Roman" w:hAnsi="Times New Roman" w:eastAsia="宋体" w:cs="Times New Roman"/>
                <w:sz w:val="18"/>
                <w:szCs w:val="18"/>
              </w:rPr>
              <w:t>y=0.0137x－9.2824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=0.92</w:t>
            </w:r>
          </w:p>
        </w:tc>
        <w:tc>
          <w:tcPr>
            <w:tcW w:w="3405" w:type="dxa"/>
            <w:tcBorders>
              <w:top w:val="nil"/>
              <w:bottom w:val="single" w:color="auto" w:sz="4" w:space="0"/>
              <w:right w:val="nil"/>
            </w:tcBorders>
          </w:tcPr>
          <w:p>
            <w:pPr>
              <w:spacing w:line="360" w:lineRule="auto"/>
              <w:ind w:firstLine="360" w:firstLineChars="200"/>
              <w:jc w:val="center"/>
              <w:rPr>
                <w:rFonts w:ascii="Times New Roman" w:hAnsi="Times New Roman" w:eastAsia="宋体" w:cs="Times New Roman"/>
                <w:sz w:val="18"/>
                <w:szCs w:val="18"/>
              </w:rPr>
            </w:pPr>
            <w:r>
              <w:rPr>
                <w:rFonts w:ascii="Times New Roman" w:hAnsi="Times New Roman" w:eastAsia="宋体" w:cs="Times New Roman"/>
                <w:sz w:val="18"/>
                <w:szCs w:val="18"/>
              </w:rPr>
              <w:t>y=0.0964x－65.699   R</w:t>
            </w:r>
            <w:r>
              <w:rPr>
                <w:rFonts w:ascii="Times New Roman" w:hAnsi="Times New Roman" w:eastAsia="宋体" w:cs="Times New Roman"/>
                <w:sz w:val="18"/>
                <w:szCs w:val="18"/>
                <w:vertAlign w:val="superscript"/>
              </w:rPr>
              <w:t>2</w:t>
            </w:r>
            <w:r>
              <w:rPr>
                <w:rFonts w:ascii="Times New Roman" w:hAnsi="Times New Roman" w:eastAsia="宋体" w:cs="Times New Roman"/>
                <w:sz w:val="18"/>
                <w:szCs w:val="18"/>
              </w:rPr>
              <w:t>=0.90</w:t>
            </w:r>
          </w:p>
        </w:tc>
      </w:tr>
    </w:tbl>
    <w:p>
      <w:pPr>
        <w:spacing w:line="360" w:lineRule="auto"/>
        <w:ind w:firstLine="480" w:firstLineChars="200"/>
        <w:rPr>
          <w:rFonts w:ascii="Times New Roman" w:hAnsi="Times New Roman" w:cs="Times New Roman"/>
          <w:color w:val="FF0000"/>
          <w:sz w:val="24"/>
          <w:szCs w:val="24"/>
        </w:rPr>
      </w:pPr>
      <w:r>
        <w:rPr>
          <w:rFonts w:ascii="Times New Roman" w:hAnsi="Times New Roman" w:cs="Times New Roman"/>
          <w:sz w:val="24"/>
          <w:szCs w:val="24"/>
        </w:rPr>
        <w:t>The variation rate of δ</w:t>
      </w:r>
      <w:r>
        <w:rPr>
          <w:rFonts w:ascii="Times New Roman" w:hAnsi="Times New Roman" w:cs="Times New Roman"/>
          <w:sz w:val="24"/>
          <w:szCs w:val="24"/>
          <w:vertAlign w:val="superscript"/>
        </w:rPr>
        <w:t>18</w:t>
      </w:r>
      <w:r>
        <w:rPr>
          <w:rFonts w:ascii="Times New Roman" w:hAnsi="Times New Roman" w:cs="Times New Roman"/>
          <w:sz w:val="24"/>
          <w:szCs w:val="24"/>
        </w:rPr>
        <w:t>O and δD values in river water is not completely consistent, which is mainly caused by the different degrees of δ</w:t>
      </w:r>
      <w:r>
        <w:rPr>
          <w:rFonts w:ascii="Times New Roman" w:hAnsi="Times New Roman" w:cs="Times New Roman"/>
          <w:sz w:val="24"/>
          <w:szCs w:val="24"/>
          <w:vertAlign w:val="superscript"/>
        </w:rPr>
        <w:t>18</w:t>
      </w:r>
      <w:r>
        <w:rPr>
          <w:rFonts w:ascii="Times New Roman" w:hAnsi="Times New Roman" w:cs="Times New Roman"/>
          <w:sz w:val="24"/>
          <w:szCs w:val="24"/>
        </w:rPr>
        <w:t xml:space="preserve">O and δD fractionation(Table </w:t>
      </w:r>
      <w:r>
        <w:rPr>
          <w:rFonts w:hint="eastAsia" w:ascii="Times New Roman" w:hAnsi="Times New Roman" w:cs="Times New Roman"/>
          <w:sz w:val="24"/>
          <w:szCs w:val="24"/>
          <w:lang w:val="en-US" w:eastAsia="zh-CN"/>
        </w:rPr>
        <w:t>2</w:t>
      </w:r>
      <w:r>
        <w:rPr>
          <w:rFonts w:ascii="Times New Roman" w:hAnsi="Times New Roman" w:cs="Times New Roman"/>
          <w:sz w:val="24"/>
          <w:szCs w:val="24"/>
        </w:rPr>
        <w:t>). The δ</w:t>
      </w:r>
      <w:r>
        <w:rPr>
          <w:rFonts w:ascii="Times New Roman" w:hAnsi="Times New Roman" w:cs="Times New Roman"/>
          <w:sz w:val="24"/>
          <w:szCs w:val="24"/>
          <w:vertAlign w:val="superscript"/>
        </w:rPr>
        <w:t>18</w:t>
      </w:r>
      <w:r>
        <w:rPr>
          <w:rFonts w:ascii="Times New Roman" w:hAnsi="Times New Roman" w:cs="Times New Roman"/>
          <w:sz w:val="24"/>
          <w:szCs w:val="24"/>
        </w:rPr>
        <w:t>O and δD of the main tributaries of Shiyang River showed a trend of increasing with the increase of the distance along the river, and the linear correlation was significant (P&lt;0.05), most of the linear correlation coefficients were higher, and the linear correlation coefficient between the δD and the distance of the Zaomu River was lower (R</w:t>
      </w:r>
      <w:r>
        <w:rPr>
          <w:rFonts w:ascii="Times New Roman" w:hAnsi="Times New Roman" w:cs="Times New Roman"/>
          <w:sz w:val="24"/>
          <w:szCs w:val="24"/>
          <w:vertAlign w:val="superscript"/>
        </w:rPr>
        <w:t>2</w:t>
      </w:r>
      <w:r>
        <w:rPr>
          <w:rFonts w:ascii="Times New Roman" w:hAnsi="Times New Roman" w:cs="Times New Roman"/>
          <w:sz w:val="24"/>
          <w:szCs w:val="24"/>
        </w:rPr>
        <w:t>=0.35). The correlation equation of δ</w:t>
      </w:r>
      <w:r>
        <w:rPr>
          <w:rFonts w:ascii="Times New Roman" w:hAnsi="Times New Roman" w:cs="Times New Roman"/>
          <w:sz w:val="24"/>
          <w:szCs w:val="24"/>
          <w:vertAlign w:val="superscript"/>
        </w:rPr>
        <w:t>18</w:t>
      </w:r>
      <w:r>
        <w:rPr>
          <w:rFonts w:ascii="Times New Roman" w:hAnsi="Times New Roman" w:cs="Times New Roman"/>
          <w:sz w:val="24"/>
          <w:szCs w:val="24"/>
        </w:rPr>
        <w:t>O changes along the Shiyang River main stream is y=0.0137x-9.2824, and the correlation equation of δD changes along the Shiyang River main stream is y=0.0964x-65.699, indicating that δ</w:t>
      </w:r>
      <w:r>
        <w:rPr>
          <w:rFonts w:ascii="Times New Roman" w:hAnsi="Times New Roman" w:cs="Times New Roman"/>
          <w:sz w:val="24"/>
          <w:szCs w:val="24"/>
          <w:vertAlign w:val="superscript"/>
        </w:rPr>
        <w:t>18</w:t>
      </w:r>
      <w:r>
        <w:rPr>
          <w:rFonts w:ascii="Times New Roman" w:hAnsi="Times New Roman" w:cs="Times New Roman"/>
          <w:sz w:val="24"/>
          <w:szCs w:val="24"/>
        </w:rPr>
        <w:t>O increases by 1.37‰ and δD increases by 9.64‰ with the increase of 100km along the main stream. Among the eight tributaries, the order of increment of δ</w:t>
      </w:r>
      <w:r>
        <w:rPr>
          <w:rFonts w:ascii="Times New Roman" w:hAnsi="Times New Roman" w:cs="Times New Roman"/>
          <w:sz w:val="24"/>
          <w:szCs w:val="24"/>
          <w:vertAlign w:val="superscript"/>
        </w:rPr>
        <w:t>18</w:t>
      </w:r>
      <w:r>
        <w:rPr>
          <w:rFonts w:ascii="Times New Roman" w:hAnsi="Times New Roman" w:cs="Times New Roman"/>
          <w:sz w:val="24"/>
          <w:szCs w:val="24"/>
        </w:rPr>
        <w:t>O value is Jinta River &gt; Gulang River &gt; Dajing River &gt; Donghe River &gt; Huangyang River &gt; Xihe River &gt; Xiying River &gt; Donghe River &gt; Huangyang River &gt; Xiying River &gt; Donghe River &gt; Huangyang River &gt; Xiying River &gt; Zamu River &gt; Dajing River, and the order of increment of δD value is Jinta River &gt; Gulang River &gt; Xihe River &gt; Donghe River &gt; Huangyang River &gt; Xiying River &gt; Zamu River &gt; Dajing River. The change rate of δ</w:t>
      </w:r>
      <w:r>
        <w:rPr>
          <w:rFonts w:ascii="Times New Roman" w:hAnsi="Times New Roman" w:cs="Times New Roman"/>
          <w:sz w:val="24"/>
          <w:szCs w:val="24"/>
          <w:vertAlign w:val="superscript"/>
        </w:rPr>
        <w:t>18</w:t>
      </w:r>
      <w:r>
        <w:rPr>
          <w:rFonts w:ascii="Times New Roman" w:hAnsi="Times New Roman" w:cs="Times New Roman"/>
          <w:sz w:val="24"/>
          <w:szCs w:val="24"/>
        </w:rPr>
        <w:t>O and δD values in Jinta River is the largest, which is 1.34‰/100km and 10.75‰/100km, respectively; the change rate of δ</w:t>
      </w:r>
      <w:r>
        <w:rPr>
          <w:rFonts w:ascii="Times New Roman" w:hAnsi="Times New Roman" w:cs="Times New Roman"/>
          <w:sz w:val="24"/>
          <w:szCs w:val="24"/>
          <w:vertAlign w:val="superscript"/>
        </w:rPr>
        <w:t>18</w:t>
      </w:r>
      <w:r>
        <w:rPr>
          <w:rFonts w:ascii="Times New Roman" w:hAnsi="Times New Roman" w:cs="Times New Roman"/>
          <w:sz w:val="24"/>
          <w:szCs w:val="24"/>
        </w:rPr>
        <w:t>O values in Zamu River is the smallest, which is 0.55‰/100km; and the change rate of δD values in Dajing River is the smallest, which is 3.36‰/100km. The change rate of hydrogen and oxygen isotopes along the main stream is different from that of the eight tributaries, but the increase of δD is stronger than that of δ</w:t>
      </w:r>
      <w:r>
        <w:rPr>
          <w:rFonts w:ascii="Times New Roman" w:hAnsi="Times New Roman" w:cs="Times New Roman"/>
          <w:sz w:val="24"/>
          <w:szCs w:val="24"/>
          <w:vertAlign w:val="superscript"/>
        </w:rPr>
        <w:t>18</w:t>
      </w:r>
      <w:r>
        <w:rPr>
          <w:rFonts w:ascii="Times New Roman" w:hAnsi="Times New Roman" w:cs="Times New Roman"/>
          <w:sz w:val="24"/>
          <w:szCs w:val="24"/>
        </w:rPr>
        <w:t>O. In general, the change rates of δ</w:t>
      </w:r>
      <w:r>
        <w:rPr>
          <w:rFonts w:ascii="Times New Roman" w:hAnsi="Times New Roman" w:cs="Times New Roman"/>
          <w:sz w:val="24"/>
          <w:szCs w:val="24"/>
          <w:vertAlign w:val="superscript"/>
        </w:rPr>
        <w:t>18</w:t>
      </w:r>
      <w:r>
        <w:rPr>
          <w:rFonts w:ascii="Times New Roman" w:hAnsi="Times New Roman" w:cs="Times New Roman"/>
          <w:sz w:val="24"/>
          <w:szCs w:val="24"/>
        </w:rPr>
        <w:t>O and δD vary with distance, but the difference is relatively large. Stable hydrogen and oxygen isotopes have different degrees of accumulation and evaporation in the tributaries and main streams of Shiyang River.</w:t>
      </w:r>
    </w:p>
    <w:p>
      <w:pPr>
        <w:spacing w:line="360" w:lineRule="auto"/>
        <w:rPr>
          <w:rFonts w:ascii="Times New Roman" w:hAnsi="Times New Roman" w:cs="Times New Roman"/>
          <w:sz w:val="28"/>
          <w:szCs w:val="28"/>
        </w:rPr>
      </w:pPr>
      <w:r>
        <w:rPr>
          <w:rFonts w:ascii="Times New Roman" w:hAnsi="Times New Roman" w:cs="Times New Roman"/>
          <w:sz w:val="28"/>
          <w:szCs w:val="28"/>
        </w:rPr>
        <w:t>4 Discussion</w:t>
      </w:r>
    </w:p>
    <w:p>
      <w:pPr>
        <w:spacing w:line="360" w:lineRule="auto"/>
        <w:rPr>
          <w:rFonts w:ascii="Times New Roman" w:hAnsi="Times New Roman" w:cs="Times New Roman"/>
          <w:sz w:val="28"/>
          <w:szCs w:val="28"/>
        </w:rPr>
      </w:pPr>
      <w:r>
        <w:rPr>
          <w:rFonts w:ascii="Times New Roman" w:hAnsi="Times New Roman" w:cs="Times New Roman"/>
          <w:sz w:val="28"/>
          <w:szCs w:val="28"/>
        </w:rPr>
        <w:t>4.1 Evaporation loss</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The accuracy of temperature and relative humidity depends on the distribution of weather stations, and deviations in measurements may induce greater computational errors (Skrzypek et al., 2015). Temperature is a very important factor affecting evaporation loss, but in this study, the sampling time is concentrated, and the temperature is slightly different, which has been calculated in the calculation, so it is not considered as the main reason analysis here. It can be seen that the evaporation loss of river water is not only related to meteorological factors, but also to its runoff, and human activities also affect its evaporation loss. The results of δ</w:t>
      </w:r>
      <w:r>
        <w:rPr>
          <w:rFonts w:ascii="Times New Roman" w:hAnsi="Times New Roman" w:cs="Times New Roman"/>
          <w:sz w:val="24"/>
          <w:szCs w:val="24"/>
          <w:vertAlign w:val="superscript"/>
        </w:rPr>
        <w:t>18</w:t>
      </w:r>
      <w:r>
        <w:rPr>
          <w:rFonts w:ascii="Times New Roman" w:hAnsi="Times New Roman" w:cs="Times New Roman"/>
          <w:sz w:val="24"/>
          <w:szCs w:val="24"/>
        </w:rPr>
        <w:t>O are mainly used in this study.</w:t>
      </w:r>
    </w:p>
    <w:p>
      <w:pPr>
        <w:spacing w:line="360" w:lineRule="auto"/>
        <w:ind w:firstLine="420" w:firstLineChars="200"/>
        <w:jc w:val="center"/>
        <w:rPr>
          <w:rFonts w:ascii="Times New Roman" w:hAnsi="Times New Roman" w:cs="Times New Roman"/>
          <w:szCs w:val="21"/>
        </w:rPr>
      </w:pPr>
      <w:r>
        <w:rPr>
          <w:rFonts w:ascii="Times New Roman" w:hAnsi="Times New Roman" w:cs="Times New Roman"/>
          <w:szCs w:val="21"/>
        </w:rPr>
        <w:t>Table 3 Evaporation ratio of eight tributaries</w:t>
      </w:r>
    </w:p>
    <w:tbl>
      <w:tblPr>
        <w:tblStyle w:val="6"/>
        <w:tblW w:w="0" w:type="auto"/>
        <w:jc w:val="center"/>
        <w:tblBorders>
          <w:top w:val="single" w:color="auto" w:sz="4" w:space="0"/>
          <w:left w:val="none" w:color="auto" w:sz="0" w:space="0"/>
          <w:bottom w:val="single" w:color="auto" w:sz="4" w:space="0"/>
          <w:right w:val="none" w:color="auto" w:sz="0" w:space="0"/>
          <w:insideH w:val="none" w:color="auto" w:sz="0" w:space="0"/>
          <w:insideV w:val="single" w:color="auto" w:sz="4" w:space="0"/>
        </w:tblBorders>
        <w:tblLayout w:type="autofit"/>
        <w:tblCellMar>
          <w:top w:w="0" w:type="dxa"/>
          <w:left w:w="108" w:type="dxa"/>
          <w:bottom w:w="0" w:type="dxa"/>
          <w:right w:w="108" w:type="dxa"/>
        </w:tblCellMar>
      </w:tblPr>
      <w:tblGrid>
        <w:gridCol w:w="1638"/>
        <w:gridCol w:w="1370"/>
        <w:gridCol w:w="1550"/>
        <w:gridCol w:w="2020"/>
        <w:gridCol w:w="1820"/>
      </w:tblGrid>
      <w:tr>
        <w:tblPrEx>
          <w:tblBorders>
            <w:top w:val="single" w:color="auto" w:sz="4" w:space="0"/>
            <w:left w:val="none" w:color="auto" w:sz="0" w:space="0"/>
            <w:bottom w:val="single" w:color="auto" w:sz="4" w:space="0"/>
            <w:right w:val="none" w:color="auto" w:sz="0" w:space="0"/>
            <w:insideH w:val="none" w:color="auto" w:sz="0" w:space="0"/>
            <w:insideV w:val="single" w:color="auto" w:sz="4" w:space="0"/>
          </w:tblBorders>
          <w:tblCellMar>
            <w:top w:w="0" w:type="dxa"/>
            <w:left w:w="108" w:type="dxa"/>
            <w:bottom w:w="0" w:type="dxa"/>
            <w:right w:w="108" w:type="dxa"/>
          </w:tblCellMar>
        </w:tblPrEx>
        <w:trPr>
          <w:trHeight w:val="1084" w:hRule="atLeast"/>
          <w:jc w:val="center"/>
        </w:trPr>
        <w:tc>
          <w:tcPr>
            <w:tcW w:w="1638" w:type="dxa"/>
            <w:tcBorders>
              <w:top w:val="single" w:color="auto" w:sz="4" w:space="0"/>
              <w:bottom w:val="single" w:color="auto" w:sz="4" w:space="0"/>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Rivers</w:t>
            </w:r>
          </w:p>
        </w:tc>
        <w:tc>
          <w:tcPr>
            <w:tcW w:w="1370" w:type="dxa"/>
            <w:tcBorders>
              <w:top w:val="single" w:color="auto" w:sz="4" w:space="0"/>
              <w:left w:val="nil"/>
              <w:bottom w:val="single" w:color="auto" w:sz="4" w:space="0"/>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Head to tail distance(km)</w:t>
            </w:r>
          </w:p>
        </w:tc>
        <w:tc>
          <w:tcPr>
            <w:tcW w:w="1550" w:type="dxa"/>
            <w:tcBorders>
              <w:top w:val="single" w:color="auto" w:sz="4" w:space="0"/>
              <w:left w:val="nil"/>
              <w:bottom w:val="single" w:color="auto" w:sz="4" w:space="0"/>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Average annual runoff（10</w:t>
            </w:r>
            <w:r>
              <w:rPr>
                <w:rFonts w:ascii="Times New Roman" w:hAnsi="Times New Roman" w:eastAsia="宋体" w:cs="Times New Roman"/>
                <w:sz w:val="18"/>
                <w:szCs w:val="18"/>
                <w:vertAlign w:val="superscript"/>
              </w:rPr>
              <w:t xml:space="preserve">8 </w:t>
            </w:r>
            <w:r>
              <w:rPr>
                <w:rFonts w:ascii="Times New Roman" w:hAnsi="Times New Roman" w:eastAsia="宋体" w:cs="Times New Roman"/>
                <w:sz w:val="18"/>
                <w:szCs w:val="18"/>
              </w:rPr>
              <w:t>m</w:t>
            </w:r>
            <w:r>
              <w:rPr>
                <w:rFonts w:ascii="Times New Roman" w:hAnsi="Times New Roman" w:eastAsia="宋体" w:cs="Times New Roman"/>
                <w:sz w:val="18"/>
                <w:szCs w:val="18"/>
                <w:vertAlign w:val="superscript"/>
              </w:rPr>
              <w:t>3</w:t>
            </w:r>
            <w:r>
              <w:rPr>
                <w:rFonts w:ascii="Times New Roman" w:hAnsi="Times New Roman" w:eastAsia="宋体" w:cs="Times New Roman"/>
                <w:sz w:val="18"/>
                <w:szCs w:val="18"/>
              </w:rPr>
              <w:t>）</w:t>
            </w:r>
          </w:p>
        </w:tc>
        <w:tc>
          <w:tcPr>
            <w:tcW w:w="2020" w:type="dxa"/>
            <w:tcBorders>
              <w:top w:val="single" w:color="auto" w:sz="4" w:space="0"/>
              <w:left w:val="nil"/>
              <w:bottom w:val="single" w:color="auto" w:sz="4" w:space="0"/>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reservoires</w:t>
            </w:r>
          </w:p>
        </w:tc>
        <w:tc>
          <w:tcPr>
            <w:tcW w:w="1820" w:type="dxa"/>
            <w:tcBorders>
              <w:top w:val="single" w:color="auto" w:sz="4" w:space="0"/>
              <w:left w:val="nil"/>
              <w:bottom w:val="single" w:color="auto" w:sz="4" w:space="0"/>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Amount of evaporation loss（%）</w:t>
            </w:r>
          </w:p>
        </w:tc>
      </w:tr>
      <w:tr>
        <w:tblPrEx>
          <w:tblBorders>
            <w:top w:val="single" w:color="auto" w:sz="4" w:space="0"/>
            <w:left w:val="none" w:color="auto" w:sz="0" w:space="0"/>
            <w:bottom w:val="single" w:color="auto" w:sz="4" w:space="0"/>
            <w:right w:val="none" w:color="auto" w:sz="0" w:space="0"/>
            <w:insideH w:val="none" w:color="auto" w:sz="0" w:space="0"/>
            <w:insideV w:val="single" w:color="auto" w:sz="4" w:space="0"/>
          </w:tblBorders>
          <w:tblCellMar>
            <w:top w:w="0" w:type="dxa"/>
            <w:left w:w="108" w:type="dxa"/>
            <w:bottom w:w="0" w:type="dxa"/>
            <w:right w:w="108" w:type="dxa"/>
          </w:tblCellMar>
        </w:tblPrEx>
        <w:trPr>
          <w:jc w:val="center"/>
        </w:trPr>
        <w:tc>
          <w:tcPr>
            <w:tcW w:w="1638" w:type="dxa"/>
            <w:tcBorders>
              <w:top w:val="single" w:color="auto" w:sz="4" w:space="0"/>
              <w:bottom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Dongda River</w:t>
            </w:r>
          </w:p>
        </w:tc>
        <w:tc>
          <w:tcPr>
            <w:tcW w:w="1370" w:type="dxa"/>
            <w:tcBorders>
              <w:top w:val="single" w:color="auto" w:sz="4" w:space="0"/>
              <w:left w:val="nil"/>
              <w:bottom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55.473</w:t>
            </w:r>
          </w:p>
        </w:tc>
        <w:tc>
          <w:tcPr>
            <w:tcW w:w="1550" w:type="dxa"/>
            <w:tcBorders>
              <w:top w:val="single" w:color="auto" w:sz="4" w:space="0"/>
              <w:left w:val="nil"/>
              <w:bottom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3.071</w:t>
            </w:r>
          </w:p>
        </w:tc>
        <w:tc>
          <w:tcPr>
            <w:tcW w:w="2020" w:type="dxa"/>
            <w:tcBorders>
              <w:top w:val="single" w:color="auto" w:sz="4" w:space="0"/>
              <w:left w:val="nil"/>
              <w:bottom w:val="nil"/>
              <w:right w:val="nil"/>
            </w:tcBorders>
          </w:tcPr>
          <w:p>
            <w:pPr>
              <w:spacing w:line="360" w:lineRule="auto"/>
              <w:jc w:val="center"/>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eastAsia="宋体" w:cs="Times New Roman"/>
                <w:color w:val="000000" w:themeColor="text1"/>
                <w:sz w:val="18"/>
                <w:szCs w:val="18"/>
                <w14:textFill>
                  <w14:solidFill>
                    <w14:schemeClr w14:val="tx1"/>
                  </w14:solidFill>
                </w14:textFill>
              </w:rPr>
              <w:t>Jinchuanxia Reservoir</w:t>
            </w:r>
          </w:p>
        </w:tc>
        <w:tc>
          <w:tcPr>
            <w:tcW w:w="1820" w:type="dxa"/>
            <w:tcBorders>
              <w:top w:val="single" w:color="auto" w:sz="4" w:space="0"/>
              <w:left w:val="nil"/>
              <w:bottom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35.49%</w:t>
            </w:r>
          </w:p>
        </w:tc>
      </w:tr>
      <w:tr>
        <w:tblPrEx>
          <w:tblBorders>
            <w:top w:val="single" w:color="auto" w:sz="4" w:space="0"/>
            <w:left w:val="none" w:color="auto" w:sz="0" w:space="0"/>
            <w:bottom w:val="single" w:color="auto" w:sz="4" w:space="0"/>
            <w:right w:val="none" w:color="auto" w:sz="0" w:space="0"/>
            <w:insideH w:val="none" w:color="auto" w:sz="0" w:space="0"/>
            <w:insideV w:val="single" w:color="auto" w:sz="4" w:space="0"/>
          </w:tblBorders>
          <w:tblCellMar>
            <w:top w:w="0" w:type="dxa"/>
            <w:left w:w="108" w:type="dxa"/>
            <w:bottom w:w="0" w:type="dxa"/>
            <w:right w:w="108" w:type="dxa"/>
          </w:tblCellMar>
        </w:tblPrEx>
        <w:trPr>
          <w:jc w:val="center"/>
        </w:trPr>
        <w:tc>
          <w:tcPr>
            <w:tcW w:w="1638" w:type="dxa"/>
            <w:tcBorders>
              <w:top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Gulang River</w:t>
            </w:r>
          </w:p>
        </w:tc>
        <w:tc>
          <w:tcPr>
            <w:tcW w:w="1370" w:type="dxa"/>
            <w:tcBorders>
              <w:top w:val="nil"/>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31.298</w:t>
            </w:r>
          </w:p>
        </w:tc>
        <w:tc>
          <w:tcPr>
            <w:tcW w:w="1550" w:type="dxa"/>
            <w:tcBorders>
              <w:top w:val="nil"/>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0.644</w:t>
            </w:r>
          </w:p>
        </w:tc>
        <w:tc>
          <w:tcPr>
            <w:tcW w:w="2020" w:type="dxa"/>
            <w:tcBorders>
              <w:top w:val="nil"/>
              <w:left w:val="nil"/>
              <w:right w:val="nil"/>
            </w:tcBorders>
          </w:tcPr>
          <w:p>
            <w:pPr>
              <w:spacing w:line="360" w:lineRule="auto"/>
              <w:jc w:val="center"/>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eastAsia="宋体" w:cs="Times New Roman"/>
                <w:color w:val="000000" w:themeColor="text1"/>
                <w:sz w:val="18"/>
                <w:szCs w:val="18"/>
                <w14:textFill>
                  <w14:solidFill>
                    <w14:schemeClr w14:val="tx1"/>
                  </w14:solidFill>
                </w14:textFill>
              </w:rPr>
              <w:t>Caojiahu Reservoir</w:t>
            </w:r>
          </w:p>
        </w:tc>
        <w:tc>
          <w:tcPr>
            <w:tcW w:w="1820" w:type="dxa"/>
            <w:tcBorders>
              <w:top w:val="nil"/>
              <w:lef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25.36%</w:t>
            </w:r>
          </w:p>
        </w:tc>
      </w:tr>
      <w:tr>
        <w:tblPrEx>
          <w:tblBorders>
            <w:top w:val="single" w:color="auto" w:sz="4" w:space="0"/>
            <w:left w:val="none" w:color="auto" w:sz="0" w:space="0"/>
            <w:bottom w:val="single" w:color="auto" w:sz="4" w:space="0"/>
            <w:right w:val="none" w:color="auto" w:sz="0" w:space="0"/>
            <w:insideH w:val="none" w:color="auto" w:sz="0" w:space="0"/>
            <w:insideV w:val="single" w:color="auto" w:sz="4" w:space="0"/>
          </w:tblBorders>
          <w:tblCellMar>
            <w:top w:w="0" w:type="dxa"/>
            <w:left w:w="108" w:type="dxa"/>
            <w:bottom w:w="0" w:type="dxa"/>
            <w:right w:w="108" w:type="dxa"/>
          </w:tblCellMar>
        </w:tblPrEx>
        <w:trPr>
          <w:jc w:val="center"/>
        </w:trPr>
        <w:tc>
          <w:tcPr>
            <w:tcW w:w="1638" w:type="dxa"/>
            <w:tcBorders>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Dajing River</w:t>
            </w:r>
          </w:p>
        </w:tc>
        <w:tc>
          <w:tcPr>
            <w:tcW w:w="1370" w:type="dxa"/>
            <w:tcBorders>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6.664</w:t>
            </w:r>
          </w:p>
        </w:tc>
        <w:tc>
          <w:tcPr>
            <w:tcW w:w="1550" w:type="dxa"/>
            <w:tcBorders>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0.118</w:t>
            </w:r>
          </w:p>
        </w:tc>
        <w:tc>
          <w:tcPr>
            <w:tcW w:w="2020" w:type="dxa"/>
            <w:tcBorders>
              <w:left w:val="nil"/>
              <w:right w:val="nil"/>
            </w:tcBorders>
          </w:tcPr>
          <w:p>
            <w:pPr>
              <w:spacing w:line="360" w:lineRule="auto"/>
              <w:jc w:val="center"/>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eastAsia="宋体" w:cs="Times New Roman"/>
                <w:color w:val="000000" w:themeColor="text1"/>
                <w:sz w:val="18"/>
                <w:szCs w:val="18"/>
                <w14:textFill>
                  <w14:solidFill>
                    <w14:schemeClr w14:val="tx1"/>
                  </w14:solidFill>
                </w14:textFill>
              </w:rPr>
              <w:t>Dajing reservoir</w:t>
            </w:r>
          </w:p>
        </w:tc>
        <w:tc>
          <w:tcPr>
            <w:tcW w:w="1820" w:type="dxa"/>
            <w:tcBorders>
              <w:lef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6.04%</w:t>
            </w:r>
          </w:p>
        </w:tc>
      </w:tr>
      <w:tr>
        <w:tblPrEx>
          <w:tblBorders>
            <w:top w:val="single" w:color="auto" w:sz="4" w:space="0"/>
            <w:left w:val="none" w:color="auto" w:sz="0" w:space="0"/>
            <w:bottom w:val="single" w:color="auto" w:sz="4" w:space="0"/>
            <w:right w:val="none" w:color="auto" w:sz="0" w:space="0"/>
            <w:insideH w:val="none" w:color="auto" w:sz="0" w:space="0"/>
            <w:insideV w:val="single" w:color="auto" w:sz="4" w:space="0"/>
          </w:tblBorders>
          <w:tblCellMar>
            <w:top w:w="0" w:type="dxa"/>
            <w:left w:w="108" w:type="dxa"/>
            <w:bottom w:w="0" w:type="dxa"/>
            <w:right w:w="108" w:type="dxa"/>
          </w:tblCellMar>
        </w:tblPrEx>
        <w:trPr>
          <w:jc w:val="center"/>
        </w:trPr>
        <w:tc>
          <w:tcPr>
            <w:tcW w:w="1638" w:type="dxa"/>
            <w:tcBorders>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Huangyang River</w:t>
            </w:r>
          </w:p>
        </w:tc>
        <w:tc>
          <w:tcPr>
            <w:tcW w:w="1370" w:type="dxa"/>
            <w:tcBorders>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38.462</w:t>
            </w:r>
          </w:p>
        </w:tc>
        <w:tc>
          <w:tcPr>
            <w:tcW w:w="1550" w:type="dxa"/>
            <w:tcBorders>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1.270</w:t>
            </w:r>
          </w:p>
        </w:tc>
        <w:tc>
          <w:tcPr>
            <w:tcW w:w="2020" w:type="dxa"/>
            <w:tcBorders>
              <w:left w:val="nil"/>
              <w:right w:val="nil"/>
            </w:tcBorders>
          </w:tcPr>
          <w:p>
            <w:pPr>
              <w:spacing w:line="360" w:lineRule="auto"/>
              <w:jc w:val="center"/>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eastAsia="宋体" w:cs="Times New Roman"/>
                <w:color w:val="000000" w:themeColor="text1"/>
                <w:sz w:val="18"/>
                <w:szCs w:val="18"/>
                <w14:textFill>
                  <w14:solidFill>
                    <w14:schemeClr w14:val="tx1"/>
                  </w14:solidFill>
                </w14:textFill>
              </w:rPr>
              <w:t>Huangyang reservoir</w:t>
            </w:r>
          </w:p>
        </w:tc>
        <w:tc>
          <w:tcPr>
            <w:tcW w:w="1820" w:type="dxa"/>
            <w:tcBorders>
              <w:lef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23.37%</w:t>
            </w:r>
          </w:p>
        </w:tc>
      </w:tr>
      <w:tr>
        <w:tblPrEx>
          <w:tblBorders>
            <w:top w:val="single" w:color="auto" w:sz="4" w:space="0"/>
            <w:left w:val="none" w:color="auto" w:sz="0" w:space="0"/>
            <w:bottom w:val="single" w:color="auto" w:sz="4" w:space="0"/>
            <w:right w:val="none" w:color="auto" w:sz="0" w:space="0"/>
            <w:insideH w:val="none" w:color="auto" w:sz="0" w:space="0"/>
            <w:insideV w:val="single" w:color="auto" w:sz="4" w:space="0"/>
          </w:tblBorders>
          <w:tblCellMar>
            <w:top w:w="0" w:type="dxa"/>
            <w:left w:w="108" w:type="dxa"/>
            <w:bottom w:w="0" w:type="dxa"/>
            <w:right w:w="108" w:type="dxa"/>
          </w:tblCellMar>
        </w:tblPrEx>
        <w:trPr>
          <w:jc w:val="center"/>
        </w:trPr>
        <w:tc>
          <w:tcPr>
            <w:tcW w:w="1638" w:type="dxa"/>
            <w:tcBorders>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Jinta River</w:t>
            </w:r>
          </w:p>
        </w:tc>
        <w:tc>
          <w:tcPr>
            <w:tcW w:w="1370" w:type="dxa"/>
            <w:tcBorders>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38.034</w:t>
            </w:r>
          </w:p>
        </w:tc>
        <w:tc>
          <w:tcPr>
            <w:tcW w:w="1550" w:type="dxa"/>
            <w:tcBorders>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1.309</w:t>
            </w:r>
          </w:p>
        </w:tc>
        <w:tc>
          <w:tcPr>
            <w:tcW w:w="2020" w:type="dxa"/>
            <w:tcBorders>
              <w:left w:val="nil"/>
              <w:right w:val="nil"/>
            </w:tcBorders>
          </w:tcPr>
          <w:p>
            <w:pPr>
              <w:spacing w:line="360" w:lineRule="auto"/>
              <w:jc w:val="center"/>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eastAsia="宋体" w:cs="Times New Roman"/>
                <w:color w:val="000000" w:themeColor="text1"/>
                <w:sz w:val="18"/>
                <w:szCs w:val="18"/>
                <w14:textFill>
                  <w14:solidFill>
                    <w14:schemeClr w14:val="tx1"/>
                  </w14:solidFill>
                </w14:textFill>
              </w:rPr>
              <w:t>Nanying reservoir</w:t>
            </w:r>
          </w:p>
        </w:tc>
        <w:tc>
          <w:tcPr>
            <w:tcW w:w="1820" w:type="dxa"/>
            <w:tcBorders>
              <w:lef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40.40%</w:t>
            </w:r>
          </w:p>
        </w:tc>
      </w:tr>
      <w:tr>
        <w:tblPrEx>
          <w:tblBorders>
            <w:top w:val="single" w:color="auto" w:sz="4" w:space="0"/>
            <w:left w:val="none" w:color="auto" w:sz="0" w:space="0"/>
            <w:bottom w:val="single" w:color="auto" w:sz="4" w:space="0"/>
            <w:right w:val="none" w:color="auto" w:sz="0" w:space="0"/>
            <w:insideH w:val="none" w:color="auto" w:sz="0" w:space="0"/>
            <w:insideV w:val="single" w:color="auto" w:sz="4" w:space="0"/>
          </w:tblBorders>
          <w:tblCellMar>
            <w:top w:w="0" w:type="dxa"/>
            <w:left w:w="108" w:type="dxa"/>
            <w:bottom w:w="0" w:type="dxa"/>
            <w:right w:w="108" w:type="dxa"/>
          </w:tblCellMar>
        </w:tblPrEx>
        <w:trPr>
          <w:jc w:val="center"/>
        </w:trPr>
        <w:tc>
          <w:tcPr>
            <w:tcW w:w="1638" w:type="dxa"/>
            <w:tcBorders>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Xida River</w:t>
            </w:r>
          </w:p>
        </w:tc>
        <w:tc>
          <w:tcPr>
            <w:tcW w:w="1370" w:type="dxa"/>
            <w:tcBorders>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50.26</w:t>
            </w:r>
          </w:p>
        </w:tc>
        <w:tc>
          <w:tcPr>
            <w:tcW w:w="1550" w:type="dxa"/>
            <w:tcBorders>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1.601</w:t>
            </w:r>
          </w:p>
        </w:tc>
        <w:tc>
          <w:tcPr>
            <w:tcW w:w="2020" w:type="dxa"/>
            <w:tcBorders>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Xidahe Reservoir</w:t>
            </w:r>
          </w:p>
        </w:tc>
        <w:tc>
          <w:tcPr>
            <w:tcW w:w="1820" w:type="dxa"/>
            <w:tcBorders>
              <w:lef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31.79%</w:t>
            </w:r>
          </w:p>
        </w:tc>
      </w:tr>
      <w:tr>
        <w:tblPrEx>
          <w:tblBorders>
            <w:top w:val="single" w:color="auto" w:sz="4" w:space="0"/>
            <w:left w:val="none" w:color="auto" w:sz="0" w:space="0"/>
            <w:bottom w:val="single" w:color="auto" w:sz="4" w:space="0"/>
            <w:right w:val="none" w:color="auto" w:sz="0" w:space="0"/>
            <w:insideH w:val="none" w:color="auto" w:sz="0" w:space="0"/>
            <w:insideV w:val="single" w:color="auto" w:sz="4" w:space="0"/>
          </w:tblBorders>
          <w:tblCellMar>
            <w:top w:w="0" w:type="dxa"/>
            <w:left w:w="108" w:type="dxa"/>
            <w:bottom w:w="0" w:type="dxa"/>
            <w:right w:w="108" w:type="dxa"/>
          </w:tblCellMar>
        </w:tblPrEx>
        <w:trPr>
          <w:jc w:val="center"/>
        </w:trPr>
        <w:tc>
          <w:tcPr>
            <w:tcW w:w="1638" w:type="dxa"/>
            <w:tcBorders>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Xiying River</w:t>
            </w:r>
          </w:p>
        </w:tc>
        <w:tc>
          <w:tcPr>
            <w:tcW w:w="1370" w:type="dxa"/>
            <w:tcBorders>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28.052</w:t>
            </w:r>
          </w:p>
        </w:tc>
        <w:tc>
          <w:tcPr>
            <w:tcW w:w="1550" w:type="dxa"/>
            <w:tcBorders>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3.194</w:t>
            </w:r>
          </w:p>
        </w:tc>
        <w:tc>
          <w:tcPr>
            <w:tcW w:w="2020" w:type="dxa"/>
            <w:tcBorders>
              <w:left w:val="nil"/>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Xiying reservoir</w:t>
            </w:r>
          </w:p>
        </w:tc>
        <w:tc>
          <w:tcPr>
            <w:tcW w:w="1820" w:type="dxa"/>
            <w:tcBorders>
              <w:lef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17.84%</w:t>
            </w:r>
          </w:p>
        </w:tc>
      </w:tr>
      <w:tr>
        <w:tblPrEx>
          <w:tblBorders>
            <w:top w:val="single" w:color="auto" w:sz="4" w:space="0"/>
            <w:left w:val="none" w:color="auto" w:sz="0" w:space="0"/>
            <w:bottom w:val="single" w:color="auto" w:sz="4" w:space="0"/>
            <w:right w:val="none" w:color="auto" w:sz="0" w:space="0"/>
            <w:insideH w:val="none" w:color="auto" w:sz="0" w:space="0"/>
            <w:insideV w:val="single" w:color="auto" w:sz="4" w:space="0"/>
          </w:tblBorders>
          <w:tblCellMar>
            <w:top w:w="0" w:type="dxa"/>
            <w:left w:w="108" w:type="dxa"/>
            <w:bottom w:w="0" w:type="dxa"/>
            <w:right w:w="108" w:type="dxa"/>
          </w:tblCellMar>
        </w:tblPrEx>
        <w:trPr>
          <w:jc w:val="center"/>
        </w:trPr>
        <w:tc>
          <w:tcPr>
            <w:tcW w:w="1638" w:type="dxa"/>
            <w:tcBorders>
              <w:bottom w:val="single" w:color="auto" w:sz="4" w:space="0"/>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Zamu River</w:t>
            </w:r>
          </w:p>
        </w:tc>
        <w:tc>
          <w:tcPr>
            <w:tcW w:w="1370" w:type="dxa"/>
            <w:tcBorders>
              <w:left w:val="nil"/>
              <w:bottom w:val="single" w:color="auto" w:sz="4" w:space="0"/>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30.152</w:t>
            </w:r>
          </w:p>
        </w:tc>
        <w:tc>
          <w:tcPr>
            <w:tcW w:w="1550" w:type="dxa"/>
            <w:tcBorders>
              <w:left w:val="nil"/>
              <w:bottom w:val="single" w:color="auto" w:sz="4" w:space="0"/>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2.367</w:t>
            </w:r>
          </w:p>
        </w:tc>
        <w:tc>
          <w:tcPr>
            <w:tcW w:w="2020" w:type="dxa"/>
            <w:tcBorders>
              <w:left w:val="nil"/>
              <w:bottom w:val="single" w:color="auto" w:sz="4" w:space="0"/>
              <w:right w:val="nil"/>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none</w:t>
            </w:r>
          </w:p>
        </w:tc>
        <w:tc>
          <w:tcPr>
            <w:tcW w:w="1820" w:type="dxa"/>
            <w:tcBorders>
              <w:left w:val="nil"/>
              <w:bottom w:val="single" w:color="auto" w:sz="4" w:space="0"/>
            </w:tcBorders>
          </w:tcPr>
          <w:p>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15.69%</w:t>
            </w:r>
          </w:p>
        </w:tc>
      </w:tr>
    </w:tbl>
    <w:p>
      <w:pPr>
        <w:spacing w:line="360" w:lineRule="auto"/>
        <w:ind w:firstLine="480" w:firstLineChars="200"/>
        <w:rPr>
          <w:rFonts w:ascii="Times New Roman" w:hAnsi="Times New Roman" w:cs="Times New Roman"/>
          <w:sz w:val="24"/>
          <w:szCs w:val="24"/>
        </w:rPr>
      </w:pP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 xml:space="preserve">Due to different river characteristics, different rivers show different evaporation proportions(Table </w:t>
      </w:r>
      <w:r>
        <w:rPr>
          <w:rFonts w:hint="eastAsia" w:ascii="Times New Roman" w:hAnsi="Times New Roman" w:cs="Times New Roman"/>
          <w:sz w:val="24"/>
          <w:szCs w:val="24"/>
          <w:lang w:val="en-US" w:eastAsia="zh-CN"/>
        </w:rPr>
        <w:t>3</w:t>
      </w:r>
      <w:r>
        <w:rPr>
          <w:rFonts w:ascii="Times New Roman" w:hAnsi="Times New Roman" w:cs="Times New Roman"/>
          <w:sz w:val="24"/>
          <w:szCs w:val="24"/>
        </w:rPr>
        <w:t>). The distance between the first and last sampling points of the West River and the East River is similar (more than 50km), and the evaporation loss ratio is also similar, both of which are higher than 30%. Kinta River has the highest evaporation ratio, and the first and last sampling points of Kinta River are far apart, and some sampling points are located in Wuwei Basin in the middle of the river, so its evaporation loss is greater, about 40.40%. The distance between the first and last sampling points of Huangyang River and Jinta River is similar, but the evaporation ratio of Huangyang River is only 23.37%. The average annual runoff of Zamu River is 2.367, which is higher than that of Gulang River when the distance between the first and last sampling points is close, but the evaporation ratio of Gulang River is higher than that of Gulang River, which may be because the sampling points of Gulang River are more affected by reservoir evaporation. The evaporation ratio of Dajing River is the lowest, about 6.04%, but due to the limitation of sampling distance, the evaporation loss ratio of Dajing River is of little reference significance.</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0" distR="0">
            <wp:extent cx="5043805" cy="2048510"/>
            <wp:effectExtent l="0" t="0" r="635" b="8890"/>
            <wp:docPr id="18" name="图片 18" descr="D:\石羊河全流域采样\图例图表\自作图\图片\蒸发比例的距离.jpg蒸发比例的距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D:\石羊河全流域采样\图例图表\自作图\图片\蒸发比例的距离.jpg蒸发比例的距离"/>
                    <pic:cNvPicPr>
                      <a:picLocks noChangeAspect="1"/>
                    </pic:cNvPicPr>
                  </pic:nvPicPr>
                  <pic:blipFill>
                    <a:blip r:embed="rId11"/>
                    <a:srcRect/>
                    <a:stretch>
                      <a:fillRect/>
                    </a:stretch>
                  </pic:blipFill>
                  <pic:spPr>
                    <a:xfrm>
                      <a:off x="0" y="0"/>
                      <a:ext cx="5043805" cy="2048510"/>
                    </a:xfrm>
                    <a:prstGeom prst="rect">
                      <a:avLst/>
                    </a:prstGeom>
                  </pic:spPr>
                </pic:pic>
              </a:graphicData>
            </a:graphic>
          </wp:inline>
        </w:drawing>
      </w:r>
    </w:p>
    <w:p>
      <w:pPr>
        <w:spacing w:line="360" w:lineRule="auto"/>
        <w:ind w:firstLine="420" w:firstLineChars="200"/>
        <w:jc w:val="center"/>
        <w:rPr>
          <w:rFonts w:ascii="Times New Roman" w:hAnsi="Times New Roman" w:eastAsia="宋体" w:cs="Times New Roman"/>
          <w:szCs w:val="21"/>
        </w:rPr>
      </w:pPr>
      <w:r>
        <w:rPr>
          <w:rFonts w:ascii="Times New Roman" w:hAnsi="Times New Roman" w:eastAsia="宋体" w:cs="Times New Roman"/>
          <w:szCs w:val="21"/>
        </w:rPr>
        <w:t>Figure</w:t>
      </w:r>
      <w:r>
        <w:rPr>
          <w:rFonts w:hint="eastAsia" w:ascii="Times New Roman" w:hAnsi="Times New Roman" w:eastAsia="宋体" w:cs="Times New Roman"/>
          <w:szCs w:val="21"/>
        </w:rPr>
        <w:t xml:space="preserve"> </w:t>
      </w:r>
      <w:r>
        <w:rPr>
          <w:rFonts w:ascii="Times New Roman" w:hAnsi="Times New Roman" w:eastAsia="宋体" w:cs="Times New Roman"/>
          <w:szCs w:val="21"/>
        </w:rPr>
        <w:t>5 Change of evaporation ratio of four tributaries of Shiyang River (West River, East River, Yellow Sheep River and Kinta River). The red circle indicates that the sampling points did not follow the trend of increasing evaporation along the flow path. Horizontal headings indicating the distance between each sampling point and the westernmost sampling point along the flow path in each river.</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The excess deuterium and hydrogen oxygen isotopes in river water vary due to precipitation recharge, groundwater inflow, and cumulative evaporation loss from river water. Under the condition that evaporation is dominant, the isotopic composition increases linearly with the increase of distance along the channel (Wang et al., 2014). Among the factors that cause evaporation rates not to follow the increasing trend closely along the flow path, recharge is probably the most important influencing factor. The evaporation ratio increases along the flow path of the river, but it may be replenished by precipitation, and groundwater recharge makes the isotopic composition of a sampling point low, so the evaporation ratio of the river does not increase along the flow path. Since there is a lot of precipitation in this area around August, the precipitation should be used as the supply source of the river in the rainy season. During the dry season, groundwater recharge is a critical component in semi-arid regions.</w:t>
      </w:r>
    </w:p>
    <w:p>
      <w:pPr>
        <w:spacing w:line="360" w:lineRule="auto"/>
        <w:ind w:firstLine="480" w:firstLineChars="200"/>
        <w:rPr>
          <w:rFonts w:ascii="Times New Roman" w:hAnsi="Times New Roman" w:cs="Times New Roman"/>
          <w:sz w:val="24"/>
          <w:szCs w:val="24"/>
        </w:rPr>
      </w:pPr>
    </w:p>
    <w:p>
      <w:pPr>
        <w:spacing w:line="360" w:lineRule="auto"/>
        <w:rPr>
          <w:rFonts w:ascii="Times New Roman" w:hAnsi="Times New Roman" w:cs="Times New Roman"/>
          <w:sz w:val="28"/>
          <w:szCs w:val="28"/>
        </w:rPr>
      </w:pPr>
      <w:r>
        <w:rPr>
          <w:rFonts w:ascii="Times New Roman" w:hAnsi="Times New Roman" w:cs="Times New Roman"/>
          <w:sz w:val="28"/>
          <w:szCs w:val="28"/>
        </w:rPr>
        <w:t>4.2 Altitude effect</w:t>
      </w:r>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114300" distR="114300">
            <wp:extent cx="5267325" cy="3679825"/>
            <wp:effectExtent l="0" t="0" r="5715" b="8255"/>
            <wp:docPr id="1" name="图片 1" descr="D:\石羊河全流域采样\图例图表\自作图\图片\海拔效应11111.jpg海拔效应1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石羊河全流域采样\图例图表\自作图\图片\海拔效应11111.jpg海拔效应11111"/>
                    <pic:cNvPicPr>
                      <a:picLocks noChangeAspect="1"/>
                    </pic:cNvPicPr>
                  </pic:nvPicPr>
                  <pic:blipFill>
                    <a:blip r:embed="rId12"/>
                    <a:srcRect/>
                    <a:stretch>
                      <a:fillRect/>
                    </a:stretch>
                  </pic:blipFill>
                  <pic:spPr>
                    <a:xfrm>
                      <a:off x="0" y="0"/>
                      <a:ext cx="5267325" cy="3679825"/>
                    </a:xfrm>
                    <a:prstGeom prst="rect">
                      <a:avLst/>
                    </a:prstGeom>
                  </pic:spPr>
                </pic:pic>
              </a:graphicData>
            </a:graphic>
          </wp:inline>
        </w:drawing>
      </w:r>
    </w:p>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Figure 6 Eight tributaries of Shiyang River (DJ: Dajing River; DD: East River; GL: Gulang River; JT: The Kinta River; XD: West River; XY: Xiying River; ZM: Chamu River; HY: Huangyang River) and the altitude effect of δ</w:t>
      </w:r>
      <w:r>
        <w:rPr>
          <w:rFonts w:ascii="Times New Roman" w:hAnsi="Times New Roman" w:eastAsia="宋体" w:cs="Times New Roman"/>
          <w:szCs w:val="21"/>
          <w:vertAlign w:val="superscript"/>
        </w:rPr>
        <w:t>18</w:t>
      </w:r>
      <w:r>
        <w:rPr>
          <w:rFonts w:ascii="Times New Roman" w:hAnsi="Times New Roman" w:eastAsia="宋体" w:cs="Times New Roman"/>
          <w:szCs w:val="21"/>
        </w:rPr>
        <w:t>O, δD in the main stream river</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The phenomenon that δ</w:t>
      </w:r>
      <w:r>
        <w:rPr>
          <w:rFonts w:ascii="Times New Roman" w:hAnsi="Times New Roman" w:cs="Times New Roman"/>
          <w:sz w:val="24"/>
          <w:szCs w:val="24"/>
          <w:vertAlign w:val="superscript"/>
        </w:rPr>
        <w:t>18</w:t>
      </w:r>
      <w:r>
        <w:rPr>
          <w:rFonts w:ascii="Times New Roman" w:hAnsi="Times New Roman" w:cs="Times New Roman"/>
          <w:sz w:val="24"/>
          <w:szCs w:val="24"/>
        </w:rPr>
        <w:t xml:space="preserve">O and δD values in water gradually decrease with the increase of altitude is the "altitude effect" of stable isotopes of hydrogen and oxygen. In order to better analyze the relationship between hydrogen and oxygen stable isotopes of Shiyang River water and altitude, the sample data of Shiyang River water were divided into two groups(FIG. </w:t>
      </w:r>
      <w:r>
        <w:rPr>
          <w:rFonts w:hint="eastAsia" w:ascii="Times New Roman" w:hAnsi="Times New Roman" w:cs="Times New Roman"/>
          <w:sz w:val="24"/>
          <w:szCs w:val="24"/>
          <w:lang w:val="en-US" w:eastAsia="zh-CN"/>
        </w:rPr>
        <w:t>6</w:t>
      </w:r>
      <w:r>
        <w:rPr>
          <w:rFonts w:ascii="Times New Roman" w:hAnsi="Times New Roman" w:cs="Times New Roman"/>
          <w:sz w:val="24"/>
          <w:szCs w:val="24"/>
        </w:rPr>
        <w:t>). The first group was set in the range of altitude greater than 1500m. The region has steep terrain, and the stable isotope values of hydrogen and oxygen in the river water showed a significant "altitude effect". The δ</w:t>
      </w:r>
      <w:r>
        <w:rPr>
          <w:rFonts w:ascii="Times New Roman" w:hAnsi="Times New Roman" w:cs="Times New Roman"/>
          <w:sz w:val="24"/>
          <w:szCs w:val="24"/>
          <w:vertAlign w:val="superscript"/>
        </w:rPr>
        <w:t>18</w:t>
      </w:r>
      <w:r>
        <w:rPr>
          <w:rFonts w:ascii="Times New Roman" w:hAnsi="Times New Roman" w:cs="Times New Roman"/>
          <w:sz w:val="24"/>
          <w:szCs w:val="24"/>
        </w:rPr>
        <w:t>O values of Dongdahe River, Gulang River, Huangyang River, Xiying River, Xidahe River, Zamu River and Jinta River decrease with altitude in the order of -0.7‰/km, -0.4‰/km, -0.4‰/km, -0.5‰/km, -0.4‰/km, -0.2‰/km and -0.6‰/km. δD value with/km -4.6‰, respectively -2.9/km, -2.6/km, -3.5‰/km, -3.4/km, -1.4‰/km and a rate of about 4.1‰/km - with the lower altitude. The second group is set in the range below 1500m above sea level, that is, the middle and lower reaches of the river, where the terrain is relatively flat and open. It can be seen that the stable isotope values δ</w:t>
      </w:r>
      <w:r>
        <w:rPr>
          <w:rFonts w:ascii="Times New Roman" w:hAnsi="Times New Roman" w:cs="Times New Roman"/>
          <w:sz w:val="24"/>
          <w:szCs w:val="24"/>
          <w:vertAlign w:val="superscript"/>
        </w:rPr>
        <w:t>18</w:t>
      </w:r>
      <w:r>
        <w:rPr>
          <w:rFonts w:ascii="Times New Roman" w:hAnsi="Times New Roman" w:cs="Times New Roman"/>
          <w:sz w:val="24"/>
          <w:szCs w:val="24"/>
        </w:rPr>
        <w:t>O and δD of the Shiyang River show a significant negative correlation with the altitude, with a slope of −11‰/km, showing a significant "altitude effect". According to the precipitation data of two meteorological stations (Binggou and Caiqi) in Shiyang River basin, the precipitation elevation gradient of δ</w:t>
      </w:r>
      <w:r>
        <w:rPr>
          <w:rFonts w:ascii="Times New Roman" w:hAnsi="Times New Roman" w:cs="Times New Roman"/>
          <w:sz w:val="24"/>
          <w:szCs w:val="24"/>
          <w:vertAlign w:val="superscript"/>
        </w:rPr>
        <w:t>18</w:t>
      </w:r>
      <w:r>
        <w:rPr>
          <w:rFonts w:ascii="Times New Roman" w:hAnsi="Times New Roman" w:cs="Times New Roman"/>
          <w:sz w:val="24"/>
          <w:szCs w:val="24"/>
        </w:rPr>
        <w:t>O value in Shiyang River is 1.66‰/km. The δ</w:t>
      </w:r>
      <w:r>
        <w:rPr>
          <w:rFonts w:ascii="Times New Roman" w:hAnsi="Times New Roman" w:cs="Times New Roman"/>
          <w:sz w:val="24"/>
          <w:szCs w:val="24"/>
          <w:vertAlign w:val="superscript"/>
        </w:rPr>
        <w:t>18</w:t>
      </w:r>
      <w:r>
        <w:rPr>
          <w:rFonts w:ascii="Times New Roman" w:hAnsi="Times New Roman" w:cs="Times New Roman"/>
          <w:sz w:val="24"/>
          <w:szCs w:val="24"/>
        </w:rPr>
        <w:t>O gradient values of the tributaries of the Shiyang River are all lower than the global precipitation δ</w:t>
      </w:r>
      <w:r>
        <w:rPr>
          <w:rFonts w:ascii="Times New Roman" w:hAnsi="Times New Roman" w:cs="Times New Roman"/>
          <w:sz w:val="24"/>
          <w:szCs w:val="24"/>
          <w:vertAlign w:val="superscript"/>
        </w:rPr>
        <w:t>18</w:t>
      </w:r>
      <w:r>
        <w:rPr>
          <w:rFonts w:ascii="Times New Roman" w:hAnsi="Times New Roman" w:cs="Times New Roman"/>
          <w:sz w:val="24"/>
          <w:szCs w:val="24"/>
        </w:rPr>
        <w:t>O gradient values (2.8‰/km) and lower than the precipitation elevation gradient values of the Shiyang River basin, while the δ</w:t>
      </w:r>
      <w:r>
        <w:rPr>
          <w:rFonts w:ascii="Times New Roman" w:hAnsi="Times New Roman" w:cs="Times New Roman"/>
          <w:sz w:val="24"/>
          <w:szCs w:val="24"/>
          <w:vertAlign w:val="superscript"/>
        </w:rPr>
        <w:t>18</w:t>
      </w:r>
      <w:r>
        <w:rPr>
          <w:rFonts w:ascii="Times New Roman" w:hAnsi="Times New Roman" w:cs="Times New Roman"/>
          <w:sz w:val="24"/>
          <w:szCs w:val="24"/>
        </w:rPr>
        <w:t>O gradient values of the main stream of the Shiyang River are greater than the δ</w:t>
      </w:r>
      <w:r>
        <w:rPr>
          <w:rFonts w:ascii="Times New Roman" w:hAnsi="Times New Roman" w:cs="Times New Roman"/>
          <w:sz w:val="24"/>
          <w:szCs w:val="24"/>
          <w:vertAlign w:val="superscript"/>
        </w:rPr>
        <w:t>18</w:t>
      </w:r>
      <w:r>
        <w:rPr>
          <w:rFonts w:ascii="Times New Roman" w:hAnsi="Times New Roman" w:cs="Times New Roman"/>
          <w:sz w:val="24"/>
          <w:szCs w:val="24"/>
        </w:rPr>
        <w:t>O precipitation gradient values of the main stream of the Shiyang River, indicating that the tributaries are greatly affected by precipitation, and the main stream water is mainly fed by the precipitation of the upstream tributaries. And is affected by strong evaporation.</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Generally speaking, precipitation and river water from the same water vapor source have a higher elevation effect (Holdsworth G et al., 2002). The δ</w:t>
      </w:r>
      <w:r>
        <w:rPr>
          <w:rFonts w:ascii="Times New Roman" w:hAnsi="Times New Roman" w:cs="Times New Roman"/>
          <w:sz w:val="24"/>
          <w:szCs w:val="24"/>
          <w:vertAlign w:val="superscript"/>
        </w:rPr>
        <w:t>18</w:t>
      </w:r>
      <w:r>
        <w:rPr>
          <w:rFonts w:ascii="Times New Roman" w:hAnsi="Times New Roman" w:cs="Times New Roman"/>
          <w:sz w:val="24"/>
          <w:szCs w:val="24"/>
        </w:rPr>
        <w:t>O and δD values of precipitation always decrease gradually with the increase of altitude (Rozanski et al., 1993; Gat et al., 1996; Ren et al., 2016). However, the eight tributaries of Shiyang River basin all show obvious elevation effect, which indicates that the main source of river water in the whole basin is precipitation, and there may be meltwater recharge and groundwater recharge.</w:t>
      </w:r>
    </w:p>
    <w:p>
      <w:pPr>
        <w:spacing w:line="360" w:lineRule="auto"/>
        <w:rPr>
          <w:rFonts w:ascii="Times New Roman" w:hAnsi="Times New Roman" w:cs="Times New Roman"/>
          <w:sz w:val="28"/>
          <w:szCs w:val="28"/>
        </w:rPr>
      </w:pPr>
      <w:r>
        <w:rPr>
          <w:rFonts w:ascii="Times New Roman" w:hAnsi="Times New Roman" w:cs="Times New Roman"/>
          <w:sz w:val="28"/>
          <w:szCs w:val="28"/>
        </w:rPr>
        <w:t>4.3 Human Activities</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With the development of society, human's demand for water resources and hydropower resources is increasing day by day, which accelerates the development and utilization of rivers, and the construction of water conservancy projects is developing rapidly. Currently, about 70 percent of the world's rivers are covered Dam interception (Li et al., 2020). At present, 15 large reservoirs have been built in the whole basin of Shiyang River, among which Hongyashan reservoir in the lower reaches is the most famous. In the water samples collected from the reservoir area, the hydrogen and oxygen isotope values of the water body in front and behind the dam have changed. In the middle and lower reaches, irrigation drainage and reservoir leakage also affect the variation of isotope values.</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0" distR="0">
            <wp:extent cx="5270500" cy="3609340"/>
            <wp:effectExtent l="0" t="0" r="2540" b="2540"/>
            <wp:docPr id="3" name="图片 3" descr="D:\石羊河全流域采样\图例图表\自作图\图片\水库.PNG水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石羊河全流域采样\图例图表\自作图\图片\水库.PNG水库"/>
                    <pic:cNvPicPr>
                      <a:picLocks noChangeAspect="1"/>
                    </pic:cNvPicPr>
                  </pic:nvPicPr>
                  <pic:blipFill>
                    <a:blip r:embed="rId13"/>
                    <a:srcRect/>
                    <a:stretch>
                      <a:fillRect/>
                    </a:stretch>
                  </pic:blipFill>
                  <pic:spPr>
                    <a:xfrm>
                      <a:off x="0" y="0"/>
                      <a:ext cx="5270500" cy="3609340"/>
                    </a:xfrm>
                    <a:prstGeom prst="rect">
                      <a:avLst/>
                    </a:prstGeom>
                  </pic:spPr>
                </pic:pic>
              </a:graphicData>
            </a:graphic>
          </wp:inline>
        </w:drawing>
      </w:r>
    </w:p>
    <w:p>
      <w:pPr>
        <w:spacing w:line="360" w:lineRule="auto"/>
        <w:ind w:firstLine="420" w:firstLineChars="200"/>
        <w:jc w:val="center"/>
        <w:rPr>
          <w:rFonts w:ascii="Times New Roman" w:hAnsi="Times New Roman" w:eastAsia="宋体" w:cs="Times New Roman"/>
          <w:szCs w:val="21"/>
        </w:rPr>
      </w:pPr>
      <w:r>
        <w:rPr>
          <w:rFonts w:ascii="Times New Roman" w:hAnsi="Times New Roman" w:eastAsia="宋体" w:cs="Times New Roman"/>
          <w:szCs w:val="21"/>
        </w:rPr>
        <w:t>Figure 7 Variation of δ</w:t>
      </w:r>
      <w:r>
        <w:rPr>
          <w:rFonts w:ascii="Times New Roman" w:hAnsi="Times New Roman" w:eastAsia="宋体" w:cs="Times New Roman"/>
          <w:szCs w:val="21"/>
          <w:vertAlign w:val="superscript"/>
        </w:rPr>
        <w:t>18</w:t>
      </w:r>
      <w:r>
        <w:rPr>
          <w:rFonts w:ascii="Times New Roman" w:hAnsi="Times New Roman" w:eastAsia="宋体" w:cs="Times New Roman"/>
          <w:szCs w:val="21"/>
        </w:rPr>
        <w:t>O of Jinta River, one of the main stream and tributaries of Shiyang River, along the distance (including Nanying Reservoir and Hongyashan Reservoir)</w:t>
      </w:r>
    </w:p>
    <w:p>
      <w:pPr>
        <w:spacing w:line="360" w:lineRule="auto"/>
        <w:ind w:firstLine="480" w:firstLineChars="200"/>
        <w:rPr>
          <w:rFonts w:ascii="Times New Roman" w:hAnsi="Times New Roman" w:cs="Times New Roman"/>
          <w:sz w:val="24"/>
          <w:szCs w:val="24"/>
        </w:rPr>
      </w:pPr>
      <w:r>
        <w:rPr>
          <w:rFonts w:ascii="Times New Roman" w:hAnsi="Times New Roman" w:cs="Times New Roman"/>
          <w:sz w:val="24"/>
          <w:szCs w:val="24"/>
        </w:rPr>
        <w:t>Based on the average δ</w:t>
      </w:r>
      <w:r>
        <w:rPr>
          <w:rFonts w:ascii="Times New Roman" w:hAnsi="Times New Roman" w:cs="Times New Roman"/>
          <w:sz w:val="24"/>
          <w:szCs w:val="24"/>
          <w:vertAlign w:val="superscript"/>
        </w:rPr>
        <w:t>18</w:t>
      </w:r>
      <w:r>
        <w:rPr>
          <w:rFonts w:ascii="Times New Roman" w:hAnsi="Times New Roman" w:cs="Times New Roman"/>
          <w:sz w:val="24"/>
          <w:szCs w:val="24"/>
        </w:rPr>
        <w:t>O values of 66 water samples from the four sampling points of Nanying Reservoir and Hongyashan Reservoir during the 2019-2020 rainy season, the δ</w:t>
      </w:r>
      <w:r>
        <w:rPr>
          <w:rFonts w:ascii="Times New Roman" w:hAnsi="Times New Roman" w:cs="Times New Roman"/>
          <w:sz w:val="24"/>
          <w:szCs w:val="24"/>
          <w:vertAlign w:val="superscript"/>
        </w:rPr>
        <w:t>18</w:t>
      </w:r>
      <w:r>
        <w:rPr>
          <w:rFonts w:ascii="Times New Roman" w:hAnsi="Times New Roman" w:cs="Times New Roman"/>
          <w:sz w:val="24"/>
          <w:szCs w:val="24"/>
        </w:rPr>
        <w:t>O values of Nanying Reservoir increased by 5.87‰ for every 100km increase of water along the dam, and δ</w:t>
      </w:r>
      <w:r>
        <w:rPr>
          <w:rFonts w:ascii="Times New Roman" w:hAnsi="Times New Roman" w:cs="Times New Roman"/>
          <w:sz w:val="24"/>
          <w:szCs w:val="24"/>
          <w:vertAlign w:val="superscript"/>
        </w:rPr>
        <w:t>18</w:t>
      </w:r>
      <w:r>
        <w:rPr>
          <w:rFonts w:ascii="Times New Roman" w:hAnsi="Times New Roman" w:cs="Times New Roman"/>
          <w:sz w:val="24"/>
          <w:szCs w:val="24"/>
        </w:rPr>
        <w:t>O values increased by 7.79‰ for every 100km increase along the dam of Hongyashan Reservoir (FIG.7). The change rate is obviously higher than that of Kinta River and main stream. It is obvious that the variation trend of hydrogen and oxygen isotope composition in all water bodies is the same along the flow direction of the river, and the isotopic value of the water in the reservoir changes more strongly. The average annual runoff of Hongyashan Reservoir is about 217.4 million m</w:t>
      </w:r>
      <w:r>
        <w:rPr>
          <w:rFonts w:ascii="Times New Roman" w:hAnsi="Times New Roman" w:cs="Times New Roman"/>
          <w:sz w:val="24"/>
          <w:szCs w:val="24"/>
          <w:vertAlign w:val="superscript"/>
        </w:rPr>
        <w:t>3</w:t>
      </w:r>
      <w:r>
        <w:rPr>
          <w:rFonts w:ascii="Times New Roman" w:hAnsi="Times New Roman" w:cs="Times New Roman"/>
          <w:sz w:val="24"/>
          <w:szCs w:val="24"/>
        </w:rPr>
        <w:t>, and the evaporation loss is nearly 9.67%, with a loss of 21.226 million m</w:t>
      </w:r>
      <w:r>
        <w:rPr>
          <w:rFonts w:ascii="Times New Roman" w:hAnsi="Times New Roman" w:cs="Times New Roman"/>
          <w:sz w:val="24"/>
          <w:szCs w:val="24"/>
          <w:vertAlign w:val="superscript"/>
        </w:rPr>
        <w:t>3</w:t>
      </w:r>
      <w:r>
        <w:rPr>
          <w:rFonts w:ascii="Times New Roman" w:hAnsi="Times New Roman" w:cs="Times New Roman"/>
          <w:sz w:val="24"/>
          <w:szCs w:val="24"/>
        </w:rPr>
        <w:t xml:space="preserve"> and an excess loss of 17.354 million m</w:t>
      </w:r>
      <w:r>
        <w:rPr>
          <w:rFonts w:ascii="Times New Roman" w:hAnsi="Times New Roman" w:cs="Times New Roman"/>
          <w:sz w:val="24"/>
          <w:szCs w:val="24"/>
          <w:vertAlign w:val="superscript"/>
        </w:rPr>
        <w:t>3</w:t>
      </w:r>
      <w:r>
        <w:rPr>
          <w:rFonts w:ascii="Times New Roman" w:hAnsi="Times New Roman" w:cs="Times New Roman"/>
          <w:sz w:val="24"/>
          <w:szCs w:val="24"/>
        </w:rPr>
        <w:t>. The reservoir covers an area of 30 square kilometers, and nearly 67.75mm of reservoir water is evaporated. The average annual runoff of Nanying Reservoir is 121.1 million m</w:t>
      </w:r>
      <w:r>
        <w:rPr>
          <w:rFonts w:ascii="Times New Roman" w:hAnsi="Times New Roman" w:cs="Times New Roman"/>
          <w:sz w:val="24"/>
          <w:szCs w:val="24"/>
          <w:vertAlign w:val="superscript"/>
        </w:rPr>
        <w:t>3</w:t>
      </w:r>
      <w:r>
        <w:rPr>
          <w:rFonts w:ascii="Times New Roman" w:hAnsi="Times New Roman" w:cs="Times New Roman"/>
          <w:sz w:val="24"/>
          <w:szCs w:val="24"/>
        </w:rPr>
        <w:t>, and the evaporation loss is nearly 1.353%, with a loss of 1.638,500 m</w:t>
      </w:r>
      <w:r>
        <w:rPr>
          <w:rFonts w:ascii="Times New Roman" w:hAnsi="Times New Roman" w:cs="Times New Roman"/>
          <w:sz w:val="24"/>
          <w:szCs w:val="24"/>
          <w:vertAlign w:val="superscript"/>
        </w:rPr>
        <w:t>3</w:t>
      </w:r>
      <w:r>
        <w:rPr>
          <w:rFonts w:ascii="Times New Roman" w:hAnsi="Times New Roman" w:cs="Times New Roman"/>
          <w:sz w:val="24"/>
          <w:szCs w:val="24"/>
        </w:rPr>
        <w:t xml:space="preserve"> and an excess loss of 1.264,500 m</w:t>
      </w:r>
      <w:r>
        <w:rPr>
          <w:rFonts w:ascii="Times New Roman" w:hAnsi="Times New Roman" w:cs="Times New Roman"/>
          <w:sz w:val="24"/>
          <w:szCs w:val="24"/>
          <w:vertAlign w:val="superscript"/>
        </w:rPr>
        <w:t>3</w:t>
      </w:r>
      <w:r>
        <w:rPr>
          <w:rFonts w:ascii="Times New Roman" w:hAnsi="Times New Roman" w:cs="Times New Roman"/>
          <w:sz w:val="24"/>
          <w:szCs w:val="24"/>
        </w:rPr>
        <w:t>. The reservoir area is 0.36 square kilometers, and nearly 4.53mm of reservoir water is evaporated. The reason for this situation may be that the hydrogen and oxygen isotope composition of river water is to some extent affected by the action of reservoir. The main reason is that the flow rate of river slows down due to the interception effect of reservoir, the retention time of water body is prolonged and other hydraulic conditions change, which makes the evaporation time longer and the degree of hydrogen and oxygen isotope fractionation in water body is relatively high, resulting in the relative bias of water body in reservoir. Evaporation loss is also greater.</w:t>
      </w:r>
    </w:p>
    <w:p>
      <w:pPr>
        <w:spacing w:line="360" w:lineRule="auto"/>
        <w:rPr>
          <w:rFonts w:ascii="Times New Roman" w:hAnsi="Times New Roman" w:cs="Times New Roman"/>
          <w:sz w:val="28"/>
          <w:szCs w:val="28"/>
        </w:rPr>
      </w:pPr>
      <w:r>
        <w:rPr>
          <w:rFonts w:ascii="Times New Roman" w:hAnsi="Times New Roman" w:cs="Times New Roman"/>
          <w:sz w:val="28"/>
          <w:szCs w:val="28"/>
        </w:rPr>
        <w:t>5 Conclusions</w:t>
      </w:r>
    </w:p>
    <w:p>
      <w:pPr>
        <w:spacing w:line="360" w:lineRule="auto"/>
        <w:ind w:firstLine="480" w:firstLineChars="200"/>
      </w:pPr>
      <w:r>
        <w:rPr>
          <w:rFonts w:ascii="Times New Roman" w:hAnsi="Times New Roman" w:cs="Times New Roman"/>
          <w:sz w:val="24"/>
          <w:szCs w:val="24"/>
        </w:rPr>
        <w:t>Based on the test results of δD and δ</w:t>
      </w:r>
      <w:r>
        <w:rPr>
          <w:rFonts w:ascii="Times New Roman" w:hAnsi="Times New Roman" w:cs="Times New Roman"/>
          <w:sz w:val="24"/>
          <w:szCs w:val="24"/>
          <w:vertAlign w:val="superscript"/>
        </w:rPr>
        <w:t>18</w:t>
      </w:r>
      <w:r>
        <w:rPr>
          <w:rFonts w:ascii="Times New Roman" w:hAnsi="Times New Roman" w:cs="Times New Roman"/>
          <w:sz w:val="24"/>
          <w:szCs w:val="24"/>
        </w:rPr>
        <w:t>O of precipitation and river water samples collected in Shiyang River Basin in August 2020, the temporal and spatial distribution characteristics of stable isotopes in river water during rainy period in the study area were analyzed. During the whole observation period, the isotopic variation of river water is relatively small, and the isotopic variation of precipitation is large, and the slope of river water and precipitation line is similar. The relationship between δD and δ</w:t>
      </w:r>
      <w:r>
        <w:rPr>
          <w:rFonts w:ascii="Times New Roman" w:hAnsi="Times New Roman" w:cs="Times New Roman"/>
          <w:sz w:val="24"/>
          <w:szCs w:val="24"/>
          <w:vertAlign w:val="superscript"/>
        </w:rPr>
        <w:t>18</w:t>
      </w:r>
      <w:r>
        <w:rPr>
          <w:rFonts w:ascii="Times New Roman" w:hAnsi="Times New Roman" w:cs="Times New Roman"/>
          <w:sz w:val="24"/>
          <w:szCs w:val="24"/>
        </w:rPr>
        <w:t>O of river water is δD= 6.74δ</w:t>
      </w:r>
      <w:r>
        <w:rPr>
          <w:rFonts w:ascii="Times New Roman" w:hAnsi="Times New Roman" w:cs="Times New Roman"/>
          <w:sz w:val="24"/>
          <w:szCs w:val="24"/>
          <w:vertAlign w:val="superscript"/>
        </w:rPr>
        <w:t>18</w:t>
      </w:r>
      <w:r>
        <w:rPr>
          <w:rFonts w:ascii="Times New Roman" w:hAnsi="Times New Roman" w:cs="Times New Roman"/>
          <w:sz w:val="24"/>
          <w:szCs w:val="24"/>
        </w:rPr>
        <w:t>O-2.66 (R</w:t>
      </w:r>
      <w:r>
        <w:rPr>
          <w:rFonts w:ascii="Times New Roman" w:hAnsi="Times New Roman" w:cs="Times New Roman"/>
          <w:sz w:val="24"/>
          <w:szCs w:val="24"/>
          <w:vertAlign w:val="superscript"/>
        </w:rPr>
        <w:t>2</w:t>
      </w:r>
      <w:r>
        <w:rPr>
          <w:rFonts w:ascii="Times New Roman" w:hAnsi="Times New Roman" w:cs="Times New Roman"/>
          <w:sz w:val="24"/>
          <w:szCs w:val="24"/>
        </w:rPr>
        <w:t>=0.93), and the slope and intercept of river water are smaller than the global atmospheric precipitation line, indicating that the river water has been recharged by precipitation. The δD and δ</w:t>
      </w:r>
      <w:r>
        <w:rPr>
          <w:rFonts w:ascii="Times New Roman" w:hAnsi="Times New Roman" w:cs="Times New Roman"/>
          <w:sz w:val="24"/>
          <w:szCs w:val="24"/>
          <w:vertAlign w:val="superscript"/>
        </w:rPr>
        <w:t>18</w:t>
      </w:r>
      <w:r>
        <w:rPr>
          <w:rFonts w:ascii="Times New Roman" w:hAnsi="Times New Roman" w:cs="Times New Roman"/>
          <w:sz w:val="24"/>
          <w:szCs w:val="24"/>
        </w:rPr>
        <w:t>O values of the eight tributaries of Shiyang River generally decrease along the distance, and the d-excess values increase along the distance. The isotopic variation trend of the main stream river is the same with that of the tributaries river. There are many factors affecting the change of the river along the main tributaries of Shiyang River. The river water of the main tributaries has undergone different degrees of evaporation fractionation, showing different evaporation proportions. The main stream of Shiyang River is the most affected by evaporation, followed by Jinta River, and the Zamu River is the least affected by evaporation, and the results of evaporation loss of Dajing River are of little reference significance because of the sampling point. The altitude effects of δD and δ</w:t>
      </w:r>
      <w:r>
        <w:rPr>
          <w:rFonts w:ascii="Times New Roman" w:hAnsi="Times New Roman" w:cs="Times New Roman"/>
          <w:sz w:val="24"/>
          <w:szCs w:val="24"/>
          <w:vertAlign w:val="superscript"/>
        </w:rPr>
        <w:t>18</w:t>
      </w:r>
      <w:r>
        <w:rPr>
          <w:rFonts w:ascii="Times New Roman" w:hAnsi="Times New Roman" w:cs="Times New Roman"/>
          <w:sz w:val="24"/>
          <w:szCs w:val="24"/>
        </w:rPr>
        <w:t>O are significant in the main stream and tributaries of Shiyang River. The δ</w:t>
      </w:r>
      <w:r>
        <w:rPr>
          <w:rFonts w:ascii="Times New Roman" w:hAnsi="Times New Roman" w:cs="Times New Roman"/>
          <w:sz w:val="24"/>
          <w:szCs w:val="24"/>
          <w:vertAlign w:val="superscript"/>
        </w:rPr>
        <w:t>18</w:t>
      </w:r>
      <w:r>
        <w:rPr>
          <w:rFonts w:ascii="Times New Roman" w:hAnsi="Times New Roman" w:cs="Times New Roman"/>
          <w:sz w:val="24"/>
          <w:szCs w:val="24"/>
        </w:rPr>
        <w:t>O altitude gradient line of precipitation is 1.66‰/km, the δ</w:t>
      </w:r>
      <w:r>
        <w:rPr>
          <w:rFonts w:ascii="Times New Roman" w:hAnsi="Times New Roman" w:cs="Times New Roman"/>
          <w:sz w:val="24"/>
          <w:szCs w:val="24"/>
          <w:vertAlign w:val="superscript"/>
        </w:rPr>
        <w:t>18</w:t>
      </w:r>
      <w:r>
        <w:rPr>
          <w:rFonts w:ascii="Times New Roman" w:hAnsi="Times New Roman" w:cs="Times New Roman"/>
          <w:sz w:val="24"/>
          <w:szCs w:val="24"/>
        </w:rPr>
        <w:t>O gradient value of tributaries is smaller than the precipitation altitude gradient, smaller than the global precipitation altitude gradient, and the δ</w:t>
      </w:r>
      <w:r>
        <w:rPr>
          <w:rFonts w:ascii="Times New Roman" w:hAnsi="Times New Roman" w:cs="Times New Roman"/>
          <w:sz w:val="24"/>
          <w:szCs w:val="24"/>
          <w:vertAlign w:val="superscript"/>
        </w:rPr>
        <w:t>18</w:t>
      </w:r>
      <w:r>
        <w:rPr>
          <w:rFonts w:ascii="Times New Roman" w:hAnsi="Times New Roman" w:cs="Times New Roman"/>
          <w:sz w:val="24"/>
          <w:szCs w:val="24"/>
        </w:rPr>
        <w:t>O gradient value of main stream is larger than the precipitation altitude gradient. It is suggested that the elevation effect and evaporation effect may be the main factors affecting the isotope accumulation along the river water of Shiyang River. The results show that the hydrological process in arid and semi-arid areas can be further studied by monitoring the characteristics of stable isotope changes of river water in the basin, and provide theoretical basis for rational utilization of water resources in arid mountain areas.</w:t>
      </w:r>
    </w:p>
    <w:p>
      <w:pPr>
        <w:wordWrap w:val="0"/>
        <w:rPr>
          <w:rFonts w:ascii="Times New Roman" w:hAnsi="Times New Roman" w:cs="Times New Roman"/>
          <w:sz w:val="24"/>
          <w:szCs w:val="24"/>
        </w:rPr>
      </w:pPr>
    </w:p>
    <w:p>
      <w:pPr>
        <w:wordWrap w:val="0"/>
      </w:pPr>
    </w:p>
    <w:p>
      <w:pPr>
        <w:rPr>
          <w:rFonts w:ascii="Times New Roman" w:hAnsi="Times New Roman" w:cs="Times New Roman"/>
          <w:sz w:val="28"/>
          <w:szCs w:val="28"/>
        </w:rPr>
      </w:pPr>
      <w:r>
        <w:rPr>
          <w:rFonts w:ascii="Times New Roman" w:hAnsi="Times New Roman" w:cs="Times New Roman"/>
          <w:sz w:val="28"/>
          <w:szCs w:val="28"/>
        </w:rPr>
        <w:t>reference</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Adelana, S. M. A. (2005). Environmental isotopes in hydrogeology. John Wiley &amp; Sons, Inc.</w:t>
      </w:r>
      <w:r>
        <w:rPr>
          <w:rFonts w:ascii="Times New Roman" w:hAnsi="Times New Roman" w:eastAsia="宋体"/>
          <w:sz w:val="18"/>
          <w:szCs w:val="24"/>
        </w:rPr>
        <w:t>https://doi.org/10.1002/047147844X.gw211</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A, H. W. , B, F. S. , C, J. L. , A, Y. Z. , D, J. Z. , &amp; A, C. F. . Surface water isoscapes (</w:t>
      </w:r>
      <w:r>
        <w:rPr>
          <w:rFonts w:ascii="Times New Roman" w:hAnsi="Times New Roman" w:eastAsia="宋体" w:cs="Times New Roman"/>
          <w:sz w:val="18"/>
          <w:szCs w:val="24"/>
        </w:rPr>
        <w:t>δ</w:t>
      </w:r>
      <w:r>
        <w:rPr>
          <w:rFonts w:ascii="Times New Roman" w:hAnsi="Times New Roman" w:eastAsia="宋体" w:cs="Times New Roman"/>
          <w:sz w:val="18"/>
          <w:szCs w:val="24"/>
          <w:vertAlign w:val="superscript"/>
        </w:rPr>
        <w:t>18</w:t>
      </w:r>
      <w:r>
        <w:rPr>
          <w:rFonts w:hint="eastAsia" w:ascii="Times New Roman" w:hAnsi="Times New Roman" w:eastAsia="宋体" w:cs="Times New Roman"/>
          <w:sz w:val="18"/>
          <w:szCs w:val="24"/>
        </w:rPr>
        <w:t>O</w:t>
      </w:r>
      <w:r>
        <w:rPr>
          <w:rFonts w:ascii="Times New Roman" w:hAnsi="Times New Roman" w:eastAsia="宋体" w:cs="Times New Roman"/>
          <w:sz w:val="18"/>
          <w:szCs w:val="24"/>
        </w:rPr>
        <w:t xml:space="preserve"> and δ</w:t>
      </w:r>
      <w:r>
        <w:rPr>
          <w:rFonts w:ascii="Times New Roman" w:hAnsi="Times New Roman" w:eastAsia="宋体" w:cs="Times New Roman"/>
          <w:sz w:val="18"/>
          <w:szCs w:val="24"/>
          <w:vertAlign w:val="superscript"/>
        </w:rPr>
        <w:t>2</w:t>
      </w:r>
      <w:r>
        <w:rPr>
          <w:rFonts w:hint="eastAsia" w:ascii="Times New Roman" w:hAnsi="Times New Roman" w:eastAsia="宋体" w:cs="Times New Roman"/>
          <w:sz w:val="18"/>
          <w:szCs w:val="24"/>
        </w:rPr>
        <w:t>H</w:t>
      </w:r>
      <w:r>
        <w:rPr>
          <w:rFonts w:hint="eastAsia" w:ascii="Times New Roman" w:hAnsi="Times New Roman" w:eastAsia="宋体"/>
          <w:sz w:val="18"/>
          <w:szCs w:val="24"/>
        </w:rPr>
        <w:t>) reveal dual effects of damming and drought on the yangtze river water cycles. Journal of Hydrology, 610.</w:t>
      </w:r>
      <w:r>
        <w:fldChar w:fldCharType="begin"/>
      </w:r>
      <w:r>
        <w:instrText xml:space="preserve"> HYPERLINK "https://doi.org/10.1016/j.jhydrol.2022.127847" \t "https://www.sciencedirect.com/science/article/pii/_blank" \o "Persistent link using digital object identifier" </w:instrText>
      </w:r>
      <w:r>
        <w:fldChar w:fldCharType="separate"/>
      </w:r>
      <w:r>
        <w:rPr>
          <w:rFonts w:ascii="Times New Roman" w:hAnsi="Times New Roman" w:eastAsia="宋体"/>
          <w:sz w:val="18"/>
          <w:szCs w:val="24"/>
        </w:rPr>
        <w:t>https://doi.org/10.1016/j.jhydrol.2022.127847</w:t>
      </w:r>
      <w:r>
        <w:rPr>
          <w:rFonts w:ascii="Times New Roman" w:hAnsi="Times New Roman" w:eastAsia="宋体"/>
          <w:sz w:val="18"/>
          <w:szCs w:val="24"/>
        </w:rPr>
        <w:fldChar w:fldCharType="end"/>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A, S. W. ,  A, C. T. ,  B, X. S. ,  C, Q. W. ,  B, Y. Z. , &amp;  D, R. Y. . (2014). The impacts of a linear wastewater reservoir on groundwater recharge and geochemical evolution in a semi-arid area of the lake baiyangdian watershed, north china plain. Science of The Total Environment, s 482–483(482), 325-335.https://doi.org/10.1016/j.scitotenv.2014.02.130</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 xml:space="preserve">A, Z. L. , A, J. L. , B, Y. Z. , A, Y. Z. , A, Q. H. , &amp; A, Y. L. , et al. Plateau river research: spatial-temporal variations of </w:t>
      </w:r>
      <w:r>
        <w:rPr>
          <w:rFonts w:ascii="Times New Roman" w:hAnsi="Times New Roman" w:eastAsia="宋体" w:cs="Times New Roman"/>
          <w:sz w:val="18"/>
          <w:szCs w:val="24"/>
        </w:rPr>
        <w:t>δ</w:t>
      </w:r>
      <w:r>
        <w:rPr>
          <w:rFonts w:hint="eastAsia" w:ascii="Times New Roman" w:hAnsi="Times New Roman" w:eastAsia="宋体"/>
          <w:sz w:val="18"/>
          <w:szCs w:val="24"/>
          <w:vertAlign w:val="superscript"/>
        </w:rPr>
        <w:t>18</w:t>
      </w:r>
      <w:r>
        <w:rPr>
          <w:rFonts w:hint="eastAsia" w:ascii="Times New Roman" w:hAnsi="Times New Roman" w:eastAsia="宋体"/>
          <w:sz w:val="18"/>
          <w:szCs w:val="24"/>
        </w:rPr>
        <w:t xml:space="preserve">O and </w:t>
      </w:r>
      <w:r>
        <w:rPr>
          <w:rFonts w:ascii="Times New Roman" w:hAnsi="Times New Roman" w:eastAsia="宋体" w:cs="Times New Roman"/>
          <w:sz w:val="18"/>
          <w:szCs w:val="24"/>
        </w:rPr>
        <w:t>δ</w:t>
      </w:r>
      <w:r>
        <w:rPr>
          <w:rFonts w:hint="eastAsia" w:ascii="Times New Roman" w:hAnsi="Times New Roman" w:eastAsia="宋体"/>
          <w:sz w:val="18"/>
          <w:szCs w:val="24"/>
        </w:rPr>
        <w:t>D in the water of the yarlung tsangpo river and their controlling factors - sciencedirect. Ecotoxicology and Environmental Safety, 208.https://doi.org/10.1016/j.ecoenv.2020.111678</w:t>
      </w:r>
    </w:p>
    <w:p>
      <w:pPr>
        <w:ind w:left="360" w:hanging="360" w:hangingChars="200"/>
        <w:rPr>
          <w:rFonts w:ascii="Times New Roman" w:hAnsi="Times New Roman" w:eastAsia="宋体" w:cs="Times New Roman"/>
          <w:sz w:val="18"/>
          <w:szCs w:val="24"/>
        </w:rPr>
      </w:pPr>
      <w:r>
        <w:rPr>
          <w:rFonts w:ascii="Times New Roman" w:hAnsi="Times New Roman" w:eastAsia="宋体" w:cs="Times New Roman"/>
          <w:sz w:val="18"/>
          <w:szCs w:val="24"/>
        </w:rPr>
        <w:t>Barbeta A, Mejía CM, Ogaya R,</w:t>
      </w:r>
      <w:r>
        <w:rPr>
          <w:rFonts w:hint="eastAsia" w:ascii="Times New Roman" w:hAnsi="Times New Roman" w:eastAsia="宋体" w:cs="Times New Roman"/>
          <w:sz w:val="18"/>
          <w:szCs w:val="24"/>
        </w:rPr>
        <w:t>(2015). The combined effects of a long‐term experimental drought and an extreme drought on the use of plant‐water sources in a mediterranean forest. Global Change Biology, 21(3). https://doi.org/10.1111/gcb.12785</w:t>
      </w:r>
    </w:p>
    <w:p>
      <w:pPr>
        <w:ind w:left="360" w:hanging="360" w:hangingChars="200"/>
        <w:rPr>
          <w:rFonts w:ascii="Times New Roman" w:hAnsi="Times New Roman" w:eastAsia="宋体" w:cs="Times New Roman"/>
          <w:sz w:val="18"/>
          <w:szCs w:val="24"/>
        </w:rPr>
      </w:pPr>
      <w:r>
        <w:rPr>
          <w:rFonts w:hint="eastAsia" w:ascii="Times New Roman" w:hAnsi="Times New Roman" w:eastAsia="宋体" w:cs="Times New Roman"/>
          <w:sz w:val="18"/>
          <w:szCs w:val="24"/>
        </w:rPr>
        <w:t>Benettin, P. ,  Volkmann, T. H. M. ,  Freyberg, J. V. ,  Frentress, J. , &amp;  Kirchner, J. W. . (2018). Effects of climatic seasonality on the isotopic composition of evaporating soil waters. Hydrology and Earth System Sciences Discussions, 1-16.https://doi.org/10.5194/hess-22-2881-2018</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Bershaw, J. , Penny, S. M. , &amp; Garzione, C. N. . (2012). Stable isotopes of modern water across the himalaya and eastern tibetan plateau: implications for estimates of paleoelevation and paleoclimate. Journal of Geophysical Research. https://doi.org/10.1029/2011JD016132</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Bosilovich, M. G. , &amp; Chern, J. D. . (2006). Simulation of water sources and precipitation recycling for the mackenzie, mississippi, and amazon river basins. Journal of Hydrometeorology, 7(3), 312.https://doi.org/10.1175/JHM501.1</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Brooks, J. Renée, Gibson, J. J. , Birks, S. J. , Weber, M. H. , Rodecap, K. D. , &amp; Stoddard, J. L. . (2015). Stable isotope estimates of evaporation : inflow and water residence time for lakes across the united states as a tool for national lake water quality assessments. Limnology &amp; Oceanography,59(6), 2150-2165.https://doi.org/10.4319/lo.2014.59.6.2150</w:t>
      </w:r>
    </w:p>
    <w:p>
      <w:pPr>
        <w:ind w:left="360" w:hanging="360" w:hangingChars="200"/>
        <w:rPr>
          <w:rFonts w:ascii="Times New Roman" w:hAnsi="Times New Roman" w:eastAsia="宋体"/>
          <w:sz w:val="18"/>
          <w:szCs w:val="24"/>
        </w:rPr>
      </w:pPr>
      <w:r>
        <w:rPr>
          <w:rFonts w:hint="eastAsia" w:ascii="Times New Roman" w:hAnsi="Times New Roman" w:eastAsia="宋体" w:cs="Times New Roman"/>
          <w:sz w:val="18"/>
          <w:szCs w:val="24"/>
        </w:rPr>
        <w:t>Li, J. , Wu, H. W. , Zhou, Y. Q. , Zhao, Z. H. , &amp; Sun, W. (2020). Variations of stable oxygen and deuterium isotopes in river and lake waters during flooding season along the middle and lower reaches of the yangtze river regions. Huan jing ke xue= Huanjing kexue, 41(3), 1176-1183.https://doi.org/10.13227/j.hjkx.201908160</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 xml:space="preserve">Liu Zhongfang, TIAN Lide, YAO Tandong, GONG Tongliang, YIN Changliang, &amp; YU Wusheng. (2007). Temporal and spatial variations of </w:t>
      </w:r>
      <w:r>
        <w:rPr>
          <w:rFonts w:ascii="Times New Roman" w:hAnsi="Times New Roman" w:eastAsia="宋体" w:cs="Times New Roman"/>
          <w:sz w:val="18"/>
          <w:szCs w:val="24"/>
        </w:rPr>
        <w:t>δ</w:t>
      </w:r>
      <w:r>
        <w:rPr>
          <w:rFonts w:hint="eastAsia" w:ascii="Times New Roman" w:hAnsi="Times New Roman" w:eastAsia="宋体"/>
          <w:sz w:val="18"/>
          <w:szCs w:val="24"/>
          <w:vertAlign w:val="superscript"/>
        </w:rPr>
        <w:t>18</w:t>
      </w:r>
      <w:r>
        <w:rPr>
          <w:rFonts w:hint="eastAsia" w:ascii="Times New Roman" w:hAnsi="Times New Roman" w:eastAsia="宋体"/>
          <w:sz w:val="18"/>
          <w:szCs w:val="24"/>
        </w:rPr>
        <w:t>O in precipitation of the yarlung zangbo river basin. Journal of Geography: English, 17(3), 10</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Dongsheng, W. . (1993). Application of environmental nuclide to study the groundwater contamination problem. Site Investigation Science and Technology.</w:t>
      </w:r>
    </w:p>
    <w:p>
      <w:pPr>
        <w:ind w:left="360" w:hanging="360" w:hangingChars="200"/>
        <w:rPr>
          <w:rFonts w:ascii="Times New Roman" w:hAnsi="Times New Roman" w:eastAsia="宋体" w:cs="Times New Roman"/>
          <w:sz w:val="18"/>
          <w:szCs w:val="24"/>
        </w:rPr>
      </w:pPr>
      <w:r>
        <w:rPr>
          <w:rFonts w:ascii="Times New Roman" w:hAnsi="Times New Roman" w:eastAsia="宋体"/>
          <w:sz w:val="18"/>
          <w:szCs w:val="24"/>
        </w:rPr>
        <w:t>Zheng S.H., Wei J.Y., MO Zhichao. (1980). Analysis of silicate oxides and oxygen isotopes in water .Chemical Bulletin,</w:t>
      </w:r>
      <w:r>
        <w:rPr>
          <w:rFonts w:hint="eastAsia" w:ascii="Times New Roman" w:hAnsi="Times New Roman" w:eastAsia="宋体" w:cs="Times New Roman"/>
          <w:sz w:val="18"/>
          <w:szCs w:val="24"/>
        </w:rPr>
        <w:t>https://doi.org/10.14159/j.cnki.0441-3776.1980.01.003</w:t>
      </w:r>
    </w:p>
    <w:p>
      <w:pPr>
        <w:ind w:left="360" w:hanging="360" w:hangingChars="200"/>
        <w:rPr>
          <w:rFonts w:ascii="Times New Roman" w:hAnsi="Times New Roman" w:eastAsia="宋体" w:cs="Times New Roman"/>
          <w:sz w:val="18"/>
          <w:szCs w:val="24"/>
        </w:rPr>
      </w:pPr>
      <w:r>
        <w:rPr>
          <w:rFonts w:hint="eastAsia" w:ascii="Times New Roman" w:hAnsi="Times New Roman" w:eastAsia="宋体"/>
          <w:sz w:val="18"/>
          <w:szCs w:val="24"/>
        </w:rPr>
        <w:t>Zhang, J. ,  Cui, G. Y. ,  Li, Q. K. ,  Huang, J. , &amp;  Li, X. D. . (2018). Effects of dam interception on hydrogen and oxygen isotope compositions in cascade reservoirs:a case of jialing river. Chinese Journal of Ecology, 37(3), 679-687.</w:t>
      </w:r>
      <w:r>
        <w:rPr>
          <w:rFonts w:hint="eastAsia" w:ascii="Times New Roman" w:hAnsi="Times New Roman" w:eastAsia="宋体" w:cs="Times New Roman"/>
          <w:sz w:val="18"/>
          <w:szCs w:val="24"/>
        </w:rPr>
        <w:t>https://doi.org/10.13292/j.1000-4890.201803.042</w:t>
      </w:r>
    </w:p>
    <w:p>
      <w:pPr>
        <w:ind w:left="360" w:hanging="360" w:hangingChars="200"/>
        <w:jc w:val="left"/>
        <w:rPr>
          <w:rFonts w:ascii="Times New Roman" w:hAnsi="Times New Roman" w:eastAsia="宋体"/>
          <w:sz w:val="18"/>
          <w:szCs w:val="24"/>
        </w:rPr>
      </w:pPr>
      <w:r>
        <w:rPr>
          <w:rFonts w:hint="eastAsia" w:ascii="Times New Roman" w:hAnsi="Times New Roman" w:eastAsia="宋体"/>
          <w:sz w:val="18"/>
          <w:szCs w:val="24"/>
        </w:rPr>
        <w:t>L Araguás〢raguás,  Froehlich, K. , &amp; Rozanski, K. . (2000). Deuterium and oxygen‐18 isotope composition of precipitation and atmospheric moisture. Hydrological Processes, 14(8).https://doi.org/10.1002/1099-1085(20000615)14:8%3C1341::AID-HYP983%3E3.0.CO;2-Z</w:t>
      </w:r>
    </w:p>
    <w:p>
      <w:pPr>
        <w:ind w:left="360" w:hanging="360" w:hangingChars="200"/>
        <w:rPr>
          <w:rFonts w:ascii="Times New Roman" w:hAnsi="Times New Roman" w:eastAsia="宋体"/>
          <w:sz w:val="18"/>
          <w:szCs w:val="24"/>
        </w:rPr>
      </w:pPr>
      <w:bookmarkStart w:id="10" w:name="_Hlk119089035"/>
      <w:bookmarkStart w:id="11" w:name="_Ref117535291"/>
      <w:r>
        <w:rPr>
          <w:rFonts w:hint="eastAsia" w:ascii="Times New Roman" w:hAnsi="Times New Roman" w:eastAsia="宋体"/>
          <w:sz w:val="18"/>
          <w:szCs w:val="24"/>
        </w:rPr>
        <w:t>Gabriel, J., Bowen, Casey, D., &amp; Kennedy, et al. (2011). Water balance model for mean annual hydrogen and oxygen isotope distributions in surface waters of the contiguous united states. Journal of Geophysical Research Biogeosciences. https://doi.org/10.1029/2010JG001581</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Vörösmarty Charles J., &amp; Dork, S. . (2000). Anthropogenic disturbance of the terrestrial water cycle. BioScience(9),753-765.</w:t>
      </w:r>
      <w:r>
        <w:fldChar w:fldCharType="begin"/>
      </w:r>
      <w:r>
        <w:instrText xml:space="preserve"> HYPERLINK "https://doi.org/10.1641/0006-3568(2000)050%5b0753:ADOTTW%5d2.0.CO;2" </w:instrText>
      </w:r>
      <w:r>
        <w:fldChar w:fldCharType="separate"/>
      </w:r>
      <w:r>
        <w:rPr>
          <w:rFonts w:ascii="Times New Roman" w:hAnsi="Times New Roman" w:eastAsia="宋体"/>
          <w:sz w:val="18"/>
          <w:szCs w:val="24"/>
        </w:rPr>
        <w:t>https://doi.org/10.1641/0006-3568(2000)050[0753:ADOTTW]2.0.CO;2</w:t>
      </w:r>
      <w:r>
        <w:rPr>
          <w:rFonts w:ascii="Times New Roman" w:hAnsi="Times New Roman" w:eastAsia="宋体"/>
          <w:sz w:val="18"/>
          <w:szCs w:val="24"/>
        </w:rPr>
        <w:fldChar w:fldCharType="end"/>
      </w:r>
      <w:r>
        <w:rPr>
          <w:rFonts w:hint="eastAsia" w:ascii="Times New Roman" w:hAnsi="Times New Roman" w:eastAsia="宋体"/>
          <w:sz w:val="18"/>
          <w:szCs w:val="24"/>
        </w:rPr>
        <w:t>.</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B, H. O. A. ,  A, V. P. ,  A, A. G. , &amp;  A, R. D. D. . (2021). Investigating hydrometeorology of the western himalayas: insights from stable isotopes of water and meteorological parameters.</w:t>
      </w:r>
      <w:r>
        <w:fldChar w:fldCharType="begin"/>
      </w:r>
      <w:r>
        <w:instrText xml:space="preserve"> HYPERLINK "https://doi.org/10.1016/j.atmosres.2021.105997" \t "https://www.sciencedirect.com/science/article/pii/_blank" \o "Persistent link using digital object identifier" </w:instrText>
      </w:r>
      <w:r>
        <w:fldChar w:fldCharType="separate"/>
      </w:r>
      <w:r>
        <w:rPr>
          <w:rFonts w:ascii="Times New Roman" w:hAnsi="Times New Roman" w:eastAsia="宋体"/>
          <w:sz w:val="18"/>
          <w:szCs w:val="24"/>
        </w:rPr>
        <w:t>https://doi.org/10.1016/j.atmosres.2021.105997</w:t>
      </w:r>
      <w:r>
        <w:rPr>
          <w:rFonts w:ascii="Times New Roman" w:hAnsi="Times New Roman" w:eastAsia="宋体"/>
          <w:sz w:val="18"/>
          <w:szCs w:val="24"/>
        </w:rPr>
        <w:fldChar w:fldCharType="end"/>
      </w:r>
      <w:r>
        <w:rPr>
          <w:rFonts w:hint="eastAsia" w:ascii="Times New Roman" w:hAnsi="Times New Roman" w:eastAsia="宋体"/>
          <w:sz w:val="18"/>
          <w:szCs w:val="24"/>
        </w:rPr>
        <w:t>.</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Chen, X. , Wang, G. , Wang, F. , Yan, D. , &amp; Zhao, H. . (2019). Characteristics of water isotopes and water source identification during the wet season in naqu river basin, qinghai–tibet plateau. Water(11).https://doi.org/10.3390/w11112418.</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Chen, Y. , &amp;  Tian, L. . (2021). Canal surface evaporation along the china's south-to-north water diversion quantified by water isotopes. Science of The Total Environment, 146388.https://doi.org/10.1016/j.scitotenv.2021.146388.</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Che, Q. ,  Su, X. ,  Zheng, S. , &amp;  Li, Y. . (2021). Interaction between surface water and groundwater in the alluvial plain (anqing section) of the lower yangtze river basin: environmental isotope evidence. Journal of Radioanalytical and Nuclear Chemistry, 329(3), 1331-1343.https://doi.org/10.1007/s10967-021-07889-4.</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Crawford, J. ,  Hughes, C. E. , &amp;  Parkes, S. D. . (2013). Is the isotopic composition of event based precipitation driven by moisture source or synoptic scale weather in the sydney basin, australia?. Journal of Hydrology, 507(Complete), 213-226.https://doi.org/10.1016/j.jhydrol.2013.10.031.</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C., Natali, G., Bianchini, C., &amp; Marchina, et al. (2016). Geochemistry of the adige river water from the eastern alps to the adriatic sea (italy): evidences for distinct hydrological components and water-rock interactions. Environmental Science&amp;Pollution Research.</w:t>
      </w:r>
      <w:r>
        <w:rPr>
          <w:rFonts w:ascii="Times New Roman" w:hAnsi="Times New Roman" w:eastAsia="宋体"/>
          <w:sz w:val="18"/>
          <w:szCs w:val="24"/>
        </w:rPr>
        <w:t>https://doi.org/10.1007/s11356-016-6356-3</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Dansgaard, W. . (1964). Stable isotopes in precipitation. tellus xvi(4):436-446. Tellus, 16, 436.https://doi.org/10.3402/tellusa.v16i4.8993.</w:t>
      </w:r>
    </w:p>
    <w:p>
      <w:pPr>
        <w:ind w:left="360" w:hanging="360" w:hangingChars="200"/>
        <w:rPr>
          <w:rFonts w:ascii="Times New Roman" w:hAnsi="Times New Roman" w:eastAsia="宋体"/>
          <w:sz w:val="18"/>
          <w:szCs w:val="24"/>
        </w:rPr>
      </w:pPr>
      <w:r>
        <w:rPr>
          <w:rFonts w:ascii="Times New Roman" w:hAnsi="Times New Roman" w:eastAsia="宋体"/>
          <w:sz w:val="18"/>
          <w:szCs w:val="24"/>
        </w:rPr>
        <w:t>Dogramaci S, Firmani G, Hedley P, Skrzypek G, Grierson PF (2015)Evaluating recharge to an ephemeral dryland stream using a</w:t>
      </w:r>
      <w:r>
        <w:rPr>
          <w:rFonts w:hint="eastAsia" w:ascii="Times New Roman" w:hAnsi="Times New Roman" w:eastAsia="宋体"/>
          <w:sz w:val="18"/>
          <w:szCs w:val="24"/>
        </w:rPr>
        <w:t xml:space="preserve"> </w:t>
      </w:r>
      <w:r>
        <w:rPr>
          <w:rFonts w:ascii="Times New Roman" w:hAnsi="Times New Roman" w:eastAsia="宋体"/>
          <w:sz w:val="18"/>
          <w:szCs w:val="24"/>
        </w:rPr>
        <w:t>hydraulic model and water, chloride and isotope mass balance.J Hydrol 521:520–532.</w:t>
      </w:r>
      <w:r>
        <w:rPr>
          <w:rFonts w:hint="eastAsia" w:ascii="Times New Roman" w:hAnsi="Times New Roman" w:eastAsia="宋体"/>
          <w:sz w:val="18"/>
          <w:szCs w:val="24"/>
        </w:rPr>
        <w:t>https://doi.org/10.1016/j.jhydrol.2014.12.017.</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Dutton A，Wilkinson BH，Welker JM，et al．2015．Spatial dis</w:t>
      </w:r>
      <w:r>
        <w:rPr>
          <w:rFonts w:ascii="Times New Roman" w:hAnsi="Times New Roman" w:eastAsia="宋体"/>
          <w:sz w:val="18"/>
          <w:szCs w:val="24"/>
        </w:rPr>
        <w:t>tribution and seasonal variation in</w:t>
      </w:r>
      <w:r>
        <w:rPr>
          <w:rFonts w:ascii="Times New Roman" w:hAnsi="Times New Roman" w:eastAsia="宋体"/>
          <w:sz w:val="18"/>
          <w:szCs w:val="24"/>
          <w:vertAlign w:val="superscript"/>
        </w:rPr>
        <w:t>18</w:t>
      </w:r>
      <w:r>
        <w:rPr>
          <w:rFonts w:ascii="Times New Roman" w:hAnsi="Times New Roman" w:eastAsia="宋体"/>
          <w:sz w:val="18"/>
          <w:szCs w:val="24"/>
        </w:rPr>
        <w:t>O/</w:t>
      </w:r>
      <w:r>
        <w:rPr>
          <w:rFonts w:ascii="Times New Roman" w:hAnsi="Times New Roman" w:eastAsia="宋体"/>
          <w:sz w:val="18"/>
          <w:szCs w:val="24"/>
          <w:vertAlign w:val="superscript"/>
        </w:rPr>
        <w:t>16</w:t>
      </w:r>
      <w:r>
        <w:rPr>
          <w:rFonts w:ascii="Times New Roman" w:hAnsi="Times New Roman" w:eastAsia="宋体"/>
          <w:sz w:val="18"/>
          <w:szCs w:val="24"/>
        </w:rPr>
        <w:t>O of modern pre</w:t>
      </w:r>
      <w:r>
        <w:rPr>
          <w:rFonts w:hint="eastAsia" w:ascii="Times New Roman" w:hAnsi="Times New Roman" w:eastAsia="宋体"/>
          <w:sz w:val="18"/>
          <w:szCs w:val="24"/>
        </w:rPr>
        <w:t>cipitation and river water across the continent USA．Hydrological Processes，19:4121－4146．https://doi.org/10.1002/hyp.5876.</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Fan, Y. ,  Chen, Y. ,  Li, X. ,  Li, W. , &amp;  Li, Q. . (2015). Characteristics of water isotopes and ice-snowmelt quantification in the tizinafu river, north kunlun mountains, central asia. Quaternary International, 380-381(SEP.4), 116-122.https://doi.org/10.1016/j.quaint.2014.05.020.</w:t>
      </w:r>
    </w:p>
    <w:p>
      <w:pPr>
        <w:ind w:left="360" w:hanging="360" w:hangingChars="200"/>
        <w:rPr>
          <w:rFonts w:ascii="Times New Roman" w:hAnsi="Times New Roman" w:eastAsia="宋体"/>
          <w:sz w:val="18"/>
          <w:szCs w:val="24"/>
        </w:rPr>
      </w:pPr>
      <w:r>
        <w:rPr>
          <w:rFonts w:ascii="Times New Roman" w:hAnsi="Times New Roman" w:eastAsia="宋体"/>
          <w:sz w:val="18"/>
          <w:szCs w:val="24"/>
        </w:rPr>
        <w:t>Gammons, C.H., Poulson, S.R., Pellicori, D.A., Reed, P.J., Roesler, A.J., Petrescu, E.M.,2006. The hydrogen and oxygen isotopic composition of precipitation, evaporated</w:t>
      </w:r>
      <w:r>
        <w:rPr>
          <w:rFonts w:hint="eastAsia" w:ascii="Times New Roman" w:hAnsi="Times New Roman" w:eastAsia="宋体"/>
          <w:sz w:val="18"/>
          <w:szCs w:val="24"/>
        </w:rPr>
        <w:t xml:space="preserve"> </w:t>
      </w:r>
      <w:r>
        <w:rPr>
          <w:rFonts w:ascii="Times New Roman" w:hAnsi="Times New Roman" w:eastAsia="宋体"/>
          <w:sz w:val="18"/>
          <w:szCs w:val="24"/>
        </w:rPr>
        <w:t>mine water, and river water in Montana. USA. J. Hydrol. 328 (1–2), 319–330.</w:t>
      </w:r>
      <w:r>
        <w:fldChar w:fldCharType="begin"/>
      </w:r>
      <w:r>
        <w:instrText xml:space="preserve"> HYPERLINK "https://doi.org/10.1016/j.jhydrol.2005.12.005" \t "https://www.sciencedirect.com/science/article/pii/_blank" \o "Persistent link using digital object identifier" </w:instrText>
      </w:r>
      <w:r>
        <w:fldChar w:fldCharType="separate"/>
      </w:r>
      <w:r>
        <w:rPr>
          <w:rFonts w:ascii="Times New Roman" w:hAnsi="Times New Roman" w:eastAsia="宋体"/>
          <w:sz w:val="18"/>
          <w:szCs w:val="24"/>
        </w:rPr>
        <w:t>https://doi.org/10.1016/j.jhydrol.2005.12.005</w:t>
      </w:r>
      <w:r>
        <w:rPr>
          <w:rFonts w:ascii="Times New Roman" w:hAnsi="Times New Roman" w:eastAsia="宋体"/>
          <w:sz w:val="18"/>
          <w:szCs w:val="24"/>
        </w:rPr>
        <w:fldChar w:fldCharType="end"/>
      </w:r>
      <w:r>
        <w:rPr>
          <w:rFonts w:hint="eastAsia" w:ascii="Times New Roman" w:hAnsi="Times New Roman" w:eastAsia="宋体"/>
          <w:sz w:val="18"/>
          <w:szCs w:val="24"/>
        </w:rPr>
        <w:t>.</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Fan, Y. ,  Chen, Y. ,  Li, X. ,  Li, W. , &amp;  Li, Q. . (2015). Characteristics of water isotopes and ice-snowmelt quantification in the tizinafu river, north kunlun mountains, central asia. Quaternary International, 380-381(SEP.4), 116-122.</w:t>
      </w:r>
      <w:r>
        <w:fldChar w:fldCharType="begin"/>
      </w:r>
      <w:r>
        <w:instrText xml:space="preserve"> HYPERLINK "https://doi.org/10.1016/j.jhydrol.2005.12.005" \t "https://www.sciencedirect.com/science/article/pii/_blank" \o "Persistent link using digital object identifier" </w:instrText>
      </w:r>
      <w:r>
        <w:fldChar w:fldCharType="separate"/>
      </w:r>
      <w:r>
        <w:rPr>
          <w:rFonts w:ascii="Times New Roman" w:hAnsi="Times New Roman" w:eastAsia="宋体"/>
          <w:sz w:val="18"/>
          <w:szCs w:val="24"/>
        </w:rPr>
        <w:t>https://doi.org/10.1016/j.jhydrol.2005.12.005</w:t>
      </w:r>
      <w:r>
        <w:rPr>
          <w:rFonts w:ascii="Times New Roman" w:hAnsi="Times New Roman" w:eastAsia="宋体"/>
          <w:sz w:val="18"/>
          <w:szCs w:val="24"/>
        </w:rPr>
        <w:fldChar w:fldCharType="end"/>
      </w:r>
      <w:r>
        <w:rPr>
          <w:rFonts w:hint="eastAsia" w:ascii="Times New Roman" w:hAnsi="Times New Roman" w:eastAsia="宋体"/>
          <w:sz w:val="18"/>
          <w:szCs w:val="24"/>
        </w:rPr>
        <w:t>.</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Gat, J. R. . (1996). Oxygen and hydrogen isotopes in the hydrologic cycle. Annu.rev.earth.planet.sci, 24(1), 225-262.https://doi.org/10.1146/annurev.earth.24.1.225.</w:t>
      </w:r>
    </w:p>
    <w:p>
      <w:pPr>
        <w:ind w:left="360" w:hanging="360" w:hangingChars="200"/>
        <w:rPr>
          <w:rFonts w:ascii="Times New Roman" w:hAnsi="Times New Roman" w:eastAsia="宋体"/>
          <w:sz w:val="18"/>
          <w:szCs w:val="24"/>
        </w:rPr>
      </w:pPr>
      <w:r>
        <w:rPr>
          <w:rFonts w:ascii="Times New Roman" w:hAnsi="Times New Roman" w:eastAsia="宋体"/>
          <w:sz w:val="18"/>
          <w:szCs w:val="24"/>
        </w:rPr>
        <w:t>Gat J (2010) Stable isotopes of fresh and salin lakes. Isotope</w:t>
      </w:r>
      <w:r>
        <w:rPr>
          <w:rFonts w:hint="eastAsia" w:ascii="Times New Roman" w:hAnsi="Times New Roman" w:eastAsia="宋体"/>
          <w:sz w:val="18"/>
          <w:szCs w:val="24"/>
        </w:rPr>
        <w:t xml:space="preserve"> </w:t>
      </w:r>
      <w:r>
        <w:rPr>
          <w:rFonts w:ascii="Times New Roman" w:hAnsi="Times New Roman" w:eastAsia="宋体"/>
          <w:sz w:val="18"/>
          <w:szCs w:val="24"/>
        </w:rPr>
        <w:t>hydrology: a study of the water cycle. Imperial College Press,</w:t>
      </w:r>
      <w:r>
        <w:rPr>
          <w:rFonts w:hint="eastAsia" w:ascii="Times New Roman" w:hAnsi="Times New Roman" w:eastAsia="宋体"/>
          <w:sz w:val="18"/>
          <w:szCs w:val="24"/>
        </w:rPr>
        <w:t xml:space="preserve"> </w:t>
      </w:r>
      <w:r>
        <w:rPr>
          <w:rFonts w:ascii="Times New Roman" w:hAnsi="Times New Roman" w:eastAsia="宋体"/>
          <w:sz w:val="18"/>
          <w:szCs w:val="24"/>
        </w:rPr>
        <w:t>London</w:t>
      </w:r>
      <w:r>
        <w:rPr>
          <w:rFonts w:hint="eastAsia" w:ascii="Times New Roman" w:hAnsi="Times New Roman" w:eastAsia="宋体"/>
          <w:sz w:val="18"/>
          <w:szCs w:val="24"/>
        </w:rPr>
        <w:t>.</w:t>
      </w:r>
    </w:p>
    <w:p>
      <w:pPr>
        <w:ind w:left="360" w:hanging="360" w:hangingChars="200"/>
        <w:rPr>
          <w:rFonts w:ascii="Times New Roman" w:hAnsi="Times New Roman" w:eastAsia="宋体"/>
          <w:sz w:val="18"/>
          <w:szCs w:val="24"/>
        </w:rPr>
      </w:pPr>
      <w:r>
        <w:rPr>
          <w:rFonts w:ascii="Times New Roman" w:hAnsi="Times New Roman" w:eastAsia="宋体"/>
          <w:sz w:val="18"/>
          <w:szCs w:val="24"/>
        </w:rPr>
        <w:t>Gibson, J.J., Edwards, T.W.D., Birks, S.J., St Amour, N.A., Buhay, W.M., McEachern, P., Peters, D.L., 2005. Progress in isotope tracer hydrology in Canada. Hydrol. Process. 19 (1), 303–327.</w:t>
      </w:r>
      <w:r>
        <w:rPr>
          <w:rFonts w:hint="eastAsia" w:ascii="Times New Roman" w:hAnsi="Times New Roman" w:eastAsia="宋体"/>
          <w:sz w:val="18"/>
          <w:szCs w:val="24"/>
        </w:rPr>
        <w:t>https://doi.org/10.1002/hyp.5766.</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Holdsworth, G. , &amp;  Krouse, H. R. . (2002). Altitudinal variation of the stable isotopes of snow in regions of high relief. Journal of Glaciology, 48(160), 31-41.https://doi.org/10.3189/172756502781831638.</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Li, Zongxing, Feng, Qi, Q, &amp; J, et al. (2016). Contributions of local terrestrial evaporation and transpiration to precipitation using δ18o and d-excess as a proxy in shiyang inland river basin in china. Global &amp; Planetary Change.</w:t>
      </w:r>
      <w:r>
        <w:fldChar w:fldCharType="begin"/>
      </w:r>
      <w:r>
        <w:instrText xml:space="preserve"> HYPERLINK "https://doi.org/10.1016/j.gloplacha.2016.10.003" \t "https://www.sciencedirect.com/science/article/pii/_blank" \o "Persistent link using digital object identifier" </w:instrText>
      </w:r>
      <w:r>
        <w:fldChar w:fldCharType="separate"/>
      </w:r>
      <w:r>
        <w:rPr>
          <w:rFonts w:ascii="Times New Roman" w:hAnsi="Times New Roman" w:eastAsia="宋体"/>
          <w:sz w:val="18"/>
          <w:szCs w:val="24"/>
        </w:rPr>
        <w:t>https://doi.org/10.1016/j.gloplacha.2016.10.003</w:t>
      </w:r>
      <w:r>
        <w:rPr>
          <w:rFonts w:ascii="Times New Roman" w:hAnsi="Times New Roman" w:eastAsia="宋体"/>
          <w:sz w:val="18"/>
          <w:szCs w:val="24"/>
        </w:rPr>
        <w:fldChar w:fldCharType="end"/>
      </w:r>
      <w:r>
        <w:rPr>
          <w:rFonts w:hint="eastAsia" w:ascii="Times New Roman" w:hAnsi="Times New Roman" w:eastAsia="宋体"/>
          <w:sz w:val="18"/>
          <w:szCs w:val="24"/>
        </w:rPr>
        <w:t>.</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Jia, W. , Xu, X. , Yuan, R. , Ma, X. , &amp; Li, Z. . (2019). Variation characteristics of stable isotopes in precipitation and the environmental factors that influence them in the shiyang river basin of china. Environmental Earth Sciences, 78(10).https://doi.org/10.1007/s12665-019-8307-z.</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Jie LI, Zhonghe PANG. The elevation gradient of stable isotopes in precipitation in the eastern margin of Tibetan Plateau[J].Science in China: Earth Science English,2022,065(010):1972-1984.https://doi.org/10.1007/s11430-021-9942-0</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Joussaume, S. ,  Sadourny, R. , &amp;  Jouzel, J. . (1984). A general circulation model of water isotope cycles in the atmosphere. Nature.https://doi.org/10.1038/311680a0</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Kabeya, N. , Kubota, T. , Shimizu, A. , Nobuhiro, T. , Tsuboyama, Y. , &amp; Chann, S. , et al. (2008). Isotopic investigation of river water mixing around the con?uence of the tonle sap and mekong rivers. Hydrological Processes, 22(9), p.1351-1358.https://doi.org/10.1002/hyp.6944.</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Kang, S. , Su, X. , Tong, L. , Shi, P. , Yang, X. , &amp; Abe, Y. , et al. (2009). The impacts of human activities on the water–land environment of the shiyang river basin, an arid region in northwest china.https://doi.org/10.1623/hysj.49.3.413.54347</w:t>
      </w:r>
    </w:p>
    <w:p>
      <w:pPr>
        <w:ind w:left="360" w:hanging="360" w:hangingChars="200"/>
        <w:rPr>
          <w:rFonts w:ascii="Times New Roman" w:hAnsi="Times New Roman" w:eastAsia="宋体"/>
          <w:sz w:val="18"/>
          <w:szCs w:val="24"/>
        </w:rPr>
      </w:pPr>
      <w:r>
        <w:rPr>
          <w:rFonts w:ascii="Times New Roman" w:hAnsi="Times New Roman" w:eastAsia="宋体"/>
          <w:sz w:val="18"/>
          <w:szCs w:val="24"/>
        </w:rPr>
        <w:t>Qian H, Wu J, Zhou Y, Li P (2014) Stable oxygen and hydrogen</w:t>
      </w:r>
      <w:r>
        <w:rPr>
          <w:rFonts w:hint="eastAsia" w:ascii="Times New Roman" w:hAnsi="Times New Roman" w:eastAsia="宋体"/>
          <w:sz w:val="18"/>
          <w:szCs w:val="24"/>
        </w:rPr>
        <w:t xml:space="preserve"> </w:t>
      </w:r>
      <w:r>
        <w:rPr>
          <w:rFonts w:ascii="Times New Roman" w:hAnsi="Times New Roman" w:eastAsia="宋体"/>
          <w:sz w:val="18"/>
          <w:szCs w:val="24"/>
        </w:rPr>
        <w:t>isotopes as indicators of lake water recharge and evaporation in</w:t>
      </w:r>
      <w:r>
        <w:rPr>
          <w:rFonts w:hint="eastAsia" w:ascii="Times New Roman" w:hAnsi="Times New Roman" w:eastAsia="宋体"/>
          <w:sz w:val="18"/>
          <w:szCs w:val="24"/>
        </w:rPr>
        <w:t xml:space="preserve"> </w:t>
      </w:r>
      <w:r>
        <w:rPr>
          <w:rFonts w:ascii="Times New Roman" w:hAnsi="Times New Roman" w:eastAsia="宋体"/>
          <w:sz w:val="18"/>
          <w:szCs w:val="24"/>
        </w:rPr>
        <w:t>the lakes of the Yinchuan Plain. Hydrol Process 28:3554–3562.</w:t>
      </w:r>
      <w:r>
        <w:rPr>
          <w:rFonts w:hint="eastAsia" w:ascii="Times New Roman" w:hAnsi="Times New Roman" w:eastAsia="宋体"/>
          <w:sz w:val="18"/>
          <w:szCs w:val="24"/>
        </w:rPr>
        <w:t>https://doi.org/10.1002/hyp.9915.</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Liu, YH, Fan, NJ, SQ, &amp; Bai, et al. (2008). Characteristics of water isotopes and hydrograph separation during the wet season in the heishui river, china. J HYDROL, 2008,353(3-4)(-), 314-321.https://doi.org/10.1016/j.jhydrol.2008.02.017</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Marchina, C. ,  Bianchini, G. ,  Natali, C. ,  Pennisi, M. , Colombani, Nicolò, &amp;  Tassinari, R. , et al. (2015). The po river water from the alps to the adriatic sea (italy): new insights from geochemical and isotopic (δ(18)o-δd) data. Environmental Science &amp; Pollution Research, 22(7), 5184-5203.</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Majoube. (1971). Fractionating of $sup 18$o between ice and water vapor</w:t>
      </w:r>
      <w:r>
        <w:rPr>
          <w:rFonts w:ascii="Times New Roman" w:hAnsi="Times New Roman" w:eastAsia="宋体"/>
          <w:sz w:val="18"/>
          <w:szCs w:val="24"/>
        </w:rPr>
        <w:t>.</w:t>
      </w:r>
      <w:r>
        <w:rPr>
          <w:rFonts w:hint="eastAsia" w:ascii="Times New Roman" w:hAnsi="Times New Roman" w:eastAsia="宋体"/>
          <w:sz w:val="18"/>
          <w:szCs w:val="24"/>
        </w:rPr>
        <w:t>https://doi.org/10.1038/2261242a0</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Ma, J. ,  Zhang, P. ,  Zhu, G. ,  Wang, Y. ,  Edmunds, W. M. , &amp;  Ding, Z. , et al. (2012). The composition and distribution of chemicals and isotopes in precipitation in the shiyang river system, northwestern china. Journal of Hydrology, s 436–437(none), 92-101.</w:t>
      </w:r>
      <w:r>
        <w:fldChar w:fldCharType="begin"/>
      </w:r>
      <w:r>
        <w:instrText xml:space="preserve"> HYPERLINK "https://doi.org/10.1590/S0103-90161997000200009" \t "https://www.scielo.br/j/sa/a/sVmwwX667Fqkm6whPr7Ytzn/_blank" </w:instrText>
      </w:r>
      <w:r>
        <w:fldChar w:fldCharType="separate"/>
      </w:r>
      <w:r>
        <w:rPr>
          <w:rFonts w:ascii="Times New Roman" w:hAnsi="Times New Roman" w:eastAsia="宋体"/>
          <w:sz w:val="18"/>
          <w:szCs w:val="24"/>
        </w:rPr>
        <w:t>https://doi.org/10.1590/S0103-90161997000200009</w:t>
      </w:r>
      <w:r>
        <w:rPr>
          <w:rFonts w:ascii="Times New Roman" w:hAnsi="Times New Roman" w:eastAsia="宋体"/>
          <w:sz w:val="18"/>
          <w:szCs w:val="24"/>
        </w:rPr>
        <w:fldChar w:fldCharType="end"/>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Ma, J. Z. ,  Wang, X. S. , &amp;  Edmunds, W. M. . (2005). The characteristics of ground-water resources and their changes under the impacts of human activity in the arid northwest china—a case study of the shiyang river basin. Journal of Arid Environments, 61(2), 277-295.https://doi.org/10.1016/j.jaridenv.2004.07.014</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Merlivat, L. , &amp;  Jouzel, J. . (1979). Global climatic interpretation of the deuterium-oxygen 18 relationship for precipitation. Journal of Geophysical Research Oceans, 84(C8), 5029-5033.https://doi.org/10.1029/JC084iC08p05029</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Middelburg, &amp;  J., J. . (2014). Stable isotopes dissect aquatic food webs from the top to the bottom. Biogeosciences, 11(8), 2357–2371..https://doi.org/10.5194/bg-11-2357-2014</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Merlivat, L. , &amp;  Jouzel, J. . (1979). Global climatic interpretation of the deuterium-oxygen 18 relationship for precipitation. Journal of Geophysical Research Oceans, 84(C8), 5029-5033.</w:t>
      </w:r>
      <w:r>
        <w:fldChar w:fldCharType="begin"/>
      </w:r>
      <w:r>
        <w:instrText xml:space="preserve"> HYPERLINK "https://doi.org/10.1029/JC084iC08p05029" </w:instrText>
      </w:r>
      <w:r>
        <w:fldChar w:fldCharType="separate"/>
      </w:r>
      <w:r>
        <w:rPr>
          <w:rFonts w:hint="eastAsia" w:ascii="Times New Roman" w:hAnsi="Times New Roman" w:eastAsia="宋体"/>
          <w:sz w:val="18"/>
          <w:szCs w:val="24"/>
        </w:rPr>
        <w:t>https://doi.org/10.1029/JC084iC08p05029</w:t>
      </w:r>
      <w:r>
        <w:rPr>
          <w:rFonts w:hint="eastAsia" w:ascii="Times New Roman" w:hAnsi="Times New Roman" w:eastAsia="宋体"/>
          <w:sz w:val="18"/>
          <w:szCs w:val="24"/>
        </w:rPr>
        <w:fldChar w:fldCharType="end"/>
      </w:r>
    </w:p>
    <w:p>
      <w:pPr>
        <w:ind w:left="360" w:hanging="360" w:hangingChars="200"/>
        <w:rPr>
          <w:rFonts w:ascii="Times New Roman" w:hAnsi="Times New Roman" w:eastAsia="宋体" w:cs="Times New Roman"/>
          <w:sz w:val="18"/>
          <w:szCs w:val="18"/>
        </w:rPr>
      </w:pPr>
      <w:r>
        <w:rPr>
          <w:rFonts w:hint="eastAsia" w:ascii="Times New Roman" w:hAnsi="Times New Roman" w:eastAsia="宋体" w:cs="Times New Roman"/>
          <w:sz w:val="18"/>
          <w:szCs w:val="18"/>
        </w:rPr>
        <w:t>Mengyuan, S. ,  Zhongqin, L. I. ,  Shuang, J. ,  Fang, F. , &amp;  Xiaoyan, W. . (2015). Characteristics of water isotopes and hydrograph separation in the glacier no.72 of qingbingtan,tomur peak. Journal of Arid Land Resources and Environment.https://doi.org/10.1016/j.jhydrol.2015.02.010</w:t>
      </w:r>
    </w:p>
    <w:p>
      <w:pPr>
        <w:ind w:left="360" w:hanging="360" w:hangingChars="200"/>
        <w:rPr>
          <w:rFonts w:ascii="Times New Roman" w:hAnsi="Times New Roman" w:eastAsia="宋体"/>
          <w:sz w:val="18"/>
          <w:szCs w:val="24"/>
        </w:rPr>
      </w:pPr>
      <w:bookmarkStart w:id="12" w:name="_Hlk120954562"/>
      <w:r>
        <w:rPr>
          <w:rFonts w:hint="eastAsia" w:ascii="Times New Roman" w:hAnsi="Times New Roman" w:eastAsia="宋体"/>
          <w:sz w:val="18"/>
          <w:szCs w:val="24"/>
        </w:rPr>
        <w:t>Mengyuan, S. ,  Zhongqin, L. I. ,  Shuang, J. ,  Fang, F. , &amp;  Xiaoyan, W. . (2015). Characteristics of water isotopes and hydrograph separation in the glacier no.72 of qingbingtan,tomur peak. Journal of Arid Land Resources and Environment.https://doi.org/10.13448/j.cnki.jalre.2015.097</w:t>
      </w:r>
    </w:p>
    <w:bookmarkEnd w:id="12"/>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Nan, Y. ,  Tian, F. ,  Hu, H. ,  Wang, L. , &amp;  Zhao, S. . (2019). Stable isotope composition of river waters across the world. Water(9).https://doi.org/10.3390/w11091760</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Noble, J. , &amp;  Ansari, M. A. . (2019). Isotope hydrology and geophysical techniques for reviving a part of the drought prone areas of vidarbha, maharashtra, india. Journal of Hydrology.</w:t>
      </w:r>
      <w:r>
        <w:fldChar w:fldCharType="begin"/>
      </w:r>
      <w:r>
        <w:instrText xml:space="preserve"> HYPERLINK "https://doi.org/10.1016/j.jhydrol.2019.01.020" \t "https://www.sciencedirect.com/science/article/pii/_blank" \o "Persistent link using digital object identifier" </w:instrText>
      </w:r>
      <w:r>
        <w:fldChar w:fldCharType="separate"/>
      </w:r>
      <w:r>
        <w:rPr>
          <w:rFonts w:ascii="Times New Roman" w:hAnsi="Times New Roman" w:eastAsia="宋体"/>
          <w:sz w:val="18"/>
          <w:szCs w:val="24"/>
        </w:rPr>
        <w:t>https://doi.org/10.1016/j.jhydrol.2019.01.020</w:t>
      </w:r>
      <w:r>
        <w:rPr>
          <w:rFonts w:ascii="Times New Roman" w:hAnsi="Times New Roman" w:eastAsia="宋体"/>
          <w:sz w:val="18"/>
          <w:szCs w:val="24"/>
        </w:rPr>
        <w:fldChar w:fldCharType="end"/>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Parnell, A. C. ,  Inger, R. ,  Bearhop, S. ,  Jackson, A. L. , &amp;  Rands, S. . (2010). Source partitioning using stable isotopes: coping with too much variation. Plos One, 5(3), e9672.https://doi.org/10.1371/journal.pone.0009672</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Qian, Ma, Mingjun, Zhang, Liwei, &amp; Wang, et al. (2019). Quantification of moisture recycling in the river basins of china and its controlling factors. Environmental Earth Sciences, 78(14), 392.https://doi.org/10.1007/s12665-019-8404-z</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Rai, S. P. ,  Noble, J. ,  Singh, D. ,  Rawat, Y. S. , &amp;  Kumar, B. . (2021). Spatiotemporal variability in stable isotopes of the ganga river and factors affecting their distributions. Catena(204).https://doi.org/10.1016/j.catena.2021.105360</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Ren, W. R. W. ,  Yao, T. Y. T. ,  Xie, S. X. S. ,  He, Y. H. Y. , &amp;  Ren, W. . (2016). Controls on the stable isotopes in precipitation and surface waters across the southeastern tibetan plateau. Journal of Hydrology, 545, 276-287.https://doi.org/10.1016/j.jhydrol.2016.12.034</w:t>
      </w:r>
    </w:p>
    <w:bookmarkEnd w:id="10"/>
    <w:bookmarkEnd w:id="11"/>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Rowley, D. B. , &amp;  Pierrehumbert, R. T. . (2001). A new approach to stable isotope-based paleoaltimetry: implications for paleoaltimetry and paleohypsometry of the high himalaya since the late miocene. Earth and Planetary Science Letters, 188( 1–2), 253-268.https://doi.org/10.1016/S0012-821X(01)00324-7</w:t>
      </w:r>
    </w:p>
    <w:p>
      <w:pPr>
        <w:widowControl/>
        <w:ind w:hanging="200"/>
        <w:rPr>
          <w:rFonts w:ascii="Times New Roman" w:hAnsi="Times New Roman" w:eastAsia="宋体" w:cs="Times New Roman"/>
          <w:sz w:val="18"/>
          <w:szCs w:val="18"/>
        </w:rPr>
      </w:pPr>
      <w:r>
        <w:rPr>
          <w:rFonts w:hint="eastAsia" w:ascii="Times New Roman" w:hAnsi="Times New Roman" w:eastAsia="宋体" w:cs="Times New Roman"/>
          <w:sz w:val="18"/>
          <w:szCs w:val="18"/>
        </w:rPr>
        <w:t>Rozanski, K. . (1993). Isotope patterns in modern global precipitation, geophysical monograph 78. Climate</w:t>
      </w:r>
    </w:p>
    <w:p>
      <w:pPr>
        <w:widowControl/>
        <w:ind w:firstLine="360" w:firstLineChars="200"/>
        <w:rPr>
          <w:rFonts w:ascii="Times New Roman" w:hAnsi="Times New Roman" w:eastAsia="宋体" w:cs="Times New Roman"/>
          <w:sz w:val="18"/>
          <w:szCs w:val="18"/>
        </w:rPr>
      </w:pPr>
      <w:r>
        <w:rPr>
          <w:rFonts w:hint="eastAsia" w:ascii="Times New Roman" w:hAnsi="Times New Roman" w:eastAsia="宋体" w:cs="Times New Roman"/>
          <w:sz w:val="18"/>
          <w:szCs w:val="18"/>
        </w:rPr>
        <w:t>Change in Continental Isotope Records.https://doi.org/</w:t>
      </w:r>
      <w:r>
        <w:fldChar w:fldCharType="begin"/>
      </w:r>
      <w:r>
        <w:instrText xml:space="preserve"> HYPERLINK "https://ui.adsabs.harvard.edu/link_gateway/1993GMS....78....1R/doi:10.1029/GM078p0001" \t "https://ui.adsabs.harvard.edu/abs/1993GMS....78....1R/_blank" </w:instrText>
      </w:r>
      <w:r>
        <w:fldChar w:fldCharType="separate"/>
      </w:r>
      <w:r>
        <w:rPr>
          <w:rFonts w:ascii="Times New Roman" w:hAnsi="Times New Roman" w:eastAsia="宋体" w:cs="Times New Roman"/>
          <w:sz w:val="18"/>
          <w:szCs w:val="18"/>
        </w:rPr>
        <w:t>10.1029/GM078p0001</w:t>
      </w:r>
      <w:r>
        <w:rPr>
          <w:rFonts w:ascii="Times New Roman" w:hAnsi="Times New Roman" w:eastAsia="宋体" w:cs="Times New Roman"/>
          <w:sz w:val="18"/>
          <w:szCs w:val="18"/>
        </w:rPr>
        <w:fldChar w:fldCharType="end"/>
      </w:r>
    </w:p>
    <w:p>
      <w:pPr>
        <w:ind w:left="360" w:hanging="360" w:hangingChars="200"/>
        <w:rPr>
          <w:rFonts w:ascii="Times New Roman" w:hAnsi="Times New Roman" w:eastAsia="宋体" w:cs="Times New Roman"/>
          <w:sz w:val="18"/>
          <w:szCs w:val="18"/>
        </w:rPr>
      </w:pPr>
      <w:r>
        <w:rPr>
          <w:rFonts w:hint="eastAsia" w:ascii="Times New Roman" w:hAnsi="Times New Roman" w:eastAsia="宋体"/>
          <w:sz w:val="18"/>
          <w:szCs w:val="24"/>
        </w:rPr>
        <w:t>Rong, J. ,  Yufei, B. ,  Yong, S. ,  Yuchun, W. ,  Mingming, H. , &amp;  Yao, C. , et al. (2018). Spatio-temporal variations of the stable h-o isotopes and characterization of mixing processes between the mainstream and tributary of the three gorges reservoir. Water, 10(5), 563.https://doi.org/10.3390/w10050563.</w:t>
      </w:r>
    </w:p>
    <w:p>
      <w:pPr>
        <w:ind w:left="360" w:hanging="360" w:hangingChars="200"/>
        <w:rPr>
          <w:rFonts w:ascii="Times New Roman" w:hAnsi="Times New Roman" w:eastAsia="宋体" w:cs="Times New Roman"/>
          <w:sz w:val="18"/>
          <w:szCs w:val="24"/>
        </w:rPr>
      </w:pPr>
      <w:r>
        <w:rPr>
          <w:rFonts w:hint="eastAsia" w:ascii="Times New Roman" w:hAnsi="Times New Roman" w:eastAsia="宋体" w:cs="Times New Roman"/>
          <w:sz w:val="18"/>
          <w:szCs w:val="24"/>
        </w:rPr>
        <w:t>Sprenger, M. ,  Tetzlaff, D. ,  Buttle, J. ,  Carey, S. K. ,  Mcnamara, J. P. , &amp;  Laudon, H. , et al. (2018). Storage, mixing, and fluxes of water in the critical zone across northern environments inferred by stable isotopes of soil water. Hydrological Processes.https://doi.org/10.1002/hyp.13135</w:t>
      </w:r>
    </w:p>
    <w:p>
      <w:pPr>
        <w:ind w:left="360" w:hanging="360" w:hangingChars="200"/>
        <w:rPr>
          <w:rFonts w:ascii="Times New Roman" w:hAnsi="Times New Roman" w:eastAsia="宋体"/>
          <w:sz w:val="18"/>
          <w:szCs w:val="24"/>
        </w:rPr>
      </w:pPr>
      <w:r>
        <w:rPr>
          <w:rFonts w:ascii="Times New Roman" w:hAnsi="Times New Roman" w:eastAsia="宋体"/>
          <w:sz w:val="18"/>
          <w:szCs w:val="24"/>
        </w:rPr>
        <w:t>Sun, Congjian, Li, Xingong, Chen, Yaning, Li, Weihong, Stotler, Randy L., Zhang, Yongqing. Spatial and temporal characteristics of stable isotopes in the Tarim River Basin[J].Isotopes in environmental and health studies,2016,52(1/3):281-297.</w:t>
      </w:r>
      <w:r>
        <w:rPr>
          <w:rFonts w:hint="eastAsia" w:ascii="Times New Roman" w:hAnsi="Times New Roman" w:eastAsia="宋体"/>
          <w:sz w:val="18"/>
          <w:szCs w:val="24"/>
        </w:rPr>
        <w:t>https://doi.org/10.1080/10256016.2016.1125350</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Voss, Katalyn A.Bookhagen, BodoSachse, DirkChadwick, Oliver A. (2020). Variation of deuterium excess in surface waters across a 5000-m elevation gradient in eastern nepal. Journal of Hydrology, 586.https://doi.org/10.1016/j.jhydrol.2020.124802</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Wang, Z. ,  Zhou, C. ,  Guan, B. ,  Deng, Z. ,  Zhi, Y. , &amp;  Liu, Y. , et al. (2006). The headwater loss of the western plateau exacerbates china's long thirst. AMBIO-Journal of human environment(05), 271.https://doi.org/10.1579/05-S-110.1</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Ying, W. ,  Yaohui, L. I. ,  Yubi, Y. , &amp;  Funian, Z. . (2013). Spatial and temporal patterns in surface humidity changes in the shiyang river basin. Resources Science, 35(10), 2112-2120.https://doi.org/10.1016/j.catena.2021.105360</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Wang, Yun, Chen, Yaning, &amp; Weihong. (2014). Temporal and spatial variation of water stable isotopes (o-18 and h-2) in the kaidu river basin, northwestern china. Hydrological processes, 28(3), 1-9. https://doi.org/10.1002/hyp.9622</w:t>
      </w:r>
    </w:p>
    <w:p>
      <w:pPr>
        <w:ind w:left="360" w:hanging="360" w:hangingChars="200"/>
        <w:rPr>
          <w:rFonts w:ascii="Times New Roman" w:hAnsi="Times New Roman" w:eastAsia="宋体"/>
          <w:sz w:val="18"/>
          <w:szCs w:val="24"/>
        </w:rPr>
      </w:pPr>
      <w:bookmarkStart w:id="13" w:name="_Hlk120954786"/>
      <w:r>
        <w:rPr>
          <w:rFonts w:hint="eastAsia" w:ascii="Times New Roman" w:hAnsi="Times New Roman" w:eastAsia="宋体"/>
          <w:sz w:val="18"/>
          <w:szCs w:val="24"/>
        </w:rPr>
        <w:t>Yang, K. ,  Han, G. ,  Zeng, J. ,  Liang, B. , &amp;  Liu, M. . (2019). Spatial variation and controlling factors of h and o isotopes in lancang river water, southwest china. International journal of environmental research and public health, 16(24), 4932.https://doi.org/10.3390/ijerph16244932</w:t>
      </w:r>
    </w:p>
    <w:bookmarkEnd w:id="13"/>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Ye, S. ,  Liu, L. ,  Chen, X. ,  Li, P. ,  Xu, G. , &amp;  Ran, Q. . (2022). The variability of stable water isotopes and the young water fraction in a mountainous catchment. Clean - Soil, Air, Water: A Journal of Sustainability and Environmental Safety(7), 50.https://doi.org/10.1002/clen.202100337</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Zhang, L. ,  Li, P. , &amp;  He, X. . (2021). Interactions between surface water and groundwater in selected tributaries of the wei river (china) revealed by hydrochemistry and stable isotopes. Human and Ecological Risk Assessment(1), 1-21.https://doi.org/10.1080/10807039.2021.2016054</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Zhao, X. , &amp;  Li, F. . (2017). Isotope evidence for quantifying river evaporation and recharge processes in the lower reaches of the yellow river. Environmental Earth Sciences, 76(3), 123.https://doi.org/10.1007/s12665-017-6442-y</w:t>
      </w:r>
    </w:p>
    <w:p>
      <w:pPr>
        <w:ind w:left="360" w:hanging="360" w:hangingChars="200"/>
        <w:rPr>
          <w:rFonts w:ascii="Times New Roman" w:hAnsi="Times New Roman" w:eastAsia="宋体"/>
          <w:sz w:val="18"/>
          <w:szCs w:val="24"/>
        </w:rPr>
      </w:pPr>
      <w:r>
        <w:rPr>
          <w:rFonts w:hint="eastAsia" w:ascii="Times New Roman" w:hAnsi="Times New Roman" w:eastAsia="宋体"/>
          <w:sz w:val="18"/>
          <w:szCs w:val="24"/>
        </w:rPr>
        <w:t>Zhu, G. , Liu, Y. , Shi, P. , Jia, W. , Zhou, J. , &amp; Liu, Y. , et al. (2021). Stable water isotope monitoring network of different water bodies in shiyang river basin, a typical arid river in china. Copernicus GmbH.https://doi.org/10.5194/essd-14-3773-2022</w:t>
      </w:r>
    </w:p>
    <w:p>
      <w:pPr>
        <w:ind w:left="360" w:hanging="360" w:hangingChars="200"/>
        <w:rPr>
          <w:rFonts w:ascii="Times New Roman" w:hAnsi="Times New Roman" w:eastAsia="宋体"/>
          <w:sz w:val="18"/>
          <w:szCs w:val="24"/>
        </w:rPr>
      </w:pPr>
      <w:bookmarkStart w:id="14" w:name="_Hlk122453107"/>
      <w:r>
        <w:rPr>
          <w:rFonts w:ascii="Times New Roman" w:hAnsi="Times New Roman" w:eastAsia="宋体"/>
          <w:sz w:val="18"/>
          <w:szCs w:val="24"/>
        </w:rPr>
        <w:t>Zhu</w:t>
      </w:r>
      <w:bookmarkEnd w:id="14"/>
      <w:r>
        <w:rPr>
          <w:rFonts w:ascii="Times New Roman" w:hAnsi="Times New Roman" w:eastAsia="宋体"/>
          <w:sz w:val="18"/>
          <w:szCs w:val="24"/>
        </w:rPr>
        <w:t xml:space="preserve"> G, Sun Z, Xu Y, et al. Evaporation loss estimation of the river-lake continuum of arid inland river: Evidence from stable isotopes[J]. Hydrology and Earth System Sciences Discussions, 2022: 1-33.https://doi.org/10.5194/hess-2022-75, 2022</w:t>
      </w:r>
    </w:p>
    <w:p>
      <w:pPr>
        <w:ind w:hanging="200"/>
        <w:rPr>
          <w:rFonts w:ascii="Times New Roman" w:hAnsi="Times New Roman" w:cs="Times New Roman"/>
          <w:sz w:val="24"/>
          <w:szCs w:val="24"/>
        </w:rPr>
      </w:pPr>
    </w:p>
    <w:p>
      <w:pPr>
        <w:ind w:hanging="200"/>
        <w:rPr>
          <w:szCs w:val="24"/>
        </w:rPr>
      </w:pPr>
    </w:p>
    <w:p/>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Math">
    <w:panose1 w:val="02040503050406030204"/>
    <w:charset w:val="00"/>
    <w:family w:val="roman"/>
    <w:pitch w:val="default"/>
    <w:sig w:usb0="E00006FF" w:usb1="420024FF" w:usb2="02000000" w:usb3="00000000" w:csb0="2000019F" w:csb1="00000000"/>
  </w:font>
  <w:font w:name="Symbol">
    <w:panose1 w:val="05050102010706020507"/>
    <w:charset w:val="00"/>
    <w:family w:val="auto"/>
    <w:pitch w:val="default"/>
    <w:sig w:usb0="00000000" w:usb1="00000000" w:usb2="00000000" w:usb3="00000000" w:csb0="80000000" w:csb1="00000000"/>
  </w:font>
  <w:font w:name="sans-serif">
    <w:altName w:val="ESRI AMFM Electric"/>
    <w:panose1 w:val="00000000000000000000"/>
    <w:charset w:val="00"/>
    <w:family w:val="auto"/>
    <w:pitch w:val="default"/>
    <w:sig w:usb0="00000000" w:usb1="00000000" w:usb2="00000000" w:usb3="00000000" w:csb0="00000000" w:csb1="00000000"/>
  </w:font>
  <w:font w:name="ESRI AMFM Electric">
    <w:panose1 w:val="02000400000000000000"/>
    <w:charset w:val="00"/>
    <w:family w:val="auto"/>
    <w:pitch w:val="default"/>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77A3D6"/>
    <w:multiLevelType w:val="multilevel"/>
    <w:tmpl w:val="8277A3D6"/>
    <w:lvl w:ilvl="0" w:tentative="0">
      <w:start w:val="2"/>
      <w:numFmt w:val="decimal"/>
      <w:suff w:val="space"/>
      <w:lvlText w:val="%1."/>
      <w:lvlJc w:val="left"/>
    </w:lvl>
    <w:lvl w:ilvl="1" w:tentative="0">
      <w:start w:val="1"/>
      <w:numFmt w:val="decimal"/>
      <w:suff w:val="space"/>
      <w:lvlText w:val="%1.%2"/>
      <w:lvlJc w:val="left"/>
      <w:pPr>
        <w:ind w:left="0" w:firstLine="0"/>
      </w:pPr>
      <w:rPr>
        <w:rFonts w:hint="default"/>
      </w:rPr>
    </w:lvl>
    <w:lvl w:ilvl="2" w:tentative="0">
      <w:start w:val="1"/>
      <w:numFmt w:val="decimal"/>
      <w:suff w:val="space"/>
      <w:lvlText w:val="%1.%2.%3"/>
      <w:lvlJc w:val="left"/>
      <w:pPr>
        <w:ind w:left="0" w:firstLine="0"/>
      </w:pPr>
      <w:rPr>
        <w:rFonts w:hint="default"/>
      </w:rPr>
    </w:lvl>
    <w:lvl w:ilvl="3" w:tentative="0">
      <w:start w:val="1"/>
      <w:numFmt w:val="decimal"/>
      <w:suff w:val="space"/>
      <w:lvlText w:val="%1.%2.%3.%4"/>
      <w:lvlJc w:val="left"/>
      <w:pPr>
        <w:ind w:left="0" w:firstLine="0"/>
      </w:pPr>
      <w:rPr>
        <w:rFonts w:hint="default"/>
      </w:rPr>
    </w:lvl>
    <w:lvl w:ilvl="4" w:tentative="0">
      <w:start w:val="1"/>
      <w:numFmt w:val="decimal"/>
      <w:suff w:val="space"/>
      <w:lvlText w:val="%1.%2.%3.%4.%5"/>
      <w:lvlJc w:val="left"/>
      <w:pPr>
        <w:ind w:left="0" w:firstLine="0"/>
      </w:pPr>
      <w:rPr>
        <w:rFonts w:hint="default"/>
      </w:rPr>
    </w:lvl>
    <w:lvl w:ilvl="5" w:tentative="0">
      <w:start w:val="1"/>
      <w:numFmt w:val="decimal"/>
      <w:suff w:val="space"/>
      <w:lvlText w:val="%1.%2.%3.%4.%5.%6"/>
      <w:lvlJc w:val="left"/>
      <w:pPr>
        <w:ind w:left="0" w:firstLine="0"/>
      </w:pPr>
      <w:rPr>
        <w:rFonts w:hint="default"/>
      </w:rPr>
    </w:lvl>
    <w:lvl w:ilvl="6" w:tentative="0">
      <w:start w:val="1"/>
      <w:numFmt w:val="decimal"/>
      <w:suff w:val="space"/>
      <w:lvlText w:val="%1.%2.%3.%4.%5.%6.%7"/>
      <w:lvlJc w:val="left"/>
      <w:pPr>
        <w:ind w:left="0" w:firstLine="0"/>
      </w:pPr>
      <w:rPr>
        <w:rFonts w:hint="default"/>
      </w:rPr>
    </w:lvl>
    <w:lvl w:ilvl="7" w:tentative="0">
      <w:start w:val="1"/>
      <w:numFmt w:val="decimal"/>
      <w:suff w:val="space"/>
      <w:lvlText w:val="%1.%2.%3.%4.%5.%6.%7.%8"/>
      <w:lvlJc w:val="left"/>
      <w:pPr>
        <w:ind w:left="0" w:firstLine="0"/>
      </w:pPr>
      <w:rPr>
        <w:rFonts w:hint="default"/>
      </w:rPr>
    </w:lvl>
    <w:lvl w:ilvl="8" w:tentative="0">
      <w:start w:val="1"/>
      <w:numFmt w:val="decimal"/>
      <w:suff w:val="space"/>
      <w:lvlText w:val="%1.%2.%3.%4.%5.%6.%7.%8.%9"/>
      <w:lvlJc w:val="left"/>
      <w:pPr>
        <w:ind w:left="0" w:firstLine="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zUzMDg5M2U4NWVhOTBlYTllNjBhYzUzMjA3ZTlmODIifQ=="/>
  </w:docVars>
  <w:rsids>
    <w:rsidRoot w:val="0049412F"/>
    <w:rsid w:val="00207C0F"/>
    <w:rsid w:val="00307D69"/>
    <w:rsid w:val="0049412F"/>
    <w:rsid w:val="004D53DA"/>
    <w:rsid w:val="00556CF1"/>
    <w:rsid w:val="00561A97"/>
    <w:rsid w:val="00716060"/>
    <w:rsid w:val="007209B8"/>
    <w:rsid w:val="0094113E"/>
    <w:rsid w:val="00B11EC4"/>
    <w:rsid w:val="00B73801"/>
    <w:rsid w:val="00CD3AE8"/>
    <w:rsid w:val="00DA0E52"/>
    <w:rsid w:val="02145834"/>
    <w:rsid w:val="09AB0440"/>
    <w:rsid w:val="0BAC6173"/>
    <w:rsid w:val="0D60626A"/>
    <w:rsid w:val="12CB18A0"/>
    <w:rsid w:val="145F3B55"/>
    <w:rsid w:val="18833F33"/>
    <w:rsid w:val="1CDD28FB"/>
    <w:rsid w:val="23F8667D"/>
    <w:rsid w:val="24F83FA8"/>
    <w:rsid w:val="282F3137"/>
    <w:rsid w:val="2E975D2B"/>
    <w:rsid w:val="2FE16266"/>
    <w:rsid w:val="32594F79"/>
    <w:rsid w:val="33864871"/>
    <w:rsid w:val="3D493552"/>
    <w:rsid w:val="3D946CC7"/>
    <w:rsid w:val="3E8B6203"/>
    <w:rsid w:val="45853C71"/>
    <w:rsid w:val="45A21C01"/>
    <w:rsid w:val="468C3169"/>
    <w:rsid w:val="4AAB3562"/>
    <w:rsid w:val="4C1B0CD1"/>
    <w:rsid w:val="4D7105B0"/>
    <w:rsid w:val="4DD30F98"/>
    <w:rsid w:val="4FDE2B51"/>
    <w:rsid w:val="58112D9B"/>
    <w:rsid w:val="5CC43133"/>
    <w:rsid w:val="5F3166A8"/>
    <w:rsid w:val="64975A9F"/>
    <w:rsid w:val="66A12057"/>
    <w:rsid w:val="67FE3DC2"/>
    <w:rsid w:val="711948FF"/>
    <w:rsid w:val="7366475F"/>
    <w:rsid w:val="73EB6013"/>
    <w:rsid w:val="75C21FEA"/>
    <w:rsid w:val="77783709"/>
    <w:rsid w:val="7A9E2C1E"/>
    <w:rsid w:val="7E0667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footer"/>
    <w:basedOn w:val="1"/>
    <w:link w:val="10"/>
    <w:uiPriority w:val="0"/>
    <w:pPr>
      <w:tabs>
        <w:tab w:val="center" w:pos="4153"/>
        <w:tab w:val="right" w:pos="8306"/>
      </w:tabs>
      <w:snapToGrid w:val="0"/>
      <w:jc w:val="left"/>
    </w:pPr>
    <w:rPr>
      <w:sz w:val="18"/>
      <w:szCs w:val="18"/>
    </w:rPr>
  </w:style>
  <w:style w:type="paragraph" w:styleId="3">
    <w:name w:val="header"/>
    <w:basedOn w:val="1"/>
    <w:link w:val="9"/>
    <w:uiPriority w:val="0"/>
    <w:pPr>
      <w:tabs>
        <w:tab w:val="center" w:pos="4153"/>
        <w:tab w:val="right" w:pos="8306"/>
      </w:tabs>
      <w:snapToGrid w:val="0"/>
      <w:jc w:val="center"/>
    </w:pPr>
    <w:rPr>
      <w:sz w:val="18"/>
      <w:szCs w:val="18"/>
    </w:rPr>
  </w:style>
  <w:style w:type="paragraph" w:styleId="4">
    <w:name w:val="Normal (Web)"/>
    <w:basedOn w:val="1"/>
    <w:uiPriority w:val="0"/>
    <w:rPr>
      <w:sz w:val="24"/>
    </w:rPr>
  </w:style>
  <w:style w:type="table" w:styleId="6">
    <w:name w:val="Table Grid"/>
    <w:basedOn w:val="5"/>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
    <w:name w:val="Hyperlink"/>
    <w:basedOn w:val="7"/>
    <w:qFormat/>
    <w:uiPriority w:val="0"/>
    <w:rPr>
      <w:color w:val="0000FF"/>
      <w:u w:val="single"/>
    </w:rPr>
  </w:style>
  <w:style w:type="character" w:customStyle="1" w:styleId="9">
    <w:name w:val="页眉 字符"/>
    <w:basedOn w:val="7"/>
    <w:link w:val="3"/>
    <w:uiPriority w:val="0"/>
    <w:rPr>
      <w:rFonts w:asciiTheme="minorHAnsi" w:hAnsiTheme="minorHAnsi" w:eastAsiaTheme="minorEastAsia" w:cstheme="minorBidi"/>
      <w:kern w:val="2"/>
      <w:sz w:val="18"/>
      <w:szCs w:val="18"/>
    </w:rPr>
  </w:style>
  <w:style w:type="character" w:customStyle="1" w:styleId="10">
    <w:name w:val="页脚 字符"/>
    <w:basedOn w:val="7"/>
    <w:link w:val="2"/>
    <w:uiPriority w:val="0"/>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27</Pages>
  <Words>8552</Words>
  <Characters>48751</Characters>
  <Lines>406</Lines>
  <Paragraphs>114</Paragraphs>
  <TotalTime>16</TotalTime>
  <ScaleCrop>false</ScaleCrop>
  <LinksUpToDate>false</LinksUpToDate>
  <CharactersWithSpaces>57189</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2023-07-03T09:19:00Z</dcterms:created>
  <dc:creator>dell</dc:creator>
  <cp:lastModifiedBy>qzuser</cp:lastModifiedBy>
  <dcterms:modified xsi:type="dcterms:W3CDTF">2023-10-04T06:51:47Z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D23DA805BFE04ADE9F3CD0E5EE3AC5FD_12</vt:lpwstr>
  </property>
</Properties>
</file>