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DE1525" w14:textId="77777777" w:rsidR="00EF304C" w:rsidRDefault="00000000">
      <w:pPr>
        <w:pBdr>
          <w:top w:val="nil"/>
          <w:left w:val="nil"/>
          <w:bottom w:val="nil"/>
          <w:right w:val="nil"/>
          <w:between w:val="nil"/>
        </w:pBdr>
        <w:spacing w:before="240" w:after="60" w:line="276" w:lineRule="auto"/>
        <w:jc w:val="both"/>
        <w:rPr>
          <w:rFonts w:ascii="Times New Roman" w:eastAsia="Times New Roman" w:hAnsi="Times New Roman" w:cs="Times New Roman"/>
          <w:color w:val="000000"/>
          <w:sz w:val="34"/>
          <w:szCs w:val="34"/>
        </w:rPr>
      </w:pPr>
      <w:r>
        <w:rPr>
          <w:rFonts w:ascii="Times New Roman" w:eastAsia="Times New Roman" w:hAnsi="Times New Roman" w:cs="Times New Roman"/>
          <w:color w:val="000000"/>
          <w:sz w:val="34"/>
          <w:szCs w:val="34"/>
        </w:rPr>
        <w:t xml:space="preserve">Synthesis and characterization of Oil Palm Empty Fruit Bunch Activated Carbon for Battery Electrodes </w:t>
      </w:r>
    </w:p>
    <w:p w14:paraId="7EDE0394" w14:textId="3C47FCC1" w:rsidR="00EF304C" w:rsidRDefault="00000000">
      <w:pPr>
        <w:pBdr>
          <w:top w:val="nil"/>
          <w:left w:val="nil"/>
          <w:bottom w:val="nil"/>
          <w:right w:val="nil"/>
          <w:between w:val="nil"/>
        </w:pBdr>
        <w:spacing w:before="240" w:after="60" w:line="276" w:lineRule="auto"/>
        <w:jc w:val="both"/>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Yunita Triana</w:t>
      </w:r>
      <w:r>
        <w:rPr>
          <w:rFonts w:ascii="Times New Roman" w:eastAsia="Times New Roman" w:hAnsi="Times New Roman" w:cs="Times New Roman"/>
          <w:color w:val="000000"/>
          <w:sz w:val="24"/>
          <w:szCs w:val="24"/>
          <w:vertAlign w:val="superscript"/>
        </w:rPr>
        <w:t>a,f</w:t>
      </w:r>
      <w:r>
        <w:rPr>
          <w:rFonts w:ascii="Times New Roman" w:eastAsia="Times New Roman" w:hAnsi="Times New Roman" w:cs="Times New Roman"/>
          <w:color w:val="000000"/>
          <w:sz w:val="24"/>
          <w:szCs w:val="24"/>
        </w:rPr>
        <w:t>, Sintya Efriana</w:t>
      </w:r>
      <w:r>
        <w:rPr>
          <w:rFonts w:ascii="Times New Roman" w:eastAsia="Times New Roman" w:hAnsi="Times New Roman" w:cs="Times New Roman"/>
          <w:color w:val="000000"/>
          <w:sz w:val="24"/>
          <w:szCs w:val="24"/>
          <w:vertAlign w:val="superscript"/>
        </w:rPr>
        <w:t>a,f</w:t>
      </w:r>
      <w:r>
        <w:rPr>
          <w:rFonts w:ascii="Times New Roman" w:eastAsia="Times New Roman" w:hAnsi="Times New Roman" w:cs="Times New Roman"/>
          <w:color w:val="000000"/>
          <w:sz w:val="24"/>
          <w:szCs w:val="24"/>
        </w:rPr>
        <w:t>, Rahmat Pratama</w:t>
      </w:r>
      <w:r>
        <w:rPr>
          <w:rFonts w:ascii="Times New Roman" w:eastAsia="Times New Roman" w:hAnsi="Times New Roman" w:cs="Times New Roman"/>
          <w:color w:val="000000"/>
          <w:sz w:val="24"/>
          <w:szCs w:val="24"/>
          <w:vertAlign w:val="superscript"/>
        </w:rPr>
        <w:t>a,f</w:t>
      </w:r>
      <w:r>
        <w:rPr>
          <w:rFonts w:ascii="Times New Roman" w:eastAsia="Times New Roman" w:hAnsi="Times New Roman" w:cs="Times New Roman"/>
          <w:color w:val="000000"/>
          <w:sz w:val="24"/>
          <w:szCs w:val="24"/>
        </w:rPr>
        <w:t>, Sukma Wina Anjani</w:t>
      </w:r>
      <w:r>
        <w:rPr>
          <w:rFonts w:ascii="Times New Roman" w:eastAsia="Times New Roman" w:hAnsi="Times New Roman" w:cs="Times New Roman"/>
          <w:color w:val="000000"/>
          <w:sz w:val="24"/>
          <w:szCs w:val="24"/>
          <w:vertAlign w:val="superscript"/>
        </w:rPr>
        <w:t>a,f</w:t>
      </w:r>
      <w:r>
        <w:rPr>
          <w:rFonts w:ascii="Times New Roman" w:eastAsia="Times New Roman" w:hAnsi="Times New Roman" w:cs="Times New Roman"/>
          <w:color w:val="000000"/>
          <w:sz w:val="24"/>
          <w:szCs w:val="24"/>
        </w:rPr>
        <w:t>, Masato Tominaga</w:t>
      </w:r>
      <w:r>
        <w:rPr>
          <w:rFonts w:ascii="Times New Roman" w:eastAsia="Times New Roman" w:hAnsi="Times New Roman" w:cs="Times New Roman"/>
          <w:color w:val="000000"/>
          <w:sz w:val="24"/>
          <w:szCs w:val="24"/>
          <w:vertAlign w:val="superscript"/>
        </w:rPr>
        <w:t>b</w:t>
      </w:r>
      <w:r>
        <w:rPr>
          <w:rFonts w:ascii="Times New Roman" w:eastAsia="Times New Roman" w:hAnsi="Times New Roman" w:cs="Times New Roman"/>
          <w:color w:val="000000"/>
          <w:sz w:val="24"/>
          <w:szCs w:val="24"/>
        </w:rPr>
        <w:t>, Fredy Kurniawan</w:t>
      </w:r>
      <w:r>
        <w:rPr>
          <w:rFonts w:ascii="Times New Roman" w:eastAsia="Times New Roman" w:hAnsi="Times New Roman" w:cs="Times New Roman"/>
          <w:color w:val="000000"/>
          <w:sz w:val="24"/>
          <w:szCs w:val="24"/>
          <w:vertAlign w:val="superscript"/>
        </w:rPr>
        <w:t>c</w:t>
      </w:r>
      <w:r>
        <w:rPr>
          <w:rFonts w:ascii="Times New Roman" w:eastAsia="Times New Roman" w:hAnsi="Times New Roman" w:cs="Times New Roman"/>
          <w:color w:val="000000"/>
          <w:sz w:val="24"/>
          <w:szCs w:val="24"/>
        </w:rPr>
        <w:t>, Widi Astuti</w:t>
      </w:r>
      <w:r>
        <w:rPr>
          <w:rFonts w:ascii="Times New Roman" w:eastAsia="Times New Roman" w:hAnsi="Times New Roman" w:cs="Times New Roman"/>
          <w:color w:val="000000"/>
          <w:sz w:val="24"/>
          <w:szCs w:val="24"/>
          <w:vertAlign w:val="superscript"/>
        </w:rPr>
        <w:t>d</w:t>
      </w:r>
      <w:r>
        <w:rPr>
          <w:rFonts w:ascii="Times New Roman" w:eastAsia="Times New Roman" w:hAnsi="Times New Roman" w:cs="Times New Roman"/>
          <w:color w:val="000000"/>
          <w:sz w:val="24"/>
          <w:szCs w:val="24"/>
        </w:rPr>
        <w:t>, Andi Idhil Ismail</w:t>
      </w:r>
      <w:r>
        <w:rPr>
          <w:rFonts w:ascii="Times New Roman" w:eastAsia="Times New Roman" w:hAnsi="Times New Roman" w:cs="Times New Roman"/>
          <w:color w:val="000000"/>
          <w:sz w:val="24"/>
          <w:szCs w:val="24"/>
          <w:vertAlign w:val="superscript"/>
        </w:rPr>
        <w:t>e</w:t>
      </w:r>
    </w:p>
    <w:p w14:paraId="263C4E7C" w14:textId="77777777" w:rsidR="00EF304C" w:rsidRDefault="00EF304C">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vertAlign w:val="superscript"/>
        </w:rPr>
      </w:pPr>
    </w:p>
    <w:p w14:paraId="729BBF7D" w14:textId="77777777" w:rsidR="00EF304C" w:rsidRDefault="00000000">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vertAlign w:val="superscript"/>
        </w:rPr>
        <w:t>a</w:t>
      </w:r>
      <w:r>
        <w:rPr>
          <w:rFonts w:ascii="Times New Roman" w:eastAsia="Times New Roman" w:hAnsi="Times New Roman" w:cs="Times New Roman"/>
          <w:i/>
          <w:color w:val="000000"/>
          <w:sz w:val="20"/>
          <w:szCs w:val="20"/>
        </w:rPr>
        <w:t>Department of Materials and Metallurgical</w:t>
      </w:r>
      <w:r>
        <w:rPr>
          <w:rFonts w:ascii="Times New Roman" w:eastAsia="Times New Roman" w:hAnsi="Times New Roman" w:cs="Times New Roman"/>
          <w:i/>
          <w:color w:val="FFFFFF"/>
          <w:sz w:val="20"/>
          <w:szCs w:val="20"/>
        </w:rPr>
        <w:t>e</w:t>
      </w:r>
      <w:r>
        <w:rPr>
          <w:rFonts w:ascii="Times New Roman" w:eastAsia="Times New Roman" w:hAnsi="Times New Roman" w:cs="Times New Roman"/>
          <w:i/>
          <w:color w:val="000000"/>
          <w:sz w:val="20"/>
          <w:szCs w:val="20"/>
        </w:rPr>
        <w:t>Engineering, Institut Teknologi Kalimantan, Balikpapan, Indonesia</w:t>
      </w:r>
    </w:p>
    <w:p w14:paraId="5C0E1372" w14:textId="77777777" w:rsidR="00EF304C" w:rsidRDefault="00000000">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vertAlign w:val="superscript"/>
        </w:rPr>
        <w:t>b</w:t>
      </w:r>
      <w:r>
        <w:rPr>
          <w:rFonts w:ascii="Times New Roman" w:eastAsia="Times New Roman" w:hAnsi="Times New Roman" w:cs="Times New Roman"/>
          <w:i/>
          <w:color w:val="000000"/>
          <w:sz w:val="20"/>
          <w:szCs w:val="20"/>
        </w:rPr>
        <w:t>Department of Chemistry and Applied Chemistry, Saga University, Saga, Japan</w:t>
      </w:r>
    </w:p>
    <w:p w14:paraId="230CF221" w14:textId="77777777" w:rsidR="00EF304C" w:rsidRDefault="00000000">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vertAlign w:val="superscript"/>
        </w:rPr>
        <w:t>c</w:t>
      </w:r>
      <w:r>
        <w:rPr>
          <w:rFonts w:ascii="Times New Roman" w:eastAsia="Times New Roman" w:hAnsi="Times New Roman" w:cs="Times New Roman"/>
          <w:i/>
          <w:color w:val="000000"/>
          <w:sz w:val="20"/>
          <w:szCs w:val="20"/>
        </w:rPr>
        <w:t>Department of Chemistry, Institut Teknologi Sepuluh Nopember, Surabaya, Indonesia</w:t>
      </w:r>
    </w:p>
    <w:p w14:paraId="42B19D2D" w14:textId="77777777" w:rsidR="00EF304C" w:rsidRDefault="00000000">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vertAlign w:val="superscript"/>
        </w:rPr>
        <w:t>d</w:t>
      </w:r>
      <w:r>
        <w:rPr>
          <w:rFonts w:ascii="Times New Roman" w:eastAsia="Times New Roman" w:hAnsi="Times New Roman" w:cs="Times New Roman"/>
          <w:i/>
          <w:color w:val="000000"/>
          <w:sz w:val="20"/>
          <w:szCs w:val="20"/>
        </w:rPr>
        <w:t>Research Center for Mining Technology,</w:t>
      </w:r>
      <w:r>
        <w:rPr>
          <w:rFonts w:ascii="Times New Roman" w:eastAsia="Times New Roman" w:hAnsi="Times New Roman" w:cs="Times New Roman"/>
          <w:i/>
          <w:color w:val="FFFFFF"/>
          <w:sz w:val="20"/>
          <w:szCs w:val="20"/>
        </w:rPr>
        <w:t xml:space="preserve"> </w:t>
      </w:r>
      <w:r>
        <w:rPr>
          <w:rFonts w:ascii="Times New Roman" w:eastAsia="Times New Roman" w:hAnsi="Times New Roman" w:cs="Times New Roman"/>
          <w:i/>
          <w:color w:val="000000"/>
          <w:sz w:val="20"/>
          <w:szCs w:val="20"/>
        </w:rPr>
        <w:t>National Research, and Innovation Agency</w:t>
      </w:r>
      <w:r>
        <w:rPr>
          <w:rFonts w:ascii="Times New Roman" w:eastAsia="Times New Roman" w:hAnsi="Times New Roman" w:cs="Times New Roman"/>
          <w:i/>
          <w:color w:val="FFFFFF"/>
          <w:sz w:val="20"/>
          <w:szCs w:val="20"/>
        </w:rPr>
        <w:t>e</w:t>
      </w:r>
      <w:r>
        <w:rPr>
          <w:rFonts w:ascii="Times New Roman" w:eastAsia="Times New Roman" w:hAnsi="Times New Roman" w:cs="Times New Roman"/>
          <w:i/>
          <w:color w:val="000000"/>
          <w:sz w:val="20"/>
          <w:szCs w:val="20"/>
        </w:rPr>
        <w:t>(BRIN), Lampung, Indonesia</w:t>
      </w:r>
    </w:p>
    <w:p w14:paraId="32E7A23D" w14:textId="77777777" w:rsidR="00EF304C" w:rsidRDefault="00000000">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vertAlign w:val="superscript"/>
        </w:rPr>
        <w:t>e</w:t>
      </w:r>
      <w:r>
        <w:rPr>
          <w:rFonts w:ascii="Times New Roman" w:eastAsia="Times New Roman" w:hAnsi="Times New Roman" w:cs="Times New Roman"/>
          <w:i/>
          <w:color w:val="000000"/>
          <w:sz w:val="20"/>
          <w:szCs w:val="20"/>
        </w:rPr>
        <w:t>Department of Mechanical Engineering, Institut Teknologi Kalimantan, Balikpapan, Indonesia</w:t>
      </w:r>
    </w:p>
    <w:p w14:paraId="7B47BE4C" w14:textId="77777777" w:rsidR="00EF304C" w:rsidRDefault="00000000">
      <w:pPr>
        <w:pBdr>
          <w:top w:val="nil"/>
          <w:left w:val="nil"/>
          <w:bottom w:val="nil"/>
          <w:right w:val="nil"/>
          <w:between w:val="nil"/>
        </w:pBdr>
        <w:spacing w:after="6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vertAlign w:val="superscript"/>
        </w:rPr>
        <w:t>f</w:t>
      </w:r>
      <w:r>
        <w:rPr>
          <w:rFonts w:ascii="Times New Roman" w:eastAsia="Times New Roman" w:hAnsi="Times New Roman" w:cs="Times New Roman"/>
          <w:i/>
          <w:color w:val="000000"/>
          <w:sz w:val="20"/>
          <w:szCs w:val="20"/>
        </w:rPr>
        <w:t>Electrochemistry Research</w:t>
      </w:r>
      <w:r>
        <w:rPr>
          <w:rFonts w:ascii="Times New Roman" w:eastAsia="Times New Roman" w:hAnsi="Times New Roman" w:cs="Times New Roman"/>
          <w:i/>
          <w:color w:val="FFFFFF"/>
          <w:sz w:val="20"/>
          <w:szCs w:val="20"/>
        </w:rPr>
        <w:t>e</w:t>
      </w:r>
      <w:r>
        <w:rPr>
          <w:rFonts w:ascii="Times New Roman" w:eastAsia="Times New Roman" w:hAnsi="Times New Roman" w:cs="Times New Roman"/>
          <w:i/>
          <w:color w:val="000000"/>
          <w:sz w:val="20"/>
          <w:szCs w:val="20"/>
        </w:rPr>
        <w:t>Center, Institut Teknologi Kalimantan, Balikpapan, Indonesia</w:t>
      </w:r>
    </w:p>
    <w:p w14:paraId="0A5C5609" w14:textId="77777777" w:rsidR="00EF304C" w:rsidRDefault="00EF304C">
      <w:pPr>
        <w:pBdr>
          <w:top w:val="nil"/>
          <w:left w:val="nil"/>
          <w:bottom w:val="nil"/>
          <w:right w:val="nil"/>
          <w:between w:val="nil"/>
        </w:pBdr>
        <w:spacing w:after="0" w:line="276" w:lineRule="auto"/>
        <w:rPr>
          <w:rFonts w:ascii="Times New Roman" w:eastAsia="Times New Roman" w:hAnsi="Times New Roman" w:cs="Times New Roman"/>
          <w:i/>
          <w:color w:val="000000"/>
          <w:sz w:val="20"/>
          <w:szCs w:val="20"/>
        </w:rPr>
      </w:pPr>
    </w:p>
    <w:p w14:paraId="135D4474" w14:textId="77777777" w:rsidR="00EF304C" w:rsidRDefault="00000000">
      <w:pPr>
        <w:pBdr>
          <w:top w:val="nil"/>
          <w:left w:val="nil"/>
          <w:bottom w:val="nil"/>
          <w:right w:val="nil"/>
          <w:between w:val="nil"/>
        </w:pBdr>
        <w:spacing w:after="0" w:line="276"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rPr>
        <w:t>Corresponding author</w:t>
      </w:r>
    </w:p>
    <w:p w14:paraId="665F09A4" w14:textId="25BF7047" w:rsidR="005474E0" w:rsidRPr="005474E0" w:rsidRDefault="00000000">
      <w:pPr>
        <w:pBdr>
          <w:top w:val="nil"/>
          <w:left w:val="nil"/>
          <w:bottom w:val="nil"/>
          <w:right w:val="nil"/>
          <w:between w:val="nil"/>
        </w:pBdr>
        <w:spacing w:after="360" w:line="276" w:lineRule="auto"/>
        <w:rPr>
          <w:rFonts w:ascii="Times New Roman" w:hAnsi="Times New Roman" w:cs="Times New Roman"/>
          <w:sz w:val="20"/>
          <w:szCs w:val="20"/>
        </w:rPr>
      </w:pPr>
      <w:r>
        <w:rPr>
          <w:rFonts w:ascii="Times New Roman" w:eastAsia="Times New Roman" w:hAnsi="Times New Roman" w:cs="Times New Roman"/>
          <w:i/>
          <w:color w:val="000000"/>
          <w:sz w:val="20"/>
          <w:szCs w:val="20"/>
        </w:rPr>
        <w:t xml:space="preserve">Yunita Triana: </w:t>
      </w:r>
      <w:r w:rsidR="006F4530" w:rsidRPr="006F4530">
        <w:rPr>
          <w:rFonts w:ascii="Times New Roman" w:hAnsi="Times New Roman" w:cs="Times New Roman"/>
          <w:sz w:val="20"/>
          <w:szCs w:val="20"/>
        </w:rPr>
        <w:t>nita@lecturer.itk.ac.id</w:t>
      </w:r>
    </w:p>
    <w:p w14:paraId="3AA98106" w14:textId="77777777" w:rsidR="00EF304C" w:rsidRDefault="00000000">
      <w:pPr>
        <w:pBdr>
          <w:top w:val="single" w:sz="4" w:space="1" w:color="000000"/>
          <w:left w:val="nil"/>
          <w:bottom w:val="nil"/>
          <w:right w:val="nil"/>
          <w:between w:val="nil"/>
        </w:pBdr>
        <w:spacing w:before="240" w:after="3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Abstract</w:t>
      </w:r>
    </w:p>
    <w:p w14:paraId="13C79860" w14:textId="77777777" w:rsidR="00EF304C" w:rsidRDefault="00000000">
      <w:pPr>
        <w:pBdr>
          <w:top w:val="single" w:sz="4" w:space="1" w:color="000000"/>
          <w:left w:val="nil"/>
          <w:bottom w:val="nil"/>
          <w:right w:val="nil"/>
          <w:between w:val="nil"/>
        </w:pBdr>
        <w:spacing w:before="240" w:after="3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this work, the synthesis and characterization of the oil palm empty fruit bunch (OPEFB) activated carbon were studied </w:t>
      </w:r>
      <w:r>
        <w:rPr>
          <w:rFonts w:ascii="Times New Roman" w:eastAsia="Times New Roman" w:hAnsi="Times New Roman" w:cs="Times New Roman"/>
          <w:sz w:val="24"/>
          <w:szCs w:val="24"/>
        </w:rPr>
        <w:t>for battery</w:t>
      </w:r>
      <w:r>
        <w:rPr>
          <w:rFonts w:ascii="Times New Roman" w:eastAsia="Times New Roman" w:hAnsi="Times New Roman" w:cs="Times New Roman"/>
          <w:color w:val="000000"/>
          <w:sz w:val="24"/>
          <w:szCs w:val="24"/>
        </w:rPr>
        <w:t xml:space="preserve"> electrodes application. First, chemical activation carried out by variation concentrations and immersion time of NaOH and KOH. Then, the physical </w:t>
      </w:r>
      <w:r>
        <w:rPr>
          <w:rFonts w:ascii="Times New Roman" w:eastAsia="Times New Roman" w:hAnsi="Times New Roman" w:cs="Times New Roman"/>
          <w:sz w:val="24"/>
          <w:szCs w:val="24"/>
        </w:rPr>
        <w:t>activation was studied</w:t>
      </w:r>
      <w:r>
        <w:rPr>
          <w:rFonts w:ascii="Times New Roman" w:eastAsia="Times New Roman" w:hAnsi="Times New Roman" w:cs="Times New Roman"/>
          <w:color w:val="000000"/>
          <w:sz w:val="24"/>
          <w:szCs w:val="24"/>
        </w:rPr>
        <w:t xml:space="preserve"> using variation of activation temperature. The characterization of OPEFB activated carbon investigated on the surface morphology, surface area and the capacitance specific. Moreover, we designed, assembled and measured the electricity potential of the battery prototype. The activator solution of KOH 2 M showed the highest surface area of 354.25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capacitance specific of 116.78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and potential of 1.17 V. Furthermore, the optimal immersion time was 18 hours with the highest surface area of 380.28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capacitance specific of 96.57 F 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and the potential of 1.05 V. Finally, the optimal activation temperature is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which showed with the highest surface area 334.28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capacitance specific of 96.41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and the potential of 1.12 V. Based on this report, OPEFB activated carbon can be used as the battery electrodes due to the carbon properties.</w:t>
      </w:r>
    </w:p>
    <w:p w14:paraId="6B2D6281" w14:textId="2F8AF228" w:rsidR="00EF304C" w:rsidRDefault="00000000">
      <w:pPr>
        <w:pBdr>
          <w:top w:val="nil"/>
          <w:left w:val="nil"/>
          <w:bottom w:val="single" w:sz="4" w:space="1" w:color="000000"/>
          <w:right w:val="nil"/>
          <w:between w:val="nil"/>
        </w:pBdr>
        <w:spacing w:after="3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Keywords</w:t>
      </w:r>
      <w:r>
        <w:rPr>
          <w:rFonts w:ascii="Times New Roman" w:eastAsia="Times New Roman" w:hAnsi="Times New Roman" w:cs="Times New Roman"/>
          <w:color w:val="000000"/>
          <w:sz w:val="24"/>
          <w:szCs w:val="24"/>
        </w:rPr>
        <w:t xml:space="preserve">: </w:t>
      </w:r>
      <w:r w:rsidR="003609D9">
        <w:rPr>
          <w:rFonts w:ascii="Times New Roman" w:eastAsia="Times New Roman" w:hAnsi="Times New Roman" w:cs="Times New Roman"/>
          <w:color w:val="000000"/>
          <w:sz w:val="24"/>
          <w:szCs w:val="24"/>
        </w:rPr>
        <w:t>Activated C</w:t>
      </w:r>
      <w:r>
        <w:rPr>
          <w:rFonts w:ascii="Times New Roman" w:eastAsia="Times New Roman" w:hAnsi="Times New Roman" w:cs="Times New Roman"/>
          <w:color w:val="000000"/>
          <w:sz w:val="24"/>
          <w:szCs w:val="24"/>
        </w:rPr>
        <w:t>arbon; Battery; Palm bunch</w:t>
      </w:r>
    </w:p>
    <w:p w14:paraId="4728E194" w14:textId="77777777" w:rsidR="00EF304C" w:rsidRDefault="00000000">
      <w:pPr>
        <w:numPr>
          <w:ilvl w:val="0"/>
          <w:numId w:val="1"/>
        </w:numPr>
        <w:pBdr>
          <w:top w:val="nil"/>
          <w:left w:val="nil"/>
          <w:bottom w:val="nil"/>
          <w:right w:val="nil"/>
          <w:between w:val="nil"/>
        </w:pBdr>
        <w:spacing w:after="360" w:line="276"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Introduction</w:t>
      </w:r>
    </w:p>
    <w:p w14:paraId="0662C834"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Oil palm empty fruit bunch (OPEFB) waste reaches around 22.75 million tons per year </w:t>
      </w:r>
      <w:r>
        <w:rPr>
          <w:rFonts w:ascii="Times New Roman" w:eastAsia="Times New Roman" w:hAnsi="Times New Roman" w:cs="Times New Roman"/>
          <w:sz w:val="24"/>
          <w:szCs w:val="24"/>
        </w:rPr>
        <w:t>in the palm oil industry</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[1].</w:t>
      </w:r>
      <w:r>
        <w:rPr>
          <w:rFonts w:ascii="Times New Roman" w:eastAsia="Times New Roman" w:hAnsi="Times New Roman" w:cs="Times New Roman"/>
          <w:color w:val="000000"/>
          <w:sz w:val="24"/>
          <w:szCs w:val="24"/>
        </w:rPr>
        <w:t xml:space="preserve"> In fact, it has been used </w:t>
      </w:r>
      <w:r>
        <w:rPr>
          <w:rFonts w:ascii="Times New Roman" w:eastAsia="Times New Roman" w:hAnsi="Times New Roman" w:cs="Times New Roman"/>
          <w:sz w:val="24"/>
          <w:szCs w:val="24"/>
        </w:rPr>
        <w:t>in limited</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applications</w:t>
      </w:r>
      <w:r>
        <w:rPr>
          <w:rFonts w:ascii="Times New Roman" w:eastAsia="Times New Roman" w:hAnsi="Times New Roman" w:cs="Times New Roman"/>
          <w:color w:val="000000"/>
          <w:sz w:val="24"/>
          <w:szCs w:val="24"/>
        </w:rPr>
        <w:t xml:space="preserve"> such as fertilizer, catalyst, water purifier, and metal removal </w:t>
      </w:r>
      <w:r>
        <w:rPr>
          <w:rFonts w:ascii="Times New Roman" w:eastAsia="Times New Roman" w:hAnsi="Times New Roman" w:cs="Times New Roman"/>
          <w:b/>
          <w:color w:val="000000"/>
          <w:sz w:val="24"/>
          <w:szCs w:val="24"/>
        </w:rPr>
        <w:t>[2]</w:t>
      </w:r>
      <w:r>
        <w:rPr>
          <w:rFonts w:ascii="Times New Roman" w:eastAsia="Times New Roman" w:hAnsi="Times New Roman" w:cs="Times New Roman"/>
          <w:color w:val="000000"/>
          <w:sz w:val="24"/>
          <w:szCs w:val="24"/>
        </w:rPr>
        <w:t xml:space="preserve">. However, it needs a longer time, procedure, and high cost. </w:t>
      </w:r>
      <w:r>
        <w:rPr>
          <w:rFonts w:ascii="Times New Roman" w:eastAsia="Times New Roman" w:hAnsi="Times New Roman" w:cs="Times New Roman"/>
          <w:sz w:val="24"/>
          <w:szCs w:val="24"/>
        </w:rPr>
        <w:t>On the</w:t>
      </w:r>
      <w:r>
        <w:rPr>
          <w:rFonts w:ascii="Times New Roman" w:eastAsia="Times New Roman" w:hAnsi="Times New Roman" w:cs="Times New Roman"/>
          <w:color w:val="000000"/>
          <w:sz w:val="24"/>
          <w:szCs w:val="24"/>
        </w:rPr>
        <w:t xml:space="preserve"> other hand, OPEFB contains high levels of phenolic compounds such as lignocellulose (46% cellulose, 16.49% hemicellulose, and 22.84% lignin) </w:t>
      </w:r>
      <w:r>
        <w:rPr>
          <w:rFonts w:ascii="Times New Roman" w:eastAsia="Times New Roman" w:hAnsi="Times New Roman" w:cs="Times New Roman"/>
          <w:b/>
          <w:color w:val="000000"/>
          <w:sz w:val="24"/>
          <w:szCs w:val="24"/>
        </w:rPr>
        <w:t>[3]</w:t>
      </w:r>
      <w:r>
        <w:rPr>
          <w:rFonts w:ascii="Times New Roman" w:eastAsia="Times New Roman" w:hAnsi="Times New Roman" w:cs="Times New Roman"/>
          <w:color w:val="000000"/>
          <w:sz w:val="24"/>
          <w:szCs w:val="24"/>
        </w:rPr>
        <w:t xml:space="preserve">. Recently, it </w:t>
      </w:r>
      <w:r>
        <w:rPr>
          <w:rFonts w:ascii="Times New Roman" w:eastAsia="Times New Roman" w:hAnsi="Times New Roman" w:cs="Times New Roman"/>
          <w:sz w:val="24"/>
          <w:szCs w:val="24"/>
        </w:rPr>
        <w:t>attracted</w:t>
      </w:r>
      <w:r>
        <w:rPr>
          <w:rFonts w:ascii="Times New Roman" w:eastAsia="Times New Roman" w:hAnsi="Times New Roman" w:cs="Times New Roman"/>
          <w:color w:val="000000"/>
          <w:sz w:val="24"/>
          <w:szCs w:val="24"/>
        </w:rPr>
        <w:t xml:space="preserve"> attention to produce OPEFB into activated carbon </w:t>
      </w:r>
      <w:r>
        <w:rPr>
          <w:rFonts w:ascii="Times New Roman" w:eastAsia="Times New Roman" w:hAnsi="Times New Roman" w:cs="Times New Roman"/>
          <w:b/>
          <w:color w:val="000000"/>
          <w:sz w:val="24"/>
          <w:szCs w:val="24"/>
        </w:rPr>
        <w:t xml:space="preserve">[4], [5], </w:t>
      </w:r>
      <w:r>
        <w:rPr>
          <w:rFonts w:ascii="Times New Roman" w:eastAsia="Times New Roman" w:hAnsi="Times New Roman" w:cs="Times New Roman"/>
          <w:b/>
          <w:color w:val="000000"/>
          <w:sz w:val="24"/>
          <w:szCs w:val="24"/>
        </w:rPr>
        <w:lastRenderedPageBreak/>
        <w:t>[6]</w:t>
      </w:r>
      <w:r>
        <w:rPr>
          <w:rFonts w:ascii="Times New Roman" w:eastAsia="Times New Roman" w:hAnsi="Times New Roman" w:cs="Times New Roman"/>
          <w:color w:val="000000"/>
          <w:sz w:val="24"/>
          <w:szCs w:val="24"/>
        </w:rPr>
        <w:t xml:space="preserve">. The activated carbon has been used widely for water purification </w:t>
      </w:r>
      <w:r>
        <w:rPr>
          <w:rFonts w:ascii="Times New Roman" w:eastAsia="Times New Roman" w:hAnsi="Times New Roman" w:cs="Times New Roman"/>
          <w:b/>
          <w:color w:val="000000"/>
          <w:sz w:val="24"/>
          <w:szCs w:val="24"/>
        </w:rPr>
        <w:t>[7]</w:t>
      </w:r>
      <w:r>
        <w:rPr>
          <w:rFonts w:ascii="Times New Roman" w:eastAsia="Times New Roman" w:hAnsi="Times New Roman" w:cs="Times New Roman"/>
          <w:color w:val="000000"/>
          <w:sz w:val="24"/>
          <w:szCs w:val="24"/>
        </w:rPr>
        <w:t xml:space="preserve">, electronics field </w:t>
      </w:r>
      <w:r>
        <w:rPr>
          <w:rFonts w:ascii="Times New Roman" w:eastAsia="Times New Roman" w:hAnsi="Times New Roman" w:cs="Times New Roman"/>
          <w:b/>
          <w:color w:val="000000"/>
          <w:sz w:val="24"/>
          <w:szCs w:val="24"/>
        </w:rPr>
        <w:t>[8]</w:t>
      </w:r>
      <w:r>
        <w:rPr>
          <w:rFonts w:ascii="Times New Roman" w:eastAsia="Times New Roman" w:hAnsi="Times New Roman" w:cs="Times New Roman"/>
          <w:color w:val="000000"/>
          <w:sz w:val="24"/>
          <w:szCs w:val="24"/>
        </w:rPr>
        <w:t xml:space="preserve">, catalyst </w:t>
      </w:r>
      <w:r>
        <w:rPr>
          <w:rFonts w:ascii="Times New Roman" w:eastAsia="Times New Roman" w:hAnsi="Times New Roman" w:cs="Times New Roman"/>
          <w:b/>
          <w:color w:val="000000"/>
          <w:sz w:val="24"/>
          <w:szCs w:val="24"/>
        </w:rPr>
        <w:t>[9]</w:t>
      </w:r>
      <w:r>
        <w:rPr>
          <w:rFonts w:ascii="Times New Roman" w:eastAsia="Times New Roman" w:hAnsi="Times New Roman" w:cs="Times New Roman"/>
          <w:color w:val="000000"/>
          <w:sz w:val="24"/>
          <w:szCs w:val="24"/>
        </w:rPr>
        <w:t xml:space="preserve"> due to the adsorption properties </w:t>
      </w:r>
      <w:r>
        <w:rPr>
          <w:rFonts w:ascii="Times New Roman" w:eastAsia="Times New Roman" w:hAnsi="Times New Roman" w:cs="Times New Roman"/>
          <w:b/>
          <w:color w:val="000000"/>
          <w:sz w:val="24"/>
          <w:szCs w:val="24"/>
        </w:rPr>
        <w:t>[10]</w:t>
      </w:r>
      <w:r>
        <w:rPr>
          <w:rFonts w:ascii="Times New Roman" w:eastAsia="Times New Roman" w:hAnsi="Times New Roman" w:cs="Times New Roman"/>
          <w:color w:val="000000"/>
          <w:sz w:val="24"/>
          <w:szCs w:val="24"/>
        </w:rPr>
        <w:t xml:space="preserve">. </w:t>
      </w:r>
    </w:p>
    <w:p w14:paraId="16A739C7" w14:textId="77777777" w:rsidR="00EF304C" w:rsidRDefault="00000000">
      <w:pPr>
        <w:pBdr>
          <w:top w:val="nil"/>
          <w:left w:val="nil"/>
          <w:bottom w:val="nil"/>
          <w:right w:val="nil"/>
          <w:between w:val="nil"/>
        </w:pBdr>
        <w:spacing w:after="0" w:line="276" w:lineRule="auto"/>
        <w:ind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activated carbon has high adsorption performance compared to other adsorbents </w:t>
      </w:r>
      <w:r>
        <w:rPr>
          <w:rFonts w:ascii="Times New Roman" w:eastAsia="Times New Roman" w:hAnsi="Times New Roman" w:cs="Times New Roman"/>
          <w:b/>
          <w:color w:val="000000"/>
          <w:sz w:val="24"/>
          <w:szCs w:val="24"/>
        </w:rPr>
        <w:t>[11]</w:t>
      </w:r>
      <w:r>
        <w:rPr>
          <w:rFonts w:ascii="Times New Roman" w:eastAsia="Times New Roman" w:hAnsi="Times New Roman" w:cs="Times New Roman"/>
          <w:color w:val="000000"/>
          <w:sz w:val="24"/>
          <w:szCs w:val="24"/>
        </w:rPr>
        <w:t xml:space="preserve">. To increase the adsorption properties of activated carbon, an activation process can be carried out which is divided into three types including chemical activation, physical activation, and a combination of both </w:t>
      </w:r>
      <w:r>
        <w:rPr>
          <w:rFonts w:ascii="Times New Roman" w:eastAsia="Times New Roman" w:hAnsi="Times New Roman" w:cs="Times New Roman"/>
          <w:b/>
          <w:color w:val="000000"/>
          <w:sz w:val="24"/>
          <w:szCs w:val="24"/>
        </w:rPr>
        <w:t>[12]</w:t>
      </w:r>
      <w:r>
        <w:rPr>
          <w:rFonts w:ascii="Times New Roman" w:eastAsia="Times New Roman" w:hAnsi="Times New Roman" w:cs="Times New Roman"/>
          <w:color w:val="000000"/>
          <w:sz w:val="24"/>
          <w:szCs w:val="24"/>
        </w:rPr>
        <w:t>. Chemical activation is carried out using chemical substances such as H</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PO</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 xml:space="preserve">, KOH, and NaOH </w:t>
      </w:r>
      <w:r>
        <w:rPr>
          <w:rFonts w:ascii="Times New Roman" w:eastAsia="Times New Roman" w:hAnsi="Times New Roman" w:cs="Times New Roman"/>
          <w:b/>
          <w:color w:val="000000"/>
          <w:sz w:val="24"/>
          <w:szCs w:val="24"/>
        </w:rPr>
        <w:t>[13]</w:t>
      </w:r>
      <w:r>
        <w:rPr>
          <w:rFonts w:ascii="Times New Roman" w:eastAsia="Times New Roman" w:hAnsi="Times New Roman" w:cs="Times New Roman"/>
          <w:color w:val="000000"/>
          <w:sz w:val="24"/>
          <w:szCs w:val="24"/>
        </w:rPr>
        <w:t xml:space="preserve">. The process of chemical and physical for carbon activations are the important key to increase its porosity quality and quantity of the activated carbon. Previous works showed activated carbon from different biomass such as neem seed </w:t>
      </w:r>
      <w:r>
        <w:rPr>
          <w:rFonts w:ascii="Times New Roman" w:eastAsia="Times New Roman" w:hAnsi="Times New Roman" w:cs="Times New Roman"/>
          <w:sz w:val="24"/>
          <w:szCs w:val="24"/>
        </w:rPr>
        <w:t>resulted in surface</w:t>
      </w:r>
      <w:r>
        <w:rPr>
          <w:rFonts w:ascii="Times New Roman" w:eastAsia="Times New Roman" w:hAnsi="Times New Roman" w:cs="Times New Roman"/>
          <w:color w:val="000000"/>
          <w:sz w:val="24"/>
          <w:szCs w:val="24"/>
        </w:rPr>
        <w:t xml:space="preserve"> area at 246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[14]</w:t>
      </w:r>
      <w:r>
        <w:rPr>
          <w:rFonts w:ascii="Times New Roman" w:eastAsia="Times New Roman" w:hAnsi="Times New Roman" w:cs="Times New Roman"/>
          <w:color w:val="000000"/>
          <w:sz w:val="24"/>
          <w:szCs w:val="24"/>
        </w:rPr>
        <w:t xml:space="preserve">, biomass from bamboo waste </w:t>
      </w:r>
      <w:r>
        <w:rPr>
          <w:rFonts w:ascii="Times New Roman" w:eastAsia="Times New Roman" w:hAnsi="Times New Roman" w:cs="Times New Roman"/>
          <w:sz w:val="24"/>
          <w:szCs w:val="24"/>
        </w:rPr>
        <w:t>resulted in highest</w:t>
      </w:r>
      <w:r>
        <w:rPr>
          <w:rFonts w:ascii="Times New Roman" w:eastAsia="Times New Roman" w:hAnsi="Times New Roman" w:cs="Times New Roman"/>
          <w:color w:val="000000"/>
          <w:sz w:val="24"/>
          <w:szCs w:val="24"/>
        </w:rPr>
        <w:t xml:space="preserve"> surface area at 408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[15]</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In our previous study</w:t>
      </w:r>
      <w:r>
        <w:rPr>
          <w:rFonts w:ascii="Times New Roman" w:eastAsia="Times New Roman" w:hAnsi="Times New Roman" w:cs="Times New Roman"/>
          <w:color w:val="000000"/>
          <w:sz w:val="24"/>
          <w:szCs w:val="24"/>
        </w:rPr>
        <w:t xml:space="preserve">, oil palm frond activated carbon has been investigated by </w:t>
      </w:r>
      <w:r>
        <w:rPr>
          <w:rFonts w:ascii="Times New Roman" w:eastAsia="Times New Roman" w:hAnsi="Times New Roman" w:cs="Times New Roman"/>
          <w:sz w:val="24"/>
          <w:szCs w:val="24"/>
        </w:rPr>
        <w:t>using an activator</w:t>
      </w:r>
      <w:r>
        <w:rPr>
          <w:rFonts w:ascii="Times New Roman" w:eastAsia="Times New Roman" w:hAnsi="Times New Roman" w:cs="Times New Roman"/>
          <w:color w:val="000000"/>
          <w:sz w:val="24"/>
          <w:szCs w:val="24"/>
        </w:rPr>
        <w:t xml:space="preserve"> of NaOH 1 M with 30 hours of immersion time showed the highest surface area at 336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and the electrical potential of 0.902 V</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b/>
          <w:color w:val="000000"/>
          <w:sz w:val="24"/>
          <w:szCs w:val="24"/>
        </w:rPr>
        <w:t>[16]</w:t>
      </w:r>
      <w:r>
        <w:rPr>
          <w:rFonts w:ascii="Times New Roman" w:eastAsia="Times New Roman" w:hAnsi="Times New Roman" w:cs="Times New Roman"/>
          <w:color w:val="000000"/>
          <w:sz w:val="24"/>
          <w:szCs w:val="24"/>
        </w:rPr>
        <w:t>.</w:t>
      </w:r>
    </w:p>
    <w:p w14:paraId="28603454" w14:textId="77777777" w:rsidR="00EF304C" w:rsidRDefault="00000000">
      <w:pPr>
        <w:pBdr>
          <w:top w:val="nil"/>
          <w:left w:val="nil"/>
          <w:bottom w:val="nil"/>
          <w:right w:val="nil"/>
          <w:between w:val="nil"/>
        </w:pBdr>
        <w:spacing w:after="0" w:line="276" w:lineRule="auto"/>
        <w:ind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Therefore we continue our work by using NaOH and KOH as the activators to improve the OPEFB activated carbon in this study. The chemical activation of </w:t>
      </w:r>
      <w:r>
        <w:rPr>
          <w:rFonts w:ascii="Times New Roman" w:eastAsia="Times New Roman" w:hAnsi="Times New Roman" w:cs="Times New Roman"/>
          <w:color w:val="000000"/>
          <w:sz w:val="24"/>
          <w:szCs w:val="24"/>
        </w:rPr>
        <w:t>OPEFB carbon was activated through concentration</w:t>
      </w:r>
      <w:r>
        <w:rPr>
          <w:rFonts w:ascii="Times New Roman" w:eastAsia="Times New Roman" w:hAnsi="Times New Roman" w:cs="Times New Roman"/>
          <w:sz w:val="24"/>
          <w:szCs w:val="24"/>
        </w:rPr>
        <w:t xml:space="preserve"> and</w:t>
      </w:r>
      <w:r>
        <w:rPr>
          <w:rFonts w:ascii="Times New Roman" w:eastAsia="Times New Roman" w:hAnsi="Times New Roman" w:cs="Times New Roman"/>
          <w:color w:val="000000"/>
          <w:sz w:val="24"/>
          <w:szCs w:val="24"/>
        </w:rPr>
        <w:t xml:space="preserve"> immersion time by using the activators. Furthermore, the physical activation was optimized by using the temperature variation. The characterization properties of OPEFB activated carbon was investigated on the surface morphology and surface area. Finally, we designed, assembled and measured the electric capacity of the battery prototype.</w:t>
      </w:r>
    </w:p>
    <w:p w14:paraId="0DC4345D" w14:textId="77777777" w:rsidR="00EF304C" w:rsidRDefault="00EF304C">
      <w:pPr>
        <w:pBdr>
          <w:top w:val="nil"/>
          <w:left w:val="nil"/>
          <w:bottom w:val="nil"/>
          <w:right w:val="nil"/>
          <w:between w:val="nil"/>
        </w:pBdr>
        <w:spacing w:after="0" w:line="276" w:lineRule="auto"/>
        <w:ind w:left="720"/>
        <w:jc w:val="both"/>
        <w:rPr>
          <w:rFonts w:ascii="Times New Roman" w:eastAsia="Times New Roman" w:hAnsi="Times New Roman" w:cs="Times New Roman"/>
          <w:color w:val="000000"/>
          <w:sz w:val="24"/>
          <w:szCs w:val="24"/>
        </w:rPr>
      </w:pPr>
    </w:p>
    <w:p w14:paraId="3B198FF4" w14:textId="77777777" w:rsidR="00EF304C" w:rsidRDefault="00000000">
      <w:pPr>
        <w:numPr>
          <w:ilvl w:val="0"/>
          <w:numId w:val="1"/>
        </w:numPr>
        <w:pBdr>
          <w:top w:val="nil"/>
          <w:left w:val="nil"/>
          <w:bottom w:val="nil"/>
          <w:right w:val="nil"/>
          <w:between w:val="nil"/>
        </w:pBdr>
        <w:spacing w:after="360" w:line="276"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Experimental</w:t>
      </w:r>
    </w:p>
    <w:p w14:paraId="5EB45802"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2.1 Materials</w:t>
      </w:r>
    </w:p>
    <w:p w14:paraId="47A132CC" w14:textId="77777777" w:rsidR="00EF304C" w:rsidRDefault="00000000">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materials are oil palm empty fruit bunch (OPEFB) which originated from East Kalimantan, Indonesia. NaOH and KOH, HCl,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SO</w:t>
      </w:r>
      <w:r>
        <w:rPr>
          <w:rFonts w:ascii="Times New Roman" w:eastAsia="Times New Roman" w:hAnsi="Times New Roman" w:cs="Times New Roman"/>
          <w:color w:val="000000"/>
          <w:sz w:val="24"/>
          <w:szCs w:val="24"/>
          <w:vertAlign w:val="subscript"/>
        </w:rPr>
        <w:t xml:space="preserve">4, </w:t>
      </w:r>
      <w:r>
        <w:rPr>
          <w:rFonts w:ascii="Times New Roman" w:eastAsia="Times New Roman" w:hAnsi="Times New Roman" w:cs="Times New Roman"/>
          <w:color w:val="000000"/>
          <w:sz w:val="24"/>
          <w:szCs w:val="24"/>
        </w:rPr>
        <w:t>NaCl, pH indicator, PVA, 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demineralized water, copper plate, and polymethyl methacrylate (PMMA) were purchased from Merck.</w:t>
      </w:r>
    </w:p>
    <w:p w14:paraId="0E268F6F"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p>
    <w:p w14:paraId="78594833"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2.2 Synthesis of OPEFB to carbon</w:t>
      </w:r>
    </w:p>
    <w:p w14:paraId="1433B32F" w14:textId="77777777" w:rsidR="00EF304C" w:rsidRDefault="00000000">
      <w:pPr>
        <w:pBdr>
          <w:top w:val="nil"/>
          <w:left w:val="nil"/>
          <w:bottom w:val="nil"/>
          <w:right w:val="nil"/>
          <w:between w:val="nil"/>
        </w:pBdr>
        <w:spacing w:after="0" w:line="276" w:lineRule="auto"/>
        <w:ind w:firstLine="284"/>
        <w:jc w:val="both"/>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Pre-activated of carbon OPEFB was prepared by following the previous report </w:t>
      </w:r>
      <w:r>
        <w:rPr>
          <w:rFonts w:ascii="Times New Roman" w:eastAsia="Times New Roman" w:hAnsi="Times New Roman" w:cs="Times New Roman"/>
          <w:b/>
          <w:color w:val="000000"/>
          <w:sz w:val="24"/>
          <w:szCs w:val="24"/>
        </w:rPr>
        <w:t>[17], [18]</w:t>
      </w:r>
      <w:r>
        <w:rPr>
          <w:rFonts w:ascii="Times New Roman" w:eastAsia="Times New Roman" w:hAnsi="Times New Roman" w:cs="Times New Roman"/>
          <w:color w:val="000000"/>
          <w:sz w:val="24"/>
          <w:szCs w:val="24"/>
        </w:rPr>
        <w:t>. OPEFB were cut into 1-2 cm and</w:t>
      </w:r>
      <w:r>
        <w:rPr>
          <w:rFonts w:ascii="Times New Roman" w:eastAsia="Times New Roman" w:hAnsi="Times New Roman" w:cs="Times New Roman"/>
          <w:color w:val="FFFFFF"/>
          <w:sz w:val="24"/>
          <w:szCs w:val="24"/>
        </w:rPr>
        <w:t xml:space="preserve"> </w:t>
      </w:r>
      <w:r>
        <w:rPr>
          <w:rFonts w:ascii="Times New Roman" w:eastAsia="Times New Roman" w:hAnsi="Times New Roman" w:cs="Times New Roman"/>
          <w:color w:val="000000"/>
          <w:sz w:val="24"/>
          <w:szCs w:val="24"/>
        </w:rPr>
        <w:t>dried in a drying oven</w:t>
      </w:r>
      <w:r>
        <w:rPr>
          <w:rFonts w:ascii="Times New Roman" w:eastAsia="Times New Roman" w:hAnsi="Times New Roman" w:cs="Times New Roman"/>
          <w:color w:val="FFFFFF"/>
          <w:sz w:val="24"/>
          <w:szCs w:val="24"/>
        </w:rPr>
        <w:t xml:space="preserve"> </w:t>
      </w:r>
      <w:r>
        <w:rPr>
          <w:rFonts w:ascii="Times New Roman" w:eastAsia="Times New Roman" w:hAnsi="Times New Roman" w:cs="Times New Roman"/>
          <w:color w:val="000000"/>
          <w:sz w:val="24"/>
          <w:szCs w:val="24"/>
        </w:rPr>
        <w:t>at 105</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 xml:space="preserve">C for 2 hours to remove the moisture. Carbonization was completed after calcination in a muffle furnace at 400°C for 1 hour. Finally, the carbon was crushed and sieved with a 300-mesh screen.  </w:t>
      </w:r>
    </w:p>
    <w:p w14:paraId="1E6DBFDC" w14:textId="77777777" w:rsidR="00EF304C" w:rsidRDefault="00EF304C">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rPr>
      </w:pPr>
    </w:p>
    <w:p w14:paraId="73660DB8"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2.3 Procedure of activated carbon </w:t>
      </w:r>
    </w:p>
    <w:p w14:paraId="2D2951E4" w14:textId="77777777" w:rsidR="00EF304C" w:rsidRDefault="00000000">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chemical activation of OPEFB was influenced by a mixture of NaOH and KOH solutions with the variation of concentration were 0-2; 0.5-1.5; 1-1; 1,5-0.5; 2-0 M, and the immersion time of 12, 18, 24, 30, and 36 hours. The carbon that </w:t>
      </w:r>
      <w:r>
        <w:rPr>
          <w:rFonts w:ascii="Times New Roman" w:eastAsia="Times New Roman" w:hAnsi="Times New Roman" w:cs="Times New Roman"/>
          <w:sz w:val="24"/>
          <w:szCs w:val="24"/>
        </w:rPr>
        <w:t>has been chemically</w:t>
      </w:r>
      <w:r>
        <w:rPr>
          <w:rFonts w:ascii="Times New Roman" w:eastAsia="Times New Roman" w:hAnsi="Times New Roman" w:cs="Times New Roman"/>
          <w:color w:val="000000"/>
          <w:sz w:val="24"/>
          <w:szCs w:val="24"/>
        </w:rPr>
        <w:t xml:space="preserve"> activated, continued by physical activation with the variations of temperature of 700, 750, 800, 850, and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 xml:space="preserve">C. The activated carbon was washed with HCl and demineralized water to achieve a neutral pH. The activated carbon was then dried in an oven at 105°C for 24 hours to remove any remaining water. </w:t>
      </w:r>
    </w:p>
    <w:p w14:paraId="25377005" w14:textId="77777777" w:rsidR="00EF304C" w:rsidRDefault="00EF304C">
      <w:pPr>
        <w:pBdr>
          <w:top w:val="nil"/>
          <w:left w:val="nil"/>
          <w:bottom w:val="nil"/>
          <w:right w:val="nil"/>
          <w:between w:val="nil"/>
        </w:pBdr>
        <w:spacing w:after="0" w:line="276" w:lineRule="auto"/>
        <w:ind w:left="720"/>
        <w:jc w:val="both"/>
        <w:rPr>
          <w:rFonts w:ascii="Times New Roman" w:eastAsia="Times New Roman" w:hAnsi="Times New Roman" w:cs="Times New Roman"/>
          <w:color w:val="000000"/>
          <w:sz w:val="24"/>
          <w:szCs w:val="24"/>
        </w:rPr>
      </w:pPr>
    </w:p>
    <w:p w14:paraId="5AD141A3"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lastRenderedPageBreak/>
        <w:t>2.4 Characterization of OPEFB activated carbon</w:t>
      </w:r>
    </w:p>
    <w:p w14:paraId="28CFF18B" w14:textId="77777777" w:rsidR="00EF304C" w:rsidRDefault="00000000">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functional group of OPEFB carbon before activation was studied using Fourier Transform Infra-Red (FTIR) with Bruker Alpha II. The surface morphology and elemental composition of the activated carbon were analyzed using Scanning Electron Microscopy-Energy Dispersive X-Ray (SEM-EDX) with a Phenom Pro X instrument. The surface area and porosity were measured by nitrogen adsorption using the Quantachrome Surface Area Analyzer/Brunauer </w:t>
      </w:r>
      <w:r>
        <w:rPr>
          <w:rFonts w:ascii="Times New Roman" w:eastAsia="Times New Roman" w:hAnsi="Times New Roman" w:cs="Times New Roman"/>
          <w:sz w:val="24"/>
          <w:szCs w:val="24"/>
        </w:rPr>
        <w:t>Emmett-Teller</w:t>
      </w:r>
      <w:r>
        <w:rPr>
          <w:rFonts w:ascii="Times New Roman" w:eastAsia="Times New Roman" w:hAnsi="Times New Roman" w:cs="Times New Roman"/>
          <w:color w:val="000000"/>
          <w:sz w:val="24"/>
          <w:szCs w:val="24"/>
        </w:rPr>
        <w:t xml:space="preserve"> (SAA/BET) Nova Touch LX-4. The </w:t>
      </w:r>
      <w:r>
        <w:rPr>
          <w:rFonts w:ascii="Times New Roman" w:eastAsia="Times New Roman" w:hAnsi="Times New Roman" w:cs="Times New Roman"/>
          <w:sz w:val="24"/>
          <w:szCs w:val="24"/>
        </w:rPr>
        <w:t>capacitance was</w:t>
      </w:r>
      <w:r>
        <w:rPr>
          <w:rFonts w:ascii="Times New Roman" w:eastAsia="Times New Roman" w:hAnsi="Times New Roman" w:cs="Times New Roman"/>
          <w:color w:val="000000"/>
          <w:sz w:val="24"/>
          <w:szCs w:val="24"/>
        </w:rPr>
        <w:t xml:space="preserve"> measured using Autolab and Nova 2.1.6 software. </w:t>
      </w:r>
    </w:p>
    <w:p w14:paraId="4C72277B"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p w14:paraId="5261662F"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2.5 Development of battery prototype</w:t>
      </w:r>
    </w:p>
    <w:p w14:paraId="7D9A045E" w14:textId="77777777" w:rsidR="00EF304C" w:rsidRDefault="00000000">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prototype component consists of a protective casing by using </w:t>
      </w:r>
      <w:r>
        <w:rPr>
          <w:rFonts w:ascii="Times New Roman" w:eastAsia="Times New Roman" w:hAnsi="Times New Roman" w:cs="Times New Roman"/>
          <w:sz w:val="24"/>
          <w:szCs w:val="24"/>
        </w:rPr>
        <w:t>poly methyl</w:t>
      </w:r>
      <w:r>
        <w:rPr>
          <w:rFonts w:ascii="Times New Roman" w:eastAsia="Times New Roman" w:hAnsi="Times New Roman" w:cs="Times New Roman"/>
          <w:color w:val="000000"/>
          <w:sz w:val="24"/>
          <w:szCs w:val="24"/>
        </w:rPr>
        <w:t xml:space="preserve"> methacrylate (PMMA) sheet, current collector of copper plate, electrodes of OPFEB activated carbon and electrolyte of PVA-K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xml:space="preserve">. The initial stage of preparing the electrode sheet involves the creation of an activated carbon slurry. The slurry is </w:t>
      </w:r>
      <w:r>
        <w:rPr>
          <w:rFonts w:ascii="Times New Roman" w:eastAsia="Times New Roman" w:hAnsi="Times New Roman" w:cs="Times New Roman"/>
          <w:sz w:val="24"/>
          <w:szCs w:val="24"/>
        </w:rPr>
        <w:t>different</w:t>
      </w:r>
      <w:r>
        <w:rPr>
          <w:rFonts w:ascii="Times New Roman" w:eastAsia="Times New Roman" w:hAnsi="Times New Roman" w:cs="Times New Roman"/>
          <w:color w:val="000000"/>
          <w:sz w:val="24"/>
          <w:szCs w:val="24"/>
        </w:rPr>
        <w:t xml:space="preserve"> in two parts for anode and cathode. The cathode is made by combining activated carbon with distilled water to form a homogeneous mixture. The </w:t>
      </w:r>
      <w:r>
        <w:rPr>
          <w:rFonts w:ascii="Times New Roman" w:eastAsia="Times New Roman" w:hAnsi="Times New Roman" w:cs="Times New Roman"/>
          <w:sz w:val="24"/>
          <w:szCs w:val="24"/>
        </w:rPr>
        <w:t>anode carbon</w:t>
      </w:r>
      <w:r>
        <w:rPr>
          <w:rFonts w:ascii="Times New Roman" w:eastAsia="Times New Roman" w:hAnsi="Times New Roman" w:cs="Times New Roman"/>
          <w:color w:val="000000"/>
          <w:sz w:val="24"/>
          <w:szCs w:val="24"/>
        </w:rPr>
        <w:t xml:space="preserve"> was mixed with NaCl solution to make a different potential from the cathode. Next, the polymer electrolyte is made by mixing 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xml:space="preserve"> with PVA by dissolving 0.7 g of PVA and 0.3 g of 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 xml:space="preserve">3 </w:t>
      </w:r>
      <w:r>
        <w:rPr>
          <w:rFonts w:ascii="Times New Roman" w:eastAsia="Times New Roman" w:hAnsi="Times New Roman" w:cs="Times New Roman"/>
          <w:color w:val="000000"/>
          <w:sz w:val="24"/>
          <w:szCs w:val="24"/>
        </w:rPr>
        <w:t>in 20 mL of distilled water, then stirring and heating the solution until it reaches 80°C, transforming the PVA- 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 xml:space="preserve">3 </w:t>
      </w:r>
      <w:r>
        <w:rPr>
          <w:rFonts w:ascii="Times New Roman" w:eastAsia="Times New Roman" w:hAnsi="Times New Roman" w:cs="Times New Roman"/>
          <w:color w:val="000000"/>
          <w:sz w:val="24"/>
          <w:szCs w:val="24"/>
        </w:rPr>
        <w:t xml:space="preserve">into a solid gel. Finally, all components are assembled according to the design shown in Fig. 1 and was tested for its voltage using DT830B Multimeter. </w:t>
      </w:r>
    </w:p>
    <w:p w14:paraId="18A68E8D" w14:textId="77777777" w:rsidR="00EF304C" w:rsidRDefault="00EF304C">
      <w:pPr>
        <w:pBdr>
          <w:top w:val="nil"/>
          <w:left w:val="nil"/>
          <w:bottom w:val="nil"/>
          <w:right w:val="nil"/>
          <w:between w:val="nil"/>
        </w:pBdr>
        <w:spacing w:after="0" w:line="240" w:lineRule="auto"/>
        <w:ind w:firstLine="270"/>
        <w:jc w:val="both"/>
        <w:rPr>
          <w:rFonts w:ascii="Amasis MT Pro" w:eastAsia="Amasis MT Pro" w:hAnsi="Amasis MT Pro" w:cs="Amasis MT Pro"/>
          <w:color w:val="000000"/>
          <w:sz w:val="18"/>
          <w:szCs w:val="18"/>
        </w:rPr>
      </w:pPr>
    </w:p>
    <w:p w14:paraId="48B76933"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noProof/>
          <w:color w:val="000000"/>
          <w:sz w:val="20"/>
          <w:szCs w:val="20"/>
        </w:rPr>
        <w:drawing>
          <wp:inline distT="0" distB="0" distL="0" distR="0" wp14:anchorId="45E3B857" wp14:editId="4C23BD18">
            <wp:extent cx="723900" cy="2118360"/>
            <wp:effectExtent l="0" t="0" r="0" b="0"/>
            <wp:docPr id="34" name="image3.png" descr="D:\Sintya\Kuliah\Tugas Akhir\PRE-SEMPRO\proto-02.png"/>
            <wp:cNvGraphicFramePr/>
            <a:graphic xmlns:a="http://schemas.openxmlformats.org/drawingml/2006/main">
              <a:graphicData uri="http://schemas.openxmlformats.org/drawingml/2006/picture">
                <pic:pic xmlns:pic="http://schemas.openxmlformats.org/drawingml/2006/picture">
                  <pic:nvPicPr>
                    <pic:cNvPr id="0" name="image3.png" descr="D:\Sintya\Kuliah\Tugas Akhir\PRE-SEMPRO\proto-02.png"/>
                    <pic:cNvPicPr preferRelativeResize="0"/>
                  </pic:nvPicPr>
                  <pic:blipFill>
                    <a:blip r:embed="rId8"/>
                    <a:srcRect l="23241" t="2273" r="27487" b="2501"/>
                    <a:stretch>
                      <a:fillRect/>
                    </a:stretch>
                  </pic:blipFill>
                  <pic:spPr>
                    <a:xfrm>
                      <a:off x="0" y="0"/>
                      <a:ext cx="723900" cy="2118360"/>
                    </a:xfrm>
                    <a:prstGeom prst="rect">
                      <a:avLst/>
                    </a:prstGeom>
                    <a:ln/>
                  </pic:spPr>
                </pic:pic>
              </a:graphicData>
            </a:graphic>
          </wp:inline>
        </w:drawing>
      </w:r>
      <w:r>
        <w:rPr>
          <w:rFonts w:ascii="Times New Roman" w:eastAsia="Times New Roman" w:hAnsi="Times New Roman" w:cs="Times New Roman"/>
          <w:noProof/>
          <w:color w:val="000000"/>
          <w:sz w:val="24"/>
          <w:szCs w:val="24"/>
        </w:rPr>
        <w:drawing>
          <wp:inline distT="0" distB="0" distL="0" distR="0" wp14:anchorId="121A133E" wp14:editId="0D60FCFB">
            <wp:extent cx="2235102" cy="2194560"/>
            <wp:effectExtent l="0" t="0" r="0" b="0"/>
            <wp:docPr id="36" name="image7.png" descr="C:\Users\User\Downloads\rev-03.png"/>
            <wp:cNvGraphicFramePr/>
            <a:graphic xmlns:a="http://schemas.openxmlformats.org/drawingml/2006/main">
              <a:graphicData uri="http://schemas.openxmlformats.org/drawingml/2006/picture">
                <pic:pic xmlns:pic="http://schemas.openxmlformats.org/drawingml/2006/picture">
                  <pic:nvPicPr>
                    <pic:cNvPr id="0" name="image7.png" descr="C:\Users\User\Downloads\rev-03.png"/>
                    <pic:cNvPicPr preferRelativeResize="0"/>
                  </pic:nvPicPr>
                  <pic:blipFill>
                    <a:blip r:embed="rId9"/>
                    <a:srcRect/>
                    <a:stretch>
                      <a:fillRect/>
                    </a:stretch>
                  </pic:blipFill>
                  <pic:spPr>
                    <a:xfrm>
                      <a:off x="0" y="0"/>
                      <a:ext cx="2235102" cy="2194560"/>
                    </a:xfrm>
                    <a:prstGeom prst="rect">
                      <a:avLst/>
                    </a:prstGeom>
                    <a:ln/>
                  </pic:spPr>
                </pic:pic>
              </a:graphicData>
            </a:graphic>
          </wp:inline>
        </w:drawing>
      </w:r>
    </w:p>
    <w:p w14:paraId="3F4BA949"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Fig. 1. </w:t>
      </w:r>
      <w:r>
        <w:rPr>
          <w:rFonts w:ascii="Times New Roman" w:eastAsia="Times New Roman" w:hAnsi="Times New Roman" w:cs="Times New Roman"/>
          <w:color w:val="000000"/>
          <w:sz w:val="24"/>
          <w:szCs w:val="24"/>
        </w:rPr>
        <w:t>Design of the battery prototype</w:t>
      </w:r>
    </w:p>
    <w:p w14:paraId="54AA349A" w14:textId="77777777" w:rsidR="00EF304C" w:rsidRDefault="00EF304C">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20B0E50B" w14:textId="77777777" w:rsidR="00EF304C" w:rsidRDefault="00000000">
      <w:pPr>
        <w:rPr>
          <w:rFonts w:ascii="Times New Roman" w:eastAsia="Times New Roman" w:hAnsi="Times New Roman" w:cs="Times New Roman"/>
          <w:sz w:val="24"/>
          <w:szCs w:val="24"/>
        </w:rPr>
      </w:pPr>
      <w:r>
        <w:br w:type="page"/>
      </w:r>
    </w:p>
    <w:p w14:paraId="3D4F9C75" w14:textId="77777777" w:rsidR="00EF304C" w:rsidRDefault="00000000">
      <w:pPr>
        <w:numPr>
          <w:ilvl w:val="0"/>
          <w:numId w:val="1"/>
        </w:numPr>
        <w:pBdr>
          <w:top w:val="nil"/>
          <w:left w:val="nil"/>
          <w:bottom w:val="nil"/>
          <w:right w:val="nil"/>
          <w:between w:val="nil"/>
        </w:pBdr>
        <w:spacing w:after="360" w:line="240"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Results and discussion</w:t>
      </w:r>
    </w:p>
    <w:p w14:paraId="3231F698" w14:textId="77777777" w:rsidR="00EF304C" w:rsidRDefault="00000000">
      <w:pPr>
        <w:pBdr>
          <w:top w:val="nil"/>
          <w:left w:val="nil"/>
          <w:bottom w:val="nil"/>
          <w:right w:val="nil"/>
          <w:between w:val="nil"/>
        </w:pBdr>
        <w:spacing w:after="0" w:line="240"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3.1 Functional group of OPEFB carbon</w:t>
      </w:r>
    </w:p>
    <w:p w14:paraId="41CDE0A3" w14:textId="77777777" w:rsidR="00EF304C" w:rsidRDefault="00000000">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carbonized OPEFB exhibits a noticeably black and uniform size around 8 – 44 nm, primarily due to the </w:t>
      </w:r>
      <w:r>
        <w:rPr>
          <w:rFonts w:ascii="Times New Roman" w:eastAsia="Times New Roman" w:hAnsi="Times New Roman" w:cs="Times New Roman"/>
          <w:sz w:val="24"/>
          <w:szCs w:val="24"/>
        </w:rPr>
        <w:t>release</w:t>
      </w:r>
      <w:r>
        <w:rPr>
          <w:rFonts w:ascii="Times New Roman" w:eastAsia="Times New Roman" w:hAnsi="Times New Roman" w:cs="Times New Roman"/>
          <w:color w:val="000000"/>
          <w:sz w:val="24"/>
          <w:szCs w:val="24"/>
        </w:rPr>
        <w:t xml:space="preserve"> of volatile compounds from the particles. The pyrolysis process involves reactions that facilitate this transformation:</w:t>
      </w:r>
    </w:p>
    <w:p w14:paraId="122FA8A1" w14:textId="77777777" w:rsidR="00EF304C" w:rsidRDefault="00EF304C">
      <w:pPr>
        <w:pBdr>
          <w:top w:val="nil"/>
          <w:left w:val="nil"/>
          <w:bottom w:val="nil"/>
          <w:right w:val="nil"/>
          <w:between w:val="nil"/>
        </w:pBdr>
        <w:spacing w:after="0" w:line="240" w:lineRule="auto"/>
        <w:ind w:firstLine="360"/>
        <w:jc w:val="both"/>
        <w:rPr>
          <w:rFonts w:ascii="Times New Roman" w:eastAsia="Times New Roman" w:hAnsi="Times New Roman" w:cs="Times New Roman"/>
          <w:color w:val="000000"/>
          <w:sz w:val="24"/>
          <w:szCs w:val="24"/>
        </w:rPr>
      </w:pPr>
    </w:p>
    <w:tbl>
      <w:tblPr>
        <w:tblStyle w:val="a"/>
        <w:tblW w:w="10170" w:type="dxa"/>
        <w:tblBorders>
          <w:top w:val="nil"/>
          <w:left w:val="nil"/>
          <w:bottom w:val="nil"/>
          <w:right w:val="nil"/>
          <w:insideH w:val="nil"/>
          <w:insideV w:val="nil"/>
        </w:tblBorders>
        <w:tblLayout w:type="fixed"/>
        <w:tblLook w:val="0400" w:firstRow="0" w:lastRow="0" w:firstColumn="0" w:lastColumn="0" w:noHBand="0" w:noVBand="1"/>
      </w:tblPr>
      <w:tblGrid>
        <w:gridCol w:w="9630"/>
        <w:gridCol w:w="540"/>
      </w:tblGrid>
      <w:tr w:rsidR="00EF304C" w14:paraId="096B0323" w14:textId="77777777">
        <w:tc>
          <w:tcPr>
            <w:tcW w:w="9630" w:type="dxa"/>
          </w:tcPr>
          <w:p w14:paraId="4964F30B" w14:textId="77777777" w:rsidR="00EF304C" w:rsidRDefault="00000000">
            <w:pPr>
              <w:pBdr>
                <w:top w:val="nil"/>
                <w:left w:val="nil"/>
                <w:bottom w:val="nil"/>
                <w:right w:val="nil"/>
                <w:between w:val="nil"/>
              </w:pBdr>
              <w:jc w:val="center"/>
              <w:rPr>
                <w:color w:val="000000"/>
                <w:sz w:val="24"/>
                <w:szCs w:val="24"/>
              </w:rPr>
            </w:pPr>
            <w:r>
              <w:rPr>
                <w:color w:val="000000"/>
                <w:sz w:val="24"/>
                <w:szCs w:val="24"/>
              </w:rPr>
              <w:t>C</w:t>
            </w:r>
            <w:r>
              <w:rPr>
                <w:color w:val="000000"/>
                <w:sz w:val="24"/>
                <w:szCs w:val="24"/>
                <w:vertAlign w:val="subscript"/>
              </w:rPr>
              <w:t>x</w:t>
            </w:r>
            <w:r>
              <w:rPr>
                <w:color w:val="000000"/>
                <w:sz w:val="24"/>
                <w:szCs w:val="24"/>
              </w:rPr>
              <w:t>H</w:t>
            </w:r>
            <w:r>
              <w:rPr>
                <w:color w:val="000000"/>
                <w:sz w:val="24"/>
                <w:szCs w:val="24"/>
                <w:vertAlign w:val="subscript"/>
              </w:rPr>
              <w:t>y</w:t>
            </w:r>
            <w:r>
              <w:rPr>
                <w:color w:val="000000"/>
                <w:sz w:val="24"/>
                <w:szCs w:val="24"/>
              </w:rPr>
              <w:t>O</w:t>
            </w:r>
            <w:r>
              <w:rPr>
                <w:color w:val="000000"/>
                <w:sz w:val="24"/>
                <w:szCs w:val="24"/>
                <w:vertAlign w:val="subscript"/>
              </w:rPr>
              <w:t>n (s)</w:t>
            </w:r>
            <w:r>
              <w:rPr>
                <w:color w:val="000000"/>
                <w:sz w:val="24"/>
                <w:szCs w:val="24"/>
              </w:rPr>
              <w:t xml:space="preserve"> + O</w:t>
            </w:r>
            <w:r>
              <w:rPr>
                <w:color w:val="000000"/>
                <w:sz w:val="24"/>
                <w:szCs w:val="24"/>
                <w:vertAlign w:val="subscript"/>
              </w:rPr>
              <w:t>2 (g)</w:t>
            </w:r>
            <w:r>
              <w:rPr>
                <w:color w:val="000000"/>
                <w:sz w:val="24"/>
                <w:szCs w:val="24"/>
              </w:rPr>
              <w:t xml:space="preserve"> </w:t>
            </w:r>
            <m:oMath>
              <m:r>
                <w:rPr>
                  <w:rFonts w:ascii="Cambria Math" w:hAnsi="Cambria Math"/>
                </w:rPr>
                <m:t>→</m:t>
              </m:r>
            </m:oMath>
            <w:r>
              <w:rPr>
                <w:color w:val="000000"/>
                <w:sz w:val="24"/>
                <w:szCs w:val="24"/>
              </w:rPr>
              <w:t xml:space="preserve"> C </w:t>
            </w:r>
            <w:r>
              <w:rPr>
                <w:color w:val="000000"/>
                <w:sz w:val="24"/>
                <w:szCs w:val="24"/>
                <w:vertAlign w:val="subscript"/>
              </w:rPr>
              <w:t>(graphite)</w:t>
            </w:r>
            <w:r>
              <w:rPr>
                <w:color w:val="000000"/>
                <w:sz w:val="24"/>
                <w:szCs w:val="24"/>
              </w:rPr>
              <w:t xml:space="preserve"> + CO </w:t>
            </w:r>
            <w:r>
              <w:rPr>
                <w:color w:val="000000"/>
                <w:sz w:val="24"/>
                <w:szCs w:val="24"/>
                <w:vertAlign w:val="subscript"/>
              </w:rPr>
              <w:t>(g)</w:t>
            </w:r>
            <w:r>
              <w:rPr>
                <w:color w:val="000000"/>
                <w:sz w:val="24"/>
                <w:szCs w:val="24"/>
              </w:rPr>
              <w:t xml:space="preserve"> + H</w:t>
            </w:r>
            <w:r>
              <w:rPr>
                <w:color w:val="000000"/>
                <w:sz w:val="24"/>
                <w:szCs w:val="24"/>
                <w:vertAlign w:val="subscript"/>
              </w:rPr>
              <w:t>2</w:t>
            </w:r>
            <w:r>
              <w:rPr>
                <w:color w:val="000000"/>
                <w:sz w:val="24"/>
                <w:szCs w:val="24"/>
              </w:rPr>
              <w:t xml:space="preserve">O </w:t>
            </w:r>
            <w:r>
              <w:rPr>
                <w:color w:val="000000"/>
                <w:sz w:val="24"/>
                <w:szCs w:val="24"/>
                <w:vertAlign w:val="subscript"/>
              </w:rPr>
              <w:t>(g)</w:t>
            </w:r>
          </w:p>
        </w:tc>
        <w:tc>
          <w:tcPr>
            <w:tcW w:w="540" w:type="dxa"/>
          </w:tcPr>
          <w:p w14:paraId="40CCBC92" w14:textId="77777777" w:rsidR="00EF304C" w:rsidRDefault="00000000">
            <w:pPr>
              <w:pBdr>
                <w:top w:val="nil"/>
                <w:left w:val="nil"/>
                <w:bottom w:val="nil"/>
                <w:right w:val="nil"/>
                <w:between w:val="nil"/>
              </w:pBdr>
              <w:jc w:val="right"/>
              <w:rPr>
                <w:color w:val="000000"/>
                <w:sz w:val="24"/>
                <w:szCs w:val="24"/>
              </w:rPr>
            </w:pPr>
            <w:r>
              <w:rPr>
                <w:color w:val="000000"/>
                <w:sz w:val="24"/>
                <w:szCs w:val="24"/>
              </w:rPr>
              <w:t>(1)</w:t>
            </w:r>
          </w:p>
        </w:tc>
      </w:tr>
      <w:tr w:rsidR="00EF304C" w14:paraId="352F7BDB" w14:textId="77777777">
        <w:tc>
          <w:tcPr>
            <w:tcW w:w="9630" w:type="dxa"/>
          </w:tcPr>
          <w:p w14:paraId="6963FDE0" w14:textId="77777777" w:rsidR="00EF304C" w:rsidRDefault="00EF304C">
            <w:pPr>
              <w:pBdr>
                <w:top w:val="nil"/>
                <w:left w:val="nil"/>
                <w:bottom w:val="nil"/>
                <w:right w:val="nil"/>
                <w:between w:val="nil"/>
              </w:pBdr>
              <w:rPr>
                <w:color w:val="000000"/>
                <w:sz w:val="24"/>
                <w:szCs w:val="24"/>
              </w:rPr>
            </w:pPr>
          </w:p>
        </w:tc>
        <w:tc>
          <w:tcPr>
            <w:tcW w:w="540" w:type="dxa"/>
          </w:tcPr>
          <w:p w14:paraId="3C0F6200" w14:textId="77777777" w:rsidR="00EF304C" w:rsidRDefault="00EF304C">
            <w:pPr>
              <w:pBdr>
                <w:top w:val="nil"/>
                <w:left w:val="nil"/>
                <w:bottom w:val="nil"/>
                <w:right w:val="nil"/>
                <w:between w:val="nil"/>
              </w:pBdr>
              <w:jc w:val="right"/>
              <w:rPr>
                <w:color w:val="000000"/>
                <w:sz w:val="24"/>
                <w:szCs w:val="24"/>
              </w:rPr>
            </w:pPr>
          </w:p>
        </w:tc>
      </w:tr>
    </w:tbl>
    <w:p w14:paraId="79AF62F0" w14:textId="77777777" w:rsidR="00EF304C" w:rsidRDefault="00000000">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peaks as shown in Table 1, confirmed the presence of the hydroxyl group was the result of the reaction between NaOH and KOH with carbon on the surface </w:t>
      </w:r>
      <w:r>
        <w:rPr>
          <w:rFonts w:ascii="Times New Roman" w:eastAsia="Times New Roman" w:hAnsi="Times New Roman" w:cs="Times New Roman"/>
          <w:b/>
          <w:color w:val="000000"/>
          <w:sz w:val="24"/>
          <w:szCs w:val="24"/>
        </w:rPr>
        <w:t>[8], [19]</w:t>
      </w:r>
      <w:r>
        <w:rPr>
          <w:rFonts w:ascii="Times New Roman" w:eastAsia="Times New Roman" w:hAnsi="Times New Roman" w:cs="Times New Roman"/>
          <w:color w:val="000000"/>
          <w:sz w:val="24"/>
          <w:szCs w:val="24"/>
        </w:rPr>
        <w:t xml:space="preserve">. The C-O and C-H which was associated with the alkane bond </w:t>
      </w:r>
      <w:r>
        <w:rPr>
          <w:rFonts w:ascii="Times New Roman" w:eastAsia="Times New Roman" w:hAnsi="Times New Roman" w:cs="Times New Roman"/>
          <w:b/>
          <w:color w:val="000000"/>
          <w:sz w:val="24"/>
          <w:szCs w:val="24"/>
        </w:rPr>
        <w:t>[20]</w:t>
      </w:r>
      <w:r>
        <w:rPr>
          <w:rFonts w:ascii="Times New Roman" w:eastAsia="Times New Roman" w:hAnsi="Times New Roman" w:cs="Times New Roman"/>
          <w:color w:val="000000"/>
          <w:sz w:val="24"/>
          <w:szCs w:val="24"/>
        </w:rPr>
        <w:t xml:space="preserve">, the form of alcohol, acid, phenolic, eter, and/or ester functional group </w:t>
      </w:r>
      <w:r>
        <w:rPr>
          <w:rFonts w:ascii="Times New Roman" w:eastAsia="Times New Roman" w:hAnsi="Times New Roman" w:cs="Times New Roman"/>
          <w:b/>
          <w:color w:val="000000"/>
          <w:sz w:val="24"/>
          <w:szCs w:val="24"/>
        </w:rPr>
        <w:t>[21]</w:t>
      </w:r>
      <w:r>
        <w:rPr>
          <w:rFonts w:ascii="Times New Roman" w:eastAsia="Times New Roman" w:hAnsi="Times New Roman" w:cs="Times New Roman"/>
          <w:color w:val="000000"/>
          <w:sz w:val="24"/>
          <w:szCs w:val="24"/>
        </w:rPr>
        <w:t xml:space="preserve">, and the influence of temperature resulting alteration on the particle surface and impact on the release of oxygen functional group content. </w:t>
      </w:r>
    </w:p>
    <w:p w14:paraId="58737DFB" w14:textId="77777777" w:rsidR="00EF304C" w:rsidRDefault="00EF304C">
      <w:pPr>
        <w:pBdr>
          <w:top w:val="nil"/>
          <w:left w:val="nil"/>
          <w:bottom w:val="nil"/>
          <w:right w:val="nil"/>
          <w:between w:val="nil"/>
        </w:pBdr>
        <w:spacing w:after="0" w:line="276" w:lineRule="auto"/>
        <w:ind w:firstLine="270"/>
        <w:jc w:val="both"/>
        <w:rPr>
          <w:rFonts w:ascii="Times New Roman" w:eastAsia="Times New Roman" w:hAnsi="Times New Roman" w:cs="Times New Roman"/>
          <w:sz w:val="24"/>
          <w:szCs w:val="24"/>
        </w:rPr>
      </w:pPr>
    </w:p>
    <w:p w14:paraId="61B4FC7E"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1</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Functional groups of OPEFB carbon by FTIR</w:t>
      </w:r>
    </w:p>
    <w:tbl>
      <w:tblPr>
        <w:tblStyle w:val="a0"/>
        <w:tblW w:w="1007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3356"/>
        <w:gridCol w:w="3357"/>
        <w:gridCol w:w="3357"/>
      </w:tblGrid>
      <w:tr w:rsidR="00EF304C" w14:paraId="15A42DB0" w14:textId="77777777">
        <w:tc>
          <w:tcPr>
            <w:tcW w:w="3356" w:type="dxa"/>
            <w:tcBorders>
              <w:top w:val="single" w:sz="4" w:space="0" w:color="000000"/>
              <w:bottom w:val="single" w:sz="4" w:space="0" w:color="000000"/>
            </w:tcBorders>
          </w:tcPr>
          <w:p w14:paraId="774766B4" w14:textId="77777777" w:rsidR="00EF304C" w:rsidRDefault="00000000">
            <w:pPr>
              <w:pBdr>
                <w:top w:val="nil"/>
                <w:left w:val="nil"/>
                <w:bottom w:val="nil"/>
                <w:right w:val="nil"/>
                <w:between w:val="nil"/>
              </w:pBdr>
              <w:jc w:val="center"/>
              <w:rPr>
                <w:b/>
                <w:color w:val="000000"/>
                <w:sz w:val="24"/>
                <w:szCs w:val="24"/>
              </w:rPr>
            </w:pPr>
            <w:r>
              <w:rPr>
                <w:b/>
                <w:color w:val="000000"/>
                <w:sz w:val="24"/>
                <w:szCs w:val="24"/>
              </w:rPr>
              <w:t>Wavenumber (cm</w:t>
            </w:r>
            <w:r>
              <w:rPr>
                <w:b/>
                <w:color w:val="000000"/>
                <w:sz w:val="24"/>
                <w:szCs w:val="24"/>
                <w:vertAlign w:val="superscript"/>
              </w:rPr>
              <w:t>-1</w:t>
            </w:r>
            <w:r>
              <w:rPr>
                <w:b/>
                <w:color w:val="000000"/>
                <w:sz w:val="24"/>
                <w:szCs w:val="24"/>
              </w:rPr>
              <w:t>)</w:t>
            </w:r>
          </w:p>
        </w:tc>
        <w:tc>
          <w:tcPr>
            <w:tcW w:w="3357" w:type="dxa"/>
            <w:tcBorders>
              <w:top w:val="single" w:sz="4" w:space="0" w:color="000000"/>
              <w:bottom w:val="single" w:sz="4" w:space="0" w:color="000000"/>
            </w:tcBorders>
          </w:tcPr>
          <w:p w14:paraId="093C0E0A" w14:textId="77777777" w:rsidR="00EF304C" w:rsidRDefault="00000000">
            <w:pPr>
              <w:pBdr>
                <w:top w:val="nil"/>
                <w:left w:val="nil"/>
                <w:bottom w:val="nil"/>
                <w:right w:val="nil"/>
                <w:between w:val="nil"/>
              </w:pBdr>
              <w:jc w:val="center"/>
              <w:rPr>
                <w:b/>
                <w:color w:val="000000"/>
                <w:sz w:val="24"/>
                <w:szCs w:val="24"/>
              </w:rPr>
            </w:pPr>
            <w:r>
              <w:rPr>
                <w:b/>
                <w:color w:val="000000"/>
                <w:sz w:val="24"/>
                <w:szCs w:val="24"/>
              </w:rPr>
              <w:t>Functional group</w:t>
            </w:r>
          </w:p>
        </w:tc>
        <w:tc>
          <w:tcPr>
            <w:tcW w:w="3357" w:type="dxa"/>
            <w:tcBorders>
              <w:top w:val="single" w:sz="4" w:space="0" w:color="000000"/>
              <w:bottom w:val="single" w:sz="4" w:space="0" w:color="000000"/>
            </w:tcBorders>
          </w:tcPr>
          <w:p w14:paraId="5FF358D8" w14:textId="77777777" w:rsidR="00EF304C" w:rsidRDefault="00000000">
            <w:pPr>
              <w:pBdr>
                <w:top w:val="nil"/>
                <w:left w:val="nil"/>
                <w:bottom w:val="nil"/>
                <w:right w:val="nil"/>
                <w:between w:val="nil"/>
              </w:pBdr>
              <w:jc w:val="center"/>
              <w:rPr>
                <w:b/>
                <w:color w:val="000000"/>
                <w:sz w:val="24"/>
                <w:szCs w:val="24"/>
              </w:rPr>
            </w:pPr>
            <w:r>
              <w:rPr>
                <w:b/>
                <w:color w:val="000000"/>
                <w:sz w:val="24"/>
                <w:szCs w:val="24"/>
              </w:rPr>
              <w:t>Reference</w:t>
            </w:r>
          </w:p>
        </w:tc>
      </w:tr>
      <w:tr w:rsidR="00EF304C" w14:paraId="0C321648" w14:textId="77777777">
        <w:tc>
          <w:tcPr>
            <w:tcW w:w="3356" w:type="dxa"/>
            <w:vAlign w:val="center"/>
          </w:tcPr>
          <w:p w14:paraId="56797CE5" w14:textId="77777777" w:rsidR="00EF304C" w:rsidRDefault="00000000">
            <w:pPr>
              <w:pBdr>
                <w:top w:val="nil"/>
                <w:left w:val="nil"/>
                <w:bottom w:val="nil"/>
                <w:right w:val="nil"/>
                <w:between w:val="nil"/>
              </w:pBdr>
              <w:jc w:val="center"/>
              <w:rPr>
                <w:color w:val="000000"/>
                <w:sz w:val="24"/>
                <w:szCs w:val="24"/>
              </w:rPr>
            </w:pPr>
            <w:r>
              <w:rPr>
                <w:color w:val="000000"/>
                <w:sz w:val="24"/>
                <w:szCs w:val="24"/>
              </w:rPr>
              <w:t>1045</w:t>
            </w:r>
          </w:p>
        </w:tc>
        <w:tc>
          <w:tcPr>
            <w:tcW w:w="3357" w:type="dxa"/>
            <w:vAlign w:val="center"/>
          </w:tcPr>
          <w:p w14:paraId="0DB953BB" w14:textId="77777777" w:rsidR="00EF304C" w:rsidRDefault="00000000">
            <w:pPr>
              <w:pBdr>
                <w:top w:val="nil"/>
                <w:left w:val="nil"/>
                <w:bottom w:val="nil"/>
                <w:right w:val="nil"/>
                <w:between w:val="nil"/>
              </w:pBdr>
              <w:jc w:val="center"/>
              <w:rPr>
                <w:color w:val="000000"/>
                <w:sz w:val="24"/>
                <w:szCs w:val="24"/>
              </w:rPr>
            </w:pPr>
            <w:r>
              <w:rPr>
                <w:color w:val="000000"/>
                <w:sz w:val="24"/>
                <w:szCs w:val="24"/>
              </w:rPr>
              <w:t>C-O</w:t>
            </w:r>
          </w:p>
        </w:tc>
        <w:tc>
          <w:tcPr>
            <w:tcW w:w="3357" w:type="dxa"/>
            <w:vAlign w:val="center"/>
          </w:tcPr>
          <w:p w14:paraId="19CDEE0D" w14:textId="77777777" w:rsidR="00EF304C" w:rsidRDefault="00000000">
            <w:pPr>
              <w:pBdr>
                <w:top w:val="nil"/>
                <w:left w:val="nil"/>
                <w:bottom w:val="nil"/>
                <w:right w:val="nil"/>
                <w:between w:val="nil"/>
              </w:pBdr>
              <w:jc w:val="center"/>
              <w:rPr>
                <w:color w:val="000000"/>
                <w:sz w:val="24"/>
                <w:szCs w:val="24"/>
              </w:rPr>
            </w:pPr>
            <w:r>
              <w:rPr>
                <w:color w:val="000000"/>
                <w:sz w:val="24"/>
                <w:szCs w:val="24"/>
              </w:rPr>
              <w:t>(Ali et al., 2020)</w:t>
            </w:r>
          </w:p>
        </w:tc>
      </w:tr>
      <w:tr w:rsidR="00EF304C" w14:paraId="1AD922EE" w14:textId="77777777">
        <w:tc>
          <w:tcPr>
            <w:tcW w:w="3356" w:type="dxa"/>
            <w:vAlign w:val="center"/>
          </w:tcPr>
          <w:p w14:paraId="788D8C6A" w14:textId="77777777" w:rsidR="00EF304C" w:rsidRDefault="00000000">
            <w:pPr>
              <w:pBdr>
                <w:top w:val="nil"/>
                <w:left w:val="nil"/>
                <w:bottom w:val="nil"/>
                <w:right w:val="nil"/>
                <w:between w:val="nil"/>
              </w:pBdr>
              <w:jc w:val="center"/>
              <w:rPr>
                <w:color w:val="000000"/>
                <w:sz w:val="24"/>
                <w:szCs w:val="24"/>
              </w:rPr>
            </w:pPr>
            <w:r>
              <w:rPr>
                <w:color w:val="000000"/>
                <w:sz w:val="24"/>
                <w:szCs w:val="24"/>
              </w:rPr>
              <w:t>729</w:t>
            </w:r>
          </w:p>
        </w:tc>
        <w:tc>
          <w:tcPr>
            <w:tcW w:w="3357" w:type="dxa"/>
            <w:vAlign w:val="center"/>
          </w:tcPr>
          <w:p w14:paraId="6950AA8D" w14:textId="77777777" w:rsidR="00EF304C" w:rsidRDefault="00000000">
            <w:pPr>
              <w:pBdr>
                <w:top w:val="nil"/>
                <w:left w:val="nil"/>
                <w:bottom w:val="nil"/>
                <w:right w:val="nil"/>
                <w:between w:val="nil"/>
              </w:pBdr>
              <w:jc w:val="center"/>
              <w:rPr>
                <w:color w:val="000000"/>
                <w:sz w:val="24"/>
                <w:szCs w:val="24"/>
              </w:rPr>
            </w:pPr>
            <w:r>
              <w:rPr>
                <w:color w:val="000000"/>
                <w:sz w:val="24"/>
                <w:szCs w:val="24"/>
              </w:rPr>
              <w:t>C-H</w:t>
            </w:r>
          </w:p>
        </w:tc>
        <w:tc>
          <w:tcPr>
            <w:tcW w:w="3357" w:type="dxa"/>
            <w:vAlign w:val="center"/>
          </w:tcPr>
          <w:p w14:paraId="56ABE0BA" w14:textId="77777777" w:rsidR="00EF304C" w:rsidRDefault="00000000">
            <w:pPr>
              <w:pBdr>
                <w:top w:val="nil"/>
                <w:left w:val="nil"/>
                <w:bottom w:val="nil"/>
                <w:right w:val="nil"/>
                <w:between w:val="nil"/>
              </w:pBdr>
              <w:jc w:val="center"/>
              <w:rPr>
                <w:color w:val="000000"/>
                <w:sz w:val="24"/>
                <w:szCs w:val="24"/>
              </w:rPr>
            </w:pPr>
            <w:r>
              <w:rPr>
                <w:color w:val="000000"/>
                <w:sz w:val="24"/>
                <w:szCs w:val="24"/>
              </w:rPr>
              <w:t>(Ali et al., 2020)</w:t>
            </w:r>
          </w:p>
        </w:tc>
      </w:tr>
      <w:tr w:rsidR="00EF304C" w14:paraId="68362448" w14:textId="77777777">
        <w:tc>
          <w:tcPr>
            <w:tcW w:w="3356" w:type="dxa"/>
            <w:vAlign w:val="center"/>
          </w:tcPr>
          <w:p w14:paraId="171DB265" w14:textId="77777777" w:rsidR="00EF304C" w:rsidRDefault="00000000">
            <w:pPr>
              <w:pBdr>
                <w:top w:val="nil"/>
                <w:left w:val="nil"/>
                <w:bottom w:val="nil"/>
                <w:right w:val="nil"/>
                <w:between w:val="nil"/>
              </w:pBdr>
              <w:jc w:val="center"/>
              <w:rPr>
                <w:color w:val="000000"/>
                <w:sz w:val="24"/>
                <w:szCs w:val="24"/>
              </w:rPr>
            </w:pPr>
            <w:r>
              <w:rPr>
                <w:color w:val="000000"/>
                <w:sz w:val="24"/>
                <w:szCs w:val="24"/>
              </w:rPr>
              <w:t>701</w:t>
            </w:r>
          </w:p>
        </w:tc>
        <w:tc>
          <w:tcPr>
            <w:tcW w:w="3357" w:type="dxa"/>
            <w:vAlign w:val="center"/>
          </w:tcPr>
          <w:p w14:paraId="69518D6D" w14:textId="77777777" w:rsidR="00EF304C" w:rsidRDefault="00000000">
            <w:pPr>
              <w:pBdr>
                <w:top w:val="nil"/>
                <w:left w:val="nil"/>
                <w:bottom w:val="nil"/>
                <w:right w:val="nil"/>
                <w:between w:val="nil"/>
              </w:pBdr>
              <w:jc w:val="center"/>
              <w:rPr>
                <w:color w:val="000000"/>
                <w:sz w:val="24"/>
                <w:szCs w:val="24"/>
              </w:rPr>
            </w:pPr>
            <w:r>
              <w:rPr>
                <w:color w:val="000000"/>
                <w:sz w:val="24"/>
                <w:szCs w:val="24"/>
              </w:rPr>
              <w:t>C-H</w:t>
            </w:r>
          </w:p>
        </w:tc>
        <w:tc>
          <w:tcPr>
            <w:tcW w:w="3357" w:type="dxa"/>
            <w:vAlign w:val="center"/>
          </w:tcPr>
          <w:p w14:paraId="78AB8C66" w14:textId="77777777" w:rsidR="00EF304C" w:rsidRDefault="00000000">
            <w:pPr>
              <w:pBdr>
                <w:top w:val="nil"/>
                <w:left w:val="nil"/>
                <w:bottom w:val="nil"/>
                <w:right w:val="nil"/>
                <w:between w:val="nil"/>
              </w:pBdr>
              <w:jc w:val="center"/>
              <w:rPr>
                <w:color w:val="000000"/>
                <w:sz w:val="24"/>
                <w:szCs w:val="24"/>
              </w:rPr>
            </w:pPr>
            <w:r>
              <w:rPr>
                <w:color w:val="000000"/>
                <w:sz w:val="24"/>
                <w:szCs w:val="24"/>
              </w:rPr>
              <w:t>(Ali et al., 2020)</w:t>
            </w:r>
          </w:p>
        </w:tc>
      </w:tr>
      <w:tr w:rsidR="00EF304C" w14:paraId="27340694" w14:textId="77777777">
        <w:tc>
          <w:tcPr>
            <w:tcW w:w="3356" w:type="dxa"/>
            <w:vAlign w:val="center"/>
          </w:tcPr>
          <w:p w14:paraId="001AC87C" w14:textId="77777777" w:rsidR="00EF304C" w:rsidRDefault="00000000">
            <w:pPr>
              <w:pBdr>
                <w:top w:val="nil"/>
                <w:left w:val="nil"/>
                <w:bottom w:val="nil"/>
                <w:right w:val="nil"/>
                <w:between w:val="nil"/>
              </w:pBdr>
              <w:jc w:val="center"/>
              <w:rPr>
                <w:color w:val="000000"/>
                <w:sz w:val="24"/>
                <w:szCs w:val="24"/>
              </w:rPr>
            </w:pPr>
            <w:r>
              <w:rPr>
                <w:color w:val="000000"/>
                <w:sz w:val="24"/>
                <w:szCs w:val="24"/>
              </w:rPr>
              <w:t>668</w:t>
            </w:r>
          </w:p>
        </w:tc>
        <w:tc>
          <w:tcPr>
            <w:tcW w:w="3357" w:type="dxa"/>
            <w:vAlign w:val="center"/>
          </w:tcPr>
          <w:p w14:paraId="1E89E6DC" w14:textId="77777777" w:rsidR="00EF304C" w:rsidRDefault="00000000">
            <w:pPr>
              <w:pBdr>
                <w:top w:val="nil"/>
                <w:left w:val="nil"/>
                <w:bottom w:val="nil"/>
                <w:right w:val="nil"/>
                <w:between w:val="nil"/>
              </w:pBdr>
              <w:jc w:val="center"/>
              <w:rPr>
                <w:color w:val="000000"/>
                <w:sz w:val="24"/>
                <w:szCs w:val="24"/>
              </w:rPr>
            </w:pPr>
            <w:r>
              <w:rPr>
                <w:color w:val="000000"/>
                <w:sz w:val="24"/>
                <w:szCs w:val="24"/>
              </w:rPr>
              <w:t>C-H</w:t>
            </w:r>
          </w:p>
        </w:tc>
        <w:tc>
          <w:tcPr>
            <w:tcW w:w="3357" w:type="dxa"/>
            <w:vAlign w:val="center"/>
          </w:tcPr>
          <w:p w14:paraId="2B6A470A" w14:textId="77777777" w:rsidR="00EF304C" w:rsidRDefault="00000000">
            <w:pPr>
              <w:pBdr>
                <w:top w:val="nil"/>
                <w:left w:val="nil"/>
                <w:bottom w:val="nil"/>
                <w:right w:val="nil"/>
                <w:between w:val="nil"/>
              </w:pBdr>
              <w:jc w:val="center"/>
              <w:rPr>
                <w:color w:val="000000"/>
                <w:sz w:val="24"/>
                <w:szCs w:val="24"/>
              </w:rPr>
            </w:pPr>
            <w:r>
              <w:rPr>
                <w:color w:val="000000"/>
                <w:sz w:val="24"/>
                <w:szCs w:val="24"/>
              </w:rPr>
              <w:t>(Harimu et al., 2022)</w:t>
            </w:r>
          </w:p>
        </w:tc>
      </w:tr>
      <w:tr w:rsidR="00EF304C" w14:paraId="6B831840" w14:textId="77777777">
        <w:tc>
          <w:tcPr>
            <w:tcW w:w="3356" w:type="dxa"/>
            <w:vAlign w:val="center"/>
          </w:tcPr>
          <w:p w14:paraId="11ED1B3C" w14:textId="77777777" w:rsidR="00EF304C" w:rsidRDefault="00000000">
            <w:pPr>
              <w:pBdr>
                <w:top w:val="nil"/>
                <w:left w:val="nil"/>
                <w:bottom w:val="nil"/>
                <w:right w:val="nil"/>
                <w:between w:val="nil"/>
              </w:pBdr>
              <w:jc w:val="center"/>
              <w:rPr>
                <w:color w:val="000000"/>
                <w:sz w:val="24"/>
                <w:szCs w:val="24"/>
              </w:rPr>
            </w:pPr>
            <w:r>
              <w:rPr>
                <w:color w:val="000000"/>
                <w:sz w:val="24"/>
                <w:szCs w:val="24"/>
              </w:rPr>
              <w:t>628</w:t>
            </w:r>
          </w:p>
        </w:tc>
        <w:tc>
          <w:tcPr>
            <w:tcW w:w="3357" w:type="dxa"/>
            <w:vAlign w:val="center"/>
          </w:tcPr>
          <w:p w14:paraId="503A7A81" w14:textId="77777777" w:rsidR="00EF304C" w:rsidRDefault="00000000">
            <w:pPr>
              <w:pBdr>
                <w:top w:val="nil"/>
                <w:left w:val="nil"/>
                <w:bottom w:val="nil"/>
                <w:right w:val="nil"/>
                <w:between w:val="nil"/>
              </w:pBdr>
              <w:jc w:val="center"/>
              <w:rPr>
                <w:color w:val="000000"/>
                <w:sz w:val="24"/>
                <w:szCs w:val="24"/>
              </w:rPr>
            </w:pPr>
            <w:r>
              <w:rPr>
                <w:color w:val="000000"/>
                <w:sz w:val="24"/>
                <w:szCs w:val="24"/>
              </w:rPr>
              <w:t>C-H</w:t>
            </w:r>
          </w:p>
        </w:tc>
        <w:tc>
          <w:tcPr>
            <w:tcW w:w="3357" w:type="dxa"/>
            <w:vAlign w:val="center"/>
          </w:tcPr>
          <w:p w14:paraId="6E7A790F" w14:textId="77777777" w:rsidR="00EF304C" w:rsidRDefault="00000000">
            <w:pPr>
              <w:pBdr>
                <w:top w:val="nil"/>
                <w:left w:val="nil"/>
                <w:bottom w:val="nil"/>
                <w:right w:val="nil"/>
                <w:between w:val="nil"/>
              </w:pBdr>
              <w:jc w:val="center"/>
              <w:rPr>
                <w:color w:val="000000"/>
                <w:sz w:val="24"/>
                <w:szCs w:val="24"/>
              </w:rPr>
            </w:pPr>
            <w:r>
              <w:rPr>
                <w:color w:val="000000"/>
                <w:sz w:val="24"/>
                <w:szCs w:val="24"/>
              </w:rPr>
              <w:t>(Harimu et al., 2022)</w:t>
            </w:r>
          </w:p>
        </w:tc>
      </w:tr>
    </w:tbl>
    <w:p w14:paraId="1F464D5B" w14:textId="77777777" w:rsidR="00EF304C" w:rsidRDefault="00EF304C">
      <w:pPr>
        <w:pBdr>
          <w:top w:val="nil"/>
          <w:left w:val="nil"/>
          <w:bottom w:val="nil"/>
          <w:right w:val="nil"/>
          <w:between w:val="nil"/>
        </w:pBdr>
        <w:spacing w:after="0" w:line="240" w:lineRule="auto"/>
        <w:ind w:firstLine="270"/>
        <w:jc w:val="both"/>
        <w:rPr>
          <w:rFonts w:ascii="Times New Roman" w:eastAsia="Times New Roman" w:hAnsi="Times New Roman" w:cs="Times New Roman"/>
          <w:color w:val="000000"/>
          <w:sz w:val="24"/>
          <w:szCs w:val="24"/>
        </w:rPr>
      </w:pPr>
    </w:p>
    <w:p w14:paraId="67126A82" w14:textId="77777777" w:rsidR="00EF304C" w:rsidRDefault="00000000">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 a temperature of 240-360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cellulose degradation, hemicellulose at 200-260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and lignin at 280-500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 xml:space="preserve">C. During the initial reaction of lignin </w:t>
      </w:r>
      <w:r>
        <w:rPr>
          <w:rFonts w:ascii="Times New Roman" w:eastAsia="Times New Roman" w:hAnsi="Times New Roman" w:cs="Times New Roman"/>
          <w:sz w:val="24"/>
          <w:szCs w:val="24"/>
        </w:rPr>
        <w:t>decomposition</w:t>
      </w:r>
      <w:r>
        <w:rPr>
          <w:rFonts w:ascii="Times New Roman" w:eastAsia="Times New Roman" w:hAnsi="Times New Roman" w:cs="Times New Roman"/>
          <w:color w:val="000000"/>
          <w:sz w:val="24"/>
          <w:szCs w:val="24"/>
        </w:rPr>
        <w:t xml:space="preserve">, the back color of the smoke, thin and white, is characterized by the gradual disappearance of the smoke </w:t>
      </w:r>
      <w:r>
        <w:rPr>
          <w:rFonts w:ascii="Times New Roman" w:eastAsia="Times New Roman" w:hAnsi="Times New Roman" w:cs="Times New Roman"/>
          <w:b/>
          <w:color w:val="000000"/>
          <w:sz w:val="24"/>
          <w:szCs w:val="24"/>
        </w:rPr>
        <w:t>[22]</w:t>
      </w:r>
      <w:r>
        <w:rPr>
          <w:rFonts w:ascii="Times New Roman" w:eastAsia="Times New Roman" w:hAnsi="Times New Roman" w:cs="Times New Roman"/>
          <w:color w:val="000000"/>
          <w:sz w:val="24"/>
          <w:szCs w:val="24"/>
        </w:rPr>
        <w:t xml:space="preserve">. Degradation at low temperatures produces temperatures low tar and char but more volatile. This caused the closed access to porosity </w:t>
      </w:r>
      <w:r>
        <w:rPr>
          <w:rFonts w:ascii="Times New Roman" w:eastAsia="Times New Roman" w:hAnsi="Times New Roman" w:cs="Times New Roman"/>
          <w:b/>
          <w:color w:val="000000"/>
          <w:sz w:val="24"/>
          <w:szCs w:val="24"/>
        </w:rPr>
        <w:t>[23]</w:t>
      </w:r>
      <w:r>
        <w:rPr>
          <w:rFonts w:ascii="Times New Roman" w:eastAsia="Times New Roman" w:hAnsi="Times New Roman" w:cs="Times New Roman"/>
          <w:color w:val="000000"/>
          <w:sz w:val="24"/>
          <w:szCs w:val="24"/>
        </w:rPr>
        <w:t>.</w:t>
      </w:r>
    </w:p>
    <w:p w14:paraId="488CDDE2" w14:textId="77777777" w:rsidR="00EF304C" w:rsidRDefault="00EF304C">
      <w:pPr>
        <w:pBdr>
          <w:top w:val="nil"/>
          <w:left w:val="nil"/>
          <w:bottom w:val="nil"/>
          <w:right w:val="nil"/>
          <w:between w:val="nil"/>
        </w:pBdr>
        <w:spacing w:after="0" w:line="240" w:lineRule="auto"/>
        <w:ind w:firstLine="360"/>
        <w:jc w:val="both"/>
        <w:rPr>
          <w:rFonts w:ascii="Times New Roman" w:eastAsia="Times New Roman" w:hAnsi="Times New Roman" w:cs="Times New Roman"/>
          <w:color w:val="000000"/>
          <w:sz w:val="24"/>
          <w:szCs w:val="24"/>
        </w:rPr>
      </w:pPr>
    </w:p>
    <w:p w14:paraId="5F290D14" w14:textId="77777777" w:rsidR="00EF304C" w:rsidRDefault="00000000">
      <w:pPr>
        <w:pBdr>
          <w:top w:val="nil"/>
          <w:left w:val="nil"/>
          <w:bottom w:val="nil"/>
          <w:right w:val="nil"/>
          <w:between w:val="nil"/>
        </w:pBdr>
        <w:spacing w:after="0" w:line="240"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3.2 Analysis of the surface morphology and area of OPEFB carbon</w:t>
      </w:r>
    </w:p>
    <w:p w14:paraId="44E79A46" w14:textId="77777777" w:rsidR="00EF304C" w:rsidRDefault="00000000">
      <w:pPr>
        <w:pBdr>
          <w:top w:val="nil"/>
          <w:left w:val="nil"/>
          <w:bottom w:val="nil"/>
          <w:right w:val="nil"/>
          <w:between w:val="nil"/>
        </w:pBdr>
        <w:spacing w:before="480" w:after="0" w:line="276"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morphology and EDX</w:t>
      </w:r>
      <w:r>
        <w:rPr>
          <w:rFonts w:ascii="Times New Roman" w:eastAsia="Times New Roman" w:hAnsi="Times New Roman" w:cs="Times New Roman"/>
          <w:color w:val="FFFFFF"/>
          <w:sz w:val="24"/>
          <w:szCs w:val="24"/>
        </w:rPr>
        <w:t>l</w:t>
      </w:r>
      <w:r>
        <w:rPr>
          <w:rFonts w:ascii="Times New Roman" w:eastAsia="Times New Roman" w:hAnsi="Times New Roman" w:cs="Times New Roman"/>
          <w:color w:val="000000"/>
          <w:sz w:val="24"/>
          <w:szCs w:val="24"/>
        </w:rPr>
        <w:t xml:space="preserve">spectrum of carbon before activation is illustrated in Fig. 2. Physically and chemically </w:t>
      </w:r>
      <w:r>
        <w:rPr>
          <w:rFonts w:ascii="Times New Roman" w:eastAsia="Times New Roman" w:hAnsi="Times New Roman" w:cs="Times New Roman"/>
          <w:sz w:val="24"/>
          <w:szCs w:val="24"/>
        </w:rPr>
        <w:t>during</w:t>
      </w:r>
      <w:r>
        <w:rPr>
          <w:rFonts w:ascii="Times New Roman" w:eastAsia="Times New Roman" w:hAnsi="Times New Roman" w:cs="Times New Roman"/>
          <w:color w:val="000000"/>
          <w:sz w:val="24"/>
          <w:szCs w:val="24"/>
        </w:rPr>
        <w:t xml:space="preserve"> the composi</w:t>
      </w:r>
      <w:r>
        <w:rPr>
          <w:rFonts w:ascii="Times New Roman" w:eastAsia="Times New Roman" w:hAnsi="Times New Roman" w:cs="Times New Roman"/>
          <w:sz w:val="24"/>
          <w:szCs w:val="24"/>
        </w:rPr>
        <w:t>tion before activation Table 2</w:t>
      </w:r>
      <w:r>
        <w:rPr>
          <w:rFonts w:ascii="Times New Roman" w:eastAsia="Times New Roman" w:hAnsi="Times New Roman" w:cs="Times New Roman"/>
          <w:color w:val="000000"/>
          <w:sz w:val="24"/>
          <w:szCs w:val="24"/>
        </w:rPr>
        <w:t xml:space="preserve">, changes can be seen that physically significant differences in OPEFB carbon which were originally in the form of brownish fiber turned into black particles after being sieved using 300 mesh and visually observed using SEM. In Fig. 2, </w:t>
      </w:r>
      <w:r>
        <w:rPr>
          <w:rFonts w:ascii="Times New Roman" w:eastAsia="Times New Roman" w:hAnsi="Times New Roman" w:cs="Times New Roman"/>
          <w:sz w:val="24"/>
          <w:szCs w:val="24"/>
        </w:rPr>
        <w:t>it can</w:t>
      </w:r>
      <w:r>
        <w:rPr>
          <w:rFonts w:ascii="Times New Roman" w:eastAsia="Times New Roman" w:hAnsi="Times New Roman" w:cs="Times New Roman"/>
          <w:color w:val="000000"/>
          <w:sz w:val="24"/>
          <w:szCs w:val="24"/>
        </w:rPr>
        <w:t xml:space="preserve"> be seen that the pores are still covered with many substances causing the absorption quality of the particles to be low as a result closed access for ions to enter the carbon surface. </w:t>
      </w:r>
    </w:p>
    <w:p w14:paraId="04163963"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4"/>
          <w:szCs w:val="24"/>
        </w:rPr>
        <w:lastRenderedPageBreak/>
        <w:drawing>
          <wp:inline distT="0" distB="0" distL="0" distR="0" wp14:anchorId="5CD5D949" wp14:editId="12FDB6E4">
            <wp:extent cx="3053357" cy="2286000"/>
            <wp:effectExtent l="0" t="0" r="0" b="0"/>
            <wp:docPr id="3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
                    <a:srcRect/>
                    <a:stretch>
                      <a:fillRect/>
                    </a:stretch>
                  </pic:blipFill>
                  <pic:spPr>
                    <a:xfrm>
                      <a:off x="0" y="0"/>
                      <a:ext cx="3053357" cy="2286000"/>
                    </a:xfrm>
                    <a:prstGeom prst="rect">
                      <a:avLst/>
                    </a:prstGeom>
                    <a:ln/>
                  </pic:spPr>
                </pic:pic>
              </a:graphicData>
            </a:graphic>
          </wp:inline>
        </w:drawing>
      </w:r>
    </w:p>
    <w:p w14:paraId="63A44927"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Fig. 2. </w:t>
      </w:r>
      <w:r>
        <w:rPr>
          <w:rFonts w:ascii="Times New Roman" w:eastAsia="Times New Roman" w:hAnsi="Times New Roman" w:cs="Times New Roman"/>
          <w:color w:val="000000"/>
          <w:sz w:val="24"/>
          <w:szCs w:val="24"/>
        </w:rPr>
        <w:t>Morphology of OPEFB carbon</w:t>
      </w:r>
    </w:p>
    <w:p w14:paraId="3097543B" w14:textId="77777777" w:rsidR="00EF304C" w:rsidRDefault="00EF304C">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14:paraId="388726F6"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4"/>
          <w:szCs w:val="24"/>
        </w:rPr>
        <w:drawing>
          <wp:inline distT="0" distB="0" distL="0" distR="0" wp14:anchorId="2A5DF57D" wp14:editId="719F79C6">
            <wp:extent cx="3129782" cy="2657616"/>
            <wp:effectExtent l="0" t="0" r="0" b="0"/>
            <wp:docPr id="3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l="6933" t="6795" r="12627" b="3956"/>
                    <a:stretch>
                      <a:fillRect/>
                    </a:stretch>
                  </pic:blipFill>
                  <pic:spPr>
                    <a:xfrm>
                      <a:off x="0" y="0"/>
                      <a:ext cx="3129782" cy="2657616"/>
                    </a:xfrm>
                    <a:prstGeom prst="rect">
                      <a:avLst/>
                    </a:prstGeom>
                    <a:ln/>
                  </pic:spPr>
                </pic:pic>
              </a:graphicData>
            </a:graphic>
          </wp:inline>
        </w:drawing>
      </w:r>
    </w:p>
    <w:p w14:paraId="33EE88CE"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Fig. 3. </w:t>
      </w:r>
      <w:r>
        <w:rPr>
          <w:rFonts w:ascii="Times New Roman" w:eastAsia="Times New Roman" w:hAnsi="Times New Roman" w:cs="Times New Roman"/>
          <w:color w:val="000000"/>
          <w:sz w:val="24"/>
          <w:szCs w:val="24"/>
        </w:rPr>
        <w:t>Isotherm graph of OPEFB carbonization</w:t>
      </w:r>
    </w:p>
    <w:p w14:paraId="61030DB7" w14:textId="77777777" w:rsidR="00EF304C" w:rsidRDefault="00EF304C">
      <w:pPr>
        <w:pBdr>
          <w:top w:val="nil"/>
          <w:left w:val="nil"/>
          <w:bottom w:val="nil"/>
          <w:right w:val="nil"/>
          <w:between w:val="nil"/>
        </w:pBdr>
        <w:spacing w:after="0" w:line="276" w:lineRule="auto"/>
        <w:jc w:val="center"/>
        <w:rPr>
          <w:rFonts w:ascii="Times New Roman" w:eastAsia="Times New Roman" w:hAnsi="Times New Roman" w:cs="Times New Roman"/>
          <w:b/>
          <w:color w:val="000000"/>
          <w:sz w:val="24"/>
          <w:szCs w:val="24"/>
        </w:rPr>
      </w:pPr>
    </w:p>
    <w:p w14:paraId="4D321F3D" w14:textId="77777777" w:rsidR="00EF304C" w:rsidRDefault="00000000">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Fig. 3. showed the </w:t>
      </w:r>
      <w:r>
        <w:rPr>
          <w:rFonts w:ascii="Times New Roman" w:eastAsia="Times New Roman" w:hAnsi="Times New Roman" w:cs="Times New Roman"/>
          <w:sz w:val="24"/>
          <w:szCs w:val="24"/>
        </w:rPr>
        <w:t>decreased</w:t>
      </w:r>
      <w:r>
        <w:rPr>
          <w:rFonts w:ascii="Times New Roman" w:eastAsia="Times New Roman" w:hAnsi="Times New Roman" w:cs="Times New Roman"/>
          <w:color w:val="000000"/>
          <w:sz w:val="24"/>
          <w:szCs w:val="24"/>
        </w:rPr>
        <w:t xml:space="preserve"> nitrogen adsorption capacity, indicating the access of nitrogen being blocked to be adsorbed to the pores in carbon. This obstruction complicates the straightforward determination of pore size distribution based on the graph. </w:t>
      </w:r>
      <w:r>
        <w:rPr>
          <w:rFonts w:ascii="Times New Roman" w:eastAsia="Times New Roman" w:hAnsi="Times New Roman" w:cs="Times New Roman"/>
          <w:b/>
          <w:color w:val="000000"/>
          <w:sz w:val="24"/>
          <w:szCs w:val="24"/>
        </w:rPr>
        <w:t>[24]</w:t>
      </w:r>
      <w:r>
        <w:rPr>
          <w:rFonts w:ascii="Times New Roman" w:eastAsia="Times New Roman" w:hAnsi="Times New Roman" w:cs="Times New Roman"/>
          <w:color w:val="000000"/>
          <w:sz w:val="24"/>
          <w:szCs w:val="24"/>
        </w:rPr>
        <w:t xml:space="preserve">. </w:t>
      </w:r>
    </w:p>
    <w:p w14:paraId="16E5475F"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p>
    <w:p w14:paraId="74EFC3AD"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2</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Composition of OPEFB carbon before activation</w:t>
      </w:r>
    </w:p>
    <w:tbl>
      <w:tblPr>
        <w:tblStyle w:val="a1"/>
        <w:tblW w:w="522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340"/>
        <w:gridCol w:w="2880"/>
      </w:tblGrid>
      <w:tr w:rsidR="00EF304C" w14:paraId="6212A1CD" w14:textId="77777777">
        <w:trPr>
          <w:jc w:val="center"/>
        </w:trPr>
        <w:tc>
          <w:tcPr>
            <w:tcW w:w="2340" w:type="dxa"/>
            <w:tcBorders>
              <w:top w:val="single" w:sz="4" w:space="0" w:color="000000"/>
              <w:bottom w:val="single" w:sz="4" w:space="0" w:color="000000"/>
            </w:tcBorders>
          </w:tcPr>
          <w:p w14:paraId="2D32BE95"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Element</w:t>
            </w:r>
          </w:p>
        </w:tc>
        <w:tc>
          <w:tcPr>
            <w:tcW w:w="2880" w:type="dxa"/>
            <w:tcBorders>
              <w:top w:val="single" w:sz="4" w:space="0" w:color="000000"/>
              <w:bottom w:val="single" w:sz="4" w:space="0" w:color="000000"/>
            </w:tcBorders>
          </w:tcPr>
          <w:p w14:paraId="0EC621FD"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Elemental Content  (%)</w:t>
            </w:r>
          </w:p>
        </w:tc>
      </w:tr>
      <w:tr w:rsidR="00EF304C" w14:paraId="73439B9B" w14:textId="77777777">
        <w:trPr>
          <w:jc w:val="center"/>
        </w:trPr>
        <w:tc>
          <w:tcPr>
            <w:tcW w:w="2340" w:type="dxa"/>
            <w:tcBorders>
              <w:top w:val="single" w:sz="4" w:space="0" w:color="000000"/>
            </w:tcBorders>
          </w:tcPr>
          <w:p w14:paraId="7FD62CD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Carbon</w:t>
            </w:r>
          </w:p>
        </w:tc>
        <w:tc>
          <w:tcPr>
            <w:tcW w:w="2880" w:type="dxa"/>
            <w:tcBorders>
              <w:top w:val="single" w:sz="4" w:space="0" w:color="000000"/>
            </w:tcBorders>
          </w:tcPr>
          <w:p w14:paraId="5682CEC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66.37</w:t>
            </w:r>
          </w:p>
        </w:tc>
      </w:tr>
      <w:tr w:rsidR="00EF304C" w14:paraId="0F8F9AF3" w14:textId="77777777">
        <w:trPr>
          <w:jc w:val="center"/>
        </w:trPr>
        <w:tc>
          <w:tcPr>
            <w:tcW w:w="2340" w:type="dxa"/>
          </w:tcPr>
          <w:p w14:paraId="03B5780E"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Oxygen</w:t>
            </w:r>
          </w:p>
        </w:tc>
        <w:tc>
          <w:tcPr>
            <w:tcW w:w="2880" w:type="dxa"/>
          </w:tcPr>
          <w:p w14:paraId="63CB768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33.63</w:t>
            </w:r>
          </w:p>
        </w:tc>
      </w:tr>
    </w:tbl>
    <w:p w14:paraId="133817B3" w14:textId="77777777" w:rsidR="00EF304C" w:rsidRDefault="00EF304C">
      <w:pPr>
        <w:pBdr>
          <w:top w:val="nil"/>
          <w:left w:val="nil"/>
          <w:bottom w:val="nil"/>
          <w:right w:val="nil"/>
          <w:between w:val="nil"/>
        </w:pBdr>
        <w:spacing w:after="0" w:line="240" w:lineRule="auto"/>
        <w:rPr>
          <w:rFonts w:ascii="Times New Roman" w:eastAsia="Times New Roman" w:hAnsi="Times New Roman" w:cs="Times New Roman"/>
          <w:b/>
          <w:color w:val="000000"/>
          <w:sz w:val="24"/>
          <w:szCs w:val="24"/>
        </w:rPr>
      </w:pPr>
    </w:p>
    <w:p w14:paraId="69F1E313" w14:textId="77777777" w:rsidR="00EF304C" w:rsidRDefault="00EF304C">
      <w:pPr>
        <w:pBdr>
          <w:top w:val="nil"/>
          <w:left w:val="nil"/>
          <w:bottom w:val="nil"/>
          <w:right w:val="nil"/>
          <w:between w:val="nil"/>
        </w:pBdr>
        <w:spacing w:after="0" w:line="240" w:lineRule="auto"/>
        <w:rPr>
          <w:rFonts w:ascii="Times New Roman" w:eastAsia="Times New Roman" w:hAnsi="Times New Roman" w:cs="Times New Roman"/>
          <w:b/>
          <w:color w:val="000000"/>
          <w:sz w:val="24"/>
          <w:szCs w:val="24"/>
        </w:rPr>
      </w:pPr>
    </w:p>
    <w:p w14:paraId="7FA140D1" w14:textId="77777777" w:rsidR="00EF304C" w:rsidRDefault="00EF304C">
      <w:pPr>
        <w:pBdr>
          <w:top w:val="nil"/>
          <w:left w:val="nil"/>
          <w:bottom w:val="nil"/>
          <w:right w:val="nil"/>
          <w:between w:val="nil"/>
        </w:pBdr>
        <w:spacing w:after="0" w:line="240" w:lineRule="auto"/>
        <w:rPr>
          <w:rFonts w:ascii="Times New Roman" w:eastAsia="Times New Roman" w:hAnsi="Times New Roman" w:cs="Times New Roman"/>
          <w:b/>
          <w:color w:val="000000"/>
          <w:sz w:val="24"/>
          <w:szCs w:val="24"/>
        </w:rPr>
      </w:pPr>
    </w:p>
    <w:p w14:paraId="684087DC" w14:textId="77777777" w:rsidR="00EF304C" w:rsidRDefault="00EF304C">
      <w:pPr>
        <w:pBdr>
          <w:top w:val="nil"/>
          <w:left w:val="nil"/>
          <w:bottom w:val="nil"/>
          <w:right w:val="nil"/>
          <w:between w:val="nil"/>
        </w:pBdr>
        <w:spacing w:after="0" w:line="240" w:lineRule="auto"/>
        <w:rPr>
          <w:rFonts w:ascii="Times New Roman" w:eastAsia="Times New Roman" w:hAnsi="Times New Roman" w:cs="Times New Roman"/>
          <w:b/>
          <w:color w:val="000000"/>
          <w:sz w:val="24"/>
          <w:szCs w:val="24"/>
        </w:rPr>
      </w:pPr>
    </w:p>
    <w:p w14:paraId="0EA8FF88" w14:textId="77777777" w:rsidR="00EF304C" w:rsidRDefault="00000000">
      <w:pPr>
        <w:pBdr>
          <w:top w:val="nil"/>
          <w:left w:val="nil"/>
          <w:bottom w:val="nil"/>
          <w:right w:val="nil"/>
          <w:between w:val="nil"/>
        </w:pBdr>
        <w:spacing w:after="0" w:line="240" w:lineRule="auto"/>
        <w:ind w:left="270" w:hanging="270"/>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3.3 Comparison analysis of the surface morphology of OPEFB activated carbon </w:t>
      </w:r>
    </w:p>
    <w:p w14:paraId="045FBA82" w14:textId="77777777" w:rsidR="00EF304C" w:rsidRDefault="00000000">
      <w:pPr>
        <w:pBdr>
          <w:top w:val="nil"/>
          <w:left w:val="nil"/>
          <w:bottom w:val="nil"/>
          <w:right w:val="nil"/>
          <w:between w:val="nil"/>
        </w:pBdr>
        <w:spacing w:before="480"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The composition of the activated carbon samples activated by variations of concentration are summarized in Table 3. From the table, the trend showed an increase of carbon content and a decrease of oxygen which </w:t>
      </w:r>
      <w:r>
        <w:rPr>
          <w:rFonts w:ascii="Times New Roman" w:eastAsia="Times New Roman" w:hAnsi="Times New Roman" w:cs="Times New Roman"/>
          <w:sz w:val="24"/>
          <w:szCs w:val="24"/>
        </w:rPr>
        <w:t>influenced the</w:t>
      </w:r>
      <w:r>
        <w:rPr>
          <w:rFonts w:ascii="Times New Roman" w:eastAsia="Times New Roman" w:hAnsi="Times New Roman" w:cs="Times New Roman"/>
          <w:color w:val="000000"/>
          <w:sz w:val="24"/>
          <w:szCs w:val="24"/>
        </w:rPr>
        <w:t xml:space="preserve"> morphology of pores after activation as shown in Fig. 4. Activator solution, immersion time, and temperature to activate the carbon forced the release of gas and impurities such as oxygen, nitrogen, carbon dioxide, and other elements from the carbon and produced more porosity.</w:t>
      </w:r>
    </w:p>
    <w:p w14:paraId="6782C63F"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br/>
        <w:t>Table 3</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Composition of activated carbon sample concentration variations</w:t>
      </w:r>
    </w:p>
    <w:tbl>
      <w:tblPr>
        <w:tblStyle w:val="a2"/>
        <w:tblW w:w="774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589"/>
        <w:gridCol w:w="2600"/>
        <w:gridCol w:w="2551"/>
      </w:tblGrid>
      <w:tr w:rsidR="00EF304C" w14:paraId="789A4EF4" w14:textId="77777777">
        <w:trPr>
          <w:jc w:val="center"/>
        </w:trPr>
        <w:tc>
          <w:tcPr>
            <w:tcW w:w="2589" w:type="dxa"/>
            <w:tcBorders>
              <w:top w:val="single" w:sz="4" w:space="0" w:color="000000"/>
              <w:bottom w:val="single" w:sz="4" w:space="0" w:color="000000"/>
            </w:tcBorders>
          </w:tcPr>
          <w:p w14:paraId="1EFC417F"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2600" w:type="dxa"/>
            <w:tcBorders>
              <w:top w:val="single" w:sz="4" w:space="0" w:color="000000"/>
              <w:bottom w:val="single" w:sz="4" w:space="0" w:color="000000"/>
            </w:tcBorders>
          </w:tcPr>
          <w:p w14:paraId="4E695A1C"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Carbon (%)</w:t>
            </w:r>
          </w:p>
        </w:tc>
        <w:tc>
          <w:tcPr>
            <w:tcW w:w="2551" w:type="dxa"/>
            <w:tcBorders>
              <w:top w:val="single" w:sz="4" w:space="0" w:color="000000"/>
              <w:bottom w:val="single" w:sz="4" w:space="0" w:color="000000"/>
            </w:tcBorders>
          </w:tcPr>
          <w:p w14:paraId="3AB2CE1F"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Oxygen (%)</w:t>
            </w:r>
          </w:p>
        </w:tc>
      </w:tr>
      <w:tr w:rsidR="00EF304C" w14:paraId="2F4C42AB" w14:textId="77777777">
        <w:trPr>
          <w:jc w:val="center"/>
        </w:trPr>
        <w:tc>
          <w:tcPr>
            <w:tcW w:w="2589" w:type="dxa"/>
            <w:tcBorders>
              <w:top w:val="single" w:sz="4" w:space="0" w:color="000000"/>
            </w:tcBorders>
          </w:tcPr>
          <w:p w14:paraId="52D3E2B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KA-0-2</w:t>
            </w:r>
          </w:p>
        </w:tc>
        <w:tc>
          <w:tcPr>
            <w:tcW w:w="2600" w:type="dxa"/>
            <w:tcBorders>
              <w:top w:val="single" w:sz="4" w:space="0" w:color="000000"/>
            </w:tcBorders>
          </w:tcPr>
          <w:p w14:paraId="25ADA54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84.47</w:t>
            </w:r>
          </w:p>
        </w:tc>
        <w:tc>
          <w:tcPr>
            <w:tcW w:w="2551" w:type="dxa"/>
            <w:tcBorders>
              <w:top w:val="single" w:sz="4" w:space="0" w:color="000000"/>
            </w:tcBorders>
          </w:tcPr>
          <w:p w14:paraId="11A9847C"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15.53</w:t>
            </w:r>
          </w:p>
        </w:tc>
      </w:tr>
      <w:tr w:rsidR="00EF304C" w14:paraId="6D309E5A" w14:textId="77777777">
        <w:trPr>
          <w:jc w:val="center"/>
        </w:trPr>
        <w:tc>
          <w:tcPr>
            <w:tcW w:w="2589" w:type="dxa"/>
          </w:tcPr>
          <w:p w14:paraId="1BA667C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KA-0.5-1.5</w:t>
            </w:r>
          </w:p>
        </w:tc>
        <w:tc>
          <w:tcPr>
            <w:tcW w:w="2600" w:type="dxa"/>
          </w:tcPr>
          <w:p w14:paraId="59E6EB1E"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78.62</w:t>
            </w:r>
          </w:p>
        </w:tc>
        <w:tc>
          <w:tcPr>
            <w:tcW w:w="2551" w:type="dxa"/>
          </w:tcPr>
          <w:p w14:paraId="0AD6CAD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20.91</w:t>
            </w:r>
          </w:p>
        </w:tc>
      </w:tr>
      <w:tr w:rsidR="00EF304C" w14:paraId="12685FFE" w14:textId="77777777">
        <w:trPr>
          <w:jc w:val="center"/>
        </w:trPr>
        <w:tc>
          <w:tcPr>
            <w:tcW w:w="2589" w:type="dxa"/>
          </w:tcPr>
          <w:p w14:paraId="7D37D362"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KA-1-1</w:t>
            </w:r>
          </w:p>
        </w:tc>
        <w:tc>
          <w:tcPr>
            <w:tcW w:w="2600" w:type="dxa"/>
          </w:tcPr>
          <w:p w14:paraId="61B55DFF"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82.16</w:t>
            </w:r>
          </w:p>
        </w:tc>
        <w:tc>
          <w:tcPr>
            <w:tcW w:w="2551" w:type="dxa"/>
          </w:tcPr>
          <w:p w14:paraId="05E3E22C"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17.84</w:t>
            </w:r>
          </w:p>
        </w:tc>
      </w:tr>
      <w:tr w:rsidR="00EF304C" w14:paraId="3E44342C" w14:textId="77777777">
        <w:trPr>
          <w:jc w:val="center"/>
        </w:trPr>
        <w:tc>
          <w:tcPr>
            <w:tcW w:w="2589" w:type="dxa"/>
          </w:tcPr>
          <w:p w14:paraId="49375AF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KA-1.5-0.5</w:t>
            </w:r>
          </w:p>
        </w:tc>
        <w:tc>
          <w:tcPr>
            <w:tcW w:w="2600" w:type="dxa"/>
          </w:tcPr>
          <w:p w14:paraId="6BAA228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79.09</w:t>
            </w:r>
          </w:p>
        </w:tc>
        <w:tc>
          <w:tcPr>
            <w:tcW w:w="2551" w:type="dxa"/>
          </w:tcPr>
          <w:p w14:paraId="78FA881A"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21.38</w:t>
            </w:r>
          </w:p>
        </w:tc>
      </w:tr>
      <w:tr w:rsidR="00EF304C" w14:paraId="3EC3C3F7" w14:textId="77777777">
        <w:trPr>
          <w:jc w:val="center"/>
        </w:trPr>
        <w:tc>
          <w:tcPr>
            <w:tcW w:w="2589" w:type="dxa"/>
          </w:tcPr>
          <w:p w14:paraId="5992570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KA-2-0</w:t>
            </w:r>
          </w:p>
        </w:tc>
        <w:tc>
          <w:tcPr>
            <w:tcW w:w="2600" w:type="dxa"/>
          </w:tcPr>
          <w:p w14:paraId="5E214F4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77.56</w:t>
            </w:r>
          </w:p>
        </w:tc>
        <w:tc>
          <w:tcPr>
            <w:tcW w:w="2551" w:type="dxa"/>
          </w:tcPr>
          <w:p w14:paraId="3EEA54C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22.44</w:t>
            </w:r>
          </w:p>
        </w:tc>
      </w:tr>
    </w:tbl>
    <w:p w14:paraId="7741BADC" w14:textId="77777777" w:rsidR="00EF304C" w:rsidRDefault="00000000">
      <w:pPr>
        <w:pBdr>
          <w:top w:val="nil"/>
          <w:left w:val="nil"/>
          <w:bottom w:val="nil"/>
          <w:right w:val="nil"/>
          <w:between w:val="nil"/>
        </w:pBdr>
        <w:spacing w:before="480" w:after="0" w:line="276" w:lineRule="auto"/>
        <w:ind w:firstLine="27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As </w:t>
      </w:r>
      <w:r>
        <w:rPr>
          <w:rFonts w:ascii="Times New Roman" w:eastAsia="Times New Roman" w:hAnsi="Times New Roman" w:cs="Times New Roman"/>
          <w:sz w:val="24"/>
          <w:szCs w:val="24"/>
        </w:rPr>
        <w:t>the porosity increased</w:t>
      </w:r>
      <w:r>
        <w:rPr>
          <w:rFonts w:ascii="Times New Roman" w:eastAsia="Times New Roman" w:hAnsi="Times New Roman" w:cs="Times New Roman"/>
          <w:color w:val="000000"/>
          <w:sz w:val="24"/>
          <w:szCs w:val="24"/>
        </w:rPr>
        <w:t xml:space="preserve">, the area for the nitrogen to be adsorbed relatively increased </w:t>
      </w:r>
      <w:r>
        <w:rPr>
          <w:rFonts w:ascii="Times New Roman" w:eastAsia="Times New Roman" w:hAnsi="Times New Roman" w:cs="Times New Roman"/>
          <w:b/>
          <w:color w:val="000000"/>
          <w:sz w:val="24"/>
          <w:szCs w:val="24"/>
        </w:rPr>
        <w:t>[25]</w:t>
      </w:r>
      <w:r>
        <w:rPr>
          <w:rFonts w:ascii="Times New Roman" w:eastAsia="Times New Roman" w:hAnsi="Times New Roman" w:cs="Times New Roman"/>
          <w:color w:val="000000"/>
          <w:sz w:val="24"/>
          <w:szCs w:val="24"/>
        </w:rPr>
        <w:t>. Table S1 compares the elemental compositions of activated carbon at different NaOH and KOH concentrations, revealing that the highest percentages were 84.47% carbon and 15.53% oxygen.</w:t>
      </w:r>
    </w:p>
    <w:p w14:paraId="2FAA8BD9" w14:textId="77777777" w:rsidR="00EF304C" w:rsidRDefault="00EF304C">
      <w:pPr>
        <w:pBdr>
          <w:top w:val="nil"/>
          <w:left w:val="nil"/>
          <w:bottom w:val="nil"/>
          <w:right w:val="nil"/>
          <w:between w:val="nil"/>
        </w:pBdr>
        <w:spacing w:before="480" w:after="0" w:line="276" w:lineRule="auto"/>
        <w:ind w:firstLine="270"/>
        <w:jc w:val="both"/>
        <w:rPr>
          <w:rFonts w:ascii="Times New Roman" w:eastAsia="Times New Roman" w:hAnsi="Times New Roman" w:cs="Times New Roman"/>
          <w:sz w:val="24"/>
          <w:szCs w:val="24"/>
        </w:rPr>
      </w:pPr>
    </w:p>
    <w:tbl>
      <w:tblPr>
        <w:tblStyle w:val="a3"/>
        <w:tblW w:w="9360" w:type="dxa"/>
        <w:jc w:val="center"/>
        <w:tblBorders>
          <w:top w:val="nil"/>
          <w:left w:val="nil"/>
          <w:bottom w:val="nil"/>
          <w:right w:val="nil"/>
          <w:insideH w:val="nil"/>
          <w:insideV w:val="nil"/>
        </w:tblBorders>
        <w:tblLayout w:type="fixed"/>
        <w:tblLook w:val="0400" w:firstRow="0" w:lastRow="0" w:firstColumn="0" w:lastColumn="0" w:noHBand="0" w:noVBand="1"/>
      </w:tblPr>
      <w:tblGrid>
        <w:gridCol w:w="4674"/>
        <w:gridCol w:w="4686"/>
      </w:tblGrid>
      <w:tr w:rsidR="00EF304C" w14:paraId="4BDF0637" w14:textId="77777777">
        <w:trPr>
          <w:trHeight w:val="3168"/>
          <w:jc w:val="center"/>
        </w:trPr>
        <w:tc>
          <w:tcPr>
            <w:tcW w:w="4674" w:type="dxa"/>
          </w:tcPr>
          <w:p w14:paraId="3CC3DC79" w14:textId="77777777" w:rsidR="00EF304C" w:rsidRDefault="00000000">
            <w:pPr>
              <w:jc w:val="center"/>
              <w:rPr>
                <w:sz w:val="24"/>
                <w:szCs w:val="24"/>
              </w:rPr>
            </w:pPr>
            <w:r>
              <w:rPr>
                <w:noProof/>
                <w:sz w:val="24"/>
                <w:szCs w:val="24"/>
              </w:rPr>
              <w:drawing>
                <wp:inline distT="0" distB="0" distL="0" distR="0" wp14:anchorId="0E0F9812" wp14:editId="074996D3">
                  <wp:extent cx="2439920" cy="1828800"/>
                  <wp:effectExtent l="0" t="0" r="0" b="0"/>
                  <wp:docPr id="3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2439920" cy="1828800"/>
                          </a:xfrm>
                          <a:prstGeom prst="rect">
                            <a:avLst/>
                          </a:prstGeom>
                          <a:ln/>
                        </pic:spPr>
                      </pic:pic>
                    </a:graphicData>
                  </a:graphic>
                </wp:inline>
              </w:drawing>
            </w:r>
          </w:p>
          <w:p w14:paraId="40EDE33A" w14:textId="77777777" w:rsidR="00EF304C" w:rsidRDefault="00000000">
            <w:pPr>
              <w:jc w:val="center"/>
              <w:rPr>
                <w:sz w:val="24"/>
                <w:szCs w:val="24"/>
              </w:rPr>
            </w:pPr>
            <w:r>
              <w:rPr>
                <w:sz w:val="24"/>
                <w:szCs w:val="24"/>
              </w:rPr>
              <w:t>(A)</w:t>
            </w:r>
          </w:p>
        </w:tc>
        <w:tc>
          <w:tcPr>
            <w:tcW w:w="4686" w:type="dxa"/>
          </w:tcPr>
          <w:p w14:paraId="0132F6AD" w14:textId="77777777" w:rsidR="00EF304C" w:rsidRDefault="00000000">
            <w:pPr>
              <w:jc w:val="center"/>
              <w:rPr>
                <w:sz w:val="24"/>
                <w:szCs w:val="24"/>
              </w:rPr>
            </w:pPr>
            <w:r>
              <w:rPr>
                <w:noProof/>
                <w:sz w:val="24"/>
                <w:szCs w:val="24"/>
              </w:rPr>
              <w:drawing>
                <wp:inline distT="0" distB="0" distL="0" distR="0" wp14:anchorId="2D2BDD8B" wp14:editId="06DEDC84">
                  <wp:extent cx="2435023" cy="1828800"/>
                  <wp:effectExtent l="0" t="0" r="0" b="0"/>
                  <wp:docPr id="4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3"/>
                          <a:srcRect/>
                          <a:stretch>
                            <a:fillRect/>
                          </a:stretch>
                        </pic:blipFill>
                        <pic:spPr>
                          <a:xfrm>
                            <a:off x="0" y="0"/>
                            <a:ext cx="2435023" cy="1828800"/>
                          </a:xfrm>
                          <a:prstGeom prst="rect">
                            <a:avLst/>
                          </a:prstGeom>
                          <a:ln/>
                        </pic:spPr>
                      </pic:pic>
                    </a:graphicData>
                  </a:graphic>
                </wp:inline>
              </w:drawing>
            </w:r>
          </w:p>
          <w:p w14:paraId="1B2DECB8" w14:textId="77777777" w:rsidR="00EF304C" w:rsidRDefault="00000000">
            <w:pPr>
              <w:jc w:val="center"/>
              <w:rPr>
                <w:sz w:val="24"/>
                <w:szCs w:val="24"/>
              </w:rPr>
            </w:pPr>
            <w:r>
              <w:rPr>
                <w:sz w:val="24"/>
                <w:szCs w:val="24"/>
              </w:rPr>
              <w:t>(B)</w:t>
            </w:r>
          </w:p>
        </w:tc>
      </w:tr>
      <w:tr w:rsidR="00EF304C" w14:paraId="32D1E518" w14:textId="77777777">
        <w:trPr>
          <w:trHeight w:val="3168"/>
          <w:jc w:val="center"/>
        </w:trPr>
        <w:tc>
          <w:tcPr>
            <w:tcW w:w="4674" w:type="dxa"/>
          </w:tcPr>
          <w:p w14:paraId="45FE5A3D" w14:textId="77777777" w:rsidR="00EF304C" w:rsidRDefault="00000000">
            <w:pPr>
              <w:jc w:val="center"/>
              <w:rPr>
                <w:sz w:val="24"/>
                <w:szCs w:val="24"/>
              </w:rPr>
            </w:pPr>
            <w:r>
              <w:rPr>
                <w:noProof/>
                <w:sz w:val="24"/>
                <w:szCs w:val="24"/>
              </w:rPr>
              <w:drawing>
                <wp:inline distT="0" distB="0" distL="0" distR="0" wp14:anchorId="2EBE5E37" wp14:editId="5831288A">
                  <wp:extent cx="2436088" cy="1828800"/>
                  <wp:effectExtent l="0" t="0" r="0" b="0"/>
                  <wp:docPr id="3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4"/>
                          <a:srcRect/>
                          <a:stretch>
                            <a:fillRect/>
                          </a:stretch>
                        </pic:blipFill>
                        <pic:spPr>
                          <a:xfrm>
                            <a:off x="0" y="0"/>
                            <a:ext cx="2436088" cy="1828800"/>
                          </a:xfrm>
                          <a:prstGeom prst="rect">
                            <a:avLst/>
                          </a:prstGeom>
                          <a:ln/>
                        </pic:spPr>
                      </pic:pic>
                    </a:graphicData>
                  </a:graphic>
                </wp:inline>
              </w:drawing>
            </w:r>
          </w:p>
          <w:p w14:paraId="49D8A7AF" w14:textId="77777777" w:rsidR="00EF304C" w:rsidRDefault="00000000">
            <w:pPr>
              <w:jc w:val="center"/>
              <w:rPr>
                <w:sz w:val="24"/>
                <w:szCs w:val="24"/>
              </w:rPr>
            </w:pPr>
            <w:r>
              <w:rPr>
                <w:sz w:val="24"/>
                <w:szCs w:val="24"/>
              </w:rPr>
              <w:t>(C)</w:t>
            </w:r>
          </w:p>
        </w:tc>
        <w:tc>
          <w:tcPr>
            <w:tcW w:w="4686" w:type="dxa"/>
          </w:tcPr>
          <w:p w14:paraId="17A5B008" w14:textId="77777777" w:rsidR="00EF304C" w:rsidRDefault="00000000">
            <w:pPr>
              <w:jc w:val="center"/>
              <w:rPr>
                <w:sz w:val="24"/>
                <w:szCs w:val="24"/>
              </w:rPr>
            </w:pPr>
            <w:r>
              <w:rPr>
                <w:noProof/>
                <w:sz w:val="24"/>
                <w:szCs w:val="24"/>
              </w:rPr>
              <w:drawing>
                <wp:inline distT="0" distB="0" distL="0" distR="0" wp14:anchorId="70ED17B0" wp14:editId="52B2A7CF">
                  <wp:extent cx="2463303" cy="1828800"/>
                  <wp:effectExtent l="0" t="0" r="0" b="0"/>
                  <wp:docPr id="4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2463303" cy="1828800"/>
                          </a:xfrm>
                          <a:prstGeom prst="rect">
                            <a:avLst/>
                          </a:prstGeom>
                          <a:ln/>
                        </pic:spPr>
                      </pic:pic>
                    </a:graphicData>
                  </a:graphic>
                </wp:inline>
              </w:drawing>
            </w:r>
          </w:p>
          <w:p w14:paraId="4A5ED303" w14:textId="77777777" w:rsidR="00EF304C" w:rsidRDefault="00000000">
            <w:pPr>
              <w:jc w:val="center"/>
              <w:rPr>
                <w:sz w:val="24"/>
                <w:szCs w:val="24"/>
              </w:rPr>
            </w:pPr>
            <w:r>
              <w:rPr>
                <w:sz w:val="24"/>
                <w:szCs w:val="24"/>
              </w:rPr>
              <w:t>(D)</w:t>
            </w:r>
          </w:p>
        </w:tc>
      </w:tr>
      <w:tr w:rsidR="00EF304C" w14:paraId="02FCE71B" w14:textId="77777777">
        <w:trPr>
          <w:trHeight w:val="80"/>
          <w:jc w:val="center"/>
        </w:trPr>
        <w:tc>
          <w:tcPr>
            <w:tcW w:w="9360" w:type="dxa"/>
            <w:gridSpan w:val="2"/>
          </w:tcPr>
          <w:p w14:paraId="394E9CBD" w14:textId="77777777" w:rsidR="00EF304C" w:rsidRDefault="00000000">
            <w:pPr>
              <w:jc w:val="center"/>
              <w:rPr>
                <w:sz w:val="24"/>
                <w:szCs w:val="24"/>
              </w:rPr>
            </w:pPr>
            <w:r>
              <w:rPr>
                <w:noProof/>
                <w:sz w:val="24"/>
                <w:szCs w:val="24"/>
              </w:rPr>
              <w:lastRenderedPageBreak/>
              <w:drawing>
                <wp:inline distT="0" distB="0" distL="0" distR="0" wp14:anchorId="2ADC8731" wp14:editId="693B3838">
                  <wp:extent cx="2418812" cy="1828800"/>
                  <wp:effectExtent l="0" t="0" r="0" b="0"/>
                  <wp:docPr id="4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2418812" cy="1828800"/>
                          </a:xfrm>
                          <a:prstGeom prst="rect">
                            <a:avLst/>
                          </a:prstGeom>
                          <a:ln/>
                        </pic:spPr>
                      </pic:pic>
                    </a:graphicData>
                  </a:graphic>
                </wp:inline>
              </w:drawing>
            </w:r>
          </w:p>
          <w:p w14:paraId="17DFE264" w14:textId="77777777" w:rsidR="00EF304C" w:rsidRDefault="00000000">
            <w:pPr>
              <w:jc w:val="center"/>
              <w:rPr>
                <w:sz w:val="24"/>
                <w:szCs w:val="24"/>
              </w:rPr>
            </w:pPr>
            <w:r>
              <w:rPr>
                <w:sz w:val="24"/>
                <w:szCs w:val="24"/>
              </w:rPr>
              <w:t>(E)</w:t>
            </w:r>
          </w:p>
        </w:tc>
      </w:tr>
    </w:tbl>
    <w:p w14:paraId="3B3AA2F1" w14:textId="77777777" w:rsidR="00EF304C" w:rsidRDefault="00000000">
      <w:pPr>
        <w:spacing w:line="276" w:lineRule="auto"/>
        <w:ind w:firstLine="27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Fig. 4. </w:t>
      </w:r>
      <w:r>
        <w:rPr>
          <w:rFonts w:ascii="Times New Roman" w:eastAsia="Times New Roman" w:hAnsi="Times New Roman" w:cs="Times New Roman"/>
          <w:sz w:val="24"/>
          <w:szCs w:val="24"/>
        </w:rPr>
        <w:t>Morphology of activated carbon concentration variation, (a) KA-2-0, (b) KA-1.5-0.5, (c) KA-1-1, (d) KA-0.5-1.5, (e) KA-0-2</w:t>
      </w:r>
    </w:p>
    <w:p w14:paraId="5389D0DE" w14:textId="77777777" w:rsidR="00EF304C" w:rsidRDefault="00000000">
      <w:pPr>
        <w:spacing w:line="276" w:lineRule="auto"/>
        <w:ind w:firstLine="2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From Table 4, the oxygen element contained in this activated carbon is the oxygen element that comes from raw materials left behind by the process of incomplete carbonization. When using a mixture of NaOH and activator KOH shows an increase in the amount of carbon when compared by only using the NaOH activator.</w:t>
      </w:r>
    </w:p>
    <w:p w14:paraId="691EB2E8" w14:textId="77777777" w:rsidR="00EF304C" w:rsidRDefault="00000000">
      <w:pPr>
        <w:pBdr>
          <w:top w:val="nil"/>
          <w:left w:val="nil"/>
          <w:bottom w:val="nil"/>
          <w:right w:val="nil"/>
          <w:between w:val="nil"/>
        </w:pBdr>
        <w:spacing w:after="0" w:line="276" w:lineRule="auto"/>
        <w:ind w:left="720" w:hanging="450"/>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4</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Composition of activated carbon sample immersion time variations</w:t>
      </w:r>
    </w:p>
    <w:tbl>
      <w:tblPr>
        <w:tblStyle w:val="a4"/>
        <w:tblW w:w="774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589"/>
        <w:gridCol w:w="2600"/>
        <w:gridCol w:w="2551"/>
      </w:tblGrid>
      <w:tr w:rsidR="00EF304C" w14:paraId="17C6B086" w14:textId="77777777">
        <w:trPr>
          <w:jc w:val="center"/>
        </w:trPr>
        <w:tc>
          <w:tcPr>
            <w:tcW w:w="2589" w:type="dxa"/>
            <w:tcBorders>
              <w:top w:val="single" w:sz="4" w:space="0" w:color="000000"/>
              <w:bottom w:val="single" w:sz="4" w:space="0" w:color="000000"/>
            </w:tcBorders>
          </w:tcPr>
          <w:p w14:paraId="59C25B73"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2600" w:type="dxa"/>
            <w:tcBorders>
              <w:top w:val="single" w:sz="4" w:space="0" w:color="000000"/>
              <w:bottom w:val="single" w:sz="4" w:space="0" w:color="000000"/>
            </w:tcBorders>
          </w:tcPr>
          <w:p w14:paraId="103B3D92"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Carbon (%)</w:t>
            </w:r>
          </w:p>
        </w:tc>
        <w:tc>
          <w:tcPr>
            <w:tcW w:w="2551" w:type="dxa"/>
            <w:tcBorders>
              <w:top w:val="single" w:sz="4" w:space="0" w:color="000000"/>
              <w:bottom w:val="single" w:sz="4" w:space="0" w:color="000000"/>
            </w:tcBorders>
          </w:tcPr>
          <w:p w14:paraId="4BB5C801"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Oxygen (%)</w:t>
            </w:r>
          </w:p>
        </w:tc>
      </w:tr>
      <w:tr w:rsidR="00EF304C" w14:paraId="576DEF2F" w14:textId="77777777">
        <w:trPr>
          <w:jc w:val="center"/>
        </w:trPr>
        <w:tc>
          <w:tcPr>
            <w:tcW w:w="2589" w:type="dxa"/>
            <w:tcBorders>
              <w:top w:val="single" w:sz="4" w:space="0" w:color="000000"/>
            </w:tcBorders>
          </w:tcPr>
          <w:p w14:paraId="3C6EB63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KA-12</w:t>
            </w:r>
          </w:p>
        </w:tc>
        <w:tc>
          <w:tcPr>
            <w:tcW w:w="2600" w:type="dxa"/>
            <w:tcBorders>
              <w:top w:val="single" w:sz="4" w:space="0" w:color="000000"/>
            </w:tcBorders>
          </w:tcPr>
          <w:p w14:paraId="7E50EB9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85.97</w:t>
            </w:r>
          </w:p>
        </w:tc>
        <w:tc>
          <w:tcPr>
            <w:tcW w:w="2551" w:type="dxa"/>
            <w:tcBorders>
              <w:top w:val="single" w:sz="4" w:space="0" w:color="000000"/>
            </w:tcBorders>
          </w:tcPr>
          <w:p w14:paraId="0169EB2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14.03</w:t>
            </w:r>
          </w:p>
        </w:tc>
      </w:tr>
      <w:tr w:rsidR="00EF304C" w14:paraId="44F83154" w14:textId="77777777">
        <w:trPr>
          <w:jc w:val="center"/>
        </w:trPr>
        <w:tc>
          <w:tcPr>
            <w:tcW w:w="2589" w:type="dxa"/>
          </w:tcPr>
          <w:p w14:paraId="2F7DBFA2"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KA-18</w:t>
            </w:r>
          </w:p>
        </w:tc>
        <w:tc>
          <w:tcPr>
            <w:tcW w:w="2600" w:type="dxa"/>
          </w:tcPr>
          <w:p w14:paraId="062D7BD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88.33</w:t>
            </w:r>
          </w:p>
        </w:tc>
        <w:tc>
          <w:tcPr>
            <w:tcW w:w="2551" w:type="dxa"/>
          </w:tcPr>
          <w:p w14:paraId="19F41C8E"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11.67</w:t>
            </w:r>
          </w:p>
        </w:tc>
      </w:tr>
      <w:tr w:rsidR="00EF304C" w14:paraId="3CB6EFD1" w14:textId="77777777">
        <w:trPr>
          <w:jc w:val="center"/>
        </w:trPr>
        <w:tc>
          <w:tcPr>
            <w:tcW w:w="2589" w:type="dxa"/>
          </w:tcPr>
          <w:p w14:paraId="008930C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KA-24</w:t>
            </w:r>
          </w:p>
        </w:tc>
        <w:tc>
          <w:tcPr>
            <w:tcW w:w="2600" w:type="dxa"/>
          </w:tcPr>
          <w:p w14:paraId="2A20B37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86.61</w:t>
            </w:r>
          </w:p>
        </w:tc>
        <w:tc>
          <w:tcPr>
            <w:tcW w:w="2551" w:type="dxa"/>
          </w:tcPr>
          <w:p w14:paraId="43916AB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13.39</w:t>
            </w:r>
          </w:p>
        </w:tc>
      </w:tr>
      <w:tr w:rsidR="00EF304C" w14:paraId="7522CAD3" w14:textId="77777777">
        <w:trPr>
          <w:jc w:val="center"/>
        </w:trPr>
        <w:tc>
          <w:tcPr>
            <w:tcW w:w="2589" w:type="dxa"/>
          </w:tcPr>
          <w:p w14:paraId="511AE91C"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KA-30</w:t>
            </w:r>
          </w:p>
        </w:tc>
        <w:tc>
          <w:tcPr>
            <w:tcW w:w="2600" w:type="dxa"/>
          </w:tcPr>
          <w:p w14:paraId="106DBC4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86.15</w:t>
            </w:r>
          </w:p>
        </w:tc>
        <w:tc>
          <w:tcPr>
            <w:tcW w:w="2551" w:type="dxa"/>
          </w:tcPr>
          <w:p w14:paraId="5CDBBE5D"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13.85</w:t>
            </w:r>
          </w:p>
        </w:tc>
      </w:tr>
      <w:tr w:rsidR="00EF304C" w14:paraId="3BA02CA4" w14:textId="77777777">
        <w:trPr>
          <w:jc w:val="center"/>
        </w:trPr>
        <w:tc>
          <w:tcPr>
            <w:tcW w:w="2589" w:type="dxa"/>
          </w:tcPr>
          <w:p w14:paraId="52CC071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KA-36</w:t>
            </w:r>
          </w:p>
        </w:tc>
        <w:tc>
          <w:tcPr>
            <w:tcW w:w="2600" w:type="dxa"/>
          </w:tcPr>
          <w:p w14:paraId="783838A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86.11</w:t>
            </w:r>
          </w:p>
        </w:tc>
        <w:tc>
          <w:tcPr>
            <w:tcW w:w="2551" w:type="dxa"/>
          </w:tcPr>
          <w:p w14:paraId="1FE1FC7E"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13.89</w:t>
            </w:r>
          </w:p>
        </w:tc>
      </w:tr>
    </w:tbl>
    <w:p w14:paraId="0ADD5245" w14:textId="77777777" w:rsidR="00EF304C" w:rsidRDefault="00EF304C">
      <w:pPr>
        <w:spacing w:line="276" w:lineRule="auto"/>
        <w:jc w:val="center"/>
        <w:rPr>
          <w:rFonts w:ascii="Times New Roman" w:eastAsia="Times New Roman" w:hAnsi="Times New Roman" w:cs="Times New Roman"/>
          <w:sz w:val="24"/>
          <w:szCs w:val="24"/>
        </w:rPr>
      </w:pPr>
    </w:p>
    <w:p w14:paraId="67A9C781" w14:textId="77777777" w:rsidR="00EF304C" w:rsidRDefault="00000000">
      <w:pPr>
        <w:spacing w:line="276" w:lineRule="auto"/>
        <w:ind w:firstLine="2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highest carbon content was found in the use of 2M KOH activator. KOH compound as an activator is considered better than other chemicals because it can enrich the formation of OH groups on the carbon surface, producing more micropores [26].</w:t>
      </w:r>
    </w:p>
    <w:tbl>
      <w:tblPr>
        <w:tblStyle w:val="a5"/>
        <w:tblW w:w="9360" w:type="dxa"/>
        <w:tblBorders>
          <w:top w:val="nil"/>
          <w:left w:val="nil"/>
          <w:bottom w:val="nil"/>
          <w:right w:val="nil"/>
          <w:insideH w:val="nil"/>
          <w:insideV w:val="nil"/>
        </w:tblBorders>
        <w:tblLayout w:type="fixed"/>
        <w:tblLook w:val="0400" w:firstRow="0" w:lastRow="0" w:firstColumn="0" w:lastColumn="0" w:noHBand="0" w:noVBand="1"/>
      </w:tblPr>
      <w:tblGrid>
        <w:gridCol w:w="4674"/>
        <w:gridCol w:w="4686"/>
      </w:tblGrid>
      <w:tr w:rsidR="00EF304C" w14:paraId="7F3D771B" w14:textId="77777777">
        <w:tc>
          <w:tcPr>
            <w:tcW w:w="4674" w:type="dxa"/>
          </w:tcPr>
          <w:p w14:paraId="775780AB" w14:textId="77777777" w:rsidR="00EF304C" w:rsidRDefault="00000000">
            <w:pPr>
              <w:jc w:val="center"/>
              <w:rPr>
                <w:sz w:val="24"/>
                <w:szCs w:val="24"/>
              </w:rPr>
            </w:pPr>
            <w:r>
              <w:rPr>
                <w:noProof/>
                <w:sz w:val="24"/>
                <w:szCs w:val="24"/>
              </w:rPr>
              <w:drawing>
                <wp:inline distT="0" distB="0" distL="0" distR="0" wp14:anchorId="1FE898E2" wp14:editId="393DD617">
                  <wp:extent cx="2435023" cy="1828800"/>
                  <wp:effectExtent l="0" t="0" r="0" b="0"/>
                  <wp:docPr id="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a:stretch>
                            <a:fillRect/>
                          </a:stretch>
                        </pic:blipFill>
                        <pic:spPr>
                          <a:xfrm>
                            <a:off x="0" y="0"/>
                            <a:ext cx="2435023" cy="1828800"/>
                          </a:xfrm>
                          <a:prstGeom prst="rect">
                            <a:avLst/>
                          </a:prstGeom>
                          <a:ln/>
                        </pic:spPr>
                      </pic:pic>
                    </a:graphicData>
                  </a:graphic>
                </wp:inline>
              </w:drawing>
            </w:r>
          </w:p>
        </w:tc>
        <w:tc>
          <w:tcPr>
            <w:tcW w:w="4686" w:type="dxa"/>
          </w:tcPr>
          <w:p w14:paraId="72F01408" w14:textId="77777777" w:rsidR="00EF304C" w:rsidRDefault="00000000">
            <w:pPr>
              <w:jc w:val="center"/>
              <w:rPr>
                <w:sz w:val="24"/>
                <w:szCs w:val="24"/>
              </w:rPr>
            </w:pPr>
            <w:r>
              <w:rPr>
                <w:noProof/>
                <w:sz w:val="24"/>
                <w:szCs w:val="24"/>
              </w:rPr>
              <w:drawing>
                <wp:inline distT="0" distB="0" distL="0" distR="0" wp14:anchorId="144B0ED8" wp14:editId="1E8529D2">
                  <wp:extent cx="2435023" cy="1828800"/>
                  <wp:effectExtent l="0" t="0" r="0" b="0"/>
                  <wp:docPr id="4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3"/>
                          <a:srcRect/>
                          <a:stretch>
                            <a:fillRect/>
                          </a:stretch>
                        </pic:blipFill>
                        <pic:spPr>
                          <a:xfrm>
                            <a:off x="0" y="0"/>
                            <a:ext cx="2435023" cy="1828800"/>
                          </a:xfrm>
                          <a:prstGeom prst="rect">
                            <a:avLst/>
                          </a:prstGeom>
                          <a:ln/>
                        </pic:spPr>
                      </pic:pic>
                    </a:graphicData>
                  </a:graphic>
                </wp:inline>
              </w:drawing>
            </w:r>
          </w:p>
        </w:tc>
      </w:tr>
      <w:tr w:rsidR="00EF304C" w14:paraId="41CBB8FC" w14:textId="77777777">
        <w:tc>
          <w:tcPr>
            <w:tcW w:w="4674" w:type="dxa"/>
          </w:tcPr>
          <w:p w14:paraId="740F3EEA" w14:textId="77777777" w:rsidR="00EF304C" w:rsidRDefault="00000000">
            <w:pPr>
              <w:jc w:val="center"/>
              <w:rPr>
                <w:sz w:val="24"/>
                <w:szCs w:val="24"/>
              </w:rPr>
            </w:pPr>
            <w:r>
              <w:rPr>
                <w:sz w:val="24"/>
                <w:szCs w:val="24"/>
              </w:rPr>
              <w:t>(A)</w:t>
            </w:r>
          </w:p>
        </w:tc>
        <w:tc>
          <w:tcPr>
            <w:tcW w:w="4686" w:type="dxa"/>
          </w:tcPr>
          <w:p w14:paraId="07ED9DCF" w14:textId="77777777" w:rsidR="00EF304C" w:rsidRDefault="00000000">
            <w:pPr>
              <w:jc w:val="center"/>
              <w:rPr>
                <w:sz w:val="24"/>
                <w:szCs w:val="24"/>
              </w:rPr>
            </w:pPr>
            <w:r>
              <w:rPr>
                <w:sz w:val="24"/>
                <w:szCs w:val="24"/>
              </w:rPr>
              <w:t>(B)</w:t>
            </w:r>
          </w:p>
        </w:tc>
      </w:tr>
      <w:tr w:rsidR="00EF304C" w14:paraId="0D79D476" w14:textId="77777777">
        <w:tc>
          <w:tcPr>
            <w:tcW w:w="4674" w:type="dxa"/>
          </w:tcPr>
          <w:p w14:paraId="3F846A86" w14:textId="77777777" w:rsidR="00EF304C" w:rsidRDefault="00000000">
            <w:pPr>
              <w:jc w:val="center"/>
              <w:rPr>
                <w:sz w:val="24"/>
                <w:szCs w:val="24"/>
              </w:rPr>
            </w:pPr>
            <w:r>
              <w:rPr>
                <w:noProof/>
                <w:sz w:val="24"/>
                <w:szCs w:val="24"/>
              </w:rPr>
              <w:lastRenderedPageBreak/>
              <w:drawing>
                <wp:inline distT="0" distB="0" distL="0" distR="0" wp14:anchorId="75A21D5A" wp14:editId="674CEB25">
                  <wp:extent cx="2436088" cy="1828800"/>
                  <wp:effectExtent l="0" t="0" r="0" b="0"/>
                  <wp:docPr id="4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4"/>
                          <a:srcRect/>
                          <a:stretch>
                            <a:fillRect/>
                          </a:stretch>
                        </pic:blipFill>
                        <pic:spPr>
                          <a:xfrm>
                            <a:off x="0" y="0"/>
                            <a:ext cx="2436088" cy="1828800"/>
                          </a:xfrm>
                          <a:prstGeom prst="rect">
                            <a:avLst/>
                          </a:prstGeom>
                          <a:ln/>
                        </pic:spPr>
                      </pic:pic>
                    </a:graphicData>
                  </a:graphic>
                </wp:inline>
              </w:drawing>
            </w:r>
          </w:p>
        </w:tc>
        <w:tc>
          <w:tcPr>
            <w:tcW w:w="4686" w:type="dxa"/>
          </w:tcPr>
          <w:p w14:paraId="55F75B63" w14:textId="77777777" w:rsidR="00EF304C" w:rsidRDefault="00000000">
            <w:pPr>
              <w:jc w:val="center"/>
              <w:rPr>
                <w:sz w:val="24"/>
                <w:szCs w:val="24"/>
              </w:rPr>
            </w:pPr>
            <w:r>
              <w:rPr>
                <w:noProof/>
                <w:sz w:val="24"/>
                <w:szCs w:val="24"/>
              </w:rPr>
              <w:drawing>
                <wp:inline distT="0" distB="0" distL="0" distR="0" wp14:anchorId="0CE5E88D" wp14:editId="6B17113B">
                  <wp:extent cx="2463303" cy="1828800"/>
                  <wp:effectExtent l="0" t="0" r="0" b="0"/>
                  <wp:docPr id="4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2463303" cy="1828800"/>
                          </a:xfrm>
                          <a:prstGeom prst="rect">
                            <a:avLst/>
                          </a:prstGeom>
                          <a:ln/>
                        </pic:spPr>
                      </pic:pic>
                    </a:graphicData>
                  </a:graphic>
                </wp:inline>
              </w:drawing>
            </w:r>
          </w:p>
        </w:tc>
      </w:tr>
      <w:tr w:rsidR="00EF304C" w14:paraId="5B8F7039" w14:textId="77777777">
        <w:tc>
          <w:tcPr>
            <w:tcW w:w="4674" w:type="dxa"/>
          </w:tcPr>
          <w:p w14:paraId="15D87123" w14:textId="77777777" w:rsidR="00EF304C" w:rsidRDefault="00000000">
            <w:pPr>
              <w:jc w:val="center"/>
              <w:rPr>
                <w:sz w:val="24"/>
                <w:szCs w:val="24"/>
              </w:rPr>
            </w:pPr>
            <w:r>
              <w:rPr>
                <w:sz w:val="24"/>
                <w:szCs w:val="24"/>
              </w:rPr>
              <w:t>(C)</w:t>
            </w:r>
          </w:p>
        </w:tc>
        <w:tc>
          <w:tcPr>
            <w:tcW w:w="4686" w:type="dxa"/>
          </w:tcPr>
          <w:p w14:paraId="2B78FD05" w14:textId="77777777" w:rsidR="00EF304C" w:rsidRDefault="00000000">
            <w:pPr>
              <w:jc w:val="center"/>
              <w:rPr>
                <w:sz w:val="24"/>
                <w:szCs w:val="24"/>
              </w:rPr>
            </w:pPr>
            <w:r>
              <w:rPr>
                <w:sz w:val="24"/>
                <w:szCs w:val="24"/>
              </w:rPr>
              <w:t>(D)</w:t>
            </w:r>
          </w:p>
        </w:tc>
      </w:tr>
      <w:tr w:rsidR="00EF304C" w14:paraId="2330F701" w14:textId="77777777">
        <w:trPr>
          <w:trHeight w:val="3312"/>
        </w:trPr>
        <w:tc>
          <w:tcPr>
            <w:tcW w:w="9360" w:type="dxa"/>
            <w:gridSpan w:val="2"/>
          </w:tcPr>
          <w:p w14:paraId="28D11885" w14:textId="77777777" w:rsidR="00EF304C" w:rsidRDefault="00000000">
            <w:pPr>
              <w:jc w:val="center"/>
              <w:rPr>
                <w:sz w:val="24"/>
                <w:szCs w:val="24"/>
              </w:rPr>
            </w:pPr>
            <w:r>
              <w:rPr>
                <w:noProof/>
                <w:sz w:val="24"/>
                <w:szCs w:val="24"/>
              </w:rPr>
              <w:drawing>
                <wp:inline distT="0" distB="0" distL="0" distR="0" wp14:anchorId="6EFD047C" wp14:editId="7BA1F338">
                  <wp:extent cx="2453074" cy="1828800"/>
                  <wp:effectExtent l="0" t="0" r="0" b="0"/>
                  <wp:docPr id="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a:stretch>
                            <a:fillRect/>
                          </a:stretch>
                        </pic:blipFill>
                        <pic:spPr>
                          <a:xfrm>
                            <a:off x="0" y="0"/>
                            <a:ext cx="2453074" cy="1828800"/>
                          </a:xfrm>
                          <a:prstGeom prst="rect">
                            <a:avLst/>
                          </a:prstGeom>
                          <a:ln/>
                        </pic:spPr>
                      </pic:pic>
                    </a:graphicData>
                  </a:graphic>
                </wp:inline>
              </w:drawing>
            </w:r>
          </w:p>
          <w:p w14:paraId="78A669AC" w14:textId="77777777" w:rsidR="00EF304C" w:rsidRDefault="00000000">
            <w:pPr>
              <w:jc w:val="center"/>
              <w:rPr>
                <w:sz w:val="24"/>
                <w:szCs w:val="24"/>
              </w:rPr>
            </w:pPr>
            <w:r>
              <w:rPr>
                <w:sz w:val="24"/>
                <w:szCs w:val="24"/>
              </w:rPr>
              <w:t>(E)</w:t>
            </w:r>
          </w:p>
        </w:tc>
      </w:tr>
    </w:tbl>
    <w:p w14:paraId="28809D3C" w14:textId="77777777" w:rsidR="00EF304C" w:rsidRDefault="00000000">
      <w:pPr>
        <w:spacing w:line="276" w:lineRule="auto"/>
        <w:ind w:firstLine="27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Fig. 5. </w:t>
      </w:r>
      <w:r>
        <w:rPr>
          <w:rFonts w:ascii="Times New Roman" w:eastAsia="Times New Roman" w:hAnsi="Times New Roman" w:cs="Times New Roman"/>
          <w:sz w:val="24"/>
          <w:szCs w:val="24"/>
        </w:rPr>
        <w:t>Morphology of activated carbon concentration variation, (A) KA-12, (B) KA-18, (C) KA-24, (D) KA-30, (E) KA-36</w:t>
      </w:r>
    </w:p>
    <w:p w14:paraId="691CBF4A" w14:textId="77777777" w:rsidR="00EF304C" w:rsidRDefault="00000000">
      <w:pPr>
        <w:spacing w:line="276" w:lineRule="auto"/>
        <w:ind w:firstLine="27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The carbon that was activated by 18 hours of activation showed the highest result in containing carbon 88.33% shown in Fig. 5(B). This matter is caused by the longer immersion or activation time on carbon, The absorption capacity of carbon will be less than optimal due to the pores in the carbon. Where immersion for too long will expand the pores in the carbon continuously so that the small pores will unite into pores larger ones this will make the pores wider but it was damaged due to excessive erosion by the activator [27]</w:t>
      </w:r>
      <w:r>
        <w:rPr>
          <w:rFonts w:ascii="Times New Roman" w:eastAsia="Times New Roman" w:hAnsi="Times New Roman" w:cs="Times New Roman"/>
          <w:b/>
          <w:sz w:val="24"/>
          <w:szCs w:val="24"/>
        </w:rPr>
        <w:t>.</w:t>
      </w:r>
    </w:p>
    <w:tbl>
      <w:tblPr>
        <w:tblStyle w:val="a6"/>
        <w:tblW w:w="9350" w:type="dxa"/>
        <w:jc w:val="center"/>
        <w:tblBorders>
          <w:top w:val="nil"/>
          <w:left w:val="nil"/>
          <w:bottom w:val="nil"/>
          <w:right w:val="nil"/>
          <w:insideH w:val="nil"/>
          <w:insideV w:val="nil"/>
        </w:tblBorders>
        <w:tblLayout w:type="fixed"/>
        <w:tblLook w:val="0400" w:firstRow="0" w:lastRow="0" w:firstColumn="0" w:lastColumn="0" w:noHBand="0" w:noVBand="1"/>
      </w:tblPr>
      <w:tblGrid>
        <w:gridCol w:w="4675"/>
        <w:gridCol w:w="4675"/>
      </w:tblGrid>
      <w:tr w:rsidR="00EF304C" w14:paraId="1A17528C" w14:textId="77777777">
        <w:trPr>
          <w:jc w:val="center"/>
        </w:trPr>
        <w:tc>
          <w:tcPr>
            <w:tcW w:w="4675" w:type="dxa"/>
          </w:tcPr>
          <w:p w14:paraId="0EE37871" w14:textId="77777777" w:rsidR="00EF304C" w:rsidRDefault="00000000">
            <w:pPr>
              <w:jc w:val="center"/>
              <w:rPr>
                <w:sz w:val="24"/>
                <w:szCs w:val="24"/>
              </w:rPr>
            </w:pPr>
            <w:r>
              <w:rPr>
                <w:noProof/>
                <w:sz w:val="24"/>
                <w:szCs w:val="24"/>
              </w:rPr>
              <w:drawing>
                <wp:inline distT="0" distB="0" distL="0" distR="0" wp14:anchorId="0EFC9406" wp14:editId="0AC75438">
                  <wp:extent cx="2437273" cy="1828800"/>
                  <wp:effectExtent l="0" t="0" r="0" b="0"/>
                  <wp:docPr id="4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9"/>
                          <a:srcRect/>
                          <a:stretch>
                            <a:fillRect/>
                          </a:stretch>
                        </pic:blipFill>
                        <pic:spPr>
                          <a:xfrm>
                            <a:off x="0" y="0"/>
                            <a:ext cx="2437273" cy="1828800"/>
                          </a:xfrm>
                          <a:prstGeom prst="rect">
                            <a:avLst/>
                          </a:prstGeom>
                          <a:ln/>
                        </pic:spPr>
                      </pic:pic>
                    </a:graphicData>
                  </a:graphic>
                </wp:inline>
              </w:drawing>
            </w:r>
          </w:p>
          <w:p w14:paraId="47903282" w14:textId="77777777" w:rsidR="00EF304C" w:rsidRDefault="00000000">
            <w:pPr>
              <w:jc w:val="center"/>
              <w:rPr>
                <w:sz w:val="24"/>
                <w:szCs w:val="24"/>
              </w:rPr>
            </w:pPr>
            <w:r>
              <w:rPr>
                <w:sz w:val="24"/>
                <w:szCs w:val="24"/>
              </w:rPr>
              <w:t>(A)</w:t>
            </w:r>
          </w:p>
        </w:tc>
        <w:tc>
          <w:tcPr>
            <w:tcW w:w="4675" w:type="dxa"/>
          </w:tcPr>
          <w:p w14:paraId="01EE8C8F" w14:textId="77777777" w:rsidR="00EF304C" w:rsidRDefault="00000000">
            <w:pPr>
              <w:jc w:val="center"/>
              <w:rPr>
                <w:sz w:val="24"/>
                <w:szCs w:val="24"/>
              </w:rPr>
            </w:pPr>
            <w:r>
              <w:rPr>
                <w:noProof/>
                <w:sz w:val="24"/>
                <w:szCs w:val="24"/>
              </w:rPr>
              <w:drawing>
                <wp:inline distT="0" distB="0" distL="0" distR="0" wp14:anchorId="1BF69800" wp14:editId="5E31FF8E">
                  <wp:extent cx="2438343" cy="1828800"/>
                  <wp:effectExtent l="0" t="0" r="0" b="0"/>
                  <wp:docPr id="4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0"/>
                          <a:srcRect/>
                          <a:stretch>
                            <a:fillRect/>
                          </a:stretch>
                        </pic:blipFill>
                        <pic:spPr>
                          <a:xfrm>
                            <a:off x="0" y="0"/>
                            <a:ext cx="2438343" cy="1828800"/>
                          </a:xfrm>
                          <a:prstGeom prst="rect">
                            <a:avLst/>
                          </a:prstGeom>
                          <a:ln/>
                        </pic:spPr>
                      </pic:pic>
                    </a:graphicData>
                  </a:graphic>
                </wp:inline>
              </w:drawing>
            </w:r>
          </w:p>
          <w:p w14:paraId="3792E992" w14:textId="77777777" w:rsidR="00EF304C" w:rsidRDefault="00000000">
            <w:pPr>
              <w:jc w:val="center"/>
              <w:rPr>
                <w:sz w:val="24"/>
                <w:szCs w:val="24"/>
              </w:rPr>
            </w:pPr>
            <w:r>
              <w:rPr>
                <w:sz w:val="24"/>
                <w:szCs w:val="24"/>
              </w:rPr>
              <w:t>(B)</w:t>
            </w:r>
          </w:p>
        </w:tc>
      </w:tr>
      <w:tr w:rsidR="00EF304C" w14:paraId="171EB53E" w14:textId="77777777">
        <w:trPr>
          <w:jc w:val="center"/>
        </w:trPr>
        <w:tc>
          <w:tcPr>
            <w:tcW w:w="4675" w:type="dxa"/>
          </w:tcPr>
          <w:p w14:paraId="0BC67A70" w14:textId="77777777" w:rsidR="00EF304C" w:rsidRDefault="00000000">
            <w:pPr>
              <w:jc w:val="center"/>
              <w:rPr>
                <w:sz w:val="24"/>
                <w:szCs w:val="24"/>
              </w:rPr>
            </w:pPr>
            <w:r>
              <w:rPr>
                <w:noProof/>
                <w:sz w:val="24"/>
                <w:szCs w:val="24"/>
              </w:rPr>
              <w:lastRenderedPageBreak/>
              <w:drawing>
                <wp:inline distT="0" distB="0" distL="0" distR="0" wp14:anchorId="3F25D655" wp14:editId="299C5C5D">
                  <wp:extent cx="2438343" cy="1828800"/>
                  <wp:effectExtent l="0" t="0" r="0" b="0"/>
                  <wp:docPr id="5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1"/>
                          <a:srcRect/>
                          <a:stretch>
                            <a:fillRect/>
                          </a:stretch>
                        </pic:blipFill>
                        <pic:spPr>
                          <a:xfrm>
                            <a:off x="0" y="0"/>
                            <a:ext cx="2438343" cy="1828800"/>
                          </a:xfrm>
                          <a:prstGeom prst="rect">
                            <a:avLst/>
                          </a:prstGeom>
                          <a:ln/>
                        </pic:spPr>
                      </pic:pic>
                    </a:graphicData>
                  </a:graphic>
                </wp:inline>
              </w:drawing>
            </w:r>
          </w:p>
          <w:p w14:paraId="5853C94B" w14:textId="77777777" w:rsidR="00EF304C" w:rsidRDefault="00000000">
            <w:pPr>
              <w:jc w:val="center"/>
              <w:rPr>
                <w:sz w:val="24"/>
                <w:szCs w:val="24"/>
              </w:rPr>
            </w:pPr>
            <w:r>
              <w:rPr>
                <w:sz w:val="24"/>
                <w:szCs w:val="24"/>
              </w:rPr>
              <w:t>(C)</w:t>
            </w:r>
          </w:p>
        </w:tc>
        <w:tc>
          <w:tcPr>
            <w:tcW w:w="4675" w:type="dxa"/>
          </w:tcPr>
          <w:p w14:paraId="215E1B57" w14:textId="77777777" w:rsidR="00EF304C" w:rsidRDefault="00000000">
            <w:pPr>
              <w:jc w:val="center"/>
              <w:rPr>
                <w:sz w:val="24"/>
                <w:szCs w:val="24"/>
              </w:rPr>
            </w:pPr>
            <w:r>
              <w:rPr>
                <w:noProof/>
                <w:sz w:val="24"/>
                <w:szCs w:val="24"/>
              </w:rPr>
              <w:drawing>
                <wp:inline distT="0" distB="0" distL="0" distR="0" wp14:anchorId="6E901B52" wp14:editId="29751A31">
                  <wp:extent cx="2438343" cy="1828800"/>
                  <wp:effectExtent l="0" t="0" r="0" b="0"/>
                  <wp:docPr id="5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2"/>
                          <a:srcRect/>
                          <a:stretch>
                            <a:fillRect/>
                          </a:stretch>
                        </pic:blipFill>
                        <pic:spPr>
                          <a:xfrm>
                            <a:off x="0" y="0"/>
                            <a:ext cx="2438343" cy="1828800"/>
                          </a:xfrm>
                          <a:prstGeom prst="rect">
                            <a:avLst/>
                          </a:prstGeom>
                          <a:ln/>
                        </pic:spPr>
                      </pic:pic>
                    </a:graphicData>
                  </a:graphic>
                </wp:inline>
              </w:drawing>
            </w:r>
          </w:p>
          <w:p w14:paraId="324B8AF5" w14:textId="77777777" w:rsidR="00EF304C" w:rsidRDefault="00000000">
            <w:pPr>
              <w:jc w:val="center"/>
              <w:rPr>
                <w:sz w:val="24"/>
                <w:szCs w:val="24"/>
              </w:rPr>
            </w:pPr>
            <w:r>
              <w:rPr>
                <w:sz w:val="24"/>
                <w:szCs w:val="24"/>
              </w:rPr>
              <w:t>(D)</w:t>
            </w:r>
          </w:p>
        </w:tc>
      </w:tr>
      <w:tr w:rsidR="00EF304C" w14:paraId="3711804F" w14:textId="77777777">
        <w:trPr>
          <w:trHeight w:val="596"/>
          <w:jc w:val="center"/>
        </w:trPr>
        <w:tc>
          <w:tcPr>
            <w:tcW w:w="9350" w:type="dxa"/>
            <w:gridSpan w:val="2"/>
            <w:vAlign w:val="center"/>
          </w:tcPr>
          <w:p w14:paraId="101BD601" w14:textId="77777777" w:rsidR="00EF304C" w:rsidRDefault="00000000">
            <w:pPr>
              <w:jc w:val="center"/>
              <w:rPr>
                <w:sz w:val="24"/>
                <w:szCs w:val="24"/>
              </w:rPr>
            </w:pPr>
            <w:r>
              <w:rPr>
                <w:noProof/>
                <w:sz w:val="24"/>
                <w:szCs w:val="24"/>
              </w:rPr>
              <w:drawing>
                <wp:inline distT="0" distB="0" distL="0" distR="0" wp14:anchorId="0C7A97F4" wp14:editId="5624306C">
                  <wp:extent cx="2438400" cy="1828800"/>
                  <wp:effectExtent l="0" t="0" r="0" b="0"/>
                  <wp:docPr id="5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3"/>
                          <a:srcRect/>
                          <a:stretch>
                            <a:fillRect/>
                          </a:stretch>
                        </pic:blipFill>
                        <pic:spPr>
                          <a:xfrm>
                            <a:off x="0" y="0"/>
                            <a:ext cx="2438400" cy="1828800"/>
                          </a:xfrm>
                          <a:prstGeom prst="rect">
                            <a:avLst/>
                          </a:prstGeom>
                          <a:ln/>
                        </pic:spPr>
                      </pic:pic>
                    </a:graphicData>
                  </a:graphic>
                </wp:inline>
              </w:drawing>
            </w:r>
          </w:p>
          <w:p w14:paraId="16EDACF9" w14:textId="77777777" w:rsidR="00EF304C" w:rsidRDefault="00000000">
            <w:pPr>
              <w:jc w:val="center"/>
              <w:rPr>
                <w:sz w:val="24"/>
                <w:szCs w:val="24"/>
              </w:rPr>
            </w:pPr>
            <w:r>
              <w:rPr>
                <w:sz w:val="24"/>
                <w:szCs w:val="24"/>
              </w:rPr>
              <w:t>(E)</w:t>
            </w:r>
          </w:p>
        </w:tc>
      </w:tr>
    </w:tbl>
    <w:p w14:paraId="357424DA" w14:textId="77777777" w:rsidR="00EF304C" w:rsidRDefault="00EF304C">
      <w:pPr>
        <w:spacing w:line="276" w:lineRule="auto"/>
        <w:jc w:val="center"/>
        <w:rPr>
          <w:rFonts w:ascii="Times New Roman" w:eastAsia="Times New Roman" w:hAnsi="Times New Roman" w:cs="Times New Roman"/>
          <w:sz w:val="24"/>
          <w:szCs w:val="24"/>
        </w:rPr>
      </w:pPr>
    </w:p>
    <w:p w14:paraId="43B683FB" w14:textId="77777777" w:rsidR="00EF304C" w:rsidRDefault="00000000">
      <w:pPr>
        <w:spacing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Fig. 6. </w:t>
      </w:r>
      <w:r>
        <w:rPr>
          <w:rFonts w:ascii="Times New Roman" w:eastAsia="Times New Roman" w:hAnsi="Times New Roman" w:cs="Times New Roman"/>
          <w:sz w:val="24"/>
          <w:szCs w:val="24"/>
        </w:rPr>
        <w:t>Morphology of activated carbon concentration variation, (A) KA-700, (B) KA-750, (C) KA-800, (D) KA-850, (E) KA-900</w:t>
      </w:r>
    </w:p>
    <w:p w14:paraId="4BF20448" w14:textId="77777777" w:rsidR="00EF304C" w:rsidRDefault="00000000">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According to </w:t>
      </w:r>
      <w:r>
        <w:rPr>
          <w:rFonts w:ascii="Times New Roman" w:eastAsia="Times New Roman" w:hAnsi="Times New Roman" w:cs="Times New Roman"/>
          <w:b/>
          <w:color w:val="000000"/>
          <w:sz w:val="24"/>
          <w:szCs w:val="24"/>
        </w:rPr>
        <w:t>[28]</w:t>
      </w:r>
      <w:r>
        <w:rPr>
          <w:rFonts w:ascii="Times New Roman" w:eastAsia="Times New Roman" w:hAnsi="Times New Roman" w:cs="Times New Roman"/>
          <w:color w:val="000000"/>
          <w:sz w:val="24"/>
          <w:szCs w:val="24"/>
        </w:rPr>
        <w:t xml:space="preserve">, if it is related to the morphology shown in Fig. 6 of the pores formed, the activation process at high temperatures will create pores that can release impurities and re-form the carbon matrix which will later be applied as an electrode. This phenomenon has been studied by </w:t>
      </w:r>
      <w:r>
        <w:rPr>
          <w:rFonts w:ascii="Times New Roman" w:eastAsia="Times New Roman" w:hAnsi="Times New Roman" w:cs="Times New Roman"/>
          <w:b/>
          <w:color w:val="000000"/>
          <w:sz w:val="24"/>
          <w:szCs w:val="24"/>
        </w:rPr>
        <w:t>[29]</w:t>
      </w:r>
      <w:r>
        <w:rPr>
          <w:rFonts w:ascii="Times New Roman" w:eastAsia="Times New Roman" w:hAnsi="Times New Roman" w:cs="Times New Roman"/>
          <w:color w:val="000000"/>
          <w:sz w:val="24"/>
          <w:szCs w:val="24"/>
        </w:rPr>
        <w:t xml:space="preserve"> which shows that temperatures of more than 700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will evaporate non-carbon components from particles such as water, oxygen and nitrogen content as visualized by the test results, and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 xml:space="preserve">C is the most optimal temperature to evaporate the impurities as summarized in Table 5. </w:t>
      </w:r>
    </w:p>
    <w:p w14:paraId="1E9B1EAB" w14:textId="77777777" w:rsidR="00EF304C" w:rsidRDefault="00000000">
      <w:pPr>
        <w:pBdr>
          <w:top w:val="nil"/>
          <w:left w:val="nil"/>
          <w:bottom w:val="nil"/>
          <w:right w:val="nil"/>
          <w:between w:val="nil"/>
        </w:pBdr>
        <w:spacing w:after="0" w:line="276" w:lineRule="auto"/>
        <w:ind w:left="720" w:hanging="450"/>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5</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Composition of activated carbon sample temperature variations</w:t>
      </w:r>
    </w:p>
    <w:tbl>
      <w:tblPr>
        <w:tblStyle w:val="a7"/>
        <w:tblW w:w="774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589"/>
        <w:gridCol w:w="2600"/>
        <w:gridCol w:w="2551"/>
      </w:tblGrid>
      <w:tr w:rsidR="00EF304C" w14:paraId="38E55EB9" w14:textId="77777777">
        <w:trPr>
          <w:jc w:val="center"/>
        </w:trPr>
        <w:tc>
          <w:tcPr>
            <w:tcW w:w="2589" w:type="dxa"/>
            <w:tcBorders>
              <w:top w:val="single" w:sz="4" w:space="0" w:color="000000"/>
              <w:bottom w:val="single" w:sz="4" w:space="0" w:color="000000"/>
            </w:tcBorders>
          </w:tcPr>
          <w:p w14:paraId="3FF437CD"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2600" w:type="dxa"/>
            <w:tcBorders>
              <w:top w:val="single" w:sz="4" w:space="0" w:color="000000"/>
              <w:bottom w:val="single" w:sz="4" w:space="0" w:color="000000"/>
            </w:tcBorders>
          </w:tcPr>
          <w:p w14:paraId="170D775C"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Carbon (%)</w:t>
            </w:r>
          </w:p>
        </w:tc>
        <w:tc>
          <w:tcPr>
            <w:tcW w:w="2551" w:type="dxa"/>
            <w:tcBorders>
              <w:top w:val="single" w:sz="4" w:space="0" w:color="000000"/>
              <w:bottom w:val="single" w:sz="4" w:space="0" w:color="000000"/>
            </w:tcBorders>
          </w:tcPr>
          <w:p w14:paraId="7AA8CDA0"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Oxygen (%)</w:t>
            </w:r>
          </w:p>
        </w:tc>
      </w:tr>
      <w:tr w:rsidR="00EF304C" w14:paraId="3AC6E7CE" w14:textId="77777777">
        <w:trPr>
          <w:jc w:val="center"/>
        </w:trPr>
        <w:tc>
          <w:tcPr>
            <w:tcW w:w="2589" w:type="dxa"/>
            <w:tcBorders>
              <w:top w:val="single" w:sz="4" w:space="0" w:color="000000"/>
            </w:tcBorders>
          </w:tcPr>
          <w:p w14:paraId="526FB2C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KA-700</w:t>
            </w:r>
          </w:p>
        </w:tc>
        <w:tc>
          <w:tcPr>
            <w:tcW w:w="2600" w:type="dxa"/>
            <w:tcBorders>
              <w:top w:val="single" w:sz="4" w:space="0" w:color="000000"/>
            </w:tcBorders>
          </w:tcPr>
          <w:p w14:paraId="22295DE6"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69.91</w:t>
            </w:r>
          </w:p>
        </w:tc>
        <w:tc>
          <w:tcPr>
            <w:tcW w:w="2551" w:type="dxa"/>
            <w:tcBorders>
              <w:top w:val="single" w:sz="4" w:space="0" w:color="000000"/>
            </w:tcBorders>
          </w:tcPr>
          <w:p w14:paraId="2803F47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30.09</w:t>
            </w:r>
          </w:p>
        </w:tc>
      </w:tr>
      <w:tr w:rsidR="00EF304C" w14:paraId="68161197" w14:textId="77777777">
        <w:trPr>
          <w:jc w:val="center"/>
        </w:trPr>
        <w:tc>
          <w:tcPr>
            <w:tcW w:w="2589" w:type="dxa"/>
          </w:tcPr>
          <w:p w14:paraId="7BB78A7F"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KA-750</w:t>
            </w:r>
          </w:p>
        </w:tc>
        <w:tc>
          <w:tcPr>
            <w:tcW w:w="2600" w:type="dxa"/>
          </w:tcPr>
          <w:p w14:paraId="4B4920F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70.72</w:t>
            </w:r>
          </w:p>
        </w:tc>
        <w:tc>
          <w:tcPr>
            <w:tcW w:w="2551" w:type="dxa"/>
          </w:tcPr>
          <w:p w14:paraId="4F82CD9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29.28</w:t>
            </w:r>
          </w:p>
        </w:tc>
      </w:tr>
      <w:tr w:rsidR="00EF304C" w14:paraId="433C8D53" w14:textId="77777777">
        <w:trPr>
          <w:jc w:val="center"/>
        </w:trPr>
        <w:tc>
          <w:tcPr>
            <w:tcW w:w="2589" w:type="dxa"/>
          </w:tcPr>
          <w:p w14:paraId="31ADB1BC"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KA-800</w:t>
            </w:r>
          </w:p>
        </w:tc>
        <w:tc>
          <w:tcPr>
            <w:tcW w:w="2600" w:type="dxa"/>
          </w:tcPr>
          <w:p w14:paraId="6F88580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74.77</w:t>
            </w:r>
          </w:p>
        </w:tc>
        <w:tc>
          <w:tcPr>
            <w:tcW w:w="2551" w:type="dxa"/>
          </w:tcPr>
          <w:p w14:paraId="5CA50EF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25.23</w:t>
            </w:r>
          </w:p>
        </w:tc>
      </w:tr>
      <w:tr w:rsidR="00EF304C" w14:paraId="2FC43813" w14:textId="77777777">
        <w:trPr>
          <w:jc w:val="center"/>
        </w:trPr>
        <w:tc>
          <w:tcPr>
            <w:tcW w:w="2589" w:type="dxa"/>
          </w:tcPr>
          <w:p w14:paraId="0506705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KA-850</w:t>
            </w:r>
          </w:p>
        </w:tc>
        <w:tc>
          <w:tcPr>
            <w:tcW w:w="2600" w:type="dxa"/>
          </w:tcPr>
          <w:p w14:paraId="63105C2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75.52</w:t>
            </w:r>
          </w:p>
        </w:tc>
        <w:tc>
          <w:tcPr>
            <w:tcW w:w="2551" w:type="dxa"/>
          </w:tcPr>
          <w:p w14:paraId="05ABED8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24.48</w:t>
            </w:r>
          </w:p>
        </w:tc>
      </w:tr>
      <w:tr w:rsidR="00EF304C" w14:paraId="70A61C63" w14:textId="77777777">
        <w:trPr>
          <w:jc w:val="center"/>
        </w:trPr>
        <w:tc>
          <w:tcPr>
            <w:tcW w:w="2589" w:type="dxa"/>
          </w:tcPr>
          <w:p w14:paraId="15A7F73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KA-900</w:t>
            </w:r>
          </w:p>
        </w:tc>
        <w:tc>
          <w:tcPr>
            <w:tcW w:w="2600" w:type="dxa"/>
          </w:tcPr>
          <w:p w14:paraId="67C2AE72"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81.47</w:t>
            </w:r>
          </w:p>
        </w:tc>
        <w:tc>
          <w:tcPr>
            <w:tcW w:w="2551" w:type="dxa"/>
          </w:tcPr>
          <w:p w14:paraId="32AB4C9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18.53</w:t>
            </w:r>
          </w:p>
        </w:tc>
      </w:tr>
    </w:tbl>
    <w:p w14:paraId="2F9BF282" w14:textId="77777777" w:rsidR="00EF304C" w:rsidRDefault="00EF304C">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p>
    <w:p w14:paraId="0CB3387A" w14:textId="77777777" w:rsidR="00EF304C" w:rsidRDefault="00EF304C">
      <w:pPr>
        <w:pBdr>
          <w:top w:val="nil"/>
          <w:left w:val="nil"/>
          <w:bottom w:val="nil"/>
          <w:right w:val="nil"/>
          <w:between w:val="nil"/>
        </w:pBdr>
        <w:spacing w:after="0" w:line="240" w:lineRule="auto"/>
        <w:ind w:left="360" w:hanging="360"/>
        <w:jc w:val="center"/>
        <w:rPr>
          <w:rFonts w:ascii="Times New Roman" w:eastAsia="Times New Roman" w:hAnsi="Times New Roman" w:cs="Times New Roman"/>
          <w:i/>
          <w:color w:val="000000"/>
          <w:sz w:val="24"/>
          <w:szCs w:val="24"/>
        </w:rPr>
      </w:pPr>
    </w:p>
    <w:p w14:paraId="528A4C3A" w14:textId="77777777" w:rsidR="00EF304C" w:rsidRDefault="00000000">
      <w:pPr>
        <w:pBdr>
          <w:top w:val="nil"/>
          <w:left w:val="nil"/>
          <w:bottom w:val="nil"/>
          <w:right w:val="nil"/>
          <w:between w:val="nil"/>
        </w:pBdr>
        <w:spacing w:after="0" w:line="240" w:lineRule="auto"/>
        <w:ind w:left="360" w:hanging="360"/>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3.4 Surface area comparison analysis </w:t>
      </w:r>
    </w:p>
    <w:p w14:paraId="1E9B37D8" w14:textId="77777777" w:rsidR="00EF304C" w:rsidRDefault="00EF304C">
      <w:pPr>
        <w:pBdr>
          <w:top w:val="nil"/>
          <w:left w:val="nil"/>
          <w:bottom w:val="nil"/>
          <w:right w:val="nil"/>
          <w:between w:val="nil"/>
        </w:pBdr>
        <w:spacing w:after="0" w:line="240" w:lineRule="auto"/>
        <w:ind w:firstLine="360"/>
        <w:jc w:val="both"/>
        <w:rPr>
          <w:rFonts w:ascii="Times New Roman" w:eastAsia="Times New Roman" w:hAnsi="Times New Roman" w:cs="Times New Roman"/>
          <w:color w:val="000000"/>
          <w:sz w:val="24"/>
          <w:szCs w:val="24"/>
        </w:rPr>
      </w:pPr>
    </w:p>
    <w:p w14:paraId="43BA2D17" w14:textId="77777777" w:rsidR="00EF304C" w:rsidRDefault="00000000">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According to Table 6, the greatest adsorption of nitrogen gas on activated carbon surfaces occurred when activated with a 2 M KOH concentration. Therefore, activated carbon produced using 2 M KOH demonstrated the highest pore surface area and absorption capacity. According to IUPAC standard, the isothermal curve type of the sample </w:t>
      </w:r>
      <w:r>
        <w:rPr>
          <w:rFonts w:ascii="Times New Roman" w:eastAsia="Times New Roman" w:hAnsi="Times New Roman" w:cs="Times New Roman"/>
          <w:sz w:val="24"/>
          <w:szCs w:val="24"/>
        </w:rPr>
        <w:t>combines</w:t>
      </w:r>
      <w:r>
        <w:rPr>
          <w:rFonts w:ascii="Times New Roman" w:eastAsia="Times New Roman" w:hAnsi="Times New Roman" w:cs="Times New Roman"/>
          <w:color w:val="000000"/>
          <w:sz w:val="24"/>
          <w:szCs w:val="24"/>
        </w:rPr>
        <w:t xml:space="preserve"> types IV and VI </w:t>
      </w:r>
      <w:r>
        <w:rPr>
          <w:rFonts w:ascii="Times New Roman" w:eastAsia="Times New Roman" w:hAnsi="Times New Roman" w:cs="Times New Roman"/>
          <w:b/>
          <w:color w:val="000000"/>
          <w:sz w:val="24"/>
          <w:szCs w:val="24"/>
        </w:rPr>
        <w:t>[30]</w:t>
      </w:r>
      <w:r>
        <w:rPr>
          <w:rFonts w:ascii="Times New Roman" w:eastAsia="Times New Roman" w:hAnsi="Times New Roman" w:cs="Times New Roman"/>
          <w:color w:val="000000"/>
          <w:sz w:val="24"/>
          <w:szCs w:val="24"/>
        </w:rPr>
        <w:t xml:space="preserve">. Although the diameter pore size is 3.02 - 2.54 nm, indicates that these samples possess mesoporous structure simultaneously. This result is very suitable because the mesopore can increase the electro absorption capacity, and the fast transport of electrons and ions results in an increased power density </w:t>
      </w:r>
      <w:r>
        <w:rPr>
          <w:rFonts w:ascii="Times New Roman" w:eastAsia="Times New Roman" w:hAnsi="Times New Roman" w:cs="Times New Roman"/>
          <w:b/>
          <w:color w:val="000000"/>
          <w:sz w:val="24"/>
          <w:szCs w:val="24"/>
        </w:rPr>
        <w:t>[31]</w:t>
      </w:r>
      <w:r>
        <w:rPr>
          <w:rFonts w:ascii="Times New Roman" w:eastAsia="Times New Roman" w:hAnsi="Times New Roman" w:cs="Times New Roman"/>
          <w:color w:val="000000"/>
          <w:sz w:val="24"/>
          <w:szCs w:val="24"/>
        </w:rPr>
        <w:t>.</w:t>
      </w:r>
    </w:p>
    <w:p w14:paraId="58609A1B" w14:textId="77777777" w:rsidR="00EF304C" w:rsidRDefault="00000000">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smaller radius of the carbon pores causes an increase in surface area along with an increase in the amount of porosity that will form in one activated carbon particle </w:t>
      </w:r>
      <w:r>
        <w:rPr>
          <w:rFonts w:ascii="Times New Roman" w:eastAsia="Times New Roman" w:hAnsi="Times New Roman" w:cs="Times New Roman"/>
          <w:b/>
          <w:color w:val="000000"/>
          <w:sz w:val="24"/>
          <w:szCs w:val="24"/>
        </w:rPr>
        <w:t>[32]</w:t>
      </w:r>
      <w:r>
        <w:rPr>
          <w:rFonts w:ascii="Times New Roman" w:eastAsia="Times New Roman" w:hAnsi="Times New Roman" w:cs="Times New Roman"/>
          <w:color w:val="000000"/>
          <w:sz w:val="24"/>
          <w:szCs w:val="24"/>
        </w:rPr>
        <w:t xml:space="preserve">. Apart from that, the curve is also categorized as type VI where the adsorption/desorption pattern does not form a smooth line, which means the pore size in the sample is not uniform </w:t>
      </w:r>
      <w:r>
        <w:rPr>
          <w:rFonts w:ascii="Times New Roman" w:eastAsia="Times New Roman" w:hAnsi="Times New Roman" w:cs="Times New Roman"/>
          <w:b/>
          <w:color w:val="000000"/>
          <w:sz w:val="24"/>
          <w:szCs w:val="24"/>
        </w:rPr>
        <w:t>[33]</w:t>
      </w:r>
      <w:r>
        <w:rPr>
          <w:rFonts w:ascii="Times New Roman" w:eastAsia="Times New Roman" w:hAnsi="Times New Roman" w:cs="Times New Roman"/>
          <w:color w:val="000000"/>
          <w:sz w:val="24"/>
          <w:szCs w:val="24"/>
        </w:rPr>
        <w:t xml:space="preserve">. The ratio in the chemical activation process and the temperature used is considered to influence carbon absorption capacity </w:t>
      </w:r>
      <w:r>
        <w:rPr>
          <w:rFonts w:ascii="Times New Roman" w:eastAsia="Times New Roman" w:hAnsi="Times New Roman" w:cs="Times New Roman"/>
          <w:b/>
          <w:color w:val="000000"/>
          <w:sz w:val="24"/>
          <w:szCs w:val="24"/>
        </w:rPr>
        <w:t>[34]</w:t>
      </w:r>
      <w:r>
        <w:rPr>
          <w:rFonts w:ascii="Times New Roman" w:eastAsia="Times New Roman" w:hAnsi="Times New Roman" w:cs="Times New Roman"/>
          <w:color w:val="000000"/>
          <w:sz w:val="24"/>
          <w:szCs w:val="24"/>
        </w:rPr>
        <w:t>.</w:t>
      </w:r>
    </w:p>
    <w:p w14:paraId="0D04D3FB" w14:textId="77777777" w:rsidR="00EF304C" w:rsidRDefault="00EF304C">
      <w:pPr>
        <w:rPr>
          <w:rFonts w:ascii="Times New Roman" w:eastAsia="Times New Roman" w:hAnsi="Times New Roman" w:cs="Times New Roman"/>
          <w:b/>
          <w:sz w:val="24"/>
          <w:szCs w:val="24"/>
        </w:rPr>
      </w:pPr>
    </w:p>
    <w:p w14:paraId="0D44F351"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6</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Activated carbon surface area variation concentration</w:t>
      </w:r>
    </w:p>
    <w:tbl>
      <w:tblPr>
        <w:tblStyle w:val="a8"/>
        <w:tblW w:w="5400" w:type="dxa"/>
        <w:tblInd w:w="234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695"/>
        <w:gridCol w:w="2705"/>
      </w:tblGrid>
      <w:tr w:rsidR="00EF304C" w14:paraId="4702EE24" w14:textId="77777777">
        <w:tc>
          <w:tcPr>
            <w:tcW w:w="2695" w:type="dxa"/>
            <w:tcBorders>
              <w:top w:val="single" w:sz="4" w:space="0" w:color="000000"/>
              <w:bottom w:val="single" w:sz="4" w:space="0" w:color="000000"/>
            </w:tcBorders>
          </w:tcPr>
          <w:p w14:paraId="29372792"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2705" w:type="dxa"/>
            <w:tcBorders>
              <w:top w:val="single" w:sz="4" w:space="0" w:color="000000"/>
              <w:bottom w:val="single" w:sz="4" w:space="0" w:color="000000"/>
            </w:tcBorders>
          </w:tcPr>
          <w:p w14:paraId="43F5C7E8"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Surface area (m</w:t>
            </w:r>
            <w:r>
              <w:rPr>
                <w:b/>
                <w:color w:val="000000"/>
                <w:sz w:val="24"/>
                <w:szCs w:val="24"/>
                <w:vertAlign w:val="superscript"/>
              </w:rPr>
              <w:t>2</w:t>
            </w:r>
            <w:r>
              <w:rPr>
                <w:b/>
                <w:color w:val="000000"/>
                <w:sz w:val="24"/>
                <w:szCs w:val="24"/>
              </w:rPr>
              <w:t>g</w:t>
            </w:r>
            <w:r>
              <w:rPr>
                <w:b/>
                <w:color w:val="000000"/>
                <w:sz w:val="24"/>
                <w:szCs w:val="24"/>
                <w:vertAlign w:val="superscript"/>
              </w:rPr>
              <w:t>-1</w:t>
            </w:r>
            <w:r>
              <w:rPr>
                <w:b/>
                <w:color w:val="000000"/>
                <w:sz w:val="24"/>
                <w:szCs w:val="24"/>
              </w:rPr>
              <w:t>)</w:t>
            </w:r>
          </w:p>
        </w:tc>
      </w:tr>
      <w:tr w:rsidR="00EF304C" w14:paraId="74E1FECA" w14:textId="77777777">
        <w:tc>
          <w:tcPr>
            <w:tcW w:w="2695" w:type="dxa"/>
            <w:tcBorders>
              <w:top w:val="single" w:sz="4" w:space="0" w:color="000000"/>
            </w:tcBorders>
          </w:tcPr>
          <w:p w14:paraId="5676B34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KA-2-0</w:t>
            </w:r>
          </w:p>
        </w:tc>
        <w:tc>
          <w:tcPr>
            <w:tcW w:w="2705" w:type="dxa"/>
            <w:tcBorders>
              <w:top w:val="single" w:sz="4" w:space="0" w:color="000000"/>
            </w:tcBorders>
          </w:tcPr>
          <w:p w14:paraId="22C82FE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118.25</w:t>
            </w:r>
          </w:p>
        </w:tc>
      </w:tr>
      <w:tr w:rsidR="00EF304C" w14:paraId="0014065E" w14:textId="77777777">
        <w:tc>
          <w:tcPr>
            <w:tcW w:w="2695" w:type="dxa"/>
          </w:tcPr>
          <w:p w14:paraId="1CF877B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KA-1.5-0.5</w:t>
            </w:r>
          </w:p>
        </w:tc>
        <w:tc>
          <w:tcPr>
            <w:tcW w:w="2705" w:type="dxa"/>
          </w:tcPr>
          <w:p w14:paraId="03160D9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149.75</w:t>
            </w:r>
          </w:p>
        </w:tc>
      </w:tr>
      <w:tr w:rsidR="00EF304C" w14:paraId="4AC4045D" w14:textId="77777777">
        <w:tc>
          <w:tcPr>
            <w:tcW w:w="2695" w:type="dxa"/>
          </w:tcPr>
          <w:p w14:paraId="1B44F39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KA-1-1</w:t>
            </w:r>
          </w:p>
        </w:tc>
        <w:tc>
          <w:tcPr>
            <w:tcW w:w="2705" w:type="dxa"/>
          </w:tcPr>
          <w:p w14:paraId="3F4164C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301.50</w:t>
            </w:r>
          </w:p>
        </w:tc>
      </w:tr>
      <w:tr w:rsidR="00EF304C" w14:paraId="63564AC6" w14:textId="77777777">
        <w:tc>
          <w:tcPr>
            <w:tcW w:w="2695" w:type="dxa"/>
          </w:tcPr>
          <w:p w14:paraId="5CE852AD"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KA-0.5-1.5</w:t>
            </w:r>
          </w:p>
        </w:tc>
        <w:tc>
          <w:tcPr>
            <w:tcW w:w="2705" w:type="dxa"/>
          </w:tcPr>
          <w:p w14:paraId="57B8B07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281.52</w:t>
            </w:r>
          </w:p>
        </w:tc>
      </w:tr>
      <w:tr w:rsidR="00EF304C" w14:paraId="689DF2D7" w14:textId="77777777">
        <w:tc>
          <w:tcPr>
            <w:tcW w:w="2695" w:type="dxa"/>
          </w:tcPr>
          <w:p w14:paraId="007F78B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KA-0-2</w:t>
            </w:r>
          </w:p>
        </w:tc>
        <w:tc>
          <w:tcPr>
            <w:tcW w:w="2705" w:type="dxa"/>
          </w:tcPr>
          <w:p w14:paraId="3546650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354.25</w:t>
            </w:r>
          </w:p>
        </w:tc>
      </w:tr>
    </w:tbl>
    <w:p w14:paraId="0E7A03C7" w14:textId="77777777" w:rsidR="00EF304C" w:rsidRDefault="00EF304C">
      <w:pPr>
        <w:ind w:firstLine="270"/>
        <w:jc w:val="both"/>
        <w:rPr>
          <w:rFonts w:ascii="Times New Roman" w:eastAsia="Times New Roman" w:hAnsi="Times New Roman" w:cs="Times New Roman"/>
          <w:sz w:val="24"/>
          <w:szCs w:val="24"/>
        </w:rPr>
      </w:pPr>
    </w:p>
    <w:p w14:paraId="79EFA708" w14:textId="77777777" w:rsidR="00EF304C" w:rsidRDefault="00000000">
      <w:pPr>
        <w:spacing w:line="276" w:lineRule="auto"/>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 the absorption capacity of activated carbon is higher. The highest surface area obtained at KA-0-2 concentration variations is 354.25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while the lowest surface area was obtained in the KA 2-0 variation, at 118.25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There is a mixture of concentration variations on the train 1.5 – 0.5 and KA-1-1 indicating an increase in the surface area of 149.75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increasing to 301.50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However, there was a decrease in surface area at varying KA concentrations from 0.5 - 1.5 to 281.52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this shows that the concentration of the NaOH and KOH activator mixture has reached the optimal point because a further increase in concentration can cause a decrease in surface area due to excessive erosion </w:t>
      </w:r>
    </w:p>
    <w:p w14:paraId="79E7D184"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Table 7. </w:t>
      </w:r>
      <w:r>
        <w:rPr>
          <w:rFonts w:ascii="Times New Roman" w:eastAsia="Times New Roman" w:hAnsi="Times New Roman" w:cs="Times New Roman"/>
          <w:color w:val="000000"/>
          <w:sz w:val="24"/>
          <w:szCs w:val="24"/>
        </w:rPr>
        <w:t>Activated carbon surface area variation immersion time</w:t>
      </w:r>
    </w:p>
    <w:tbl>
      <w:tblPr>
        <w:tblStyle w:val="a9"/>
        <w:tblW w:w="540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610"/>
        <w:gridCol w:w="2790"/>
      </w:tblGrid>
      <w:tr w:rsidR="00EF304C" w14:paraId="028319D9" w14:textId="77777777">
        <w:trPr>
          <w:jc w:val="center"/>
        </w:trPr>
        <w:tc>
          <w:tcPr>
            <w:tcW w:w="2610" w:type="dxa"/>
            <w:tcBorders>
              <w:top w:val="single" w:sz="4" w:space="0" w:color="000000"/>
              <w:bottom w:val="single" w:sz="4" w:space="0" w:color="000000"/>
            </w:tcBorders>
          </w:tcPr>
          <w:p w14:paraId="4D5DBFA5"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2790" w:type="dxa"/>
            <w:tcBorders>
              <w:top w:val="single" w:sz="4" w:space="0" w:color="000000"/>
              <w:bottom w:val="single" w:sz="4" w:space="0" w:color="000000"/>
            </w:tcBorders>
          </w:tcPr>
          <w:p w14:paraId="208DFF2D"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Surface area (m</w:t>
            </w:r>
            <w:r>
              <w:rPr>
                <w:b/>
                <w:color w:val="000000"/>
                <w:sz w:val="24"/>
                <w:szCs w:val="24"/>
                <w:vertAlign w:val="superscript"/>
              </w:rPr>
              <w:t>2</w:t>
            </w:r>
            <w:r>
              <w:rPr>
                <w:b/>
                <w:color w:val="000000"/>
                <w:sz w:val="24"/>
                <w:szCs w:val="24"/>
              </w:rPr>
              <w:t>g</w:t>
            </w:r>
            <w:r>
              <w:rPr>
                <w:b/>
                <w:color w:val="000000"/>
                <w:sz w:val="24"/>
                <w:szCs w:val="24"/>
                <w:vertAlign w:val="superscript"/>
              </w:rPr>
              <w:t>-1</w:t>
            </w:r>
            <w:r>
              <w:rPr>
                <w:b/>
                <w:color w:val="000000"/>
                <w:sz w:val="24"/>
                <w:szCs w:val="24"/>
              </w:rPr>
              <w:t>)</w:t>
            </w:r>
          </w:p>
        </w:tc>
      </w:tr>
      <w:tr w:rsidR="00EF304C" w14:paraId="35E39063" w14:textId="77777777">
        <w:trPr>
          <w:jc w:val="center"/>
        </w:trPr>
        <w:tc>
          <w:tcPr>
            <w:tcW w:w="2610" w:type="dxa"/>
            <w:tcBorders>
              <w:top w:val="single" w:sz="4" w:space="0" w:color="000000"/>
            </w:tcBorders>
          </w:tcPr>
          <w:p w14:paraId="7A834BA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KA-12</w:t>
            </w:r>
          </w:p>
        </w:tc>
        <w:tc>
          <w:tcPr>
            <w:tcW w:w="2790" w:type="dxa"/>
            <w:tcBorders>
              <w:top w:val="single" w:sz="4" w:space="0" w:color="000000"/>
            </w:tcBorders>
          </w:tcPr>
          <w:p w14:paraId="19FA643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235.56</w:t>
            </w:r>
          </w:p>
        </w:tc>
      </w:tr>
      <w:tr w:rsidR="00EF304C" w14:paraId="0F6949BB" w14:textId="77777777">
        <w:trPr>
          <w:jc w:val="center"/>
        </w:trPr>
        <w:tc>
          <w:tcPr>
            <w:tcW w:w="2610" w:type="dxa"/>
          </w:tcPr>
          <w:p w14:paraId="7626E9D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KA-18</w:t>
            </w:r>
          </w:p>
        </w:tc>
        <w:tc>
          <w:tcPr>
            <w:tcW w:w="2790" w:type="dxa"/>
          </w:tcPr>
          <w:p w14:paraId="4DE61966"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380.28</w:t>
            </w:r>
          </w:p>
        </w:tc>
      </w:tr>
      <w:tr w:rsidR="00EF304C" w14:paraId="3597CB55" w14:textId="77777777">
        <w:trPr>
          <w:jc w:val="center"/>
        </w:trPr>
        <w:tc>
          <w:tcPr>
            <w:tcW w:w="2610" w:type="dxa"/>
          </w:tcPr>
          <w:p w14:paraId="553E3F1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KA-24</w:t>
            </w:r>
          </w:p>
        </w:tc>
        <w:tc>
          <w:tcPr>
            <w:tcW w:w="2790" w:type="dxa"/>
          </w:tcPr>
          <w:p w14:paraId="5006F2A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330.64</w:t>
            </w:r>
          </w:p>
        </w:tc>
      </w:tr>
      <w:tr w:rsidR="00EF304C" w14:paraId="1DC7325F" w14:textId="77777777">
        <w:trPr>
          <w:jc w:val="center"/>
        </w:trPr>
        <w:tc>
          <w:tcPr>
            <w:tcW w:w="2610" w:type="dxa"/>
          </w:tcPr>
          <w:p w14:paraId="1B604D7A"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KA-30</w:t>
            </w:r>
          </w:p>
        </w:tc>
        <w:tc>
          <w:tcPr>
            <w:tcW w:w="2790" w:type="dxa"/>
          </w:tcPr>
          <w:p w14:paraId="588913BE"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200.18</w:t>
            </w:r>
          </w:p>
        </w:tc>
      </w:tr>
      <w:tr w:rsidR="00EF304C" w14:paraId="539DB0B7" w14:textId="77777777">
        <w:trPr>
          <w:jc w:val="center"/>
        </w:trPr>
        <w:tc>
          <w:tcPr>
            <w:tcW w:w="2610" w:type="dxa"/>
          </w:tcPr>
          <w:p w14:paraId="7DE431E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KA-36</w:t>
            </w:r>
          </w:p>
        </w:tc>
        <w:tc>
          <w:tcPr>
            <w:tcW w:w="2790" w:type="dxa"/>
          </w:tcPr>
          <w:p w14:paraId="365AC75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194.79</w:t>
            </w:r>
          </w:p>
        </w:tc>
      </w:tr>
    </w:tbl>
    <w:p w14:paraId="63913618" w14:textId="77777777" w:rsidR="00EF304C" w:rsidRDefault="00EF304C">
      <w:pPr>
        <w:ind w:firstLine="270"/>
        <w:jc w:val="both"/>
        <w:rPr>
          <w:rFonts w:ascii="Times New Roman" w:eastAsia="Times New Roman" w:hAnsi="Times New Roman" w:cs="Times New Roman"/>
          <w:sz w:val="24"/>
          <w:szCs w:val="24"/>
        </w:rPr>
      </w:pPr>
    </w:p>
    <w:p w14:paraId="54D519D9" w14:textId="77777777" w:rsidR="00EF304C" w:rsidRDefault="00000000">
      <w:pPr>
        <w:spacing w:line="276" w:lineRule="auto"/>
        <w:ind w:firstLine="36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The lowest surface area was obtained in the KA-36-hour variation with a value of 194.79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followed by the KA-30 Hour variation of 200.18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the KA-12 Hour variation of 235.56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the KA-24 Hour variation of 330.64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 xml:space="preserve">-1 </w:t>
      </w:r>
      <w:r>
        <w:rPr>
          <w:rFonts w:ascii="Times New Roman" w:eastAsia="Times New Roman" w:hAnsi="Times New Roman" w:cs="Times New Roman"/>
          <w:sz w:val="24"/>
          <w:szCs w:val="24"/>
        </w:rPr>
        <w:t>and the KA-18 Hour variation of 380.28 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g</w:t>
      </w:r>
      <w:r>
        <w:rPr>
          <w:rFonts w:ascii="Times New Roman" w:eastAsia="Times New Roman" w:hAnsi="Times New Roman" w:cs="Times New Roman"/>
          <w:sz w:val="24"/>
          <w:szCs w:val="24"/>
          <w:vertAlign w:val="superscript"/>
        </w:rPr>
        <w:t xml:space="preserve">-1 </w:t>
      </w:r>
      <w:r>
        <w:rPr>
          <w:rFonts w:ascii="Times New Roman" w:eastAsia="Times New Roman" w:hAnsi="Times New Roman" w:cs="Times New Roman"/>
          <w:sz w:val="24"/>
          <w:szCs w:val="24"/>
        </w:rPr>
        <w:t xml:space="preserve">which has the highest </w:t>
      </w:r>
      <w:r>
        <w:rPr>
          <w:rFonts w:ascii="Times New Roman" w:eastAsia="Times New Roman" w:hAnsi="Times New Roman" w:cs="Times New Roman"/>
          <w:sz w:val="24"/>
          <w:szCs w:val="24"/>
        </w:rPr>
        <w:lastRenderedPageBreak/>
        <w:t>surface area. The duration of carbon immersion significantly impacts the surface area (Table 8)due to prolonged interaction between the carbon and the activating agent. As the contact time increases, a higher number of volatile substances is released. These substances have the tendency to cover and block the carbon pores. It ensures a balance between adequate activation and preventing pore blockage, which is essential for maintaining the desirable properties of the carbon material, such as high surface area and enhanced adsorption capacity [35]. This is supported by [36], that the more volatile substances released on carbon, the surface area of ​​the carbon will increase.</w:t>
      </w:r>
    </w:p>
    <w:p w14:paraId="0E4D7F97" w14:textId="77777777" w:rsidR="00EF304C" w:rsidRDefault="00000000">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b/>
          <w:sz w:val="24"/>
          <w:szCs w:val="24"/>
        </w:rPr>
        <w:t xml:space="preserve">Table 8. </w:t>
      </w:r>
      <w:r>
        <w:rPr>
          <w:rFonts w:ascii="Times New Roman" w:eastAsia="Times New Roman" w:hAnsi="Times New Roman" w:cs="Times New Roman"/>
          <w:color w:val="000000"/>
          <w:sz w:val="24"/>
          <w:szCs w:val="24"/>
        </w:rPr>
        <w:t>Activated carbon surface area variation temperature</w:t>
      </w:r>
    </w:p>
    <w:tbl>
      <w:tblPr>
        <w:tblStyle w:val="aa"/>
        <w:tblW w:w="5400" w:type="dxa"/>
        <w:tblInd w:w="234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695"/>
        <w:gridCol w:w="2705"/>
      </w:tblGrid>
      <w:tr w:rsidR="00EF304C" w14:paraId="1338AE34" w14:textId="77777777">
        <w:tc>
          <w:tcPr>
            <w:tcW w:w="2695" w:type="dxa"/>
            <w:tcBorders>
              <w:top w:val="single" w:sz="4" w:space="0" w:color="000000"/>
              <w:bottom w:val="single" w:sz="4" w:space="0" w:color="000000"/>
            </w:tcBorders>
          </w:tcPr>
          <w:p w14:paraId="4E246A98"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2705" w:type="dxa"/>
            <w:tcBorders>
              <w:top w:val="single" w:sz="4" w:space="0" w:color="000000"/>
              <w:bottom w:val="single" w:sz="4" w:space="0" w:color="000000"/>
            </w:tcBorders>
          </w:tcPr>
          <w:p w14:paraId="661A1F89"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Surface area (m</w:t>
            </w:r>
            <w:r>
              <w:rPr>
                <w:b/>
                <w:color w:val="000000"/>
                <w:sz w:val="24"/>
                <w:szCs w:val="24"/>
                <w:vertAlign w:val="superscript"/>
              </w:rPr>
              <w:t>2</w:t>
            </w:r>
            <w:r>
              <w:rPr>
                <w:b/>
                <w:color w:val="000000"/>
                <w:sz w:val="24"/>
                <w:szCs w:val="24"/>
              </w:rPr>
              <w:t>g</w:t>
            </w:r>
            <w:r>
              <w:rPr>
                <w:b/>
                <w:color w:val="000000"/>
                <w:sz w:val="24"/>
                <w:szCs w:val="24"/>
                <w:vertAlign w:val="superscript"/>
              </w:rPr>
              <w:t>-1</w:t>
            </w:r>
            <w:r>
              <w:rPr>
                <w:b/>
                <w:color w:val="000000"/>
                <w:sz w:val="24"/>
                <w:szCs w:val="24"/>
              </w:rPr>
              <w:t>)</w:t>
            </w:r>
          </w:p>
        </w:tc>
      </w:tr>
      <w:tr w:rsidR="00EF304C" w14:paraId="199E6C9B" w14:textId="77777777">
        <w:tc>
          <w:tcPr>
            <w:tcW w:w="2695" w:type="dxa"/>
            <w:tcBorders>
              <w:top w:val="single" w:sz="4" w:space="0" w:color="000000"/>
            </w:tcBorders>
          </w:tcPr>
          <w:p w14:paraId="007FB5CB"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KA-700</w:t>
            </w:r>
          </w:p>
        </w:tc>
        <w:tc>
          <w:tcPr>
            <w:tcW w:w="2705" w:type="dxa"/>
            <w:tcBorders>
              <w:top w:val="single" w:sz="4" w:space="0" w:color="000000"/>
            </w:tcBorders>
          </w:tcPr>
          <w:p w14:paraId="3E6DE95D"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170.66</w:t>
            </w:r>
          </w:p>
        </w:tc>
      </w:tr>
      <w:tr w:rsidR="00EF304C" w14:paraId="599B3898" w14:textId="77777777">
        <w:tc>
          <w:tcPr>
            <w:tcW w:w="2695" w:type="dxa"/>
          </w:tcPr>
          <w:p w14:paraId="6DB930C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KA-750</w:t>
            </w:r>
          </w:p>
        </w:tc>
        <w:tc>
          <w:tcPr>
            <w:tcW w:w="2705" w:type="dxa"/>
          </w:tcPr>
          <w:p w14:paraId="749029A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319.64</w:t>
            </w:r>
          </w:p>
        </w:tc>
      </w:tr>
      <w:tr w:rsidR="00EF304C" w14:paraId="1ACE487B" w14:textId="77777777">
        <w:tc>
          <w:tcPr>
            <w:tcW w:w="2695" w:type="dxa"/>
          </w:tcPr>
          <w:p w14:paraId="32D7175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KA-800</w:t>
            </w:r>
          </w:p>
        </w:tc>
        <w:tc>
          <w:tcPr>
            <w:tcW w:w="2705" w:type="dxa"/>
          </w:tcPr>
          <w:p w14:paraId="00A6D1E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310.19</w:t>
            </w:r>
          </w:p>
        </w:tc>
      </w:tr>
      <w:tr w:rsidR="00EF304C" w14:paraId="27945E5B" w14:textId="77777777">
        <w:tc>
          <w:tcPr>
            <w:tcW w:w="2695" w:type="dxa"/>
          </w:tcPr>
          <w:p w14:paraId="76BF62CF"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KA-850</w:t>
            </w:r>
          </w:p>
        </w:tc>
        <w:tc>
          <w:tcPr>
            <w:tcW w:w="2705" w:type="dxa"/>
          </w:tcPr>
          <w:p w14:paraId="273E9986"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318.08</w:t>
            </w:r>
          </w:p>
        </w:tc>
      </w:tr>
      <w:tr w:rsidR="00EF304C" w14:paraId="619750A0" w14:textId="77777777">
        <w:tc>
          <w:tcPr>
            <w:tcW w:w="2695" w:type="dxa"/>
          </w:tcPr>
          <w:p w14:paraId="01F4972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KA-900</w:t>
            </w:r>
          </w:p>
        </w:tc>
        <w:tc>
          <w:tcPr>
            <w:tcW w:w="2705" w:type="dxa"/>
          </w:tcPr>
          <w:p w14:paraId="1F56D78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334.28</w:t>
            </w:r>
          </w:p>
        </w:tc>
      </w:tr>
    </w:tbl>
    <w:p w14:paraId="04FD0144" w14:textId="77777777" w:rsidR="00EF304C" w:rsidRDefault="00EF304C">
      <w:pPr>
        <w:pBdr>
          <w:top w:val="nil"/>
          <w:left w:val="nil"/>
          <w:bottom w:val="nil"/>
          <w:right w:val="nil"/>
          <w:between w:val="nil"/>
        </w:pBdr>
        <w:spacing w:after="0" w:line="240" w:lineRule="auto"/>
        <w:ind w:firstLine="180"/>
        <w:jc w:val="both"/>
        <w:rPr>
          <w:rFonts w:ascii="Times New Roman" w:eastAsia="Times New Roman" w:hAnsi="Times New Roman" w:cs="Times New Roman"/>
          <w:color w:val="000000"/>
          <w:sz w:val="24"/>
          <w:szCs w:val="24"/>
        </w:rPr>
      </w:pPr>
    </w:p>
    <w:p w14:paraId="792639D5"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surface area produced in the KA-700 sample is activated carbon with the lowest surface area, at 170.66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and the active carbon with the highest surface area is shown in the KA-900 sample of 334.28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The surface area value at temperatures of 700 and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shows a significant increasing trend, then at temperatures of 750-850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it shows an increasing and decreasing trend but is not too significant where this phenomenon is influenced by N</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absorption </w:t>
      </w:r>
      <w:r>
        <w:rPr>
          <w:rFonts w:ascii="Times New Roman" w:eastAsia="Times New Roman" w:hAnsi="Times New Roman" w:cs="Times New Roman"/>
          <w:sz w:val="24"/>
          <w:szCs w:val="24"/>
        </w:rPr>
        <w:t xml:space="preserve">[37] </w:t>
      </w:r>
      <w:r>
        <w:rPr>
          <w:rFonts w:ascii="Times New Roman" w:eastAsia="Times New Roman" w:hAnsi="Times New Roman" w:cs="Times New Roman"/>
          <w:color w:val="000000"/>
          <w:sz w:val="24"/>
          <w:szCs w:val="24"/>
        </w:rPr>
        <w:t>that an increase in activation temperature indicates the formation of a porous structure and causes a diversity of pore sizes including micropores and mesopores, and the most N</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gas is absorbed by activated carbon at the highest temperature or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 xml:space="preserve">C. </w:t>
      </w:r>
    </w:p>
    <w:tbl>
      <w:tblPr>
        <w:tblStyle w:val="ab"/>
        <w:tblW w:w="10070" w:type="dxa"/>
        <w:tblBorders>
          <w:top w:val="nil"/>
          <w:left w:val="nil"/>
          <w:bottom w:val="nil"/>
          <w:right w:val="nil"/>
          <w:insideH w:val="nil"/>
          <w:insideV w:val="nil"/>
        </w:tblBorders>
        <w:tblLayout w:type="fixed"/>
        <w:tblLook w:val="0400" w:firstRow="0" w:lastRow="0" w:firstColumn="0" w:lastColumn="0" w:noHBand="0" w:noVBand="1"/>
      </w:tblPr>
      <w:tblGrid>
        <w:gridCol w:w="5035"/>
        <w:gridCol w:w="5035"/>
      </w:tblGrid>
      <w:tr w:rsidR="00EF304C" w14:paraId="61C277C2" w14:textId="77777777">
        <w:tc>
          <w:tcPr>
            <w:tcW w:w="5035" w:type="dxa"/>
            <w:vAlign w:val="center"/>
          </w:tcPr>
          <w:p w14:paraId="4A85A00E" w14:textId="77777777" w:rsidR="00EF304C" w:rsidRDefault="00000000">
            <w:pPr>
              <w:pBdr>
                <w:top w:val="nil"/>
                <w:left w:val="nil"/>
                <w:bottom w:val="nil"/>
                <w:right w:val="nil"/>
                <w:between w:val="nil"/>
              </w:pBdr>
              <w:jc w:val="center"/>
              <w:rPr>
                <w:color w:val="000000"/>
                <w:sz w:val="24"/>
                <w:szCs w:val="24"/>
              </w:rPr>
            </w:pPr>
            <w:r>
              <w:rPr>
                <w:noProof/>
                <w:color w:val="000000"/>
                <w:sz w:val="24"/>
                <w:szCs w:val="24"/>
              </w:rPr>
              <w:drawing>
                <wp:inline distT="0" distB="0" distL="0" distR="0" wp14:anchorId="456295B2" wp14:editId="7215AE2B">
                  <wp:extent cx="2515284" cy="2103120"/>
                  <wp:effectExtent l="0" t="0" r="0" b="0"/>
                  <wp:docPr id="5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l="7975" t="7812" r="11905" b="4654"/>
                          <a:stretch>
                            <a:fillRect/>
                          </a:stretch>
                        </pic:blipFill>
                        <pic:spPr>
                          <a:xfrm>
                            <a:off x="0" y="0"/>
                            <a:ext cx="2515284" cy="2103120"/>
                          </a:xfrm>
                          <a:prstGeom prst="rect">
                            <a:avLst/>
                          </a:prstGeom>
                          <a:ln/>
                        </pic:spPr>
                      </pic:pic>
                    </a:graphicData>
                  </a:graphic>
                </wp:inline>
              </w:drawing>
            </w:r>
          </w:p>
          <w:p w14:paraId="035A26B6" w14:textId="77777777" w:rsidR="00EF304C" w:rsidRDefault="00000000">
            <w:pPr>
              <w:pBdr>
                <w:top w:val="nil"/>
                <w:left w:val="nil"/>
                <w:bottom w:val="nil"/>
                <w:right w:val="nil"/>
                <w:between w:val="nil"/>
              </w:pBdr>
              <w:jc w:val="center"/>
              <w:rPr>
                <w:color w:val="000000"/>
                <w:sz w:val="24"/>
                <w:szCs w:val="24"/>
              </w:rPr>
            </w:pPr>
            <w:r>
              <w:rPr>
                <w:color w:val="000000"/>
                <w:sz w:val="24"/>
                <w:szCs w:val="24"/>
              </w:rPr>
              <w:t>(A)</w:t>
            </w:r>
          </w:p>
        </w:tc>
        <w:tc>
          <w:tcPr>
            <w:tcW w:w="5035" w:type="dxa"/>
            <w:vAlign w:val="center"/>
          </w:tcPr>
          <w:p w14:paraId="348BBDA1" w14:textId="77777777" w:rsidR="00EF304C" w:rsidRDefault="00000000">
            <w:pPr>
              <w:pBdr>
                <w:top w:val="nil"/>
                <w:left w:val="nil"/>
                <w:bottom w:val="nil"/>
                <w:right w:val="nil"/>
                <w:between w:val="nil"/>
              </w:pBdr>
              <w:jc w:val="center"/>
              <w:rPr>
                <w:color w:val="000000"/>
                <w:sz w:val="24"/>
                <w:szCs w:val="24"/>
              </w:rPr>
            </w:pPr>
            <w:r>
              <w:rPr>
                <w:noProof/>
                <w:color w:val="000000"/>
                <w:sz w:val="24"/>
                <w:szCs w:val="24"/>
              </w:rPr>
              <w:drawing>
                <wp:inline distT="0" distB="0" distL="0" distR="0" wp14:anchorId="44C7A606" wp14:editId="3A391E81">
                  <wp:extent cx="2586498" cy="2103120"/>
                  <wp:effectExtent l="0" t="0" r="0" b="0"/>
                  <wp:docPr id="2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5"/>
                          <a:srcRect l="7178" t="8854" r="11905" b="5176"/>
                          <a:stretch>
                            <a:fillRect/>
                          </a:stretch>
                        </pic:blipFill>
                        <pic:spPr>
                          <a:xfrm>
                            <a:off x="0" y="0"/>
                            <a:ext cx="2586498" cy="2103120"/>
                          </a:xfrm>
                          <a:prstGeom prst="rect">
                            <a:avLst/>
                          </a:prstGeom>
                          <a:ln/>
                        </pic:spPr>
                      </pic:pic>
                    </a:graphicData>
                  </a:graphic>
                </wp:inline>
              </w:drawing>
            </w:r>
          </w:p>
          <w:p w14:paraId="6FF69517" w14:textId="77777777" w:rsidR="00EF304C" w:rsidRDefault="00000000">
            <w:pPr>
              <w:pBdr>
                <w:top w:val="nil"/>
                <w:left w:val="nil"/>
                <w:bottom w:val="nil"/>
                <w:right w:val="nil"/>
                <w:between w:val="nil"/>
              </w:pBdr>
              <w:jc w:val="center"/>
              <w:rPr>
                <w:color w:val="000000"/>
                <w:sz w:val="24"/>
                <w:szCs w:val="24"/>
              </w:rPr>
            </w:pPr>
            <w:r>
              <w:rPr>
                <w:color w:val="000000"/>
                <w:sz w:val="24"/>
                <w:szCs w:val="24"/>
              </w:rPr>
              <w:t>(B)</w:t>
            </w:r>
          </w:p>
        </w:tc>
      </w:tr>
      <w:tr w:rsidR="00EF304C" w14:paraId="4D869A51" w14:textId="77777777">
        <w:tc>
          <w:tcPr>
            <w:tcW w:w="10070" w:type="dxa"/>
            <w:gridSpan w:val="2"/>
            <w:vAlign w:val="center"/>
          </w:tcPr>
          <w:p w14:paraId="7C793699" w14:textId="77777777" w:rsidR="00EF304C" w:rsidRDefault="00000000">
            <w:pPr>
              <w:pBdr>
                <w:top w:val="nil"/>
                <w:left w:val="nil"/>
                <w:bottom w:val="nil"/>
                <w:right w:val="nil"/>
                <w:between w:val="nil"/>
              </w:pBdr>
              <w:jc w:val="center"/>
              <w:rPr>
                <w:color w:val="000000"/>
                <w:sz w:val="24"/>
                <w:szCs w:val="24"/>
              </w:rPr>
            </w:pPr>
            <w:r>
              <w:rPr>
                <w:noProof/>
                <w:color w:val="000000"/>
                <w:sz w:val="24"/>
                <w:szCs w:val="24"/>
              </w:rPr>
              <w:lastRenderedPageBreak/>
              <w:drawing>
                <wp:inline distT="0" distB="0" distL="0" distR="0" wp14:anchorId="3C540B09" wp14:editId="7F383FBE">
                  <wp:extent cx="2573747" cy="2103120"/>
                  <wp:effectExtent l="0" t="0" r="0" b="0"/>
                  <wp:docPr id="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6"/>
                          <a:srcRect l="7575" t="9377" r="11905" b="4654"/>
                          <a:stretch>
                            <a:fillRect/>
                          </a:stretch>
                        </pic:blipFill>
                        <pic:spPr>
                          <a:xfrm>
                            <a:off x="0" y="0"/>
                            <a:ext cx="2573747" cy="2103120"/>
                          </a:xfrm>
                          <a:prstGeom prst="rect">
                            <a:avLst/>
                          </a:prstGeom>
                          <a:ln/>
                        </pic:spPr>
                      </pic:pic>
                    </a:graphicData>
                  </a:graphic>
                </wp:inline>
              </w:drawing>
            </w:r>
          </w:p>
          <w:p w14:paraId="513085B7" w14:textId="77777777" w:rsidR="00EF304C" w:rsidRDefault="00000000">
            <w:pPr>
              <w:pBdr>
                <w:top w:val="nil"/>
                <w:left w:val="nil"/>
                <w:bottom w:val="nil"/>
                <w:right w:val="nil"/>
                <w:between w:val="nil"/>
              </w:pBdr>
              <w:jc w:val="center"/>
              <w:rPr>
                <w:color w:val="000000"/>
                <w:sz w:val="24"/>
                <w:szCs w:val="24"/>
              </w:rPr>
            </w:pPr>
            <w:r>
              <w:rPr>
                <w:color w:val="000000"/>
                <w:sz w:val="24"/>
                <w:szCs w:val="24"/>
              </w:rPr>
              <w:t>(C)</w:t>
            </w:r>
          </w:p>
        </w:tc>
      </w:tr>
    </w:tbl>
    <w:p w14:paraId="3FDAF14A" w14:textId="77777777" w:rsidR="00EF304C" w:rsidRDefault="00000000">
      <w:pPr>
        <w:jc w:val="center"/>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Fig. 7. </w:t>
      </w:r>
      <w:r>
        <w:rPr>
          <w:rFonts w:ascii="Times New Roman" w:eastAsia="Times New Roman" w:hAnsi="Times New Roman" w:cs="Times New Roman"/>
          <w:sz w:val="24"/>
          <w:szCs w:val="24"/>
        </w:rPr>
        <w:t>Isotherm graph of variation, (A) KA-0-2, (B) KA-18, (C) KA-900</w:t>
      </w:r>
      <w:r>
        <w:br w:type="page"/>
      </w:r>
    </w:p>
    <w:p w14:paraId="4D6771E2"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lastRenderedPageBreak/>
        <w:t xml:space="preserve">3.5 Electrochemical behavior comparison analysis </w:t>
      </w:r>
    </w:p>
    <w:p w14:paraId="1488C851"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p>
    <w:p w14:paraId="5E797D67"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Analyzing the electrochemical properties of activated carbon derived from EFB waste materials is essential for optimizing electrochemical applications. The CV test results are presented with a scan rate of 10 mV/s in the range of -0.4 to 0.4 V. The wider the current curve, the greater the specific capacitance value produced. The largest specific capacitance value is the battery with KA 1 - 1 concentration, at 116.78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and the lowest specific capacitance value shown in Table 9 for the battery is in the concentration with KA-2 - 0 concentration, </w:t>
      </w:r>
      <w:r>
        <w:rPr>
          <w:rFonts w:ascii="Times New Roman" w:eastAsia="Times New Roman" w:hAnsi="Times New Roman" w:cs="Times New Roman"/>
          <w:sz w:val="24"/>
          <w:szCs w:val="24"/>
        </w:rPr>
        <w:t>resulting in</w:t>
      </w:r>
      <w:r>
        <w:rPr>
          <w:rFonts w:ascii="Times New Roman" w:eastAsia="Times New Roman" w:hAnsi="Times New Roman" w:cs="Times New Roman"/>
          <w:color w:val="000000"/>
          <w:sz w:val="24"/>
          <w:szCs w:val="24"/>
        </w:rPr>
        <w:t xml:space="preserve"> 69.04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The KOH activator causes the breakdown of lignocellulose, resulting in several new pores on the surface of the activated carbon electrode </w:t>
      </w:r>
      <w:r>
        <w:rPr>
          <w:rFonts w:ascii="Times New Roman" w:eastAsia="Times New Roman" w:hAnsi="Times New Roman" w:cs="Times New Roman"/>
          <w:b/>
          <w:color w:val="000000"/>
          <w:sz w:val="24"/>
          <w:szCs w:val="24"/>
        </w:rPr>
        <w:t>[37]</w:t>
      </w:r>
      <w:r>
        <w:rPr>
          <w:rFonts w:ascii="Times New Roman" w:eastAsia="Times New Roman" w:hAnsi="Times New Roman" w:cs="Times New Roman"/>
          <w:color w:val="000000"/>
          <w:sz w:val="24"/>
          <w:szCs w:val="24"/>
        </w:rPr>
        <w:t xml:space="preserve"> . The resulting pores will become a place to store charge on the surface of the activated carbon electrode, resulting in a large capacitance value </w:t>
      </w:r>
      <w:r>
        <w:rPr>
          <w:rFonts w:ascii="Times New Roman" w:eastAsia="Times New Roman" w:hAnsi="Times New Roman" w:cs="Times New Roman"/>
          <w:b/>
          <w:color w:val="000000"/>
          <w:sz w:val="24"/>
          <w:szCs w:val="24"/>
        </w:rPr>
        <w:t>[38]</w:t>
      </w:r>
      <w:r>
        <w:rPr>
          <w:rFonts w:ascii="Times New Roman" w:eastAsia="Times New Roman" w:hAnsi="Times New Roman" w:cs="Times New Roman"/>
          <w:color w:val="000000"/>
          <w:sz w:val="24"/>
          <w:szCs w:val="24"/>
        </w:rPr>
        <w:t>.</w:t>
      </w:r>
    </w:p>
    <w:p w14:paraId="75CCB82C" w14:textId="77777777" w:rsidR="00EF304C" w:rsidRDefault="00EF304C">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p>
    <w:p w14:paraId="49C2756E"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9.</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Specific capacitance of concentration variation</w:t>
      </w:r>
    </w:p>
    <w:tbl>
      <w:tblPr>
        <w:tblStyle w:val="ac"/>
        <w:tblW w:w="576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695"/>
        <w:gridCol w:w="3065"/>
      </w:tblGrid>
      <w:tr w:rsidR="00EF304C" w14:paraId="3B53449F" w14:textId="77777777">
        <w:trPr>
          <w:jc w:val="center"/>
        </w:trPr>
        <w:tc>
          <w:tcPr>
            <w:tcW w:w="2695" w:type="dxa"/>
            <w:tcBorders>
              <w:top w:val="single" w:sz="4" w:space="0" w:color="000000"/>
              <w:bottom w:val="single" w:sz="4" w:space="0" w:color="000000"/>
            </w:tcBorders>
          </w:tcPr>
          <w:p w14:paraId="441FEA22"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3065" w:type="dxa"/>
            <w:tcBorders>
              <w:top w:val="single" w:sz="4" w:space="0" w:color="000000"/>
              <w:bottom w:val="single" w:sz="4" w:space="0" w:color="000000"/>
            </w:tcBorders>
          </w:tcPr>
          <w:p w14:paraId="1765E6C8"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Specific Capacitance (F.g</w:t>
            </w:r>
            <w:r>
              <w:rPr>
                <w:b/>
                <w:color w:val="000000"/>
                <w:sz w:val="24"/>
                <w:szCs w:val="24"/>
                <w:vertAlign w:val="superscript"/>
              </w:rPr>
              <w:t>-1</w:t>
            </w:r>
            <w:r>
              <w:rPr>
                <w:b/>
                <w:color w:val="000000"/>
                <w:sz w:val="24"/>
                <w:szCs w:val="24"/>
              </w:rPr>
              <w:t>)</w:t>
            </w:r>
          </w:p>
        </w:tc>
      </w:tr>
      <w:tr w:rsidR="00EF304C" w14:paraId="53F9CAA7" w14:textId="77777777">
        <w:trPr>
          <w:jc w:val="center"/>
        </w:trPr>
        <w:tc>
          <w:tcPr>
            <w:tcW w:w="2695" w:type="dxa"/>
            <w:tcBorders>
              <w:top w:val="single" w:sz="4" w:space="0" w:color="000000"/>
            </w:tcBorders>
          </w:tcPr>
          <w:p w14:paraId="047C69EC"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KA-2-0</w:t>
            </w:r>
          </w:p>
        </w:tc>
        <w:tc>
          <w:tcPr>
            <w:tcW w:w="3065" w:type="dxa"/>
            <w:tcBorders>
              <w:top w:val="single" w:sz="4" w:space="0" w:color="000000"/>
            </w:tcBorders>
          </w:tcPr>
          <w:p w14:paraId="33F8344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69.04</w:t>
            </w:r>
          </w:p>
        </w:tc>
      </w:tr>
      <w:tr w:rsidR="00EF304C" w14:paraId="31326B31" w14:textId="77777777">
        <w:trPr>
          <w:jc w:val="center"/>
        </w:trPr>
        <w:tc>
          <w:tcPr>
            <w:tcW w:w="2695" w:type="dxa"/>
          </w:tcPr>
          <w:p w14:paraId="30E03A1E"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KA-1.5–0.5</w:t>
            </w:r>
          </w:p>
        </w:tc>
        <w:tc>
          <w:tcPr>
            <w:tcW w:w="3065" w:type="dxa"/>
          </w:tcPr>
          <w:p w14:paraId="2522556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112.34</w:t>
            </w:r>
          </w:p>
        </w:tc>
      </w:tr>
      <w:tr w:rsidR="00EF304C" w14:paraId="576FB9E9" w14:textId="77777777">
        <w:trPr>
          <w:jc w:val="center"/>
        </w:trPr>
        <w:tc>
          <w:tcPr>
            <w:tcW w:w="2695" w:type="dxa"/>
          </w:tcPr>
          <w:p w14:paraId="7647016D"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KA-1-1</w:t>
            </w:r>
          </w:p>
        </w:tc>
        <w:tc>
          <w:tcPr>
            <w:tcW w:w="3065" w:type="dxa"/>
          </w:tcPr>
          <w:p w14:paraId="1D0EAF8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116.78</w:t>
            </w:r>
          </w:p>
        </w:tc>
      </w:tr>
      <w:tr w:rsidR="00EF304C" w14:paraId="1B0C0F1B" w14:textId="77777777">
        <w:trPr>
          <w:jc w:val="center"/>
        </w:trPr>
        <w:tc>
          <w:tcPr>
            <w:tcW w:w="2695" w:type="dxa"/>
          </w:tcPr>
          <w:p w14:paraId="743BF582"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KA-0.5–1.5</w:t>
            </w:r>
          </w:p>
        </w:tc>
        <w:tc>
          <w:tcPr>
            <w:tcW w:w="3065" w:type="dxa"/>
          </w:tcPr>
          <w:p w14:paraId="3B468293"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113.73</w:t>
            </w:r>
          </w:p>
        </w:tc>
      </w:tr>
      <w:tr w:rsidR="00EF304C" w14:paraId="188172F7" w14:textId="77777777">
        <w:trPr>
          <w:jc w:val="center"/>
        </w:trPr>
        <w:tc>
          <w:tcPr>
            <w:tcW w:w="2695" w:type="dxa"/>
          </w:tcPr>
          <w:p w14:paraId="38AC4026"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KA-0-2</w:t>
            </w:r>
          </w:p>
        </w:tc>
        <w:tc>
          <w:tcPr>
            <w:tcW w:w="3065" w:type="dxa"/>
          </w:tcPr>
          <w:p w14:paraId="4325B44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114.60</w:t>
            </w:r>
          </w:p>
        </w:tc>
      </w:tr>
    </w:tbl>
    <w:p w14:paraId="3924348A"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p w14:paraId="3D005E8F" w14:textId="77777777" w:rsidR="00EF304C" w:rsidRDefault="00EF304C">
      <w:pPr>
        <w:pBdr>
          <w:top w:val="nil"/>
          <w:left w:val="nil"/>
          <w:bottom w:val="nil"/>
          <w:right w:val="nil"/>
          <w:between w:val="nil"/>
        </w:pBdr>
        <w:spacing w:after="0" w:line="276" w:lineRule="auto"/>
        <w:ind w:firstLine="270"/>
        <w:jc w:val="both"/>
        <w:rPr>
          <w:rFonts w:ascii="Times New Roman" w:eastAsia="Times New Roman" w:hAnsi="Times New Roman" w:cs="Times New Roman"/>
          <w:color w:val="000000"/>
          <w:sz w:val="24"/>
          <w:szCs w:val="24"/>
        </w:rPr>
      </w:pPr>
    </w:p>
    <w:p w14:paraId="52387847"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Based on the use of the CV equation, the highest capacitance produced on KA-18 Hours was 96.57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followed by an up and down trend in the resulting capacitance values ​​where on KA-12 hours it was 91.89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KA-24 hours is 94.82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KA-30 hours is 83.79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and KA-36 hours is 77.10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summarized in Table 10. This indicates that the soaking time is short and too long will reduce the capacitance value of the carbon.</w:t>
      </w:r>
    </w:p>
    <w:p w14:paraId="5B6B1DF3" w14:textId="77777777" w:rsidR="00EF304C" w:rsidRDefault="00EF304C">
      <w:pPr>
        <w:pBdr>
          <w:top w:val="nil"/>
          <w:left w:val="nil"/>
          <w:bottom w:val="nil"/>
          <w:right w:val="nil"/>
          <w:between w:val="nil"/>
        </w:pBdr>
        <w:spacing w:after="0" w:line="276" w:lineRule="auto"/>
        <w:rPr>
          <w:rFonts w:ascii="Times New Roman" w:eastAsia="Times New Roman" w:hAnsi="Times New Roman" w:cs="Times New Roman"/>
          <w:b/>
          <w:color w:val="000000"/>
          <w:sz w:val="24"/>
          <w:szCs w:val="24"/>
        </w:rPr>
      </w:pPr>
    </w:p>
    <w:p w14:paraId="3768CB2B"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10</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Specific capacitance of immersion time variation</w:t>
      </w:r>
    </w:p>
    <w:tbl>
      <w:tblPr>
        <w:tblStyle w:val="ad"/>
        <w:tblW w:w="576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695"/>
        <w:gridCol w:w="3065"/>
      </w:tblGrid>
      <w:tr w:rsidR="00EF304C" w14:paraId="6D7287E9" w14:textId="77777777">
        <w:trPr>
          <w:jc w:val="center"/>
        </w:trPr>
        <w:tc>
          <w:tcPr>
            <w:tcW w:w="2695" w:type="dxa"/>
            <w:tcBorders>
              <w:top w:val="single" w:sz="4" w:space="0" w:color="000000"/>
              <w:bottom w:val="single" w:sz="4" w:space="0" w:color="000000"/>
            </w:tcBorders>
          </w:tcPr>
          <w:p w14:paraId="4A470CEF"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3065" w:type="dxa"/>
            <w:tcBorders>
              <w:top w:val="single" w:sz="4" w:space="0" w:color="000000"/>
              <w:bottom w:val="single" w:sz="4" w:space="0" w:color="000000"/>
            </w:tcBorders>
          </w:tcPr>
          <w:p w14:paraId="22C7FE46"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Specific Capacitance (F.g</w:t>
            </w:r>
            <w:r>
              <w:rPr>
                <w:b/>
                <w:color w:val="000000"/>
                <w:sz w:val="24"/>
                <w:szCs w:val="24"/>
                <w:vertAlign w:val="superscript"/>
              </w:rPr>
              <w:t>-1</w:t>
            </w:r>
            <w:r>
              <w:rPr>
                <w:b/>
                <w:color w:val="000000"/>
                <w:sz w:val="24"/>
                <w:szCs w:val="24"/>
              </w:rPr>
              <w:t>)</w:t>
            </w:r>
          </w:p>
        </w:tc>
      </w:tr>
      <w:tr w:rsidR="00EF304C" w14:paraId="3434CC08" w14:textId="77777777">
        <w:trPr>
          <w:jc w:val="center"/>
        </w:trPr>
        <w:tc>
          <w:tcPr>
            <w:tcW w:w="2695" w:type="dxa"/>
            <w:tcBorders>
              <w:top w:val="single" w:sz="4" w:space="0" w:color="000000"/>
            </w:tcBorders>
          </w:tcPr>
          <w:p w14:paraId="5DD4F69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KA-12</w:t>
            </w:r>
          </w:p>
        </w:tc>
        <w:tc>
          <w:tcPr>
            <w:tcW w:w="3065" w:type="dxa"/>
            <w:tcBorders>
              <w:top w:val="single" w:sz="4" w:space="0" w:color="000000"/>
            </w:tcBorders>
          </w:tcPr>
          <w:p w14:paraId="4E051649"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91.89</w:t>
            </w:r>
          </w:p>
        </w:tc>
      </w:tr>
      <w:tr w:rsidR="00EF304C" w14:paraId="2D2C5F56" w14:textId="77777777">
        <w:trPr>
          <w:jc w:val="center"/>
        </w:trPr>
        <w:tc>
          <w:tcPr>
            <w:tcW w:w="2695" w:type="dxa"/>
          </w:tcPr>
          <w:p w14:paraId="68841CC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KA-18</w:t>
            </w:r>
          </w:p>
        </w:tc>
        <w:tc>
          <w:tcPr>
            <w:tcW w:w="3065" w:type="dxa"/>
          </w:tcPr>
          <w:p w14:paraId="2F500DC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96.57</w:t>
            </w:r>
          </w:p>
        </w:tc>
      </w:tr>
      <w:tr w:rsidR="00EF304C" w14:paraId="1E8A20CD" w14:textId="77777777">
        <w:trPr>
          <w:jc w:val="center"/>
        </w:trPr>
        <w:tc>
          <w:tcPr>
            <w:tcW w:w="2695" w:type="dxa"/>
          </w:tcPr>
          <w:p w14:paraId="1A521EE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KA-24</w:t>
            </w:r>
          </w:p>
        </w:tc>
        <w:tc>
          <w:tcPr>
            <w:tcW w:w="3065" w:type="dxa"/>
          </w:tcPr>
          <w:p w14:paraId="5B77D097"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94.82</w:t>
            </w:r>
          </w:p>
        </w:tc>
      </w:tr>
      <w:tr w:rsidR="00EF304C" w14:paraId="3CE0ECE5" w14:textId="77777777">
        <w:trPr>
          <w:jc w:val="center"/>
        </w:trPr>
        <w:tc>
          <w:tcPr>
            <w:tcW w:w="2695" w:type="dxa"/>
          </w:tcPr>
          <w:p w14:paraId="34191A3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KA-30</w:t>
            </w:r>
          </w:p>
        </w:tc>
        <w:tc>
          <w:tcPr>
            <w:tcW w:w="3065" w:type="dxa"/>
          </w:tcPr>
          <w:p w14:paraId="420E626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83.79</w:t>
            </w:r>
          </w:p>
        </w:tc>
      </w:tr>
      <w:tr w:rsidR="00EF304C" w14:paraId="0B622132" w14:textId="77777777">
        <w:trPr>
          <w:jc w:val="center"/>
        </w:trPr>
        <w:tc>
          <w:tcPr>
            <w:tcW w:w="2695" w:type="dxa"/>
          </w:tcPr>
          <w:p w14:paraId="1BECD5E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KA-36</w:t>
            </w:r>
          </w:p>
        </w:tc>
        <w:tc>
          <w:tcPr>
            <w:tcW w:w="3065" w:type="dxa"/>
          </w:tcPr>
          <w:p w14:paraId="67D5AD3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77.10</w:t>
            </w:r>
          </w:p>
        </w:tc>
      </w:tr>
    </w:tbl>
    <w:p w14:paraId="4EA04053"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p w14:paraId="74D07CBA"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p w14:paraId="7D4DDDD5"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 increase in the physical activation temperature changes the morphological condition of the carbon pores to become wider, giving a higher value along with an increase in the temperature used and is confirmed by the results of the specific capacitance of 77.11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to 96.41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even though the value of variables between them experience increases and decreases in capacitance value </w:t>
      </w:r>
      <w:r>
        <w:rPr>
          <w:rFonts w:ascii="Times New Roman" w:eastAsia="Times New Roman" w:hAnsi="Times New Roman" w:cs="Times New Roman"/>
          <w:b/>
          <w:color w:val="000000"/>
          <w:sz w:val="24"/>
          <w:szCs w:val="24"/>
        </w:rPr>
        <w:t>[39]</w:t>
      </w:r>
      <w:r>
        <w:rPr>
          <w:rFonts w:ascii="Times New Roman" w:eastAsia="Times New Roman" w:hAnsi="Times New Roman" w:cs="Times New Roman"/>
          <w:color w:val="000000"/>
          <w:sz w:val="24"/>
          <w:szCs w:val="24"/>
        </w:rPr>
        <w:t xml:space="preserve">. Table 7 showed that the relative physical activation temperature affects the electrochemical properties of the battery. Besides </w:t>
      </w:r>
      <w:r>
        <w:rPr>
          <w:rFonts w:ascii="Times New Roman" w:eastAsia="Times New Roman" w:hAnsi="Times New Roman" w:cs="Times New Roman"/>
          <w:color w:val="000000"/>
          <w:sz w:val="24"/>
          <w:szCs w:val="24"/>
        </w:rPr>
        <w:lastRenderedPageBreak/>
        <w:t xml:space="preserve">that, the hetero-atom reduction that occurs in KA-700 and KA-900 also plays a role in increasing the specific capacitance (Table 11) </w:t>
      </w:r>
      <w:r>
        <w:rPr>
          <w:rFonts w:ascii="Times New Roman" w:eastAsia="Times New Roman" w:hAnsi="Times New Roman" w:cs="Times New Roman"/>
          <w:b/>
          <w:color w:val="000000"/>
          <w:sz w:val="24"/>
          <w:szCs w:val="24"/>
        </w:rPr>
        <w:t>[40]</w:t>
      </w:r>
      <w:r>
        <w:rPr>
          <w:rFonts w:ascii="Times New Roman" w:eastAsia="Times New Roman" w:hAnsi="Times New Roman" w:cs="Times New Roman"/>
          <w:color w:val="000000"/>
          <w:sz w:val="24"/>
          <w:szCs w:val="24"/>
        </w:rPr>
        <w:t>.</w:t>
      </w:r>
    </w:p>
    <w:p w14:paraId="2F4434BB" w14:textId="77777777" w:rsidR="00EF304C" w:rsidRDefault="00EF304C">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p>
    <w:p w14:paraId="66A7C99D"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Table 11</w:t>
      </w:r>
      <w:r>
        <w:rPr>
          <w:rFonts w:ascii="Times New Roman" w:eastAsia="Times New Roman" w:hAnsi="Times New Roman" w:cs="Times New Roman"/>
          <w:b/>
          <w:sz w:val="24"/>
          <w:szCs w:val="24"/>
        </w:rPr>
        <w:t xml:space="preserve">. </w:t>
      </w:r>
      <w:r>
        <w:rPr>
          <w:rFonts w:ascii="Times New Roman" w:eastAsia="Times New Roman" w:hAnsi="Times New Roman" w:cs="Times New Roman"/>
          <w:color w:val="000000"/>
          <w:sz w:val="24"/>
          <w:szCs w:val="24"/>
        </w:rPr>
        <w:t>Specific capacitance of activation temperature variation</w:t>
      </w:r>
    </w:p>
    <w:tbl>
      <w:tblPr>
        <w:tblStyle w:val="ae"/>
        <w:tblW w:w="5760" w:type="dxa"/>
        <w:jc w:val="center"/>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695"/>
        <w:gridCol w:w="3065"/>
      </w:tblGrid>
      <w:tr w:rsidR="00EF304C" w14:paraId="0DD92E49" w14:textId="77777777">
        <w:trPr>
          <w:jc w:val="center"/>
        </w:trPr>
        <w:tc>
          <w:tcPr>
            <w:tcW w:w="2695" w:type="dxa"/>
            <w:tcBorders>
              <w:top w:val="single" w:sz="4" w:space="0" w:color="000000"/>
              <w:bottom w:val="single" w:sz="4" w:space="0" w:color="000000"/>
            </w:tcBorders>
          </w:tcPr>
          <w:p w14:paraId="4DEE8A83"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Sample</w:t>
            </w:r>
          </w:p>
        </w:tc>
        <w:tc>
          <w:tcPr>
            <w:tcW w:w="3065" w:type="dxa"/>
            <w:tcBorders>
              <w:top w:val="single" w:sz="4" w:space="0" w:color="000000"/>
              <w:bottom w:val="single" w:sz="4" w:space="0" w:color="000000"/>
            </w:tcBorders>
          </w:tcPr>
          <w:p w14:paraId="5344B4CE" w14:textId="77777777" w:rsidR="00EF304C" w:rsidRDefault="00000000">
            <w:pPr>
              <w:pBdr>
                <w:top w:val="nil"/>
                <w:left w:val="nil"/>
                <w:bottom w:val="nil"/>
                <w:right w:val="nil"/>
                <w:between w:val="nil"/>
              </w:pBdr>
              <w:spacing w:line="276" w:lineRule="auto"/>
              <w:jc w:val="center"/>
              <w:rPr>
                <w:b/>
                <w:color w:val="000000"/>
                <w:sz w:val="24"/>
                <w:szCs w:val="24"/>
              </w:rPr>
            </w:pPr>
            <w:r>
              <w:rPr>
                <w:b/>
                <w:color w:val="000000"/>
                <w:sz w:val="24"/>
                <w:szCs w:val="24"/>
              </w:rPr>
              <w:t>Specific Capacitance (F.g</w:t>
            </w:r>
            <w:r>
              <w:rPr>
                <w:b/>
                <w:color w:val="000000"/>
                <w:sz w:val="24"/>
                <w:szCs w:val="24"/>
                <w:vertAlign w:val="superscript"/>
              </w:rPr>
              <w:t>-1</w:t>
            </w:r>
            <w:r>
              <w:rPr>
                <w:b/>
                <w:color w:val="000000"/>
                <w:sz w:val="24"/>
                <w:szCs w:val="24"/>
              </w:rPr>
              <w:t>)</w:t>
            </w:r>
          </w:p>
        </w:tc>
      </w:tr>
      <w:tr w:rsidR="00EF304C" w14:paraId="7F7692A0" w14:textId="77777777">
        <w:trPr>
          <w:jc w:val="center"/>
        </w:trPr>
        <w:tc>
          <w:tcPr>
            <w:tcW w:w="2695" w:type="dxa"/>
            <w:tcBorders>
              <w:top w:val="single" w:sz="4" w:space="0" w:color="000000"/>
            </w:tcBorders>
          </w:tcPr>
          <w:p w14:paraId="5FD16C2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KA-700</w:t>
            </w:r>
          </w:p>
        </w:tc>
        <w:tc>
          <w:tcPr>
            <w:tcW w:w="3065" w:type="dxa"/>
            <w:tcBorders>
              <w:top w:val="single" w:sz="4" w:space="0" w:color="000000"/>
            </w:tcBorders>
          </w:tcPr>
          <w:p w14:paraId="002DFE04"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77.11</w:t>
            </w:r>
          </w:p>
        </w:tc>
      </w:tr>
      <w:tr w:rsidR="00EF304C" w14:paraId="2D68B09C" w14:textId="77777777">
        <w:trPr>
          <w:jc w:val="center"/>
        </w:trPr>
        <w:tc>
          <w:tcPr>
            <w:tcW w:w="2695" w:type="dxa"/>
          </w:tcPr>
          <w:p w14:paraId="02E406A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KA-750</w:t>
            </w:r>
          </w:p>
        </w:tc>
        <w:tc>
          <w:tcPr>
            <w:tcW w:w="3065" w:type="dxa"/>
          </w:tcPr>
          <w:p w14:paraId="00E00692"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65.41</w:t>
            </w:r>
          </w:p>
        </w:tc>
      </w:tr>
      <w:tr w:rsidR="00EF304C" w14:paraId="35901769" w14:textId="77777777">
        <w:trPr>
          <w:jc w:val="center"/>
        </w:trPr>
        <w:tc>
          <w:tcPr>
            <w:tcW w:w="2695" w:type="dxa"/>
          </w:tcPr>
          <w:p w14:paraId="244C2988"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KA-800</w:t>
            </w:r>
          </w:p>
        </w:tc>
        <w:tc>
          <w:tcPr>
            <w:tcW w:w="3065" w:type="dxa"/>
          </w:tcPr>
          <w:p w14:paraId="18E21D7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66.16</w:t>
            </w:r>
          </w:p>
        </w:tc>
      </w:tr>
      <w:tr w:rsidR="00EF304C" w14:paraId="02B8FEDD" w14:textId="77777777">
        <w:trPr>
          <w:jc w:val="center"/>
        </w:trPr>
        <w:tc>
          <w:tcPr>
            <w:tcW w:w="2695" w:type="dxa"/>
          </w:tcPr>
          <w:p w14:paraId="73DEDE7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KA-850</w:t>
            </w:r>
          </w:p>
        </w:tc>
        <w:tc>
          <w:tcPr>
            <w:tcW w:w="3065" w:type="dxa"/>
          </w:tcPr>
          <w:p w14:paraId="48085530"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59.64</w:t>
            </w:r>
          </w:p>
        </w:tc>
      </w:tr>
      <w:tr w:rsidR="00EF304C" w14:paraId="20D41A47" w14:textId="77777777">
        <w:trPr>
          <w:jc w:val="center"/>
        </w:trPr>
        <w:tc>
          <w:tcPr>
            <w:tcW w:w="2695" w:type="dxa"/>
          </w:tcPr>
          <w:p w14:paraId="0E161165"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KA-900</w:t>
            </w:r>
          </w:p>
        </w:tc>
        <w:tc>
          <w:tcPr>
            <w:tcW w:w="3065" w:type="dxa"/>
          </w:tcPr>
          <w:p w14:paraId="7FA61081" w14:textId="77777777" w:rsidR="00EF304C" w:rsidRDefault="00000000">
            <w:pPr>
              <w:pBdr>
                <w:top w:val="nil"/>
                <w:left w:val="nil"/>
                <w:bottom w:val="nil"/>
                <w:right w:val="nil"/>
                <w:between w:val="nil"/>
              </w:pBdr>
              <w:spacing w:line="276" w:lineRule="auto"/>
              <w:jc w:val="center"/>
              <w:rPr>
                <w:color w:val="000000"/>
                <w:sz w:val="24"/>
                <w:szCs w:val="24"/>
              </w:rPr>
            </w:pPr>
            <w:r>
              <w:rPr>
                <w:color w:val="000000"/>
                <w:sz w:val="24"/>
                <w:szCs w:val="24"/>
              </w:rPr>
              <w:t>96.41</w:t>
            </w:r>
          </w:p>
        </w:tc>
      </w:tr>
    </w:tbl>
    <w:p w14:paraId="0400E18D" w14:textId="77777777" w:rsidR="00EF304C" w:rsidRDefault="00EF304C">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p>
    <w:p w14:paraId="30D983D7"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Increasing the physical activation temperature of samples KA-700 to KA-900 significantly changes the porosity structure with a combination of micro and mesopores, where micro and mesopores contribute to providing short ion exchange or transfer pathways and better ion flow. This </w:t>
      </w:r>
      <w:r>
        <w:rPr>
          <w:rFonts w:ascii="Times New Roman" w:eastAsia="Times New Roman" w:hAnsi="Times New Roman" w:cs="Times New Roman"/>
          <w:sz w:val="24"/>
          <w:szCs w:val="24"/>
        </w:rPr>
        <w:t>results in</w:t>
      </w:r>
      <w:r>
        <w:rPr>
          <w:rFonts w:ascii="Times New Roman" w:eastAsia="Times New Roman" w:hAnsi="Times New Roman" w:cs="Times New Roman"/>
          <w:color w:val="000000"/>
          <w:sz w:val="24"/>
          <w:szCs w:val="24"/>
        </w:rPr>
        <w:t xml:space="preserve"> high electrochemical properties on the battery electrodes </w:t>
      </w:r>
      <w:r>
        <w:rPr>
          <w:rFonts w:ascii="Times New Roman" w:eastAsia="Times New Roman" w:hAnsi="Times New Roman" w:cs="Times New Roman"/>
          <w:b/>
          <w:color w:val="000000"/>
          <w:sz w:val="24"/>
          <w:szCs w:val="24"/>
        </w:rPr>
        <w:t>[41]</w:t>
      </w:r>
      <w:r>
        <w:rPr>
          <w:rFonts w:ascii="Times New Roman" w:eastAsia="Times New Roman" w:hAnsi="Times New Roman" w:cs="Times New Roman"/>
          <w:color w:val="000000"/>
          <w:sz w:val="24"/>
          <w:szCs w:val="24"/>
        </w:rPr>
        <w:t>.</w:t>
      </w:r>
    </w:p>
    <w:p w14:paraId="23A389A0" w14:textId="77777777" w:rsidR="00EF304C" w:rsidRDefault="00EF304C">
      <w:pPr>
        <w:pBdr>
          <w:top w:val="nil"/>
          <w:left w:val="nil"/>
          <w:bottom w:val="nil"/>
          <w:right w:val="nil"/>
          <w:between w:val="nil"/>
        </w:pBdr>
        <w:spacing w:after="0" w:line="276" w:lineRule="auto"/>
        <w:rPr>
          <w:rFonts w:ascii="Times New Roman" w:eastAsia="Times New Roman" w:hAnsi="Times New Roman" w:cs="Times New Roman"/>
          <w:color w:val="000000"/>
          <w:sz w:val="24"/>
          <w:szCs w:val="24"/>
        </w:rPr>
      </w:pPr>
    </w:p>
    <w:p w14:paraId="53E393A5" w14:textId="77777777" w:rsidR="00EF304C" w:rsidRDefault="00000000">
      <w:pPr>
        <w:pBdr>
          <w:top w:val="nil"/>
          <w:left w:val="nil"/>
          <w:bottom w:val="nil"/>
          <w:right w:val="nil"/>
          <w:between w:val="nil"/>
        </w:pBdr>
        <w:spacing w:after="0" w:line="276" w:lineRule="auto"/>
        <w:ind w:left="270" w:hanging="270"/>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3.6 Battery voltage comparison analysis</w:t>
      </w:r>
    </w:p>
    <w:p w14:paraId="5CA3F695" w14:textId="77777777" w:rsidR="00EF304C" w:rsidRDefault="00000000">
      <w:pPr>
        <w:spacing w:line="276" w:lineRule="auto"/>
        <w:ind w:firstLine="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battery voltage test results showed that the highest voltage of 1.17 V was achieved with activation using 2 M KOH, while immersing carbon for 18 hours resulted in 1.05 V. Physical activation at 900°C produced a voltage of 1.12 V, the highest among other temperatures tested. The surface area of the carbon significantly influences battery voltage. Higher carbon surface area correlates with increased capacitance and higher battery voltage (Fig. 8). On the contrary, a lower surface area of activated carbon generates a lower capacitance and voltage</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[42].</w:t>
      </w:r>
    </w:p>
    <w:tbl>
      <w:tblPr>
        <w:tblStyle w:val="af"/>
        <w:tblW w:w="10070" w:type="dxa"/>
        <w:tblBorders>
          <w:top w:val="nil"/>
          <w:left w:val="nil"/>
          <w:bottom w:val="nil"/>
          <w:right w:val="nil"/>
          <w:insideH w:val="nil"/>
          <w:insideV w:val="nil"/>
        </w:tblBorders>
        <w:tblLayout w:type="fixed"/>
        <w:tblLook w:val="0400" w:firstRow="0" w:lastRow="0" w:firstColumn="0" w:lastColumn="0" w:noHBand="0" w:noVBand="1"/>
      </w:tblPr>
      <w:tblGrid>
        <w:gridCol w:w="4565"/>
        <w:gridCol w:w="5505"/>
      </w:tblGrid>
      <w:tr w:rsidR="00EF304C" w14:paraId="72E75D66" w14:textId="77777777">
        <w:tc>
          <w:tcPr>
            <w:tcW w:w="4565" w:type="dxa"/>
          </w:tcPr>
          <w:p w14:paraId="1937A393" w14:textId="77777777" w:rsidR="00EF304C" w:rsidRDefault="00000000">
            <w:pPr>
              <w:jc w:val="center"/>
              <w:rPr>
                <w:sz w:val="24"/>
                <w:szCs w:val="24"/>
              </w:rPr>
            </w:pPr>
            <w:r>
              <w:rPr>
                <w:noProof/>
                <w:sz w:val="24"/>
                <w:szCs w:val="24"/>
              </w:rPr>
              <w:drawing>
                <wp:inline distT="0" distB="0" distL="0" distR="0" wp14:anchorId="2BF2564F" wp14:editId="0AE5D8F6">
                  <wp:extent cx="2480844" cy="1828800"/>
                  <wp:effectExtent l="0" t="0" r="0" b="0"/>
                  <wp:docPr id="3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7"/>
                          <a:srcRect/>
                          <a:stretch>
                            <a:fillRect/>
                          </a:stretch>
                        </pic:blipFill>
                        <pic:spPr>
                          <a:xfrm>
                            <a:off x="0" y="0"/>
                            <a:ext cx="2480844" cy="1828800"/>
                          </a:xfrm>
                          <a:prstGeom prst="rect">
                            <a:avLst/>
                          </a:prstGeom>
                          <a:ln/>
                        </pic:spPr>
                      </pic:pic>
                    </a:graphicData>
                  </a:graphic>
                </wp:inline>
              </w:drawing>
            </w:r>
          </w:p>
          <w:p w14:paraId="068AF208" w14:textId="77777777" w:rsidR="00EF304C" w:rsidRDefault="00000000">
            <w:pPr>
              <w:jc w:val="center"/>
              <w:rPr>
                <w:sz w:val="24"/>
                <w:szCs w:val="24"/>
              </w:rPr>
            </w:pPr>
            <w:r>
              <w:rPr>
                <w:sz w:val="24"/>
                <w:szCs w:val="24"/>
              </w:rPr>
              <w:t>(A)</w:t>
            </w:r>
          </w:p>
        </w:tc>
        <w:tc>
          <w:tcPr>
            <w:tcW w:w="5505" w:type="dxa"/>
          </w:tcPr>
          <w:p w14:paraId="1B73D627" w14:textId="77777777" w:rsidR="00EF304C" w:rsidRDefault="00000000">
            <w:pPr>
              <w:jc w:val="center"/>
              <w:rPr>
                <w:sz w:val="24"/>
                <w:szCs w:val="24"/>
              </w:rPr>
            </w:pPr>
            <w:r>
              <w:rPr>
                <w:noProof/>
                <w:sz w:val="24"/>
                <w:szCs w:val="24"/>
              </w:rPr>
              <w:drawing>
                <wp:inline distT="0" distB="0" distL="0" distR="0" wp14:anchorId="2EC11B0D" wp14:editId="413798B7">
                  <wp:extent cx="3358573" cy="1828800"/>
                  <wp:effectExtent l="0" t="0" r="0" b="0"/>
                  <wp:docPr id="3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8"/>
                          <a:srcRect/>
                          <a:stretch>
                            <a:fillRect/>
                          </a:stretch>
                        </pic:blipFill>
                        <pic:spPr>
                          <a:xfrm>
                            <a:off x="0" y="0"/>
                            <a:ext cx="3358573" cy="1828800"/>
                          </a:xfrm>
                          <a:prstGeom prst="rect">
                            <a:avLst/>
                          </a:prstGeom>
                          <a:ln/>
                        </pic:spPr>
                      </pic:pic>
                    </a:graphicData>
                  </a:graphic>
                </wp:inline>
              </w:drawing>
            </w:r>
          </w:p>
          <w:p w14:paraId="45EB6751" w14:textId="77777777" w:rsidR="00EF304C" w:rsidRDefault="00000000">
            <w:pPr>
              <w:jc w:val="center"/>
              <w:rPr>
                <w:sz w:val="24"/>
                <w:szCs w:val="24"/>
              </w:rPr>
            </w:pPr>
            <w:r>
              <w:rPr>
                <w:sz w:val="24"/>
                <w:szCs w:val="24"/>
              </w:rPr>
              <w:t>(B)</w:t>
            </w:r>
          </w:p>
        </w:tc>
      </w:tr>
      <w:tr w:rsidR="00EF304C" w14:paraId="1FFCD766" w14:textId="77777777">
        <w:tc>
          <w:tcPr>
            <w:tcW w:w="10070" w:type="dxa"/>
            <w:gridSpan w:val="2"/>
          </w:tcPr>
          <w:p w14:paraId="30F6FD21" w14:textId="77777777" w:rsidR="00EF304C" w:rsidRDefault="00000000">
            <w:pPr>
              <w:jc w:val="center"/>
              <w:rPr>
                <w:sz w:val="24"/>
                <w:szCs w:val="24"/>
              </w:rPr>
            </w:pPr>
            <w:r>
              <w:rPr>
                <w:noProof/>
                <w:sz w:val="24"/>
                <w:szCs w:val="24"/>
              </w:rPr>
              <w:lastRenderedPageBreak/>
              <w:drawing>
                <wp:inline distT="0" distB="0" distL="0" distR="0" wp14:anchorId="0CEA79E7" wp14:editId="1A534918">
                  <wp:extent cx="3495490" cy="1828800"/>
                  <wp:effectExtent l="0" t="0" r="0" b="0"/>
                  <wp:docPr id="3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9"/>
                          <a:srcRect/>
                          <a:stretch>
                            <a:fillRect/>
                          </a:stretch>
                        </pic:blipFill>
                        <pic:spPr>
                          <a:xfrm>
                            <a:off x="0" y="0"/>
                            <a:ext cx="3495490" cy="1828800"/>
                          </a:xfrm>
                          <a:prstGeom prst="rect">
                            <a:avLst/>
                          </a:prstGeom>
                          <a:ln/>
                        </pic:spPr>
                      </pic:pic>
                    </a:graphicData>
                  </a:graphic>
                </wp:inline>
              </w:drawing>
            </w:r>
          </w:p>
          <w:p w14:paraId="0E59A432" w14:textId="77777777" w:rsidR="00EF304C" w:rsidRDefault="00000000">
            <w:pPr>
              <w:jc w:val="center"/>
              <w:rPr>
                <w:sz w:val="24"/>
                <w:szCs w:val="24"/>
              </w:rPr>
            </w:pPr>
            <w:r>
              <w:rPr>
                <w:sz w:val="24"/>
                <w:szCs w:val="24"/>
              </w:rPr>
              <w:t>(C)</w:t>
            </w:r>
          </w:p>
        </w:tc>
      </w:tr>
    </w:tbl>
    <w:p w14:paraId="41E0379A" w14:textId="77777777" w:rsidR="00EF304C" w:rsidRDefault="00000000">
      <w:pPr>
        <w:ind w:firstLine="45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8. </w:t>
      </w:r>
      <w:r>
        <w:rPr>
          <w:rFonts w:ascii="Times New Roman" w:eastAsia="Times New Roman" w:hAnsi="Times New Roman" w:cs="Times New Roman"/>
          <w:sz w:val="24"/>
          <w:szCs w:val="24"/>
        </w:rPr>
        <w:t>Prototype battery voltage test, (A) KA-2-0, (B) KA-18, (C) KA-900</w:t>
      </w:r>
    </w:p>
    <w:p w14:paraId="51C1D6BA" w14:textId="77777777" w:rsidR="00EF304C" w:rsidRDefault="00EF304C">
      <w:pPr>
        <w:ind w:firstLine="450"/>
        <w:jc w:val="center"/>
        <w:rPr>
          <w:rFonts w:ascii="Times New Roman" w:eastAsia="Times New Roman" w:hAnsi="Times New Roman" w:cs="Times New Roman"/>
          <w:sz w:val="24"/>
          <w:szCs w:val="24"/>
        </w:rPr>
      </w:pPr>
    </w:p>
    <w:p w14:paraId="145777DD" w14:textId="77777777" w:rsidR="00EF304C" w:rsidRDefault="00000000">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3.7 Mechanism reaction in the battery system</w:t>
      </w:r>
    </w:p>
    <w:p w14:paraId="7A9E080A" w14:textId="77777777" w:rsidR="00EF304C" w:rsidRDefault="00EF304C">
      <w:pPr>
        <w:pBdr>
          <w:top w:val="nil"/>
          <w:left w:val="nil"/>
          <w:bottom w:val="nil"/>
          <w:right w:val="nil"/>
          <w:between w:val="nil"/>
        </w:pBdr>
        <w:spacing w:after="0" w:line="276" w:lineRule="auto"/>
        <w:jc w:val="both"/>
        <w:rPr>
          <w:rFonts w:ascii="Times New Roman" w:eastAsia="Times New Roman" w:hAnsi="Times New Roman" w:cs="Times New Roman"/>
          <w:i/>
          <w:color w:val="000000"/>
          <w:sz w:val="24"/>
          <w:szCs w:val="24"/>
        </w:rPr>
      </w:pPr>
    </w:p>
    <w:p w14:paraId="1BA74EA9"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Electron flow that generates electricity within the battery illustrated in Fig.9. The carbon electrodes in these batteries do not produce electricity nor </w:t>
      </w:r>
      <w:r>
        <w:rPr>
          <w:rFonts w:ascii="Times New Roman" w:eastAsia="Times New Roman" w:hAnsi="Times New Roman" w:cs="Times New Roman"/>
          <w:sz w:val="24"/>
          <w:szCs w:val="24"/>
        </w:rPr>
        <w:t>do they react</w:t>
      </w:r>
      <w:r>
        <w:rPr>
          <w:rFonts w:ascii="Times New Roman" w:eastAsia="Times New Roman" w:hAnsi="Times New Roman" w:cs="Times New Roman"/>
          <w:color w:val="000000"/>
          <w:sz w:val="24"/>
          <w:szCs w:val="24"/>
        </w:rPr>
        <w:t xml:space="preserve"> with other elements. Instead, these electrodes serve an inert role, primarily functioning to store the energy within the battery. This inertness is crucial for maintaining the stability and efficiency of the battery's energy storage capability </w:t>
      </w:r>
      <w:r>
        <w:rPr>
          <w:rFonts w:ascii="Times New Roman" w:eastAsia="Times New Roman" w:hAnsi="Times New Roman" w:cs="Times New Roman"/>
          <w:b/>
          <w:color w:val="000000"/>
          <w:sz w:val="24"/>
          <w:szCs w:val="24"/>
        </w:rPr>
        <w:t>[43]</w:t>
      </w:r>
      <w:r>
        <w:rPr>
          <w:rFonts w:ascii="Times New Roman" w:eastAsia="Times New Roman" w:hAnsi="Times New Roman" w:cs="Times New Roman"/>
          <w:color w:val="000000"/>
          <w:sz w:val="24"/>
          <w:szCs w:val="24"/>
        </w:rPr>
        <w:t>. Sodium chloride (NaCl) is introduced into the electrode to establish a potential difference, where the electrode serves as the cathode. This potential difference drives the movement of electrons from higher to lower potential. The reaction below describes how electric current is generated in the battery (Fig. 7).</w:t>
      </w:r>
    </w:p>
    <w:p w14:paraId="7C8179F0"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carbon electrode functions as the anode interacts with the cathode and the solid electrolyte PVA-K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In the battery, the electrolysis reaction involves the decomposition of the 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 xml:space="preserve">3 </w:t>
      </w:r>
      <w:r>
        <w:rPr>
          <w:rFonts w:ascii="Times New Roman" w:eastAsia="Times New Roman" w:hAnsi="Times New Roman" w:cs="Times New Roman"/>
          <w:color w:val="000000"/>
          <w:sz w:val="24"/>
          <w:szCs w:val="24"/>
        </w:rPr>
        <w:t>electrolyte, yielding 2K</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xml:space="preserve"> and CO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ions. </w:t>
      </w:r>
      <w:r>
        <w:rPr>
          <w:rFonts w:ascii="Times New Roman" w:eastAsia="Times New Roman" w:hAnsi="Times New Roman" w:cs="Times New Roman"/>
          <w:b/>
          <w:color w:val="000000"/>
          <w:sz w:val="24"/>
          <w:szCs w:val="24"/>
        </w:rPr>
        <w:t>[44]</w:t>
      </w:r>
      <w:r>
        <w:rPr>
          <w:rFonts w:ascii="Times New Roman" w:eastAsia="Times New Roman" w:hAnsi="Times New Roman" w:cs="Times New Roman"/>
          <w:color w:val="000000"/>
          <w:sz w:val="24"/>
          <w:szCs w:val="24"/>
        </w:rPr>
        <w:t>. At the cathode, the reaction involves the ions present in the electrolyte, specifically K+ cations. However, the K+ ions do not directly participate in the reaction. Instead, water molecules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O) are the substances that react at the cathode. If this reaction continues, the anode will degrade completely in the electrolyte and the battery will run out of power </w:t>
      </w:r>
      <w:r>
        <w:rPr>
          <w:rFonts w:ascii="Times New Roman" w:eastAsia="Times New Roman" w:hAnsi="Times New Roman" w:cs="Times New Roman"/>
          <w:b/>
          <w:color w:val="000000"/>
          <w:sz w:val="24"/>
          <w:szCs w:val="24"/>
        </w:rPr>
        <w:t>[45]</w:t>
      </w:r>
      <w:r>
        <w:rPr>
          <w:rFonts w:ascii="Times New Roman" w:eastAsia="Times New Roman" w:hAnsi="Times New Roman" w:cs="Times New Roman"/>
          <w:color w:val="000000"/>
          <w:sz w:val="24"/>
          <w:szCs w:val="24"/>
        </w:rPr>
        <w:t xml:space="preserve"> .</w:t>
      </w:r>
    </w:p>
    <w:p w14:paraId="0E2FF682" w14:textId="77777777" w:rsidR="00EF304C" w:rsidRDefault="00EF304C">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p>
    <w:p w14:paraId="611098B0"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Electrolyte: K</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vertAlign w:val="subscript"/>
        </w:rPr>
        <w:t xml:space="preserve">3 </w:t>
      </w:r>
      <m:oMath>
        <m:r>
          <w:rPr>
            <w:rFonts w:ascii="Cambria Math" w:hAnsi="Cambria Math"/>
          </w:rPr>
          <m:t>→</m:t>
        </m:r>
      </m:oMath>
      <w:r>
        <w:rPr>
          <w:rFonts w:ascii="Times New Roman" w:eastAsia="Times New Roman" w:hAnsi="Times New Roman" w:cs="Times New Roman"/>
          <w:color w:val="000000"/>
          <w:sz w:val="24"/>
          <w:szCs w:val="24"/>
          <w:vertAlign w:val="subscript"/>
        </w:rPr>
        <w:t xml:space="preserve"> </w:t>
      </w:r>
      <w:r>
        <w:rPr>
          <w:rFonts w:ascii="Times New Roman" w:eastAsia="Times New Roman" w:hAnsi="Times New Roman" w:cs="Times New Roman"/>
          <w:color w:val="000000"/>
          <w:sz w:val="24"/>
          <w:szCs w:val="24"/>
        </w:rPr>
        <w:t>2K</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CO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vertAlign w:val="superscript"/>
        </w:rPr>
        <w:t>2-</w:t>
      </w:r>
    </w:p>
    <w:p w14:paraId="54BE925F"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Cathode: 2H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+ 2e</w:t>
      </w:r>
      <w:r>
        <w:rPr>
          <w:rFonts w:ascii="Times New Roman" w:eastAsia="Times New Roman" w:hAnsi="Times New Roman" w:cs="Times New Roman"/>
          <w:color w:val="000000"/>
          <w:sz w:val="24"/>
          <w:szCs w:val="24"/>
          <w:vertAlign w:val="superscript"/>
        </w:rPr>
        <w:t xml:space="preserve">- </w:t>
      </w:r>
      <m:oMath>
        <m:r>
          <w:rPr>
            <w:rFonts w:ascii="Cambria Math" w:hAnsi="Cambria Math"/>
          </w:rPr>
          <m:t>→</m:t>
        </m:r>
      </m:oMath>
      <w:r>
        <w:rPr>
          <w:rFonts w:ascii="Times New Roman" w:eastAsia="Times New Roman" w:hAnsi="Times New Roman" w:cs="Times New Roman"/>
          <w:color w:val="000000"/>
          <w:sz w:val="24"/>
          <w:szCs w:val="24"/>
          <w:vertAlign w:val="subscript"/>
        </w:rPr>
        <w:t xml:space="preserve"> </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+ 2OH</w:t>
      </w:r>
      <w:r>
        <w:rPr>
          <w:rFonts w:ascii="Times New Roman" w:eastAsia="Times New Roman" w:hAnsi="Times New Roman" w:cs="Times New Roman"/>
          <w:color w:val="000000"/>
          <w:sz w:val="24"/>
          <w:szCs w:val="24"/>
          <w:vertAlign w:val="superscript"/>
        </w:rPr>
        <w:t>-</w:t>
      </w:r>
    </w:p>
    <w:p w14:paraId="2E0218B6"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Anode: 2H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+ 4H</w:t>
      </w:r>
      <w:r>
        <w:rPr>
          <w:rFonts w:ascii="Times New Roman" w:eastAsia="Times New Roman" w:hAnsi="Times New Roman" w:cs="Times New Roman"/>
          <w:color w:val="000000"/>
          <w:sz w:val="24"/>
          <w:szCs w:val="24"/>
          <w:vertAlign w:val="superscript"/>
        </w:rPr>
        <w:t xml:space="preserve">+ </w:t>
      </w:r>
      <m:oMath>
        <m:r>
          <w:rPr>
            <w:rFonts w:ascii="Cambria Math" w:hAnsi="Cambria Math"/>
          </w:rPr>
          <m:t>→</m:t>
        </m:r>
      </m:oMath>
      <w:r>
        <w:rPr>
          <w:rFonts w:ascii="Times New Roman" w:eastAsia="Times New Roman" w:hAnsi="Times New Roman" w:cs="Times New Roman"/>
          <w:color w:val="000000"/>
          <w:sz w:val="24"/>
          <w:szCs w:val="24"/>
          <w:vertAlign w:val="subscript"/>
        </w:rPr>
        <w:t xml:space="preserve"> </w:t>
      </w:r>
      <w:r>
        <w:rPr>
          <w:rFonts w:ascii="Times New Roman" w:eastAsia="Times New Roman" w:hAnsi="Times New Roman" w:cs="Times New Roman"/>
          <w:color w:val="000000"/>
          <w:sz w:val="24"/>
          <w:szCs w:val="24"/>
        </w:rPr>
        <w:t>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+ 4e</w:t>
      </w:r>
      <w:r>
        <w:rPr>
          <w:rFonts w:ascii="Times New Roman" w:eastAsia="Times New Roman" w:hAnsi="Times New Roman" w:cs="Times New Roman"/>
          <w:color w:val="000000"/>
          <w:sz w:val="24"/>
          <w:szCs w:val="24"/>
          <w:vertAlign w:val="superscript"/>
        </w:rPr>
        <w:t>-</w:t>
      </w:r>
    </w:p>
    <w:p w14:paraId="217ABB90" w14:textId="77777777" w:rsidR="00EF304C" w:rsidRDefault="00000000">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vertAlign w:val="subscript"/>
        </w:rPr>
      </w:pPr>
      <w:r>
        <w:rPr>
          <w:rFonts w:ascii="Times New Roman" w:eastAsia="Times New Roman" w:hAnsi="Times New Roman" w:cs="Times New Roman"/>
          <w:color w:val="000000"/>
          <w:sz w:val="24"/>
          <w:szCs w:val="24"/>
        </w:rPr>
        <w:t>Reaction: 6H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O </w:t>
      </w:r>
      <m:oMath>
        <m:r>
          <w:rPr>
            <w:rFonts w:ascii="Cambria Math" w:hAnsi="Cambria Math"/>
          </w:rPr>
          <m:t>→</m:t>
        </m:r>
      </m:oMath>
      <w:r>
        <w:rPr>
          <w:rFonts w:ascii="Times New Roman" w:eastAsia="Times New Roman" w:hAnsi="Times New Roman" w:cs="Times New Roman"/>
          <w:color w:val="000000"/>
          <w:sz w:val="24"/>
          <w:szCs w:val="24"/>
          <w:vertAlign w:val="subscript"/>
        </w:rPr>
        <w:t xml:space="preserve"> </w:t>
      </w:r>
      <w:r>
        <w:rPr>
          <w:rFonts w:ascii="Times New Roman" w:eastAsia="Times New Roman" w:hAnsi="Times New Roman" w:cs="Times New Roman"/>
          <w:color w:val="000000"/>
          <w:sz w:val="24"/>
          <w:szCs w:val="24"/>
        </w:rPr>
        <w:t>4OH</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+ 2H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+ 4H</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xml:space="preserve"> + O</w:t>
      </w:r>
      <w:r>
        <w:rPr>
          <w:rFonts w:ascii="Times New Roman" w:eastAsia="Times New Roman" w:hAnsi="Times New Roman" w:cs="Times New Roman"/>
          <w:color w:val="000000"/>
          <w:sz w:val="24"/>
          <w:szCs w:val="24"/>
          <w:vertAlign w:val="subscript"/>
        </w:rPr>
        <w:t>2</w:t>
      </w:r>
    </w:p>
    <w:p w14:paraId="7C7A34B0" w14:textId="77777777" w:rsidR="00EF304C" w:rsidRDefault="00EF304C">
      <w:pPr>
        <w:pBdr>
          <w:top w:val="nil"/>
          <w:left w:val="nil"/>
          <w:bottom w:val="nil"/>
          <w:right w:val="nil"/>
          <w:between w:val="nil"/>
        </w:pBdr>
        <w:spacing w:after="0" w:line="276" w:lineRule="auto"/>
        <w:jc w:val="center"/>
        <w:rPr>
          <w:rFonts w:ascii="Times New Roman" w:eastAsia="Times New Roman" w:hAnsi="Times New Roman" w:cs="Times New Roman"/>
          <w:color w:val="000000"/>
          <w:sz w:val="24"/>
          <w:szCs w:val="24"/>
        </w:rPr>
      </w:pPr>
    </w:p>
    <w:p w14:paraId="774438AC"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Electrodes from biomass that are processed into active carbon are inert materials or materials that cannot react </w:t>
      </w:r>
      <w:r>
        <w:rPr>
          <w:rFonts w:ascii="Times New Roman" w:eastAsia="Times New Roman" w:hAnsi="Times New Roman" w:cs="Times New Roman"/>
          <w:b/>
          <w:color w:val="000000"/>
          <w:sz w:val="24"/>
          <w:szCs w:val="24"/>
        </w:rPr>
        <w:t>[46]</w:t>
      </w:r>
      <w:r>
        <w:rPr>
          <w:rFonts w:ascii="Times New Roman" w:eastAsia="Times New Roman" w:hAnsi="Times New Roman" w:cs="Times New Roman"/>
          <w:color w:val="000000"/>
          <w:sz w:val="24"/>
          <w:szCs w:val="24"/>
        </w:rPr>
        <w:t xml:space="preserve">. So to create conditions with different potentials, one way is by adding an electrode such as sodium chloride (NaCl), so the reaction can occur as it should. Initially, the reaction that occurs is oxidation on the anode which results in the ionization of NaCl where ions dissolved on the electrode will produce electrons that move from the current collector to the cathode to be translated into electrical energy </w:t>
      </w:r>
      <w:r>
        <w:rPr>
          <w:rFonts w:ascii="Times New Roman" w:eastAsia="Times New Roman" w:hAnsi="Times New Roman" w:cs="Times New Roman"/>
          <w:b/>
          <w:color w:val="000000"/>
          <w:sz w:val="24"/>
          <w:szCs w:val="24"/>
        </w:rPr>
        <w:t>[47]</w:t>
      </w:r>
      <w:r>
        <w:rPr>
          <w:rFonts w:ascii="Times New Roman" w:eastAsia="Times New Roman" w:hAnsi="Times New Roman" w:cs="Times New Roman"/>
          <w:color w:val="000000"/>
          <w:sz w:val="24"/>
          <w:szCs w:val="24"/>
        </w:rPr>
        <w:t xml:space="preserve">. In the </w:t>
      </w:r>
      <w:r>
        <w:rPr>
          <w:rFonts w:ascii="Times New Roman" w:eastAsia="Times New Roman" w:hAnsi="Times New Roman" w:cs="Times New Roman"/>
          <w:sz w:val="24"/>
          <w:szCs w:val="24"/>
        </w:rPr>
        <w:t>electrode it can</w:t>
      </w:r>
      <w:r>
        <w:rPr>
          <w:rFonts w:ascii="Times New Roman" w:eastAsia="Times New Roman" w:hAnsi="Times New Roman" w:cs="Times New Roman"/>
          <w:color w:val="000000"/>
          <w:sz w:val="24"/>
          <w:szCs w:val="24"/>
        </w:rPr>
        <w:t xml:space="preserve"> be seen that there is migration of negative ions (anions) in the electrolyte, attracted to the anode side and vice versa to the cathode which corresponds to the electrode potential (Fig. </w:t>
      </w:r>
      <w:r>
        <w:rPr>
          <w:rFonts w:ascii="Times New Roman" w:eastAsia="Times New Roman" w:hAnsi="Times New Roman" w:cs="Times New Roman"/>
          <w:color w:val="000000"/>
          <w:sz w:val="24"/>
          <w:szCs w:val="24"/>
        </w:rPr>
        <w:lastRenderedPageBreak/>
        <w:t xml:space="preserve">9). In the 2K+ half-reaction, carbon degradation will occur and capacity will decrease as the battery life increases, and this also results in the battery not being able to withstand the reaction for a long time </w:t>
      </w:r>
      <w:r>
        <w:rPr>
          <w:rFonts w:ascii="Times New Roman" w:eastAsia="Times New Roman" w:hAnsi="Times New Roman" w:cs="Times New Roman"/>
          <w:b/>
          <w:color w:val="000000"/>
          <w:sz w:val="24"/>
          <w:szCs w:val="24"/>
        </w:rPr>
        <w:t>[48]</w:t>
      </w:r>
      <w:r>
        <w:rPr>
          <w:rFonts w:ascii="Times New Roman" w:eastAsia="Times New Roman" w:hAnsi="Times New Roman" w:cs="Times New Roman"/>
          <w:color w:val="000000"/>
          <w:sz w:val="24"/>
          <w:szCs w:val="24"/>
        </w:rPr>
        <w:t>.</w:t>
      </w:r>
    </w:p>
    <w:p w14:paraId="0F3F1EB1"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0"/>
          <w:szCs w:val="20"/>
        </w:rPr>
        <w:drawing>
          <wp:inline distT="0" distB="0" distL="0" distR="0" wp14:anchorId="0827DDB6" wp14:editId="7C71473C">
            <wp:extent cx="3119120" cy="2251075"/>
            <wp:effectExtent l="0" t="0" r="0" b="0"/>
            <wp:docPr id="33" name="image1.png" descr="C:\Users\User\Downloads\mekanisme baterai-01.png"/>
            <wp:cNvGraphicFramePr/>
            <a:graphic xmlns:a="http://schemas.openxmlformats.org/drawingml/2006/main">
              <a:graphicData uri="http://schemas.openxmlformats.org/drawingml/2006/picture">
                <pic:pic xmlns:pic="http://schemas.openxmlformats.org/drawingml/2006/picture">
                  <pic:nvPicPr>
                    <pic:cNvPr id="0" name="image1.png" descr="C:\Users\User\Downloads\mekanisme baterai-01.png"/>
                    <pic:cNvPicPr preferRelativeResize="0"/>
                  </pic:nvPicPr>
                  <pic:blipFill>
                    <a:blip r:embed="rId30"/>
                    <a:srcRect l="2952" t="20451" b="9523"/>
                    <a:stretch>
                      <a:fillRect/>
                    </a:stretch>
                  </pic:blipFill>
                  <pic:spPr>
                    <a:xfrm>
                      <a:off x="0" y="0"/>
                      <a:ext cx="3119120" cy="2251075"/>
                    </a:xfrm>
                    <a:prstGeom prst="rect">
                      <a:avLst/>
                    </a:prstGeom>
                    <a:ln/>
                  </pic:spPr>
                </pic:pic>
              </a:graphicData>
            </a:graphic>
          </wp:inline>
        </w:drawing>
      </w:r>
    </w:p>
    <w:p w14:paraId="038917B0" w14:textId="77777777" w:rsidR="00EF304C"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Fig. 9. </w:t>
      </w:r>
      <w:r>
        <w:rPr>
          <w:rFonts w:ascii="Times New Roman" w:eastAsia="Times New Roman" w:hAnsi="Times New Roman" w:cs="Times New Roman"/>
          <w:color w:val="000000"/>
          <w:sz w:val="24"/>
          <w:szCs w:val="24"/>
        </w:rPr>
        <w:t>Mechanism reaction in the battery system</w:t>
      </w:r>
    </w:p>
    <w:p w14:paraId="3D5E74EF" w14:textId="77777777" w:rsidR="00EF304C" w:rsidRDefault="00EF304C">
      <w:pPr>
        <w:pBdr>
          <w:top w:val="nil"/>
          <w:left w:val="nil"/>
          <w:bottom w:val="nil"/>
          <w:right w:val="nil"/>
          <w:between w:val="nil"/>
        </w:pBdr>
        <w:spacing w:after="0" w:line="240" w:lineRule="auto"/>
        <w:ind w:firstLine="270"/>
        <w:jc w:val="both"/>
        <w:rPr>
          <w:rFonts w:ascii="Times New Roman" w:eastAsia="Times New Roman" w:hAnsi="Times New Roman" w:cs="Times New Roman"/>
          <w:color w:val="000000"/>
          <w:sz w:val="24"/>
          <w:szCs w:val="24"/>
        </w:rPr>
      </w:pPr>
    </w:p>
    <w:p w14:paraId="6BB8BEED" w14:textId="77777777" w:rsidR="00EF304C" w:rsidRDefault="00000000">
      <w:pPr>
        <w:numPr>
          <w:ilvl w:val="0"/>
          <w:numId w:val="1"/>
        </w:numPr>
        <w:pBdr>
          <w:top w:val="nil"/>
          <w:left w:val="nil"/>
          <w:bottom w:val="nil"/>
          <w:right w:val="nil"/>
          <w:between w:val="nil"/>
        </w:pBdr>
        <w:spacing w:after="0" w:line="276"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Conclusions</w:t>
      </w:r>
    </w:p>
    <w:p w14:paraId="29817C97" w14:textId="77777777" w:rsidR="00EF304C" w:rsidRDefault="00EF304C">
      <w:pPr>
        <w:pBdr>
          <w:top w:val="nil"/>
          <w:left w:val="nil"/>
          <w:bottom w:val="nil"/>
          <w:right w:val="nil"/>
          <w:between w:val="nil"/>
        </w:pBdr>
        <w:spacing w:after="0" w:line="276" w:lineRule="auto"/>
        <w:ind w:left="360"/>
        <w:rPr>
          <w:rFonts w:ascii="Times New Roman" w:eastAsia="Times New Roman" w:hAnsi="Times New Roman" w:cs="Times New Roman"/>
          <w:color w:val="000000"/>
          <w:sz w:val="24"/>
          <w:szCs w:val="24"/>
        </w:rPr>
      </w:pPr>
    </w:p>
    <w:p w14:paraId="6795754F" w14:textId="77777777" w:rsidR="00EF304C" w:rsidRDefault="00000000">
      <w:pPr>
        <w:pBdr>
          <w:top w:val="nil"/>
          <w:left w:val="nil"/>
          <w:bottom w:val="nil"/>
          <w:right w:val="nil"/>
          <w:between w:val="nil"/>
        </w:pBdr>
        <w:spacing w:after="0" w:line="276" w:lineRule="auto"/>
        <w:ind w:firstLine="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Activated carbon from OPEFB waste was successfully prepared using the variations of NaOH and KOH solution, impregnation time, and physical activation. According to SEM analysis, OPEFB-activated carbon produced using 2 M KOH concentration, 18-hour immersion time, and 900°C activation temperature exhibits a porous structure and consists predominantly of carbon elements as high as 84.47%, 88.33%, and 81.47%. From BET examination, the variation in 2 M KOH, 18 hours of immersion time, and activated at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resulted in a carbon surface area of 354.25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380.28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and 334.28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OPEFB-activated carbon is categorized within the mesopore group based on its pore volume and adsorption capacity. Based on the electrochemical behavior of 2 M KOH, immersion time 18 hours, and temperature activation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produces specific capacitance 116.78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96.57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and 96.41 F.g</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Electrical voltage test of battery prototype, it is known that the highest voltage produced is 1.17 V with a variation of 2 M KOH, 1.05 V with a variation of 18 hours immersion time, and 1.12 V of 900</w:t>
      </w:r>
      <w:r>
        <w:rPr>
          <w:rFonts w:ascii="Times New Roman" w:eastAsia="Times New Roman" w:hAnsi="Times New Roman" w:cs="Times New Roman"/>
          <w:color w:val="000000"/>
          <w:sz w:val="24"/>
          <w:szCs w:val="24"/>
          <w:vertAlign w:val="superscript"/>
        </w:rPr>
        <w:t>o</w:t>
      </w:r>
      <w:r>
        <w:rPr>
          <w:rFonts w:ascii="Times New Roman" w:eastAsia="Times New Roman" w:hAnsi="Times New Roman" w:cs="Times New Roman"/>
          <w:color w:val="000000"/>
          <w:sz w:val="24"/>
          <w:szCs w:val="24"/>
        </w:rPr>
        <w:t>C activation temperature. The use of biomass waste from OPEFB as electrodes in battery applications is an emerging development. This study has achieved promising results, demonstrating potential applications in electrochemistry and absorbance.</w:t>
      </w:r>
    </w:p>
    <w:p w14:paraId="6BC24A56" w14:textId="77777777" w:rsidR="00EF304C" w:rsidRDefault="00EF304C">
      <w:pPr>
        <w:pBdr>
          <w:top w:val="nil"/>
          <w:left w:val="nil"/>
          <w:bottom w:val="nil"/>
          <w:right w:val="nil"/>
          <w:between w:val="nil"/>
        </w:pBdr>
        <w:spacing w:after="0" w:line="276" w:lineRule="auto"/>
        <w:rPr>
          <w:rFonts w:ascii="Times New Roman" w:eastAsia="Times New Roman" w:hAnsi="Times New Roman" w:cs="Times New Roman"/>
          <w:b/>
          <w:color w:val="000000"/>
          <w:sz w:val="24"/>
          <w:szCs w:val="24"/>
        </w:rPr>
      </w:pPr>
    </w:p>
    <w:p w14:paraId="17AAC200" w14:textId="77777777" w:rsidR="00EF304C" w:rsidRDefault="00000000">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Declaration of Competing Interest</w:t>
      </w:r>
    </w:p>
    <w:p w14:paraId="0CE13E1D" w14:textId="77777777" w:rsidR="00EF304C" w:rsidRDefault="00000000">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authors declare no known competing financial interests or personal relationships that could have appeared to influence the work reported in this paper.</w:t>
      </w:r>
    </w:p>
    <w:p w14:paraId="38189648" w14:textId="77777777" w:rsidR="00EF304C" w:rsidRDefault="00EF304C">
      <w:pPr>
        <w:pBdr>
          <w:top w:val="nil"/>
          <w:left w:val="nil"/>
          <w:bottom w:val="nil"/>
          <w:right w:val="nil"/>
          <w:between w:val="nil"/>
        </w:pBdr>
        <w:spacing w:line="240" w:lineRule="auto"/>
        <w:jc w:val="both"/>
        <w:rPr>
          <w:rFonts w:ascii="Times New Roman" w:eastAsia="Times New Roman" w:hAnsi="Times New Roman" w:cs="Times New Roman"/>
          <w:b/>
          <w:sz w:val="24"/>
          <w:szCs w:val="24"/>
        </w:rPr>
      </w:pPr>
    </w:p>
    <w:p w14:paraId="224A2764" w14:textId="77777777" w:rsidR="00EF304C" w:rsidRDefault="00EF304C">
      <w:pPr>
        <w:pBdr>
          <w:top w:val="nil"/>
          <w:left w:val="nil"/>
          <w:bottom w:val="nil"/>
          <w:right w:val="nil"/>
          <w:between w:val="nil"/>
        </w:pBdr>
        <w:spacing w:line="240" w:lineRule="auto"/>
        <w:jc w:val="both"/>
        <w:rPr>
          <w:rFonts w:ascii="Times New Roman" w:eastAsia="Times New Roman" w:hAnsi="Times New Roman" w:cs="Times New Roman"/>
          <w:b/>
          <w:sz w:val="24"/>
          <w:szCs w:val="24"/>
        </w:rPr>
      </w:pPr>
    </w:p>
    <w:p w14:paraId="11D5FC00" w14:textId="77777777" w:rsidR="00EF304C" w:rsidRDefault="00000000">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Acknowledgement</w:t>
      </w:r>
    </w:p>
    <w:p w14:paraId="59314937" w14:textId="77777777" w:rsidR="00EF304C" w:rsidRDefault="00000000">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lastRenderedPageBreak/>
        <w:t>This work is supported by research funding of BIMA Kemendikbudristek 2024 by the Ministry of Education, Research and High Education, Indonesia</w:t>
      </w:r>
      <w:r>
        <w:rPr>
          <w:rFonts w:ascii="Times New Roman" w:eastAsia="Times New Roman" w:hAnsi="Times New Roman" w:cs="Times New Roman"/>
          <w:color w:val="000000"/>
          <w:sz w:val="24"/>
          <w:szCs w:val="24"/>
        </w:rPr>
        <w:t xml:space="preserve">. In addition, the </w:t>
      </w:r>
      <w:r>
        <w:rPr>
          <w:rFonts w:ascii="Times New Roman" w:eastAsia="Times New Roman" w:hAnsi="Times New Roman" w:cs="Times New Roman"/>
          <w:sz w:val="24"/>
          <w:szCs w:val="24"/>
        </w:rPr>
        <w:t xml:space="preserve">research </w:t>
      </w:r>
      <w:r>
        <w:rPr>
          <w:rFonts w:ascii="Times New Roman" w:eastAsia="Times New Roman" w:hAnsi="Times New Roman" w:cs="Times New Roman"/>
          <w:color w:val="000000"/>
          <w:sz w:val="24"/>
          <w:szCs w:val="24"/>
        </w:rPr>
        <w:t>get support from Prof. Dr.Eng. Widi Astuti, M. Eng, Badan Riset Inovasi Nasional (BRIN) and Grand Riset Sawit (GRS) 2024 by Badan Pengelola Dana Perkebunan Kelapa Sawit (BPDPKS). </w:t>
      </w:r>
    </w:p>
    <w:p w14:paraId="52D2AC2E" w14:textId="77777777" w:rsidR="00EF304C" w:rsidRDefault="00000000">
      <w:pPr>
        <w:pBdr>
          <w:top w:val="nil"/>
          <w:left w:val="nil"/>
          <w:bottom w:val="nil"/>
          <w:right w:val="nil"/>
          <w:between w:val="nil"/>
        </w:pBdr>
        <w:spacing w:after="360" w:line="240" w:lineRule="auto"/>
        <w:rPr>
          <w:rFonts w:ascii="Amasis MT Pro" w:eastAsia="Amasis MT Pro" w:hAnsi="Amasis MT Pro" w:cs="Amasis MT Pro"/>
          <w:b/>
          <w:color w:val="000000"/>
          <w:sz w:val="16"/>
          <w:szCs w:val="16"/>
        </w:rPr>
      </w:pPr>
      <w:r>
        <w:rPr>
          <w:rFonts w:ascii="Times New Roman" w:eastAsia="Times New Roman" w:hAnsi="Times New Roman" w:cs="Times New Roman"/>
          <w:b/>
          <w:color w:val="000000"/>
          <w:sz w:val="24"/>
          <w:szCs w:val="24"/>
        </w:rPr>
        <w:t>References</w:t>
      </w:r>
    </w:p>
    <w:p w14:paraId="77243B72"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ab/>
        <w:t xml:space="preserve">R. Dolah, R. Karnik, and H. Hamdan, “A Comprehensive Review on Biofuels from Oil Palm Empty Bunch (EFB): Current Status, Potential, Barriers and Way Forward,” </w:t>
      </w:r>
      <w:r>
        <w:rPr>
          <w:rFonts w:ascii="Times New Roman" w:eastAsia="Times New Roman" w:hAnsi="Times New Roman" w:cs="Times New Roman"/>
          <w:i/>
          <w:color w:val="000000"/>
          <w:sz w:val="24"/>
          <w:szCs w:val="24"/>
        </w:rPr>
        <w:t>Sustainability</w:t>
      </w:r>
      <w:r>
        <w:rPr>
          <w:rFonts w:ascii="Times New Roman" w:eastAsia="Times New Roman" w:hAnsi="Times New Roman" w:cs="Times New Roman"/>
          <w:color w:val="000000"/>
          <w:sz w:val="24"/>
          <w:szCs w:val="24"/>
        </w:rPr>
        <w:t>, vol. 13, no. 18, p. 10210, Sep. 2021, doi: 10.3390/su131810210.</w:t>
      </w:r>
    </w:p>
    <w:p w14:paraId="44098358"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ab/>
        <w:t xml:space="preserve">N. A. Ramlee, J. Naveen, and M. Jawaid, “Potential of oil palm empty fruit bunch (OPEFB) and sugarcane bagasse fibers for thermal insulation application – A review,” </w:t>
      </w:r>
      <w:r>
        <w:rPr>
          <w:rFonts w:ascii="Times New Roman" w:eastAsia="Times New Roman" w:hAnsi="Times New Roman" w:cs="Times New Roman"/>
          <w:i/>
          <w:color w:val="000000"/>
          <w:sz w:val="24"/>
          <w:szCs w:val="24"/>
        </w:rPr>
        <w:t>Constr. Build. Mater.</w:t>
      </w:r>
      <w:r>
        <w:rPr>
          <w:rFonts w:ascii="Times New Roman" w:eastAsia="Times New Roman" w:hAnsi="Times New Roman" w:cs="Times New Roman"/>
          <w:color w:val="000000"/>
          <w:sz w:val="24"/>
          <w:szCs w:val="24"/>
        </w:rPr>
        <w:t>, vol. 271, p. 121519, Feb. 2021, doi: 10.1016/j.conbuildmat.2020.121519.</w:t>
      </w:r>
    </w:p>
    <w:p w14:paraId="3C00956B"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ab/>
        <w:t xml:space="preserve">V. Giorgi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“Enzymatic Production of Lauroyl and Stearoyl Monoesters of d-Xylose, l-Arabinose, and d-Glucose as Potential Lignocellulosic-Derived Products, and Their Evaluation as Antimicrobial Agents,” </w:t>
      </w:r>
      <w:r>
        <w:rPr>
          <w:rFonts w:ascii="Times New Roman" w:eastAsia="Times New Roman" w:hAnsi="Times New Roman" w:cs="Times New Roman"/>
          <w:i/>
          <w:color w:val="000000"/>
          <w:sz w:val="24"/>
          <w:szCs w:val="24"/>
        </w:rPr>
        <w:t>Catalysts</w:t>
      </w:r>
      <w:r>
        <w:rPr>
          <w:rFonts w:ascii="Times New Roman" w:eastAsia="Times New Roman" w:hAnsi="Times New Roman" w:cs="Times New Roman"/>
          <w:color w:val="000000"/>
          <w:sz w:val="24"/>
          <w:szCs w:val="24"/>
        </w:rPr>
        <w:t>, vol. 12, no. 6, p. 610, Jun. 2022, doi: 10.3390/catal12060610.</w:t>
      </w:r>
    </w:p>
    <w:p w14:paraId="7D710A86"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ab/>
        <w:t xml:space="preserve">H. Rustamaji, T. Prakoso, H. Devianto, P. Widiatmoko, and W. H. Saputera, “Urea nitrogenated mesoporous activated carbon derived from oil palm empty fruit bunch for high-performance supercapacitor,” </w:t>
      </w:r>
      <w:r>
        <w:rPr>
          <w:rFonts w:ascii="Times New Roman" w:eastAsia="Times New Roman" w:hAnsi="Times New Roman" w:cs="Times New Roman"/>
          <w:i/>
          <w:color w:val="000000"/>
          <w:sz w:val="24"/>
          <w:szCs w:val="24"/>
        </w:rPr>
        <w:t>J. Energy Storage</w:t>
      </w:r>
      <w:r>
        <w:rPr>
          <w:rFonts w:ascii="Times New Roman" w:eastAsia="Times New Roman" w:hAnsi="Times New Roman" w:cs="Times New Roman"/>
          <w:color w:val="000000"/>
          <w:sz w:val="24"/>
          <w:szCs w:val="24"/>
        </w:rPr>
        <w:t>, vol. 52, p. 104724, Aug. 2022, doi: 10.1016/j.est.2022.104724.</w:t>
      </w:r>
    </w:p>
    <w:p w14:paraId="74ADC304"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ab/>
        <w:t>J. M. L. Thoe, N. Surugau, and H. L. H. Chong, “Application of Oil Palm Empty Fruit Bunch as Adsorbent: A Review”.</w:t>
      </w:r>
    </w:p>
    <w:p w14:paraId="491F78E6"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color w:val="000000"/>
          <w:sz w:val="24"/>
          <w:szCs w:val="24"/>
        </w:rPr>
        <w:tab/>
        <w:t xml:space="preserve">N. N. Wulandari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“Production of activated carbon from palm empty fruit bunch as supercapacitor electrode material,” </w:t>
      </w:r>
      <w:r>
        <w:rPr>
          <w:rFonts w:ascii="Times New Roman" w:eastAsia="Times New Roman" w:hAnsi="Times New Roman" w:cs="Times New Roman"/>
          <w:i/>
          <w:color w:val="000000"/>
          <w:sz w:val="24"/>
          <w:szCs w:val="24"/>
        </w:rPr>
        <w:t>IOP Conf. Ser. Mater. Sci. Eng.</w:t>
      </w:r>
      <w:r>
        <w:rPr>
          <w:rFonts w:ascii="Times New Roman" w:eastAsia="Times New Roman" w:hAnsi="Times New Roman" w:cs="Times New Roman"/>
          <w:color w:val="000000"/>
          <w:sz w:val="24"/>
          <w:szCs w:val="24"/>
        </w:rPr>
        <w:t>, vol. 1143, no. 1, p. 012004, Apr. 2021, doi: 10.1088/1757-899X/1143/1/012004.</w:t>
      </w:r>
    </w:p>
    <w:p w14:paraId="576DE08D"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r>
        <w:rPr>
          <w:rFonts w:ascii="Times New Roman" w:eastAsia="Times New Roman" w:hAnsi="Times New Roman" w:cs="Times New Roman"/>
          <w:color w:val="000000"/>
          <w:sz w:val="24"/>
          <w:szCs w:val="24"/>
        </w:rPr>
        <w:tab/>
        <w:t xml:space="preserve">A. T. Alves, D. J. Lasmar, I. P. De Andrade Miranda, J. Da Silva Chaar, and J. Dos Santos Reis, “The Potential of Activated Carbon in the Treatment of Water for Human Consumption, a Study of the State of the Art and Its Techniques Used for Its Development,” </w:t>
      </w:r>
      <w:r>
        <w:rPr>
          <w:rFonts w:ascii="Times New Roman" w:eastAsia="Times New Roman" w:hAnsi="Times New Roman" w:cs="Times New Roman"/>
          <w:i/>
          <w:color w:val="000000"/>
          <w:sz w:val="24"/>
          <w:szCs w:val="24"/>
        </w:rPr>
        <w:t>Adv. Biosci. Biotechnol.</w:t>
      </w:r>
      <w:r>
        <w:rPr>
          <w:rFonts w:ascii="Times New Roman" w:eastAsia="Times New Roman" w:hAnsi="Times New Roman" w:cs="Times New Roman"/>
          <w:color w:val="000000"/>
          <w:sz w:val="24"/>
          <w:szCs w:val="24"/>
        </w:rPr>
        <w:t>, vol. 12, no. 06, pp. 143–153, 2021, doi: 10.4236/abb.2021.126010.</w:t>
      </w:r>
    </w:p>
    <w:p w14:paraId="2D4C68A0"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r>
        <w:rPr>
          <w:rFonts w:ascii="Times New Roman" w:eastAsia="Times New Roman" w:hAnsi="Times New Roman" w:cs="Times New Roman"/>
          <w:color w:val="000000"/>
          <w:sz w:val="24"/>
          <w:szCs w:val="24"/>
        </w:rPr>
        <w:tab/>
        <w:t xml:space="preserve">S. Rawal, B. Joshi, and Y. Kumar, “Synthesis and characterization of activated carbon from the biomass of Saccharum bengalense for electrochemical supercapacitors,” </w:t>
      </w:r>
      <w:r>
        <w:rPr>
          <w:rFonts w:ascii="Times New Roman" w:eastAsia="Times New Roman" w:hAnsi="Times New Roman" w:cs="Times New Roman"/>
          <w:i/>
          <w:color w:val="000000"/>
          <w:sz w:val="24"/>
          <w:szCs w:val="24"/>
        </w:rPr>
        <w:t>J. Energy Storage</w:t>
      </w:r>
      <w:r>
        <w:rPr>
          <w:rFonts w:ascii="Times New Roman" w:eastAsia="Times New Roman" w:hAnsi="Times New Roman" w:cs="Times New Roman"/>
          <w:color w:val="000000"/>
          <w:sz w:val="24"/>
          <w:szCs w:val="24"/>
        </w:rPr>
        <w:t>, vol. 20, pp. 418–426, Dec. 2018, doi: 10.1016/j.est.2018.10.009.</w:t>
      </w:r>
    </w:p>
    <w:p w14:paraId="67568F1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Pr>
          <w:rFonts w:ascii="Times New Roman" w:eastAsia="Times New Roman" w:hAnsi="Times New Roman" w:cs="Times New Roman"/>
          <w:color w:val="000000"/>
          <w:sz w:val="24"/>
          <w:szCs w:val="24"/>
        </w:rPr>
        <w:tab/>
        <w:t xml:space="preserve">M. Iwanow, T. Gärtner, V. Sieber, and B. König, “Activated carbon as catalyst support: precursors, preparation, modification and characterization,” </w:t>
      </w:r>
      <w:r>
        <w:rPr>
          <w:rFonts w:ascii="Times New Roman" w:eastAsia="Times New Roman" w:hAnsi="Times New Roman" w:cs="Times New Roman"/>
          <w:i/>
          <w:color w:val="000000"/>
          <w:sz w:val="24"/>
          <w:szCs w:val="24"/>
        </w:rPr>
        <w:t>Beilstein J. Org. Chem.</w:t>
      </w:r>
      <w:r>
        <w:rPr>
          <w:rFonts w:ascii="Times New Roman" w:eastAsia="Times New Roman" w:hAnsi="Times New Roman" w:cs="Times New Roman"/>
          <w:color w:val="000000"/>
          <w:sz w:val="24"/>
          <w:szCs w:val="24"/>
        </w:rPr>
        <w:t>, vol. 16, pp. 1188–1202, Jun. 2020, doi: 10.3762/bjoc.16.104.</w:t>
      </w:r>
    </w:p>
    <w:p w14:paraId="7EBBBAA5"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rPr>
        <w:tab/>
        <w:t xml:space="preserve">S. Ha, S. G. Jeong, S. Myeong, C. Lim, and Y.-S. Lee, “High-performance CO2 adsorption of jellyfish-based activated carbon with many micropores and various heteroatoms,” </w:t>
      </w:r>
      <w:r>
        <w:rPr>
          <w:rFonts w:ascii="Times New Roman" w:eastAsia="Times New Roman" w:hAnsi="Times New Roman" w:cs="Times New Roman"/>
          <w:i/>
          <w:color w:val="000000"/>
          <w:sz w:val="24"/>
          <w:szCs w:val="24"/>
        </w:rPr>
        <w:t>J. CO2 Util.</w:t>
      </w:r>
      <w:r>
        <w:rPr>
          <w:rFonts w:ascii="Times New Roman" w:eastAsia="Times New Roman" w:hAnsi="Times New Roman" w:cs="Times New Roman"/>
          <w:color w:val="000000"/>
          <w:sz w:val="24"/>
          <w:szCs w:val="24"/>
        </w:rPr>
        <w:t>, vol. 76, p. 102589, Oct. 2023, doi: 10.1016/j.jcou.2023.102589.</w:t>
      </w:r>
    </w:p>
    <w:p w14:paraId="02F4379E"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r>
        <w:rPr>
          <w:rFonts w:ascii="Times New Roman" w:eastAsia="Times New Roman" w:hAnsi="Times New Roman" w:cs="Times New Roman"/>
          <w:color w:val="000000"/>
          <w:sz w:val="24"/>
          <w:szCs w:val="24"/>
        </w:rPr>
        <w:tab/>
        <w:t xml:space="preserve">L. Harimu, S. Wahyuni, N. Nasrudin, M. J. Baari, and D. Permana, “Fabrication of Chitosan/Fe3O4 Nanocomposite as Adsorbent  for Reduction Methylene Blue Contents,” </w:t>
      </w:r>
      <w:r>
        <w:rPr>
          <w:rFonts w:ascii="Times New Roman" w:eastAsia="Times New Roman" w:hAnsi="Times New Roman" w:cs="Times New Roman"/>
          <w:i/>
          <w:color w:val="000000"/>
          <w:sz w:val="24"/>
          <w:szCs w:val="24"/>
        </w:rPr>
        <w:t>Indones. J. Chem.</w:t>
      </w:r>
      <w:r>
        <w:rPr>
          <w:rFonts w:ascii="Times New Roman" w:eastAsia="Times New Roman" w:hAnsi="Times New Roman" w:cs="Times New Roman"/>
          <w:color w:val="000000"/>
          <w:sz w:val="24"/>
          <w:szCs w:val="24"/>
        </w:rPr>
        <w:t>, vol. 22, no. 3, p. 878, Mar. 2022, doi: 10.22146/ijc.65430.</w:t>
      </w:r>
    </w:p>
    <w:p w14:paraId="6E065C9F"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r>
        <w:rPr>
          <w:rFonts w:ascii="Times New Roman" w:eastAsia="Times New Roman" w:hAnsi="Times New Roman" w:cs="Times New Roman"/>
          <w:color w:val="000000"/>
          <w:sz w:val="24"/>
          <w:szCs w:val="24"/>
        </w:rPr>
        <w:tab/>
        <w:t xml:space="preserve">I. C. Gómez, O. F. Cruz, J. Silvestre-Albero, C. R. Rambo, and M. M. Escandell, “Role of KCl in activation mechanisms of KOH-chemically activated high surface area carbons,” </w:t>
      </w:r>
      <w:r>
        <w:rPr>
          <w:rFonts w:ascii="Times New Roman" w:eastAsia="Times New Roman" w:hAnsi="Times New Roman" w:cs="Times New Roman"/>
          <w:i/>
          <w:color w:val="000000"/>
          <w:sz w:val="24"/>
          <w:szCs w:val="24"/>
        </w:rPr>
        <w:t>J. CO2 Util.</w:t>
      </w:r>
      <w:r>
        <w:rPr>
          <w:rFonts w:ascii="Times New Roman" w:eastAsia="Times New Roman" w:hAnsi="Times New Roman" w:cs="Times New Roman"/>
          <w:color w:val="000000"/>
          <w:sz w:val="24"/>
          <w:szCs w:val="24"/>
        </w:rPr>
        <w:t>, vol. 66, p. 102258, Dec. 2022, doi: 10.1016/j.jcou.2022.102258.</w:t>
      </w:r>
    </w:p>
    <w:p w14:paraId="051C30C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r>
        <w:rPr>
          <w:rFonts w:ascii="Times New Roman" w:eastAsia="Times New Roman" w:hAnsi="Times New Roman" w:cs="Times New Roman"/>
          <w:color w:val="000000"/>
          <w:sz w:val="24"/>
          <w:szCs w:val="24"/>
        </w:rPr>
        <w:tab/>
        <w:t xml:space="preserve">W. Luo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“Critical thickness of phenolic resin-based carbon interfacial layer for improving long cycling stability of silicon nanoparticle anodes,” </w:t>
      </w:r>
      <w:r>
        <w:rPr>
          <w:rFonts w:ascii="Times New Roman" w:eastAsia="Times New Roman" w:hAnsi="Times New Roman" w:cs="Times New Roman"/>
          <w:i/>
          <w:color w:val="000000"/>
          <w:sz w:val="24"/>
          <w:szCs w:val="24"/>
        </w:rPr>
        <w:t>Nano Energy</w:t>
      </w:r>
      <w:r>
        <w:rPr>
          <w:rFonts w:ascii="Times New Roman" w:eastAsia="Times New Roman" w:hAnsi="Times New Roman" w:cs="Times New Roman"/>
          <w:color w:val="000000"/>
          <w:sz w:val="24"/>
          <w:szCs w:val="24"/>
        </w:rPr>
        <w:t>, vol. 27, pp. 255–264, Sep. 2016, doi: 10.1016/j.nanoen.2016.07.006.</w:t>
      </w:r>
    </w:p>
    <w:p w14:paraId="258749BC"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[14]</w:t>
      </w:r>
      <w:r>
        <w:rPr>
          <w:rFonts w:ascii="Times New Roman" w:eastAsia="Times New Roman" w:hAnsi="Times New Roman" w:cs="Times New Roman"/>
          <w:color w:val="000000"/>
          <w:sz w:val="24"/>
          <w:szCs w:val="24"/>
        </w:rPr>
        <w:tab/>
        <w:t xml:space="preserve">M. K. Mahapatra and A. Kumar, “Taguchi Optimization Studies for Abatement of 2‐Chlorophenol Using Neem Seed Activated Carbon,” </w:t>
      </w:r>
      <w:r>
        <w:rPr>
          <w:rFonts w:ascii="Times New Roman" w:eastAsia="Times New Roman" w:hAnsi="Times New Roman" w:cs="Times New Roman"/>
          <w:i/>
          <w:color w:val="000000"/>
          <w:sz w:val="24"/>
          <w:szCs w:val="24"/>
        </w:rPr>
        <w:t>Chem. Eng. Technol.</w:t>
      </w:r>
      <w:r>
        <w:rPr>
          <w:rFonts w:ascii="Times New Roman" w:eastAsia="Times New Roman" w:hAnsi="Times New Roman" w:cs="Times New Roman"/>
          <w:color w:val="000000"/>
          <w:sz w:val="24"/>
          <w:szCs w:val="24"/>
        </w:rPr>
        <w:t>, vol. 45, no. 4, pp. 641–648, Apr. 2022, doi: 10.1002/ceat.202100427.</w:t>
      </w:r>
    </w:p>
    <w:p w14:paraId="5224812B"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r>
        <w:rPr>
          <w:rFonts w:ascii="Times New Roman" w:eastAsia="Times New Roman" w:hAnsi="Times New Roman" w:cs="Times New Roman"/>
          <w:color w:val="000000"/>
          <w:sz w:val="24"/>
          <w:szCs w:val="24"/>
        </w:rPr>
        <w:tab/>
        <w:t xml:space="preserve">N. A. Echeverry‐Montoya, J. J. Prías‐Barragán, L. Tirado‐Mejía, C. Agudelo, G. Fonthal, and H. Ariza‐Calderón, “Fabrication and electrical response of flexible supercapacitor based on activated carbon from bamboo,” </w:t>
      </w:r>
      <w:r>
        <w:rPr>
          <w:rFonts w:ascii="Times New Roman" w:eastAsia="Times New Roman" w:hAnsi="Times New Roman" w:cs="Times New Roman"/>
          <w:i/>
          <w:color w:val="000000"/>
          <w:sz w:val="24"/>
          <w:szCs w:val="24"/>
        </w:rPr>
        <w:t>Phys. Status Solidi C</w:t>
      </w:r>
      <w:r>
        <w:rPr>
          <w:rFonts w:ascii="Times New Roman" w:eastAsia="Times New Roman" w:hAnsi="Times New Roman" w:cs="Times New Roman"/>
          <w:color w:val="000000"/>
          <w:sz w:val="24"/>
          <w:szCs w:val="24"/>
        </w:rPr>
        <w:t>, vol. 14, no. 3–4, p. 1600258, Mar. 2017, doi: 10.1002/pssc.201600258.</w:t>
      </w:r>
    </w:p>
    <w:p w14:paraId="5D7C4096"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w:t>
      </w:r>
      <w:r>
        <w:rPr>
          <w:rFonts w:ascii="Times New Roman" w:eastAsia="Times New Roman" w:hAnsi="Times New Roman" w:cs="Times New Roman"/>
          <w:color w:val="000000"/>
          <w:sz w:val="24"/>
          <w:szCs w:val="24"/>
        </w:rPr>
        <w:tab/>
        <w:t xml:space="preserve">M. I. Akbar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“Application of palm oil frond activated carbon for biobattery electrodes,” </w:t>
      </w:r>
      <w:r>
        <w:rPr>
          <w:rFonts w:ascii="Times New Roman" w:eastAsia="Times New Roman" w:hAnsi="Times New Roman" w:cs="Times New Roman"/>
          <w:i/>
          <w:color w:val="000000"/>
          <w:sz w:val="24"/>
          <w:szCs w:val="24"/>
        </w:rPr>
        <w:t>Energy Storage</w:t>
      </w:r>
      <w:r>
        <w:rPr>
          <w:rFonts w:ascii="Times New Roman" w:eastAsia="Times New Roman" w:hAnsi="Times New Roman" w:cs="Times New Roman"/>
          <w:color w:val="000000"/>
          <w:sz w:val="24"/>
          <w:szCs w:val="24"/>
        </w:rPr>
        <w:t>, p. e547, Dec. 2023, doi: 10.1002/est2.547.</w:t>
      </w:r>
    </w:p>
    <w:p w14:paraId="02C69EE6"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w:t>
      </w:r>
      <w:r>
        <w:rPr>
          <w:rFonts w:ascii="Times New Roman" w:eastAsia="Times New Roman" w:hAnsi="Times New Roman" w:cs="Times New Roman"/>
          <w:color w:val="000000"/>
          <w:sz w:val="24"/>
          <w:szCs w:val="24"/>
        </w:rPr>
        <w:tab/>
        <w:t xml:space="preserve">J. M. González-Domínguez, M. Alexandre-Franco, C. Fernández-González, A. Ansón-Casaos, and V. Gómez-Serrano, “Activated carbon from cherry stones by chemical activation: Influence of the impregnation method on porous structure,” </w:t>
      </w:r>
      <w:r>
        <w:rPr>
          <w:rFonts w:ascii="Times New Roman" w:eastAsia="Times New Roman" w:hAnsi="Times New Roman" w:cs="Times New Roman"/>
          <w:i/>
          <w:color w:val="000000"/>
          <w:sz w:val="24"/>
          <w:szCs w:val="24"/>
        </w:rPr>
        <w:t>J. Wood Chem. Technol.</w:t>
      </w:r>
      <w:r>
        <w:rPr>
          <w:rFonts w:ascii="Times New Roman" w:eastAsia="Times New Roman" w:hAnsi="Times New Roman" w:cs="Times New Roman"/>
          <w:color w:val="000000"/>
          <w:sz w:val="24"/>
          <w:szCs w:val="24"/>
        </w:rPr>
        <w:t>, vol. 37, no. 2, pp. 148–162, Mar. 2017, doi: 10.1080/02773813.2016.1253101.</w:t>
      </w:r>
    </w:p>
    <w:p w14:paraId="18CAA052"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w:t>
      </w:r>
      <w:r>
        <w:rPr>
          <w:rFonts w:ascii="Times New Roman" w:eastAsia="Times New Roman" w:hAnsi="Times New Roman" w:cs="Times New Roman"/>
          <w:color w:val="000000"/>
          <w:sz w:val="24"/>
          <w:szCs w:val="24"/>
        </w:rPr>
        <w:tab/>
        <w:t xml:space="preserve">H. Tran Thi Dieu, K. Charoensook, H.-C. Tai, Y.-T. Lin, and Y.-Y. Li, “Preparation of activated carbon derived from oil palm empty fruit bunches and its modification by nitrogen doping for supercapacitors,” </w:t>
      </w:r>
      <w:r>
        <w:rPr>
          <w:rFonts w:ascii="Times New Roman" w:eastAsia="Times New Roman" w:hAnsi="Times New Roman" w:cs="Times New Roman"/>
          <w:i/>
          <w:color w:val="000000"/>
          <w:sz w:val="24"/>
          <w:szCs w:val="24"/>
        </w:rPr>
        <w:t>J. Porous Mater.</w:t>
      </w:r>
      <w:r>
        <w:rPr>
          <w:rFonts w:ascii="Times New Roman" w:eastAsia="Times New Roman" w:hAnsi="Times New Roman" w:cs="Times New Roman"/>
          <w:color w:val="000000"/>
          <w:sz w:val="24"/>
          <w:szCs w:val="24"/>
        </w:rPr>
        <w:t>, vol. 28, no. 1, pp. 9–18, Feb. 2021, doi: 10.1007/s10934-020-00957-2.</w:t>
      </w:r>
    </w:p>
    <w:p w14:paraId="3075173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w:t>
      </w:r>
      <w:r>
        <w:rPr>
          <w:rFonts w:ascii="Times New Roman" w:eastAsia="Times New Roman" w:hAnsi="Times New Roman" w:cs="Times New Roman"/>
          <w:color w:val="000000"/>
          <w:sz w:val="24"/>
          <w:szCs w:val="24"/>
        </w:rPr>
        <w:tab/>
        <w:t xml:space="preserve">S. M. Waly, A. M. El-Wakil, W. M. A. El-Maaty, and F. S. Awad, “Efficient removal of Pb(II) and Hg(II) ions from aqueous solution by amine and thiol modified activated carbon,” </w:t>
      </w:r>
      <w:r>
        <w:rPr>
          <w:rFonts w:ascii="Times New Roman" w:eastAsia="Times New Roman" w:hAnsi="Times New Roman" w:cs="Times New Roman"/>
          <w:i/>
          <w:color w:val="000000"/>
          <w:sz w:val="24"/>
          <w:szCs w:val="24"/>
        </w:rPr>
        <w:t>J. Saudi Chem. Soc.</w:t>
      </w:r>
      <w:r>
        <w:rPr>
          <w:rFonts w:ascii="Times New Roman" w:eastAsia="Times New Roman" w:hAnsi="Times New Roman" w:cs="Times New Roman"/>
          <w:color w:val="000000"/>
          <w:sz w:val="24"/>
          <w:szCs w:val="24"/>
        </w:rPr>
        <w:t>, vol. 25, no. 8, p. 101296, Aug. 2021, doi: 10.1016/j.jscs.2021.101296.</w:t>
      </w:r>
    </w:p>
    <w:p w14:paraId="1707CCDB"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ab/>
        <w:t xml:space="preserve">R. B. Suneetha, “Spectral, Thermal and Morphological Characterization of Biodegradable Graphene Oxide-Chitosan Nanocomposites,” </w:t>
      </w:r>
      <w:r>
        <w:rPr>
          <w:rFonts w:ascii="Times New Roman" w:eastAsia="Times New Roman" w:hAnsi="Times New Roman" w:cs="Times New Roman"/>
          <w:i/>
          <w:color w:val="000000"/>
          <w:sz w:val="24"/>
          <w:szCs w:val="24"/>
        </w:rPr>
        <w:t>J. Nanosci. Technol.</w:t>
      </w:r>
      <w:r>
        <w:rPr>
          <w:rFonts w:ascii="Times New Roman" w:eastAsia="Times New Roman" w:hAnsi="Times New Roman" w:cs="Times New Roman"/>
          <w:color w:val="000000"/>
          <w:sz w:val="24"/>
          <w:szCs w:val="24"/>
        </w:rPr>
        <w:t>, vol. 04, no. 02, pp. 342–344, Apr. 2018, doi: 10.30799/jnst.sp208.18040201.</w:t>
      </w:r>
    </w:p>
    <w:p w14:paraId="214AB26B"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r>
        <w:rPr>
          <w:rFonts w:ascii="Times New Roman" w:eastAsia="Times New Roman" w:hAnsi="Times New Roman" w:cs="Times New Roman"/>
          <w:color w:val="000000"/>
          <w:sz w:val="24"/>
          <w:szCs w:val="24"/>
        </w:rPr>
        <w:tab/>
        <w:t xml:space="preserve">R. Ali, Z. Aslam, R. A. Shawabkeh, A. Asghar, and I. A. Hussein, “BET, FTIR, and RAMAN characterizations of activated carbon from wasteoil fly ash,” </w:t>
      </w:r>
      <w:r>
        <w:rPr>
          <w:rFonts w:ascii="Times New Roman" w:eastAsia="Times New Roman" w:hAnsi="Times New Roman" w:cs="Times New Roman"/>
          <w:i/>
          <w:color w:val="000000"/>
          <w:sz w:val="24"/>
          <w:szCs w:val="24"/>
        </w:rPr>
        <w:t>Turk. J. Chem.</w:t>
      </w:r>
      <w:r>
        <w:rPr>
          <w:rFonts w:ascii="Times New Roman" w:eastAsia="Times New Roman" w:hAnsi="Times New Roman" w:cs="Times New Roman"/>
          <w:color w:val="000000"/>
          <w:sz w:val="24"/>
          <w:szCs w:val="24"/>
        </w:rPr>
        <w:t>, vol. 44, no. 2, pp. 279–295, Apr. 2020, doi: 10.3906/kim-1909-20.</w:t>
      </w:r>
    </w:p>
    <w:p w14:paraId="49AB89F0"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r>
        <w:rPr>
          <w:rFonts w:ascii="Times New Roman" w:eastAsia="Times New Roman" w:hAnsi="Times New Roman" w:cs="Times New Roman"/>
          <w:color w:val="000000"/>
          <w:sz w:val="24"/>
          <w:szCs w:val="24"/>
        </w:rPr>
        <w:tab/>
        <w:t xml:space="preserve">A. Uke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“Effect of decomposing oil palm trunk fibers on plant growth and soil microbial community composition,” </w:t>
      </w:r>
      <w:r>
        <w:rPr>
          <w:rFonts w:ascii="Times New Roman" w:eastAsia="Times New Roman" w:hAnsi="Times New Roman" w:cs="Times New Roman"/>
          <w:i/>
          <w:color w:val="000000"/>
          <w:sz w:val="24"/>
          <w:szCs w:val="24"/>
        </w:rPr>
        <w:t>J. Environ. Manage.</w:t>
      </w:r>
      <w:r>
        <w:rPr>
          <w:rFonts w:ascii="Times New Roman" w:eastAsia="Times New Roman" w:hAnsi="Times New Roman" w:cs="Times New Roman"/>
          <w:color w:val="000000"/>
          <w:sz w:val="24"/>
          <w:szCs w:val="24"/>
        </w:rPr>
        <w:t>, vol. 295, p. 113050, Oct. 2021, doi: 10.1016/j.jenvman.2021.113050.</w:t>
      </w:r>
    </w:p>
    <w:p w14:paraId="54D7989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w:t>
      </w:r>
      <w:r>
        <w:rPr>
          <w:rFonts w:ascii="Times New Roman" w:eastAsia="Times New Roman" w:hAnsi="Times New Roman" w:cs="Times New Roman"/>
          <w:color w:val="000000"/>
          <w:sz w:val="24"/>
          <w:szCs w:val="24"/>
        </w:rPr>
        <w:tab/>
        <w:t xml:space="preserve">F. P. Teixeira, O. D. F. M. Gomes, and F. D. A. Silva, “Degradation mechanisms of curaua, hemp, and sisal fibers exposed to elevated temperatures,” </w:t>
      </w:r>
      <w:r>
        <w:rPr>
          <w:rFonts w:ascii="Times New Roman" w:eastAsia="Times New Roman" w:hAnsi="Times New Roman" w:cs="Times New Roman"/>
          <w:i/>
          <w:color w:val="000000"/>
          <w:sz w:val="24"/>
          <w:szCs w:val="24"/>
        </w:rPr>
        <w:t>BioResources</w:t>
      </w:r>
      <w:r>
        <w:rPr>
          <w:rFonts w:ascii="Times New Roman" w:eastAsia="Times New Roman" w:hAnsi="Times New Roman" w:cs="Times New Roman"/>
          <w:color w:val="000000"/>
          <w:sz w:val="24"/>
          <w:szCs w:val="24"/>
        </w:rPr>
        <w:t>, vol. 14, no. 1, pp. 1494–1511, Jan. 2019, doi: 10.15376/biores.14.1.1494-1511.</w:t>
      </w:r>
    </w:p>
    <w:p w14:paraId="6E0517D1"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w:t>
      </w:r>
      <w:r>
        <w:rPr>
          <w:rFonts w:ascii="Times New Roman" w:eastAsia="Times New Roman" w:hAnsi="Times New Roman" w:cs="Times New Roman"/>
          <w:color w:val="000000"/>
          <w:sz w:val="24"/>
          <w:szCs w:val="24"/>
        </w:rPr>
        <w:tab/>
        <w:t xml:space="preserve">Y. Wang, M. Qiao, and X. Mamat, “Nitrogen-doped macro-meso-micro hierarchical ordered porous carbon derived from ZIF-8 for boosting supercapacitor performance,” </w:t>
      </w:r>
      <w:r>
        <w:rPr>
          <w:rFonts w:ascii="Times New Roman" w:eastAsia="Times New Roman" w:hAnsi="Times New Roman" w:cs="Times New Roman"/>
          <w:i/>
          <w:color w:val="000000"/>
          <w:sz w:val="24"/>
          <w:szCs w:val="24"/>
        </w:rPr>
        <w:t>Appl. Surf. Sci.</w:t>
      </w:r>
      <w:r>
        <w:rPr>
          <w:rFonts w:ascii="Times New Roman" w:eastAsia="Times New Roman" w:hAnsi="Times New Roman" w:cs="Times New Roman"/>
          <w:color w:val="000000"/>
          <w:sz w:val="24"/>
          <w:szCs w:val="24"/>
        </w:rPr>
        <w:t>, vol. 540, p. 148352, Feb. 2021, doi: 10.1016/j.apsusc.2020.148352.</w:t>
      </w:r>
    </w:p>
    <w:p w14:paraId="546F93A7"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r>
        <w:rPr>
          <w:rFonts w:ascii="Times New Roman" w:eastAsia="Times New Roman" w:hAnsi="Times New Roman" w:cs="Times New Roman"/>
          <w:color w:val="000000"/>
          <w:sz w:val="24"/>
          <w:szCs w:val="24"/>
        </w:rPr>
        <w:tab/>
        <w:t xml:space="preserve">E. Taer, A. Apriwandi, Y. S. Ningsih, R. Taslim, and Agustino, “Preparation of Activated Carbon Electrode from Pineapple Crown Waste for Supercapacitor Application,” </w:t>
      </w:r>
      <w:r>
        <w:rPr>
          <w:rFonts w:ascii="Times New Roman" w:eastAsia="Times New Roman" w:hAnsi="Times New Roman" w:cs="Times New Roman"/>
          <w:i/>
          <w:color w:val="000000"/>
          <w:sz w:val="24"/>
          <w:szCs w:val="24"/>
        </w:rPr>
        <w:t>Int. J. Electrochem. Sci.</w:t>
      </w:r>
      <w:r>
        <w:rPr>
          <w:rFonts w:ascii="Times New Roman" w:eastAsia="Times New Roman" w:hAnsi="Times New Roman" w:cs="Times New Roman"/>
          <w:color w:val="000000"/>
          <w:sz w:val="24"/>
          <w:szCs w:val="24"/>
        </w:rPr>
        <w:t>, vol. 14, no. 3, pp. 2462–2475, Mar. 2019, doi: 10.20964/2019.03.17.</w:t>
      </w:r>
    </w:p>
    <w:p w14:paraId="578048B4"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w:t>
      </w:r>
      <w:r>
        <w:rPr>
          <w:rFonts w:ascii="Times New Roman" w:eastAsia="Times New Roman" w:hAnsi="Times New Roman" w:cs="Times New Roman"/>
          <w:color w:val="000000"/>
          <w:sz w:val="24"/>
          <w:szCs w:val="24"/>
        </w:rPr>
        <w:tab/>
        <w:t xml:space="preserve">T. S. Hui and M. A. A. Zaini, “Potassium hydroxide activation of activated carbon: a commentary,” </w:t>
      </w:r>
      <w:r>
        <w:rPr>
          <w:rFonts w:ascii="Times New Roman" w:eastAsia="Times New Roman" w:hAnsi="Times New Roman" w:cs="Times New Roman"/>
          <w:i/>
          <w:color w:val="000000"/>
          <w:sz w:val="24"/>
          <w:szCs w:val="24"/>
        </w:rPr>
        <w:t>Carbon Lett.</w:t>
      </w:r>
      <w:r>
        <w:rPr>
          <w:rFonts w:ascii="Times New Roman" w:eastAsia="Times New Roman" w:hAnsi="Times New Roman" w:cs="Times New Roman"/>
          <w:color w:val="000000"/>
          <w:sz w:val="24"/>
          <w:szCs w:val="24"/>
        </w:rPr>
        <w:t>, vol. 16, no. 4, pp. 275–280, Oct. 2015, doi: 10.5714/CL.2015.16.4.275.</w:t>
      </w:r>
    </w:p>
    <w:p w14:paraId="6F7215D4"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w:t>
      </w:r>
      <w:r>
        <w:rPr>
          <w:rFonts w:ascii="Times New Roman" w:eastAsia="Times New Roman" w:hAnsi="Times New Roman" w:cs="Times New Roman"/>
          <w:color w:val="000000"/>
          <w:sz w:val="24"/>
          <w:szCs w:val="24"/>
        </w:rPr>
        <w:tab/>
        <w:t xml:space="preserve">R.-R. Han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“Efficient Preparation of Spongy-Like Porous-Activated Carbon from Waste Millfeed Towards High Performance Supercapacitors,” </w:t>
      </w:r>
      <w:r>
        <w:rPr>
          <w:rFonts w:ascii="Times New Roman" w:eastAsia="Times New Roman" w:hAnsi="Times New Roman" w:cs="Times New Roman"/>
          <w:i/>
          <w:color w:val="000000"/>
          <w:sz w:val="24"/>
          <w:szCs w:val="24"/>
        </w:rPr>
        <w:t>Nano</w:t>
      </w:r>
      <w:r>
        <w:rPr>
          <w:rFonts w:ascii="Times New Roman" w:eastAsia="Times New Roman" w:hAnsi="Times New Roman" w:cs="Times New Roman"/>
          <w:color w:val="000000"/>
          <w:sz w:val="24"/>
          <w:szCs w:val="24"/>
        </w:rPr>
        <w:t>, vol. 15, no. 08, p. 2050106, Aug. 2020, doi: 10.1142/S1793292020501064.</w:t>
      </w:r>
    </w:p>
    <w:p w14:paraId="06BC4A3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w:t>
      </w:r>
      <w:r>
        <w:rPr>
          <w:rFonts w:ascii="Times New Roman" w:eastAsia="Times New Roman" w:hAnsi="Times New Roman" w:cs="Times New Roman"/>
          <w:color w:val="000000"/>
          <w:sz w:val="24"/>
          <w:szCs w:val="24"/>
        </w:rPr>
        <w:tab/>
        <w:t xml:space="preserve">E. Barcaro, V. Marangon, M. Mutarelli, and J. Hassoun, “A lithium-ion battery with cycling stability promoted by the progressive activation of a silicon oxide anode in graphene-amorphous carbon matrix,” </w:t>
      </w:r>
      <w:r>
        <w:rPr>
          <w:rFonts w:ascii="Times New Roman" w:eastAsia="Times New Roman" w:hAnsi="Times New Roman" w:cs="Times New Roman"/>
          <w:i/>
          <w:color w:val="000000"/>
          <w:sz w:val="24"/>
          <w:szCs w:val="24"/>
        </w:rPr>
        <w:t>J. Power Sources</w:t>
      </w:r>
      <w:r>
        <w:rPr>
          <w:rFonts w:ascii="Times New Roman" w:eastAsia="Times New Roman" w:hAnsi="Times New Roman" w:cs="Times New Roman"/>
          <w:color w:val="000000"/>
          <w:sz w:val="24"/>
          <w:szCs w:val="24"/>
        </w:rPr>
        <w:t>, vol. 595, p. 234059, Mar. 2024, doi: 10.1016/j.jpowsour.2024.234059.</w:t>
      </w:r>
    </w:p>
    <w:p w14:paraId="00773476"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[29]</w:t>
      </w:r>
      <w:r>
        <w:rPr>
          <w:rFonts w:ascii="Times New Roman" w:eastAsia="Times New Roman" w:hAnsi="Times New Roman" w:cs="Times New Roman"/>
          <w:color w:val="000000"/>
          <w:sz w:val="24"/>
          <w:szCs w:val="24"/>
        </w:rPr>
        <w:tab/>
        <w:t xml:space="preserve">E. Taer, K. Natalia, A. Apriwandi, R. Taslim, A. Agustino, and R. Farma, “The synthesis of activated carbon nanofiber electrode made from acacia leaves ( </w:t>
      </w:r>
      <w:r>
        <w:rPr>
          <w:rFonts w:ascii="Times New Roman" w:eastAsia="Times New Roman" w:hAnsi="Times New Roman" w:cs="Times New Roman"/>
          <w:i/>
          <w:color w:val="000000"/>
          <w:sz w:val="24"/>
          <w:szCs w:val="24"/>
        </w:rPr>
        <w:t>Acacia mangium wild</w:t>
      </w:r>
      <w:r>
        <w:rPr>
          <w:rFonts w:ascii="Times New Roman" w:eastAsia="Times New Roman" w:hAnsi="Times New Roman" w:cs="Times New Roman"/>
          <w:color w:val="000000"/>
          <w:sz w:val="24"/>
          <w:szCs w:val="24"/>
        </w:rPr>
        <w:t xml:space="preserve"> ) as supercapacitors,” </w:t>
      </w:r>
      <w:r>
        <w:rPr>
          <w:rFonts w:ascii="Times New Roman" w:eastAsia="Times New Roman" w:hAnsi="Times New Roman" w:cs="Times New Roman"/>
          <w:i/>
          <w:color w:val="000000"/>
          <w:sz w:val="24"/>
          <w:szCs w:val="24"/>
        </w:rPr>
        <w:t>Adv. Nat. Sci. Nanosci. Nanotechnol.</w:t>
      </w:r>
      <w:r>
        <w:rPr>
          <w:rFonts w:ascii="Times New Roman" w:eastAsia="Times New Roman" w:hAnsi="Times New Roman" w:cs="Times New Roman"/>
          <w:color w:val="000000"/>
          <w:sz w:val="24"/>
          <w:szCs w:val="24"/>
        </w:rPr>
        <w:t>, vol. 11, no. 2, p. 025007, May 2020, doi: 10.1088/2043-6254/ab8b60.</w:t>
      </w:r>
    </w:p>
    <w:p w14:paraId="7824539A"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w:t>
      </w:r>
      <w:r>
        <w:rPr>
          <w:rFonts w:ascii="Times New Roman" w:eastAsia="Times New Roman" w:hAnsi="Times New Roman" w:cs="Times New Roman"/>
          <w:color w:val="000000"/>
          <w:sz w:val="24"/>
          <w:szCs w:val="24"/>
        </w:rPr>
        <w:tab/>
        <w:t xml:space="preserve">M. Thommes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“Physisorption of gases, with special reference to the evaluation of surface area and pore size distribution (IUPAC Technical Report),” </w:t>
      </w:r>
      <w:r>
        <w:rPr>
          <w:rFonts w:ascii="Times New Roman" w:eastAsia="Times New Roman" w:hAnsi="Times New Roman" w:cs="Times New Roman"/>
          <w:i/>
          <w:color w:val="000000"/>
          <w:sz w:val="24"/>
          <w:szCs w:val="24"/>
        </w:rPr>
        <w:t>Pure Appl. Chem.</w:t>
      </w:r>
      <w:r>
        <w:rPr>
          <w:rFonts w:ascii="Times New Roman" w:eastAsia="Times New Roman" w:hAnsi="Times New Roman" w:cs="Times New Roman"/>
          <w:color w:val="000000"/>
          <w:sz w:val="24"/>
          <w:szCs w:val="24"/>
        </w:rPr>
        <w:t>, vol. 87, no. 9–10, pp. 1051–1069, Oct. 2015, doi: 10.1515/pac-2014-1117.</w:t>
      </w:r>
    </w:p>
    <w:p w14:paraId="24A838C1"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w:t>
      </w:r>
      <w:r>
        <w:rPr>
          <w:rFonts w:ascii="Times New Roman" w:eastAsia="Times New Roman" w:hAnsi="Times New Roman" w:cs="Times New Roman"/>
          <w:color w:val="000000"/>
          <w:sz w:val="24"/>
          <w:szCs w:val="24"/>
        </w:rPr>
        <w:tab/>
        <w:t xml:space="preserve">C. Y. Jeong, S. K. Dodla, and J. J. Wang, “Fundamental and molecular composition characteristics of biochars produced from sugarcane and rice crop residues and by-products,” </w:t>
      </w:r>
      <w:r>
        <w:rPr>
          <w:rFonts w:ascii="Times New Roman" w:eastAsia="Times New Roman" w:hAnsi="Times New Roman" w:cs="Times New Roman"/>
          <w:i/>
          <w:color w:val="000000"/>
          <w:sz w:val="24"/>
          <w:szCs w:val="24"/>
        </w:rPr>
        <w:t>Chemosphere</w:t>
      </w:r>
      <w:r>
        <w:rPr>
          <w:rFonts w:ascii="Times New Roman" w:eastAsia="Times New Roman" w:hAnsi="Times New Roman" w:cs="Times New Roman"/>
          <w:color w:val="000000"/>
          <w:sz w:val="24"/>
          <w:szCs w:val="24"/>
        </w:rPr>
        <w:t>, vol. 142, pp. 4–13, Jan. 2016, doi: 10.1016/j.chemosphere.2015.05.084.</w:t>
      </w:r>
    </w:p>
    <w:p w14:paraId="6496023A"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w:t>
      </w:r>
      <w:r>
        <w:rPr>
          <w:rFonts w:ascii="Times New Roman" w:eastAsia="Times New Roman" w:hAnsi="Times New Roman" w:cs="Times New Roman"/>
          <w:color w:val="000000"/>
          <w:sz w:val="24"/>
          <w:szCs w:val="24"/>
        </w:rPr>
        <w:tab/>
        <w:t xml:space="preserve">M. S. Yusoff, N. H. Adam, K. Watalinggam, H. Abdul Aziz, and M. Y. D. Alazaiza, “Effectiveness of Oil Palm Frond Activated Carbon for Removing COD, Color and Fe from Landfill Leachate,” </w:t>
      </w:r>
      <w:r>
        <w:rPr>
          <w:rFonts w:ascii="Times New Roman" w:eastAsia="Times New Roman" w:hAnsi="Times New Roman" w:cs="Times New Roman"/>
          <w:i/>
          <w:color w:val="000000"/>
          <w:sz w:val="24"/>
          <w:szCs w:val="24"/>
        </w:rPr>
        <w:t>J. Eng. Technol. Sci.</w:t>
      </w:r>
      <w:r>
        <w:rPr>
          <w:rFonts w:ascii="Times New Roman" w:eastAsia="Times New Roman" w:hAnsi="Times New Roman" w:cs="Times New Roman"/>
          <w:color w:val="000000"/>
          <w:sz w:val="24"/>
          <w:szCs w:val="24"/>
        </w:rPr>
        <w:t>, vol. 53, no. 1, p. 210104, Jan. 2021, doi: 10.5614/j.eng.technol.sci.2021.53.1.4.</w:t>
      </w:r>
    </w:p>
    <w:p w14:paraId="69E05B29"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w:t>
      </w:r>
      <w:r>
        <w:rPr>
          <w:rFonts w:ascii="Times New Roman" w:eastAsia="Times New Roman" w:hAnsi="Times New Roman" w:cs="Times New Roman"/>
          <w:color w:val="000000"/>
          <w:sz w:val="24"/>
          <w:szCs w:val="24"/>
        </w:rPr>
        <w:tab/>
        <w:t xml:space="preserve">S.-H. Jung, S.-J. Oh, G.-G. Choi, and J.-S. Kim, “Production and characterization of microporous activated carbons and metallurgical bio-coke from waste shell biomass,” </w:t>
      </w:r>
      <w:r>
        <w:rPr>
          <w:rFonts w:ascii="Times New Roman" w:eastAsia="Times New Roman" w:hAnsi="Times New Roman" w:cs="Times New Roman"/>
          <w:i/>
          <w:color w:val="000000"/>
          <w:sz w:val="24"/>
          <w:szCs w:val="24"/>
        </w:rPr>
        <w:t>J. Anal. Appl. Pyrolysis</w:t>
      </w:r>
      <w:r>
        <w:rPr>
          <w:rFonts w:ascii="Times New Roman" w:eastAsia="Times New Roman" w:hAnsi="Times New Roman" w:cs="Times New Roman"/>
          <w:color w:val="000000"/>
          <w:sz w:val="24"/>
          <w:szCs w:val="24"/>
        </w:rPr>
        <w:t>, vol. 109, pp. 123–131, Sep. 2014, doi: 10.1016/j.jaap.2014.07.003.</w:t>
      </w:r>
    </w:p>
    <w:p w14:paraId="5F1629E8"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r>
        <w:rPr>
          <w:rFonts w:ascii="Times New Roman" w:eastAsia="Times New Roman" w:hAnsi="Times New Roman" w:cs="Times New Roman"/>
          <w:color w:val="000000"/>
          <w:sz w:val="24"/>
          <w:szCs w:val="24"/>
        </w:rPr>
        <w:tab/>
        <w:t xml:space="preserve">M. Li, S. Ma, and X. Zhu, “Preparation of Activated Carbon from Pyrolyzed Rice Husk by Leaching out Ash Content after CO2 Activation,” </w:t>
      </w:r>
      <w:r>
        <w:rPr>
          <w:rFonts w:ascii="Times New Roman" w:eastAsia="Times New Roman" w:hAnsi="Times New Roman" w:cs="Times New Roman"/>
          <w:i/>
          <w:color w:val="000000"/>
          <w:sz w:val="24"/>
          <w:szCs w:val="24"/>
        </w:rPr>
        <w:t>BioResources</w:t>
      </w:r>
      <w:r>
        <w:rPr>
          <w:rFonts w:ascii="Times New Roman" w:eastAsia="Times New Roman" w:hAnsi="Times New Roman" w:cs="Times New Roman"/>
          <w:color w:val="000000"/>
          <w:sz w:val="24"/>
          <w:szCs w:val="24"/>
        </w:rPr>
        <w:t>, vol. 11, no. 2, pp. 3384–3396, Feb. 2016, doi: 10.15376/biores.11.2.3384-3396.</w:t>
      </w:r>
    </w:p>
    <w:p w14:paraId="70528657"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r>
        <w:rPr>
          <w:rFonts w:ascii="Times New Roman" w:eastAsia="Times New Roman" w:hAnsi="Times New Roman" w:cs="Times New Roman"/>
          <w:color w:val="000000"/>
          <w:sz w:val="24"/>
          <w:szCs w:val="24"/>
        </w:rPr>
        <w:tab/>
        <w:t xml:space="preserve">B. K. Saikia, S. M. Benoy, M. Bora, J. Tamuly, M. Pandey, and D. Bhattacharya, “A brief review on supercapacitor energy storage devices and utilization of natural carbon resources as their electrode materials,” </w:t>
      </w:r>
      <w:r>
        <w:rPr>
          <w:rFonts w:ascii="Times New Roman" w:eastAsia="Times New Roman" w:hAnsi="Times New Roman" w:cs="Times New Roman"/>
          <w:i/>
          <w:color w:val="000000"/>
          <w:sz w:val="24"/>
          <w:szCs w:val="24"/>
        </w:rPr>
        <w:t>Fuel</w:t>
      </w:r>
      <w:r>
        <w:rPr>
          <w:rFonts w:ascii="Times New Roman" w:eastAsia="Times New Roman" w:hAnsi="Times New Roman" w:cs="Times New Roman"/>
          <w:color w:val="000000"/>
          <w:sz w:val="24"/>
          <w:szCs w:val="24"/>
        </w:rPr>
        <w:t>, vol. 282, p. 118796, Dec. 2020, doi: 10.1016/j.fuel.2020.118796.</w:t>
      </w:r>
    </w:p>
    <w:p w14:paraId="28F8A860"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r>
        <w:rPr>
          <w:rFonts w:ascii="Times New Roman" w:eastAsia="Times New Roman" w:hAnsi="Times New Roman" w:cs="Times New Roman"/>
          <w:color w:val="000000"/>
          <w:sz w:val="24"/>
          <w:szCs w:val="24"/>
        </w:rPr>
        <w:tab/>
        <w:t xml:space="preserve">T. Sahlabji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“High surface area microporous activated carbon from </w:t>
      </w:r>
      <w:r>
        <w:rPr>
          <w:rFonts w:ascii="Times New Roman" w:eastAsia="Times New Roman" w:hAnsi="Times New Roman" w:cs="Times New Roman"/>
          <w:i/>
          <w:color w:val="000000"/>
          <w:sz w:val="24"/>
          <w:szCs w:val="24"/>
        </w:rPr>
        <w:t>Pisum sativum</w:t>
      </w:r>
      <w:r>
        <w:rPr>
          <w:rFonts w:ascii="Times New Roman" w:eastAsia="Times New Roman" w:hAnsi="Times New Roman" w:cs="Times New Roman"/>
          <w:color w:val="000000"/>
          <w:sz w:val="24"/>
          <w:szCs w:val="24"/>
        </w:rPr>
        <w:t xml:space="preserve"> peels for hexavalent chromium removal from aquatic environment,” </w:t>
      </w:r>
      <w:r>
        <w:rPr>
          <w:rFonts w:ascii="Times New Roman" w:eastAsia="Times New Roman" w:hAnsi="Times New Roman" w:cs="Times New Roman"/>
          <w:i/>
          <w:color w:val="000000"/>
          <w:sz w:val="24"/>
          <w:szCs w:val="24"/>
        </w:rPr>
        <w:t>Toxin Rev.</w:t>
      </w:r>
      <w:r>
        <w:rPr>
          <w:rFonts w:ascii="Times New Roman" w:eastAsia="Times New Roman" w:hAnsi="Times New Roman" w:cs="Times New Roman"/>
          <w:color w:val="000000"/>
          <w:sz w:val="24"/>
          <w:szCs w:val="24"/>
        </w:rPr>
        <w:t>, vol. 41, no. 2, pp. 639–649, Apr. 2022, doi: 10.1080/15569543.2021.1908361.</w:t>
      </w:r>
    </w:p>
    <w:p w14:paraId="66602C96"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sz w:val="24"/>
          <w:szCs w:val="24"/>
        </w:rPr>
        <w:t>[37[</w:t>
      </w:r>
      <w:r>
        <w:rPr>
          <w:rFonts w:ascii="Times New Roman" w:eastAsia="Times New Roman" w:hAnsi="Times New Roman" w:cs="Times New Roman"/>
          <w:sz w:val="24"/>
          <w:szCs w:val="24"/>
        </w:rPr>
        <w:tab/>
        <w:t xml:space="preserve">J. Sreńscek-Nazzal, A. Kamińska, J. Serafin, and B. Michalkiewicz, “Chemical Activation of Banana Peel Waste-Derived Biochar Using KOH and Urea for CO2 Capture,” </w:t>
      </w:r>
      <w:r>
        <w:rPr>
          <w:rFonts w:ascii="Times New Roman" w:eastAsia="Times New Roman" w:hAnsi="Times New Roman" w:cs="Times New Roman"/>
          <w:i/>
          <w:sz w:val="24"/>
          <w:szCs w:val="24"/>
        </w:rPr>
        <w:t>Materials</w:t>
      </w:r>
      <w:r>
        <w:rPr>
          <w:rFonts w:ascii="Times New Roman" w:eastAsia="Times New Roman" w:hAnsi="Times New Roman" w:cs="Times New Roman"/>
          <w:sz w:val="24"/>
          <w:szCs w:val="24"/>
        </w:rPr>
        <w:t>, vol. 17, no. 4, p. 872, Feb. 2024, doi: 10.3390/ma17040872.</w:t>
      </w:r>
    </w:p>
    <w:p w14:paraId="129B5BCC"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sz w:val="24"/>
          <w:szCs w:val="24"/>
        </w:rPr>
        <w:t>8</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L. J. Jönsson and C. Martín, “Pretreatment of lignocellulose: Formation of inhibitory by-products and strategies for minimizing their effects,” </w:t>
      </w:r>
      <w:r>
        <w:rPr>
          <w:rFonts w:ascii="Times New Roman" w:eastAsia="Times New Roman" w:hAnsi="Times New Roman" w:cs="Times New Roman"/>
          <w:i/>
          <w:color w:val="000000"/>
          <w:sz w:val="24"/>
          <w:szCs w:val="24"/>
        </w:rPr>
        <w:t>Bioresour. Technol.</w:t>
      </w:r>
      <w:r>
        <w:rPr>
          <w:rFonts w:ascii="Times New Roman" w:eastAsia="Times New Roman" w:hAnsi="Times New Roman" w:cs="Times New Roman"/>
          <w:color w:val="000000"/>
          <w:sz w:val="24"/>
          <w:szCs w:val="24"/>
        </w:rPr>
        <w:t>, vol. 199, pp. 103–112, Jan. 2016, doi: 10.1016/j.biortech.2015.10.009.</w:t>
      </w:r>
    </w:p>
    <w:p w14:paraId="6D1D6AC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sz w:val="24"/>
          <w:szCs w:val="24"/>
        </w:rPr>
        <w:t>9</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M. Zhou, J. Gomez, B. Li, Y.-B. Jiang, and S. Deng, “Oil tea shell derived porous carbon with an extremely large specific surface area and modification with MnO2 for high-performance supercapacitor electrodes,” </w:t>
      </w:r>
      <w:r>
        <w:rPr>
          <w:rFonts w:ascii="Times New Roman" w:eastAsia="Times New Roman" w:hAnsi="Times New Roman" w:cs="Times New Roman"/>
          <w:i/>
          <w:color w:val="000000"/>
          <w:sz w:val="24"/>
          <w:szCs w:val="24"/>
        </w:rPr>
        <w:t>Appl. Mater. Today</w:t>
      </w:r>
      <w:r>
        <w:rPr>
          <w:rFonts w:ascii="Times New Roman" w:eastAsia="Times New Roman" w:hAnsi="Times New Roman" w:cs="Times New Roman"/>
          <w:color w:val="000000"/>
          <w:sz w:val="24"/>
          <w:szCs w:val="24"/>
        </w:rPr>
        <w:t>, vol. 7, pp. 47–54, Jun. 2017, doi: 10.1016/j.apmt.2017.01.008.</w:t>
      </w:r>
    </w:p>
    <w:p w14:paraId="1C95A9E3"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40</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M. S. Guney and Y. Tepe, “Classification and assessment of energy storage systems,” </w:t>
      </w:r>
      <w:r>
        <w:rPr>
          <w:rFonts w:ascii="Times New Roman" w:eastAsia="Times New Roman" w:hAnsi="Times New Roman" w:cs="Times New Roman"/>
          <w:i/>
          <w:color w:val="000000"/>
          <w:sz w:val="24"/>
          <w:szCs w:val="24"/>
        </w:rPr>
        <w:t>Renew. Sustain. Energy Rev.</w:t>
      </w:r>
      <w:r>
        <w:rPr>
          <w:rFonts w:ascii="Times New Roman" w:eastAsia="Times New Roman" w:hAnsi="Times New Roman" w:cs="Times New Roman"/>
          <w:color w:val="000000"/>
          <w:sz w:val="24"/>
          <w:szCs w:val="24"/>
        </w:rPr>
        <w:t>, vol. 75, pp. 1187–1197, Aug. 2017, doi: 10.1016/j.rser.2016.11.102.</w:t>
      </w:r>
    </w:p>
    <w:p w14:paraId="34A3246F"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1</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A. Kozina, G. Radica, and S. Nižetić, “Analysis of methods towards reduction of harmful pollutants from diesel engines,” </w:t>
      </w:r>
      <w:r>
        <w:rPr>
          <w:rFonts w:ascii="Times New Roman" w:eastAsia="Times New Roman" w:hAnsi="Times New Roman" w:cs="Times New Roman"/>
          <w:i/>
          <w:color w:val="000000"/>
          <w:sz w:val="24"/>
          <w:szCs w:val="24"/>
        </w:rPr>
        <w:t>J. Clean. Prod.</w:t>
      </w:r>
      <w:r>
        <w:rPr>
          <w:rFonts w:ascii="Times New Roman" w:eastAsia="Times New Roman" w:hAnsi="Times New Roman" w:cs="Times New Roman"/>
          <w:color w:val="000000"/>
          <w:sz w:val="24"/>
          <w:szCs w:val="24"/>
        </w:rPr>
        <w:t>, vol. 262, p. 121105, Jul. 2020, doi: 10.1016/j.jclepro.2020.121105.</w:t>
      </w:r>
    </w:p>
    <w:p w14:paraId="71B98E4A"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2</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X. Wang, G. Gaustad, C. W. Babbitt, C. Bailey, M. J. Ganter, and B. J. Landi, “Economic and environmental characterization of an evolving Li-ion battery waste stream,” </w:t>
      </w:r>
      <w:r>
        <w:rPr>
          <w:rFonts w:ascii="Times New Roman" w:eastAsia="Times New Roman" w:hAnsi="Times New Roman" w:cs="Times New Roman"/>
          <w:i/>
          <w:color w:val="000000"/>
          <w:sz w:val="24"/>
          <w:szCs w:val="24"/>
        </w:rPr>
        <w:t>J. Environ. Manage.</w:t>
      </w:r>
      <w:r>
        <w:rPr>
          <w:rFonts w:ascii="Times New Roman" w:eastAsia="Times New Roman" w:hAnsi="Times New Roman" w:cs="Times New Roman"/>
          <w:color w:val="000000"/>
          <w:sz w:val="24"/>
          <w:szCs w:val="24"/>
        </w:rPr>
        <w:t>, vol. 135, pp. 126–134, Mar. 2014, doi: 10.1016/j.jenvman.2014.01.021.</w:t>
      </w:r>
    </w:p>
    <w:p w14:paraId="76949029"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3</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E. Taer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“The synthesis of carbon electrode supercapacitor from durian shell based on variations in the activation time,” presented at the The 1st International Conference and Exhibition On Powder </w:t>
      </w:r>
      <w:r>
        <w:rPr>
          <w:rFonts w:ascii="Times New Roman" w:eastAsia="Times New Roman" w:hAnsi="Times New Roman" w:cs="Times New Roman"/>
          <w:color w:val="000000"/>
          <w:sz w:val="24"/>
          <w:szCs w:val="24"/>
        </w:rPr>
        <w:lastRenderedPageBreak/>
        <w:t>Technology Indonesia (ICePTi) 2017, Jatinangor, Indonesia, 2018, p. 030026. doi: 10.1063/1.5021219.</w:t>
      </w:r>
    </w:p>
    <w:p w14:paraId="3C6B68A9"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4</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R. T. Ayinla, J. O. Dennis, H. M. Zaid, Y. K. Sanusi, F. Usman, and L. L. Adebayo, “A review of technical advances of recent palm bio-waste conversion to activated carbon for energy storage,” </w:t>
      </w:r>
      <w:r>
        <w:rPr>
          <w:rFonts w:ascii="Times New Roman" w:eastAsia="Times New Roman" w:hAnsi="Times New Roman" w:cs="Times New Roman"/>
          <w:i/>
          <w:color w:val="000000"/>
          <w:sz w:val="24"/>
          <w:szCs w:val="24"/>
        </w:rPr>
        <w:t>J. Clean. Prod.</w:t>
      </w:r>
      <w:r>
        <w:rPr>
          <w:rFonts w:ascii="Times New Roman" w:eastAsia="Times New Roman" w:hAnsi="Times New Roman" w:cs="Times New Roman"/>
          <w:color w:val="000000"/>
          <w:sz w:val="24"/>
          <w:szCs w:val="24"/>
        </w:rPr>
        <w:t>, vol. 229, pp. 1427–1442, Aug. 2019, doi: 10.1016/j.jclepro.2019.04.116.</w:t>
      </w:r>
    </w:p>
    <w:p w14:paraId="7F9AE74B"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B. A. Abdulkadir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“Optimization of the Electrochemical Performance of a Composite Polymer Electrolyte Based on PVA-K2CO3-SiO2 Composite,” </w:t>
      </w:r>
      <w:r>
        <w:rPr>
          <w:rFonts w:ascii="Times New Roman" w:eastAsia="Times New Roman" w:hAnsi="Times New Roman" w:cs="Times New Roman"/>
          <w:i/>
          <w:color w:val="000000"/>
          <w:sz w:val="24"/>
          <w:szCs w:val="24"/>
        </w:rPr>
        <w:t>Polymers</w:t>
      </w:r>
      <w:r>
        <w:rPr>
          <w:rFonts w:ascii="Times New Roman" w:eastAsia="Times New Roman" w:hAnsi="Times New Roman" w:cs="Times New Roman"/>
          <w:color w:val="000000"/>
          <w:sz w:val="24"/>
          <w:szCs w:val="24"/>
        </w:rPr>
        <w:t>, vol. 13, no. 1, p. 92, Dec. 2020, doi: 10.3390/polym13010092.</w:t>
      </w:r>
    </w:p>
    <w:p w14:paraId="74A82885"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6</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S. Aziz, O. Abdullah, S. Hussein, and H. Ahmed, “Effect of PVA Blending on Structural and Ion Transport Properties of CS:AgNt-Based Polymer Electrolyte Membrane,” </w:t>
      </w:r>
      <w:r>
        <w:rPr>
          <w:rFonts w:ascii="Times New Roman" w:eastAsia="Times New Roman" w:hAnsi="Times New Roman" w:cs="Times New Roman"/>
          <w:i/>
          <w:color w:val="000000"/>
          <w:sz w:val="24"/>
          <w:szCs w:val="24"/>
        </w:rPr>
        <w:t>Polymers</w:t>
      </w:r>
      <w:r>
        <w:rPr>
          <w:rFonts w:ascii="Times New Roman" w:eastAsia="Times New Roman" w:hAnsi="Times New Roman" w:cs="Times New Roman"/>
          <w:color w:val="000000"/>
          <w:sz w:val="24"/>
          <w:szCs w:val="24"/>
        </w:rPr>
        <w:t>, vol. 9, no. 11, p. 622, Nov. 2017, doi: 10.3390/polym9110622.</w:t>
      </w:r>
    </w:p>
    <w:p w14:paraId="72277551"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7</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M. Inayat, S. A. Sulaiman, and M. Y. Naz, “Thermochemical Characterization of Oil Palm Fronds, Coconut Shells, and Wood as A Fuel For Heat and Power Generation,” </w:t>
      </w:r>
      <w:r>
        <w:rPr>
          <w:rFonts w:ascii="Times New Roman" w:eastAsia="Times New Roman" w:hAnsi="Times New Roman" w:cs="Times New Roman"/>
          <w:i/>
          <w:color w:val="000000"/>
          <w:sz w:val="24"/>
          <w:szCs w:val="24"/>
        </w:rPr>
        <w:t>MATEC Web Conf.</w:t>
      </w:r>
      <w:r>
        <w:rPr>
          <w:rFonts w:ascii="Times New Roman" w:eastAsia="Times New Roman" w:hAnsi="Times New Roman" w:cs="Times New Roman"/>
          <w:color w:val="000000"/>
          <w:sz w:val="24"/>
          <w:szCs w:val="24"/>
        </w:rPr>
        <w:t>, vol. 225, p. 01008, 2018, doi: 10.1051/matecconf/201822501008.</w:t>
      </w:r>
    </w:p>
    <w:p w14:paraId="6ECCA021"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w:t>
      </w:r>
      <w:r>
        <w:rPr>
          <w:rFonts w:ascii="Times New Roman" w:eastAsia="Times New Roman" w:hAnsi="Times New Roman" w:cs="Times New Roman"/>
          <w:color w:val="000000"/>
          <w:sz w:val="24"/>
          <w:szCs w:val="24"/>
        </w:rPr>
        <w:tab/>
        <w:t xml:space="preserve">A. C. Martins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“Removal of tetracycline by NaOH-activated carbon produced from macadamia nut shells: Kinetic and equilibrium studies,” </w:t>
      </w:r>
      <w:r>
        <w:rPr>
          <w:rFonts w:ascii="Times New Roman" w:eastAsia="Times New Roman" w:hAnsi="Times New Roman" w:cs="Times New Roman"/>
          <w:i/>
          <w:color w:val="000000"/>
          <w:sz w:val="24"/>
          <w:szCs w:val="24"/>
        </w:rPr>
        <w:t>Chem. Eng. J.</w:t>
      </w:r>
      <w:r>
        <w:rPr>
          <w:rFonts w:ascii="Times New Roman" w:eastAsia="Times New Roman" w:hAnsi="Times New Roman" w:cs="Times New Roman"/>
          <w:color w:val="000000"/>
          <w:sz w:val="24"/>
          <w:szCs w:val="24"/>
        </w:rPr>
        <w:t>, vol. 260, pp. 291–299, Jan. 2015, doi: 10.1016/j.cej.2014.09.017.</w:t>
      </w:r>
    </w:p>
    <w:p w14:paraId="3B280DFF" w14:textId="77777777" w:rsidR="00EF304C" w:rsidRDefault="00000000">
      <w:pPr>
        <w:pBdr>
          <w:top w:val="nil"/>
          <w:left w:val="nil"/>
          <w:bottom w:val="nil"/>
          <w:right w:val="nil"/>
          <w:between w:val="nil"/>
        </w:pBdr>
        <w:tabs>
          <w:tab w:val="left" w:pos="504"/>
        </w:tabs>
        <w:spacing w:after="0" w:line="240" w:lineRule="auto"/>
        <w:ind w:left="504" w:hanging="50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sz w:val="24"/>
          <w:szCs w:val="24"/>
        </w:rPr>
        <w:t>9</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H. Wang </w:t>
      </w:r>
      <w:r>
        <w:rPr>
          <w:rFonts w:ascii="Times New Roman" w:eastAsia="Times New Roman" w:hAnsi="Times New Roman" w:cs="Times New Roman"/>
          <w:i/>
          <w:color w:val="000000"/>
          <w:sz w:val="24"/>
          <w:szCs w:val="24"/>
        </w:rPr>
        <w:t>et al.</w:t>
      </w:r>
      <w:r>
        <w:rPr>
          <w:rFonts w:ascii="Times New Roman" w:eastAsia="Times New Roman" w:hAnsi="Times New Roman" w:cs="Times New Roman"/>
          <w:color w:val="000000"/>
          <w:sz w:val="24"/>
          <w:szCs w:val="24"/>
        </w:rPr>
        <w:t xml:space="preserve">, “Microscopic analysis of copper current collectors and mechanisms of fragmentation under compressive forces,” </w:t>
      </w:r>
      <w:r>
        <w:rPr>
          <w:rFonts w:ascii="Times New Roman" w:eastAsia="Times New Roman" w:hAnsi="Times New Roman" w:cs="Times New Roman"/>
          <w:i/>
          <w:color w:val="000000"/>
          <w:sz w:val="24"/>
          <w:szCs w:val="24"/>
        </w:rPr>
        <w:t>Mater. Today Energy</w:t>
      </w:r>
      <w:r>
        <w:rPr>
          <w:rFonts w:ascii="Times New Roman" w:eastAsia="Times New Roman" w:hAnsi="Times New Roman" w:cs="Times New Roman"/>
          <w:color w:val="000000"/>
          <w:sz w:val="24"/>
          <w:szCs w:val="24"/>
        </w:rPr>
        <w:t>, vol. 17, p. 100479, Sep. 2020, doi: 10.1016/j.mtener.2020.100479.</w:t>
      </w:r>
    </w:p>
    <w:p w14:paraId="0AADBACB" w14:textId="77777777" w:rsidR="00EF304C" w:rsidRDefault="00EF304C">
      <w:pPr>
        <w:jc w:val="both"/>
      </w:pPr>
    </w:p>
    <w:sectPr w:rsidR="00EF304C">
      <w:footerReference w:type="default" r:id="rId31"/>
      <w:pgSz w:w="12240" w:h="15840"/>
      <w:pgMar w:top="1440" w:right="1080" w:bottom="144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1CA373" w14:textId="77777777" w:rsidR="00F33129" w:rsidRDefault="00F33129">
      <w:pPr>
        <w:spacing w:after="0" w:line="240" w:lineRule="auto"/>
      </w:pPr>
      <w:r>
        <w:separator/>
      </w:r>
    </w:p>
  </w:endnote>
  <w:endnote w:type="continuationSeparator" w:id="0">
    <w:p w14:paraId="18A133F6" w14:textId="77777777" w:rsidR="00F33129" w:rsidRDefault="00F331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133A699-74C7-43D0-AFDE-BE2F030E0A06}"/>
    <w:embedBold r:id="rId2" w:fontKey="{A188C774-0E10-4BD8-8CFE-1856EE87C636}"/>
    <w:embedItalic r:id="rId3" w:fontKey="{D66DCA90-C4B6-42D2-A1CE-1183ACF6848A}"/>
  </w:font>
  <w:font w:name="Segoe UI">
    <w:panose1 w:val="020B0502040204020203"/>
    <w:charset w:val="00"/>
    <w:family w:val="swiss"/>
    <w:pitch w:val="variable"/>
    <w:sig w:usb0="E4002EFF" w:usb1="C000E47F" w:usb2="00000009" w:usb3="00000000" w:csb0="000001FF" w:csb1="00000000"/>
    <w:embedRegular r:id="rId4" w:fontKey="{A5386BC4-A6CF-4FAC-8CB0-2EEC86BE2678}"/>
  </w:font>
  <w:font w:name="Georgia">
    <w:panose1 w:val="02040502050405020303"/>
    <w:charset w:val="00"/>
    <w:family w:val="roman"/>
    <w:pitch w:val="variable"/>
    <w:sig w:usb0="00000287" w:usb1="00000000" w:usb2="00000000" w:usb3="00000000" w:csb0="0000009F" w:csb1="00000000"/>
    <w:embedRegular r:id="rId5" w:fontKey="{BC5355A0-3B60-4F4E-AECE-C0BAA6B0EB52}"/>
    <w:embedItalic r:id="rId6" w:fontKey="{0FF7E94A-46E8-4263-A6F6-344ED44EDAEA}"/>
  </w:font>
  <w:font w:name="Amasis MT Pro">
    <w:charset w:val="00"/>
    <w:family w:val="roman"/>
    <w:pitch w:val="variable"/>
    <w:sig w:usb0="A00000AF" w:usb1="4000205B" w:usb2="00000000" w:usb3="00000000" w:csb0="00000093" w:csb1="00000000"/>
    <w:embedRegular r:id="rId7" w:fontKey="{F0EF4AFF-A41C-4169-9F61-EB6362E765A9}"/>
    <w:embedBold r:id="rId8" w:fontKey="{D73B095E-EB40-4658-A433-DF9573CC74EE}"/>
  </w:font>
  <w:font w:name="Cambria Math">
    <w:panose1 w:val="02040503050406030204"/>
    <w:charset w:val="00"/>
    <w:family w:val="roman"/>
    <w:pitch w:val="variable"/>
    <w:sig w:usb0="E00006FF" w:usb1="420024FF" w:usb2="02000000" w:usb3="00000000" w:csb0="0000019F" w:csb1="00000000"/>
    <w:embedItalic r:id="rId9" w:fontKey="{8A2CB864-8E6E-4B8A-BDD5-C0800B452405}"/>
  </w:font>
  <w:font w:name="Calibri Light">
    <w:panose1 w:val="020F0302020204030204"/>
    <w:charset w:val="00"/>
    <w:family w:val="swiss"/>
    <w:pitch w:val="variable"/>
    <w:sig w:usb0="E4002EFF" w:usb1="C200247B" w:usb2="00000009" w:usb3="00000000" w:csb0="000001FF" w:csb1="00000000"/>
    <w:embedRegular r:id="rId10" w:fontKey="{08AD69F6-ADA1-4480-B427-C1FF076752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D7190" w14:textId="77777777" w:rsidR="00EF304C" w:rsidRDefault="00EF304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E286CF" w14:textId="77777777" w:rsidR="00F33129" w:rsidRDefault="00F33129">
      <w:pPr>
        <w:spacing w:after="0" w:line="240" w:lineRule="auto"/>
      </w:pPr>
      <w:r>
        <w:separator/>
      </w:r>
    </w:p>
  </w:footnote>
  <w:footnote w:type="continuationSeparator" w:id="0">
    <w:p w14:paraId="167A3A79" w14:textId="77777777" w:rsidR="00F33129" w:rsidRDefault="00F331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ECA2DF5"/>
    <w:multiLevelType w:val="multilevel"/>
    <w:tmpl w:val="7DEE71B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830144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04C"/>
    <w:rsid w:val="003609D9"/>
    <w:rsid w:val="00445EE0"/>
    <w:rsid w:val="005474E0"/>
    <w:rsid w:val="006F1BB7"/>
    <w:rsid w:val="006F4530"/>
    <w:rsid w:val="007667E0"/>
    <w:rsid w:val="00791443"/>
    <w:rsid w:val="00EF304C"/>
    <w:rsid w:val="00F33129"/>
    <w:rsid w:val="00FE31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9E1DD"/>
  <w15:docId w15:val="{862953EF-BD5D-41D4-8519-9CCDB0A26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icsmauthors">
    <w:name w:val="icsm_authors"/>
    <w:basedOn w:val="Normal"/>
    <w:rsid w:val="004B2B24"/>
    <w:pPr>
      <w:spacing w:line="240" w:lineRule="auto"/>
      <w:jc w:val="center"/>
    </w:pPr>
    <w:rPr>
      <w:rFonts w:ascii="Times New Roman" w:eastAsia="Times New Roman" w:hAnsi="Times New Roman" w:cs="Times New Roman"/>
      <w:sz w:val="26"/>
      <w:szCs w:val="20"/>
      <w:lang w:val="en-GB"/>
    </w:rPr>
  </w:style>
  <w:style w:type="paragraph" w:styleId="FootnoteText">
    <w:name w:val="footnote text"/>
    <w:basedOn w:val="Normal"/>
    <w:link w:val="FootnoteTextChar"/>
    <w:semiHidden/>
    <w:rsid w:val="004B2B24"/>
    <w:pPr>
      <w:spacing w:after="0" w:line="240" w:lineRule="auto"/>
    </w:pPr>
    <w:rPr>
      <w:rFonts w:ascii="Times New Roman" w:eastAsia="Times New Roman" w:hAnsi="Times New Roman" w:cs="Times New Roman"/>
      <w:sz w:val="20"/>
      <w:szCs w:val="20"/>
      <w:lang w:val="en-GB"/>
    </w:rPr>
  </w:style>
  <w:style w:type="character" w:customStyle="1" w:styleId="FootnoteTextChar">
    <w:name w:val="Footnote Text Char"/>
    <w:basedOn w:val="DefaultParagraphFont"/>
    <w:link w:val="FootnoteText"/>
    <w:semiHidden/>
    <w:rsid w:val="004B2B24"/>
    <w:rPr>
      <w:rFonts w:ascii="Times New Roman" w:eastAsia="Times New Roman" w:hAnsi="Times New Roman" w:cs="Times New Roman"/>
      <w:sz w:val="20"/>
      <w:szCs w:val="20"/>
      <w:lang w:val="en-GB"/>
    </w:rPr>
  </w:style>
  <w:style w:type="character" w:styleId="FootnoteReference">
    <w:name w:val="footnote reference"/>
    <w:semiHidden/>
    <w:rsid w:val="004B2B24"/>
    <w:rPr>
      <w:vertAlign w:val="superscript"/>
    </w:rPr>
  </w:style>
  <w:style w:type="paragraph" w:customStyle="1" w:styleId="icsmaddresses">
    <w:name w:val="icsm_addresses"/>
    <w:basedOn w:val="Normal"/>
    <w:rsid w:val="004B2B24"/>
    <w:pPr>
      <w:spacing w:after="120" w:line="240" w:lineRule="auto"/>
      <w:jc w:val="center"/>
    </w:pPr>
    <w:rPr>
      <w:rFonts w:ascii="Times New Roman" w:eastAsia="Times New Roman" w:hAnsi="Times New Roman" w:cs="Times New Roman"/>
      <w:i/>
      <w:sz w:val="16"/>
      <w:szCs w:val="20"/>
      <w:lang w:val="en-GB"/>
    </w:rPr>
  </w:style>
  <w:style w:type="character" w:styleId="Hyperlink">
    <w:name w:val="Hyperlink"/>
    <w:basedOn w:val="DefaultParagraphFont"/>
    <w:uiPriority w:val="99"/>
    <w:unhideWhenUsed/>
    <w:rsid w:val="00D3281E"/>
    <w:rPr>
      <w:color w:val="0563C1" w:themeColor="hyperlink"/>
      <w:u w:val="single"/>
    </w:rPr>
  </w:style>
  <w:style w:type="paragraph" w:customStyle="1" w:styleId="icsmbodytext">
    <w:name w:val="icsm_bodytext"/>
    <w:basedOn w:val="Normal"/>
    <w:rsid w:val="00145170"/>
    <w:pPr>
      <w:spacing w:after="0" w:line="240" w:lineRule="auto"/>
      <w:ind w:firstLine="240"/>
      <w:jc w:val="both"/>
    </w:pPr>
    <w:rPr>
      <w:rFonts w:ascii="Times New Roman" w:eastAsia="Times New Roman" w:hAnsi="Times New Roman" w:cs="Times New Roman"/>
      <w:sz w:val="20"/>
      <w:szCs w:val="20"/>
      <w:lang w:val="en-GB"/>
    </w:rPr>
  </w:style>
  <w:style w:type="paragraph" w:customStyle="1" w:styleId="icsmheading1">
    <w:name w:val="icsm_heading1"/>
    <w:basedOn w:val="Normal"/>
    <w:rsid w:val="00145170"/>
    <w:pPr>
      <w:spacing w:before="480" w:after="240" w:line="240" w:lineRule="auto"/>
    </w:pPr>
    <w:rPr>
      <w:rFonts w:ascii="Times New Roman" w:eastAsia="Times New Roman" w:hAnsi="Times New Roman" w:cs="Times New Roman"/>
      <w:b/>
      <w:sz w:val="20"/>
      <w:szCs w:val="20"/>
      <w:lang w:val="en-GB"/>
    </w:rPr>
  </w:style>
  <w:style w:type="table" w:styleId="TableGrid">
    <w:name w:val="Table Grid"/>
    <w:basedOn w:val="TableNormal"/>
    <w:uiPriority w:val="39"/>
    <w:rsid w:val="0014517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csmtabletext">
    <w:name w:val="icsm_tabletext"/>
    <w:basedOn w:val="icsmbodytext"/>
    <w:rsid w:val="008306CC"/>
    <w:pPr>
      <w:spacing w:before="40"/>
      <w:ind w:firstLine="0"/>
      <w:jc w:val="left"/>
    </w:pPr>
    <w:rPr>
      <w:sz w:val="16"/>
    </w:rPr>
  </w:style>
  <w:style w:type="paragraph" w:styleId="Bibliography">
    <w:name w:val="Bibliography"/>
    <w:basedOn w:val="Normal"/>
    <w:next w:val="Normal"/>
    <w:uiPriority w:val="37"/>
    <w:unhideWhenUsed/>
    <w:rsid w:val="007253FF"/>
    <w:pPr>
      <w:tabs>
        <w:tab w:val="left" w:pos="504"/>
      </w:tabs>
      <w:spacing w:after="0" w:line="240" w:lineRule="auto"/>
      <w:ind w:left="504" w:hanging="504"/>
    </w:pPr>
  </w:style>
  <w:style w:type="character" w:styleId="EndnoteReference">
    <w:name w:val="endnote reference"/>
    <w:basedOn w:val="DefaultParagraphFont"/>
    <w:uiPriority w:val="99"/>
    <w:semiHidden/>
    <w:unhideWhenUsed/>
    <w:rsid w:val="008657E4"/>
    <w:rPr>
      <w:vertAlign w:val="superscript"/>
    </w:rPr>
  </w:style>
  <w:style w:type="character" w:styleId="CommentReference">
    <w:name w:val="annotation reference"/>
    <w:basedOn w:val="DefaultParagraphFont"/>
    <w:uiPriority w:val="99"/>
    <w:semiHidden/>
    <w:unhideWhenUsed/>
    <w:rsid w:val="00620190"/>
    <w:rPr>
      <w:sz w:val="16"/>
      <w:szCs w:val="16"/>
    </w:rPr>
  </w:style>
  <w:style w:type="paragraph" w:styleId="CommentText">
    <w:name w:val="annotation text"/>
    <w:basedOn w:val="Normal"/>
    <w:link w:val="CommentTextChar"/>
    <w:uiPriority w:val="99"/>
    <w:semiHidden/>
    <w:unhideWhenUsed/>
    <w:rsid w:val="00620190"/>
    <w:pPr>
      <w:spacing w:after="0" w:line="240" w:lineRule="auto"/>
    </w:pPr>
    <w:rPr>
      <w:rFonts w:ascii="Times New Roman" w:eastAsia="Times New Roman" w:hAnsi="Times New Roman" w:cs="Times New Roman"/>
      <w:sz w:val="20"/>
      <w:szCs w:val="20"/>
      <w:lang w:val="en-GB"/>
    </w:rPr>
  </w:style>
  <w:style w:type="character" w:customStyle="1" w:styleId="CommentTextChar">
    <w:name w:val="Comment Text Char"/>
    <w:basedOn w:val="DefaultParagraphFont"/>
    <w:link w:val="CommentText"/>
    <w:uiPriority w:val="99"/>
    <w:semiHidden/>
    <w:rsid w:val="00620190"/>
    <w:rPr>
      <w:rFonts w:ascii="Times New Roman" w:eastAsia="Times New Roman" w:hAnsi="Times New Roman" w:cs="Times New Roman"/>
      <w:sz w:val="20"/>
      <w:szCs w:val="20"/>
      <w:lang w:val="en-GB"/>
    </w:rPr>
  </w:style>
  <w:style w:type="paragraph" w:styleId="NormalWeb">
    <w:name w:val="Normal (Web)"/>
    <w:basedOn w:val="Normal"/>
    <w:uiPriority w:val="99"/>
    <w:unhideWhenUsed/>
    <w:rsid w:val="002A31FF"/>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6324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63248"/>
    <w:rPr>
      <w:rFonts w:ascii="Segoe UI" w:hAnsi="Segoe UI" w:cs="Segoe UI"/>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3">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4">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5">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6">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7">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8">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9">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b">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c">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d">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e">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character" w:styleId="UnresolvedMention">
    <w:name w:val="Unresolved Mention"/>
    <w:basedOn w:val="DefaultParagraphFont"/>
    <w:uiPriority w:val="99"/>
    <w:semiHidden/>
    <w:unhideWhenUsed/>
    <w:rsid w:val="005474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uW8cXPQCdzAI2AoN63+VNF0HkA==">CgMxLjAyCGguZ2pkZ3hzOAByITE5bjJpWldtNXAxQUJ2MUtKbTZwTmFIREM1VWZJOUl3Vw==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20</Pages>
  <Words>5678</Words>
  <Characters>32366</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Sintya Efriana</dc:creator>
  <cp:lastModifiedBy>Office412</cp:lastModifiedBy>
  <cp:revision>18</cp:revision>
  <dcterms:created xsi:type="dcterms:W3CDTF">2024-07-13T02:09:00Z</dcterms:created>
  <dcterms:modified xsi:type="dcterms:W3CDTF">2024-09-14T03:12:00Z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87f06124-f38c-4643-a9f2-167505c8bf4e</vt:lpwstr>
  </property>
  <property fmtid="{D5CDD505-2E9C-101B-9397-08002B2CF9AE}" pid="3" name="ZOTERO_PREF_1">
    <vt:lpwstr>&lt;data data-version="3" zotero-version="6.0.36"&gt;&lt;session id="U0kuhOOo"/&gt;&lt;style id="http://www.zotero.org/styles/ieee" locale="en-US" hasBibliography="1" bibliographyStyleHasBeenSet="1"/&gt;&lt;prefs&gt;&lt;pref name="fieldType" value="Field"/&gt;&lt;pref name="automaticJour</vt:lpwstr>
  </property>
  <property fmtid="{D5CDD505-2E9C-101B-9397-08002B2CF9AE}" pid="4" name="ZOTERO_PREF_2">
    <vt:lpwstr>nalAbbreviations" value="true"/&gt;&lt;/prefs&gt;&lt;/data&gt;</vt:lpwstr>
  </property>
</Properties>
</file>