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B88676" w14:textId="6816EBB9" w:rsidR="001932B4" w:rsidRPr="00AB50AD" w:rsidRDefault="00AB50AD" w:rsidP="00AB50AD">
      <w:pPr>
        <w:pBdr>
          <w:top w:val="nil"/>
          <w:left w:val="nil"/>
          <w:bottom w:val="nil"/>
          <w:right w:val="nil"/>
          <w:between w:val="nil"/>
        </w:pBdr>
        <w:spacing w:after="160"/>
        <w:rPr>
          <w:rFonts w:ascii="Amasis MT Pro" w:eastAsia="Amasis MT Pro" w:hAnsi="Amasis MT Pro" w:cs="Amasis MT Pro"/>
          <w:sz w:val="34"/>
          <w:szCs w:val="34"/>
        </w:rPr>
      </w:pPr>
      <w:r w:rsidRPr="00AB50AD">
        <w:rPr>
          <w:rFonts w:ascii="Amasis MT Pro" w:eastAsia="Amasis MT Pro" w:hAnsi="Amasis MT Pro" w:cs="Amasis MT Pro"/>
          <w:sz w:val="34"/>
          <w:szCs w:val="34"/>
        </w:rPr>
        <w:t>Promising Electrode Material for Biobattery POWER:</w:t>
      </w:r>
      <w:r>
        <w:rPr>
          <w:rFonts w:ascii="Amasis MT Pro" w:eastAsia="Amasis MT Pro" w:hAnsi="Amasis MT Pro" w:cs="Amasis MT Pro"/>
          <w:sz w:val="34"/>
          <w:szCs w:val="34"/>
        </w:rPr>
        <w:t xml:space="preserve"> Oil Palm Front (OPF) </w:t>
      </w:r>
      <w:r w:rsidRPr="00AB50AD">
        <w:rPr>
          <w:rFonts w:ascii="Amasis MT Pro" w:eastAsia="Amasis MT Pro" w:hAnsi="Amasis MT Pro" w:cs="Amasis MT Pro"/>
          <w:sz w:val="34"/>
          <w:szCs w:val="34"/>
        </w:rPr>
        <w:t>Activated Carbon</w:t>
      </w:r>
    </w:p>
    <w:p w14:paraId="1C0B2E51" w14:textId="4768E7DA" w:rsidR="001932B4" w:rsidRDefault="00E65D41" w:rsidP="0060796F">
      <w:pPr>
        <w:pBdr>
          <w:top w:val="nil"/>
          <w:left w:val="nil"/>
          <w:bottom w:val="nil"/>
          <w:right w:val="nil"/>
          <w:between w:val="nil"/>
        </w:pBdr>
        <w:spacing w:before="240" w:after="240"/>
        <w:jc w:val="both"/>
        <w:rPr>
          <w:rFonts w:ascii="Amasis MT Pro" w:eastAsia="Amasis MT Pro" w:hAnsi="Amasis MT Pro" w:cs="Amasis MT Pro"/>
          <w:color w:val="000000"/>
          <w:sz w:val="24"/>
          <w:szCs w:val="24"/>
        </w:rPr>
      </w:pPr>
      <w:r>
        <w:rPr>
          <w:rFonts w:ascii="Amasis MT Pro" w:eastAsia="Amasis MT Pro" w:hAnsi="Amasis MT Pro" w:cs="Amasis MT Pro"/>
          <w:color w:val="000000"/>
          <w:sz w:val="24"/>
          <w:szCs w:val="24"/>
        </w:rPr>
        <w:t>Muhammad Ilham Akbar</w:t>
      </w:r>
      <w:r w:rsidR="00D42102">
        <w:rPr>
          <w:rFonts w:ascii="Amasis MT Pro" w:eastAsia="Amasis MT Pro" w:hAnsi="Amasis MT Pro" w:cs="Amasis MT Pro"/>
          <w:color w:val="000000"/>
          <w:sz w:val="24"/>
          <w:szCs w:val="24"/>
          <w:vertAlign w:val="superscript"/>
        </w:rPr>
        <w:t>1</w:t>
      </w:r>
      <w:r w:rsidR="00D42102">
        <w:rPr>
          <w:rFonts w:ascii="Amasis MT Pro" w:eastAsia="Amasis MT Pro" w:hAnsi="Amasis MT Pro" w:cs="Amasis MT Pro"/>
          <w:color w:val="000000"/>
          <w:sz w:val="24"/>
          <w:szCs w:val="24"/>
        </w:rPr>
        <w:t xml:space="preserve">, </w:t>
      </w:r>
      <w:r>
        <w:rPr>
          <w:rFonts w:ascii="Amasis MT Pro" w:eastAsia="Amasis MT Pro" w:hAnsi="Amasis MT Pro" w:cs="Amasis MT Pro"/>
          <w:color w:val="000000"/>
          <w:sz w:val="24"/>
          <w:szCs w:val="24"/>
        </w:rPr>
        <w:t>Natasya Zahirah</w:t>
      </w:r>
      <w:r w:rsidR="00D42102">
        <w:rPr>
          <w:rFonts w:ascii="Amasis MT Pro" w:eastAsia="Amasis MT Pro" w:hAnsi="Amasis MT Pro" w:cs="Amasis MT Pro"/>
          <w:color w:val="000000"/>
          <w:sz w:val="24"/>
          <w:szCs w:val="24"/>
          <w:vertAlign w:val="superscript"/>
        </w:rPr>
        <w:t>2</w:t>
      </w:r>
      <w:r>
        <w:rPr>
          <w:rFonts w:ascii="Amasis MT Pro" w:eastAsia="Amasis MT Pro" w:hAnsi="Amasis MT Pro" w:cs="Amasis MT Pro"/>
          <w:color w:val="000000"/>
          <w:sz w:val="24"/>
          <w:szCs w:val="24"/>
        </w:rPr>
        <w:t>, Yogi Mirza Pangestu Utomo</w:t>
      </w:r>
      <w:r w:rsidR="00D42102">
        <w:rPr>
          <w:rFonts w:ascii="Amasis MT Pro" w:eastAsia="Amasis MT Pro" w:hAnsi="Amasis MT Pro" w:cs="Amasis MT Pro"/>
          <w:color w:val="000000"/>
          <w:sz w:val="24"/>
          <w:szCs w:val="24"/>
          <w:vertAlign w:val="superscript"/>
        </w:rPr>
        <w:t>3</w:t>
      </w:r>
      <w:r>
        <w:rPr>
          <w:rFonts w:ascii="Amasis MT Pro" w:eastAsia="Amasis MT Pro" w:hAnsi="Amasis MT Pro" w:cs="Amasis MT Pro"/>
          <w:color w:val="000000"/>
          <w:sz w:val="24"/>
          <w:szCs w:val="24"/>
        </w:rPr>
        <w:t>, Risnawati</w:t>
      </w:r>
      <w:r w:rsidR="00D42102">
        <w:rPr>
          <w:rFonts w:ascii="Amasis MT Pro" w:eastAsia="Amasis MT Pro" w:hAnsi="Amasis MT Pro" w:cs="Amasis MT Pro"/>
          <w:color w:val="000000"/>
          <w:sz w:val="24"/>
          <w:szCs w:val="24"/>
          <w:vertAlign w:val="superscript"/>
        </w:rPr>
        <w:t>4</w:t>
      </w:r>
      <w:r>
        <w:rPr>
          <w:rFonts w:ascii="Amasis MT Pro" w:eastAsia="Amasis MT Pro" w:hAnsi="Amasis MT Pro" w:cs="Amasis MT Pro"/>
          <w:color w:val="000000"/>
          <w:sz w:val="24"/>
          <w:szCs w:val="24"/>
        </w:rPr>
        <w:t xml:space="preserve">, </w:t>
      </w:r>
      <w:r w:rsidR="00D42102">
        <w:rPr>
          <w:rFonts w:ascii="Amasis MT Pro" w:eastAsia="Amasis MT Pro" w:hAnsi="Amasis MT Pro" w:cs="Amasis MT Pro"/>
          <w:color w:val="000000"/>
          <w:sz w:val="24"/>
          <w:szCs w:val="24"/>
        </w:rPr>
        <w:t>Widi Astuti</w:t>
      </w:r>
      <w:r w:rsidR="00D42102">
        <w:rPr>
          <w:rFonts w:ascii="Amasis MT Pro" w:eastAsia="Amasis MT Pro" w:hAnsi="Amasis MT Pro" w:cs="Amasis MT Pro"/>
          <w:color w:val="000000"/>
          <w:sz w:val="24"/>
          <w:szCs w:val="24"/>
          <w:vertAlign w:val="superscript"/>
        </w:rPr>
        <w:t>5</w:t>
      </w:r>
      <w:r w:rsidR="00D42102">
        <w:rPr>
          <w:rFonts w:ascii="Amasis MT Pro" w:eastAsia="Amasis MT Pro" w:hAnsi="Amasis MT Pro" w:cs="Amasis MT Pro"/>
          <w:color w:val="000000"/>
          <w:sz w:val="24"/>
          <w:szCs w:val="24"/>
        </w:rPr>
        <w:t xml:space="preserve">, </w:t>
      </w:r>
      <w:r>
        <w:rPr>
          <w:rFonts w:ascii="Amasis MT Pro" w:eastAsia="Amasis MT Pro" w:hAnsi="Amasis MT Pro" w:cs="Amasis MT Pro"/>
          <w:color w:val="000000"/>
          <w:sz w:val="24"/>
          <w:szCs w:val="24"/>
        </w:rPr>
        <w:t>Fikan Mubarok Rohimsyah</w:t>
      </w:r>
      <w:r w:rsidR="00D42102">
        <w:rPr>
          <w:rFonts w:ascii="Amasis MT Pro" w:eastAsia="Amasis MT Pro" w:hAnsi="Amasis MT Pro" w:cs="Amasis MT Pro"/>
          <w:color w:val="000000"/>
          <w:sz w:val="24"/>
          <w:szCs w:val="24"/>
          <w:vertAlign w:val="superscript"/>
        </w:rPr>
        <w:t>6</w:t>
      </w:r>
      <w:r>
        <w:rPr>
          <w:rFonts w:ascii="Amasis MT Pro" w:eastAsia="Amasis MT Pro" w:hAnsi="Amasis MT Pro" w:cs="Amasis MT Pro"/>
          <w:color w:val="000000"/>
          <w:sz w:val="24"/>
          <w:szCs w:val="24"/>
        </w:rPr>
        <w:t>,</w:t>
      </w:r>
      <w:r w:rsidR="00D42102">
        <w:rPr>
          <w:rFonts w:ascii="Amasis MT Pro" w:eastAsia="Amasis MT Pro" w:hAnsi="Amasis MT Pro" w:cs="Amasis MT Pro"/>
          <w:color w:val="000000"/>
          <w:sz w:val="24"/>
          <w:szCs w:val="24"/>
        </w:rPr>
        <w:t xml:space="preserve"> </w:t>
      </w:r>
      <w:r>
        <w:rPr>
          <w:rFonts w:ascii="Amasis MT Pro" w:eastAsia="Amasis MT Pro" w:hAnsi="Amasis MT Pro" w:cs="Amasis MT Pro"/>
          <w:color w:val="000000"/>
          <w:sz w:val="24"/>
          <w:szCs w:val="24"/>
        </w:rPr>
        <w:t>Yunita Triana</w:t>
      </w:r>
      <w:r w:rsidR="00D42102">
        <w:rPr>
          <w:rFonts w:ascii="Amasis MT Pro" w:eastAsia="Amasis MT Pro" w:hAnsi="Amasis MT Pro" w:cs="Amasis MT Pro"/>
          <w:color w:val="000000"/>
          <w:sz w:val="24"/>
          <w:szCs w:val="24"/>
          <w:vertAlign w:val="superscript"/>
        </w:rPr>
        <w:t>7</w:t>
      </w:r>
      <w:r w:rsidR="004A561B">
        <w:rPr>
          <w:rFonts w:ascii="Amasis MT Pro" w:eastAsia="Amasis MT Pro" w:hAnsi="Amasis MT Pro" w:cs="Amasis MT Pro"/>
          <w:color w:val="000000"/>
          <w:sz w:val="24"/>
          <w:szCs w:val="24"/>
          <w:vertAlign w:val="superscript"/>
        </w:rPr>
        <w:t>*</w:t>
      </w:r>
    </w:p>
    <w:p w14:paraId="6027E3D4" w14:textId="75C850B5" w:rsidR="00D42102" w:rsidRDefault="00E65D41">
      <w:pPr>
        <w:pBdr>
          <w:top w:val="nil"/>
          <w:left w:val="nil"/>
          <w:bottom w:val="nil"/>
          <w:right w:val="nil"/>
          <w:between w:val="nil"/>
        </w:pBdr>
        <w:spacing w:after="60"/>
        <w:rPr>
          <w:rFonts w:ascii="Amasis MT Pro" w:eastAsia="Amasis MT Pro" w:hAnsi="Amasis MT Pro" w:cs="Amasis MT Pro"/>
          <w:i/>
          <w:color w:val="000000"/>
          <w:sz w:val="18"/>
          <w:szCs w:val="18"/>
        </w:rPr>
      </w:pPr>
      <w:r>
        <w:rPr>
          <w:rFonts w:ascii="Amasis MT Pro" w:eastAsia="Amasis MT Pro" w:hAnsi="Amasis MT Pro" w:cs="Amasis MT Pro"/>
          <w:i/>
          <w:color w:val="000000"/>
          <w:sz w:val="16"/>
          <w:szCs w:val="16"/>
        </w:rPr>
        <w:t xml:space="preserve"> </w:t>
      </w:r>
      <w:r w:rsidR="00D42102">
        <w:rPr>
          <w:rFonts w:ascii="Amasis MT Pro" w:eastAsia="Amasis MT Pro" w:hAnsi="Amasis MT Pro" w:cs="Amasis MT Pro"/>
          <w:i/>
          <w:color w:val="000000"/>
          <w:sz w:val="16"/>
          <w:szCs w:val="16"/>
          <w:vertAlign w:val="superscript"/>
        </w:rPr>
        <w:t>1,2,3,4,6,7</w:t>
      </w:r>
      <w:r w:rsidRPr="00F20863">
        <w:rPr>
          <w:rFonts w:ascii="Amasis MT Pro" w:eastAsia="Amasis MT Pro" w:hAnsi="Amasis MT Pro" w:cs="Amasis MT Pro"/>
          <w:i/>
          <w:color w:val="000000"/>
          <w:sz w:val="18"/>
          <w:szCs w:val="18"/>
        </w:rPr>
        <w:t>Department of Materials and Metallurgical Engineering, Kalimantan Institute of Technology, Balikpapan 76127, Indonesia</w:t>
      </w:r>
      <w:r w:rsidR="0060796F" w:rsidRPr="00F20863">
        <w:rPr>
          <w:rFonts w:ascii="Amasis MT Pro" w:eastAsia="Amasis MT Pro" w:hAnsi="Amasis MT Pro" w:cs="Amasis MT Pro"/>
          <w:i/>
          <w:color w:val="000000"/>
          <w:sz w:val="18"/>
          <w:szCs w:val="18"/>
        </w:rPr>
        <w:t>.</w:t>
      </w:r>
    </w:p>
    <w:p w14:paraId="27D12998" w14:textId="29FEE44D" w:rsidR="0060796F" w:rsidRDefault="00D42102">
      <w:pPr>
        <w:pBdr>
          <w:top w:val="nil"/>
          <w:left w:val="nil"/>
          <w:bottom w:val="nil"/>
          <w:right w:val="nil"/>
          <w:between w:val="nil"/>
        </w:pBdr>
        <w:spacing w:after="60"/>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vertAlign w:val="superscript"/>
        </w:rPr>
        <w:t>5</w:t>
      </w:r>
      <w:r w:rsidRPr="00D42102">
        <w:rPr>
          <w:rFonts w:ascii="Amasis MT Pro" w:eastAsia="Amasis MT Pro" w:hAnsi="Amasis MT Pro" w:cs="Amasis MT Pro"/>
          <w:i/>
          <w:color w:val="000000"/>
          <w:sz w:val="18"/>
          <w:szCs w:val="18"/>
        </w:rPr>
        <w:t>Research Center for Mining Technology, National Research and Innovation Agency (BRIN)</w:t>
      </w:r>
      <w:r>
        <w:rPr>
          <w:rFonts w:ascii="Amasis MT Pro" w:eastAsia="Amasis MT Pro" w:hAnsi="Amasis MT Pro" w:cs="Amasis MT Pro"/>
          <w:i/>
          <w:color w:val="000000"/>
          <w:sz w:val="18"/>
          <w:szCs w:val="18"/>
        </w:rPr>
        <w:t>,</w:t>
      </w:r>
      <w:r w:rsidRPr="00D42102">
        <w:rPr>
          <w:rFonts w:ascii="Amasis MT Pro" w:eastAsia="Amasis MT Pro" w:hAnsi="Amasis MT Pro" w:cs="Amasis MT Pro"/>
          <w:i/>
          <w:color w:val="000000"/>
          <w:sz w:val="18"/>
          <w:szCs w:val="18"/>
        </w:rPr>
        <w:t xml:space="preserve"> Lampung, 35361</w:t>
      </w:r>
      <w:r>
        <w:rPr>
          <w:rFonts w:ascii="Amasis MT Pro" w:eastAsia="Amasis MT Pro" w:hAnsi="Amasis MT Pro" w:cs="Amasis MT Pro"/>
          <w:i/>
          <w:color w:val="000000"/>
          <w:sz w:val="18"/>
          <w:szCs w:val="18"/>
        </w:rPr>
        <w:t xml:space="preserve">, </w:t>
      </w:r>
      <w:r w:rsidRPr="00D42102">
        <w:rPr>
          <w:rFonts w:ascii="Amasis MT Pro" w:eastAsia="Amasis MT Pro" w:hAnsi="Amasis MT Pro" w:cs="Amasis MT Pro"/>
          <w:i/>
          <w:color w:val="000000"/>
          <w:sz w:val="18"/>
          <w:szCs w:val="18"/>
        </w:rPr>
        <w:t>Indonesia</w:t>
      </w:r>
      <w:r>
        <w:rPr>
          <w:rFonts w:ascii="Amasis MT Pro" w:eastAsia="Amasis MT Pro" w:hAnsi="Amasis MT Pro" w:cs="Amasis MT Pro"/>
          <w:i/>
          <w:color w:val="000000"/>
          <w:sz w:val="18"/>
          <w:szCs w:val="18"/>
        </w:rPr>
        <w:t>.</w:t>
      </w:r>
    </w:p>
    <w:p w14:paraId="137BB309" w14:textId="77777777" w:rsidR="00D42102" w:rsidRPr="00F20863" w:rsidRDefault="00D42102">
      <w:pPr>
        <w:pBdr>
          <w:top w:val="nil"/>
          <w:left w:val="nil"/>
          <w:bottom w:val="nil"/>
          <w:right w:val="nil"/>
          <w:between w:val="nil"/>
        </w:pBdr>
        <w:spacing w:after="60"/>
        <w:rPr>
          <w:rFonts w:ascii="Amasis MT Pro" w:eastAsia="Amasis MT Pro" w:hAnsi="Amasis MT Pro" w:cs="Amasis MT Pro"/>
          <w:i/>
          <w:color w:val="000000"/>
          <w:sz w:val="18"/>
          <w:szCs w:val="18"/>
        </w:rPr>
      </w:pPr>
    </w:p>
    <w:p w14:paraId="73FC9DE8" w14:textId="023167D0" w:rsidR="001932B4" w:rsidRDefault="004A561B">
      <w:pPr>
        <w:pBdr>
          <w:top w:val="nil"/>
          <w:left w:val="nil"/>
          <w:bottom w:val="nil"/>
          <w:right w:val="nil"/>
          <w:between w:val="nil"/>
        </w:pBdr>
        <w:spacing w:after="60"/>
        <w:rPr>
          <w:rFonts w:ascii="Amasis MT Pro" w:hAnsi="Amasis MT Pro" w:cs="Amasis MT Pro" w:hint="eastAsia"/>
          <w:i/>
          <w:color w:val="000000"/>
          <w:sz w:val="18"/>
          <w:szCs w:val="18"/>
          <w:lang w:eastAsia="ja-JP"/>
        </w:rPr>
      </w:pPr>
      <w:r w:rsidRPr="00F20863">
        <w:rPr>
          <w:rFonts w:ascii="Amasis MT Pro" w:eastAsia="Amasis MT Pro" w:hAnsi="Amasis MT Pro" w:cs="Amasis MT Pro"/>
          <w:i/>
          <w:color w:val="000000"/>
          <w:sz w:val="18"/>
          <w:szCs w:val="18"/>
        </w:rPr>
        <w:t xml:space="preserve">*Corresponding author: </w:t>
      </w:r>
      <w:hyperlink r:id="rId9" w:history="1">
        <w:r w:rsidR="006C5682" w:rsidRPr="003723C9">
          <w:rPr>
            <w:rStyle w:val="Hyperlink"/>
            <w:rFonts w:ascii="Amasis MT Pro" w:eastAsia="Amasis MT Pro" w:hAnsi="Amasis MT Pro" w:cs="Amasis MT Pro"/>
            <w:i/>
            <w:sz w:val="18"/>
            <w:szCs w:val="18"/>
          </w:rPr>
          <w:t>nita@lecturer.itk.ac.id</w:t>
        </w:r>
      </w:hyperlink>
    </w:p>
    <w:p w14:paraId="3D42CE3C" w14:textId="77777777" w:rsidR="001932B4" w:rsidRDefault="001932B4">
      <w:pPr>
        <w:pBdr>
          <w:top w:val="nil"/>
          <w:left w:val="nil"/>
          <w:bottom w:val="nil"/>
          <w:right w:val="nil"/>
          <w:between w:val="nil"/>
        </w:pBdr>
        <w:rPr>
          <w:rFonts w:ascii="Amasis MT Pro" w:eastAsia="Amasis MT Pro" w:hAnsi="Amasis MT Pro" w:cs="Amasis MT Pro"/>
          <w:i/>
          <w:color w:val="000000"/>
          <w:sz w:val="16"/>
          <w:szCs w:val="16"/>
          <w:vertAlign w:val="superscript"/>
        </w:rPr>
      </w:pPr>
    </w:p>
    <w:p w14:paraId="2402B563" w14:textId="073DD3DE" w:rsidR="001932B4" w:rsidRPr="004A561B" w:rsidRDefault="00E65D41">
      <w:pPr>
        <w:pBdr>
          <w:top w:val="single" w:sz="4" w:space="1" w:color="00B050"/>
        </w:pBdr>
        <w:spacing w:before="120"/>
        <w:jc w:val="both"/>
        <w:rPr>
          <w:rFonts w:ascii="Amasis MT Pro" w:eastAsia="Amasis MT Pro" w:hAnsi="Amasis MT Pro" w:cs="Amasis MT Pro"/>
          <w:sz w:val="22"/>
          <w:szCs w:val="22"/>
        </w:rPr>
      </w:pPr>
      <w:r w:rsidRPr="004A561B">
        <w:rPr>
          <w:rFonts w:ascii="Amasis MT Pro" w:eastAsia="Amasis MT Pro" w:hAnsi="Amasis MT Pro" w:cs="Amasis MT Pro"/>
          <w:b/>
          <w:sz w:val="18"/>
          <w:szCs w:val="18"/>
        </w:rPr>
        <w:t>Abstract</w:t>
      </w:r>
      <w:r w:rsidRPr="004A561B">
        <w:rPr>
          <w:rFonts w:ascii="Amasis MT Pro" w:eastAsia="Amasis MT Pro" w:hAnsi="Amasis MT Pro" w:cs="Amasis MT Pro"/>
          <w:sz w:val="18"/>
          <w:szCs w:val="18"/>
        </w:rPr>
        <w:t xml:space="preserve">. This study aims to investigate the effect of NaOH immersion time </w:t>
      </w:r>
      <w:r w:rsidR="00EB6830">
        <w:rPr>
          <w:rFonts w:ascii="Amasis MT Pro" w:hAnsi="Amasis MT Pro" w:cs="Amasis MT Pro" w:hint="eastAsia"/>
          <w:sz w:val="18"/>
          <w:szCs w:val="18"/>
          <w:lang w:eastAsia="ja-JP"/>
        </w:rPr>
        <w:t xml:space="preserve">and concentration </w:t>
      </w:r>
      <w:r w:rsidRPr="004A561B">
        <w:rPr>
          <w:rFonts w:ascii="Amasis MT Pro" w:eastAsia="Amasis MT Pro" w:hAnsi="Amasis MT Pro" w:cs="Amasis MT Pro"/>
          <w:sz w:val="18"/>
          <w:szCs w:val="18"/>
        </w:rPr>
        <w:t>on the a</w:t>
      </w:r>
      <w:r w:rsidR="006A7A4A">
        <w:rPr>
          <w:rFonts w:ascii="Amasis MT Pro" w:eastAsia="Amasis MT Pro" w:hAnsi="Amasis MT Pro" w:cs="Amasis MT Pro"/>
          <w:sz w:val="18"/>
          <w:szCs w:val="18"/>
        </w:rPr>
        <w:t>ctivation of carbon</w:t>
      </w:r>
      <w:r w:rsidR="00AD6702">
        <w:rPr>
          <w:rFonts w:ascii="Amasis MT Pro" w:eastAsia="Amasis MT Pro" w:hAnsi="Amasis MT Pro" w:cs="Amasis MT Pro"/>
          <w:sz w:val="18"/>
          <w:szCs w:val="18"/>
        </w:rPr>
        <w:t xml:space="preserve"> from </w:t>
      </w:r>
      <w:r w:rsidR="00AD6702">
        <w:rPr>
          <w:rFonts w:ascii="Amasis MT Pro" w:hAnsi="Amasis MT Pro" w:cs="Amasis MT Pro" w:hint="eastAsia"/>
          <w:sz w:val="18"/>
          <w:szCs w:val="18"/>
          <w:lang w:eastAsia="ja-JP"/>
        </w:rPr>
        <w:t>O</w:t>
      </w:r>
      <w:r w:rsidR="00AD6702">
        <w:rPr>
          <w:rFonts w:ascii="Amasis MT Pro" w:eastAsia="Amasis MT Pro" w:hAnsi="Amasis MT Pro" w:cs="Amasis MT Pro"/>
          <w:sz w:val="18"/>
          <w:szCs w:val="18"/>
        </w:rPr>
        <w:t xml:space="preserve">il </w:t>
      </w:r>
      <w:r w:rsidR="00AD6702">
        <w:rPr>
          <w:rFonts w:ascii="Amasis MT Pro" w:hAnsi="Amasis MT Pro" w:cs="Amasis MT Pro" w:hint="eastAsia"/>
          <w:sz w:val="18"/>
          <w:szCs w:val="18"/>
          <w:lang w:eastAsia="ja-JP"/>
        </w:rPr>
        <w:t>P</w:t>
      </w:r>
      <w:r w:rsidR="00AD6702">
        <w:rPr>
          <w:rFonts w:ascii="Amasis MT Pro" w:eastAsia="Amasis MT Pro" w:hAnsi="Amasis MT Pro" w:cs="Amasis MT Pro"/>
          <w:sz w:val="18"/>
          <w:szCs w:val="18"/>
        </w:rPr>
        <w:t xml:space="preserve">alm </w:t>
      </w:r>
      <w:r w:rsidR="00AD6702">
        <w:rPr>
          <w:rFonts w:ascii="Amasis MT Pro" w:hAnsi="Amasis MT Pro" w:cs="Amasis MT Pro" w:hint="eastAsia"/>
          <w:sz w:val="18"/>
          <w:szCs w:val="18"/>
          <w:lang w:eastAsia="ja-JP"/>
        </w:rPr>
        <w:t>F</w:t>
      </w:r>
      <w:r w:rsidRPr="004A561B">
        <w:rPr>
          <w:rFonts w:ascii="Amasis MT Pro" w:eastAsia="Amasis MT Pro" w:hAnsi="Amasis MT Pro" w:cs="Amasis MT Pro"/>
          <w:sz w:val="18"/>
          <w:szCs w:val="18"/>
        </w:rPr>
        <w:t>rond (OPF), specifically focusing on the surface</w:t>
      </w:r>
      <w:r w:rsidRPr="004A561B">
        <w:rPr>
          <w:rFonts w:ascii="Amasis MT Pro" w:eastAsia="Amasis MT Pro" w:hAnsi="Amasis MT Pro" w:cs="Amasis MT Pro"/>
          <w:sz w:val="18"/>
          <w:szCs w:val="18"/>
        </w:rPr>
        <w:t xml:space="preserve"> morphology and characteristics </w:t>
      </w:r>
      <w:r w:rsidR="006C5682">
        <w:rPr>
          <w:rFonts w:ascii="Amasis MT Pro" w:hAnsi="Amasis MT Pro" w:cs="Amasis MT Pro" w:hint="eastAsia"/>
          <w:sz w:val="18"/>
          <w:szCs w:val="18"/>
          <w:lang w:eastAsia="ja-JP"/>
        </w:rPr>
        <w:t>as the</w:t>
      </w:r>
      <w:r w:rsidRPr="004A561B">
        <w:rPr>
          <w:rFonts w:ascii="Amasis MT Pro" w:eastAsia="Amasis MT Pro" w:hAnsi="Amasis MT Pro" w:cs="Amasis MT Pro"/>
          <w:sz w:val="18"/>
          <w:szCs w:val="18"/>
        </w:rPr>
        <w:t xml:space="preserve"> electrodes</w:t>
      </w:r>
      <w:r w:rsidR="006A7A4A">
        <w:rPr>
          <w:rFonts w:ascii="Amasis MT Pro" w:hAnsi="Amasis MT Pro" w:cs="Amasis MT Pro" w:hint="eastAsia"/>
          <w:sz w:val="18"/>
          <w:szCs w:val="18"/>
          <w:lang w:eastAsia="ja-JP"/>
        </w:rPr>
        <w:t xml:space="preserve"> to bio</w:t>
      </w:r>
      <w:r w:rsidR="006C5682">
        <w:rPr>
          <w:rFonts w:ascii="Amasis MT Pro" w:hAnsi="Amasis MT Pro" w:cs="Amasis MT Pro" w:hint="eastAsia"/>
          <w:sz w:val="18"/>
          <w:szCs w:val="18"/>
          <w:lang w:eastAsia="ja-JP"/>
        </w:rPr>
        <w:t>battery application</w:t>
      </w:r>
      <w:r w:rsidRPr="004A561B">
        <w:rPr>
          <w:rFonts w:ascii="Amasis MT Pro" w:eastAsia="Amasis MT Pro" w:hAnsi="Amasis MT Pro" w:cs="Amasis MT Pro"/>
          <w:sz w:val="18"/>
          <w:szCs w:val="18"/>
        </w:rPr>
        <w:t>. The method employed involves carbonization and activation with NaOH at various concentrations: 0.5 M, 1 M, 1.5 M, 2 M, and 2.5 M, along with different immersion times of 12, 18, 24, 30, and 36 hours</w:t>
      </w:r>
      <w:r w:rsidR="00975B2A">
        <w:rPr>
          <w:rFonts w:ascii="Amasis MT Pro" w:eastAsia="Amasis MT Pro" w:hAnsi="Amasis MT Pro" w:cs="Amasis MT Pro"/>
          <w:sz w:val="18"/>
          <w:szCs w:val="18"/>
        </w:rPr>
        <w:t xml:space="preserve">. </w:t>
      </w:r>
      <w:r w:rsidRPr="004A561B">
        <w:rPr>
          <w:rFonts w:ascii="Amasis MT Pro" w:eastAsia="Amasis MT Pro" w:hAnsi="Amasis MT Pro" w:cs="Amasis MT Pro"/>
          <w:sz w:val="18"/>
          <w:szCs w:val="18"/>
        </w:rPr>
        <w:t>Subse</w:t>
      </w:r>
      <w:r w:rsidRPr="004A561B">
        <w:rPr>
          <w:rFonts w:ascii="Amasis MT Pro" w:eastAsia="Amasis MT Pro" w:hAnsi="Amasis MT Pro" w:cs="Amasis MT Pro"/>
          <w:sz w:val="18"/>
          <w:szCs w:val="18"/>
        </w:rPr>
        <w:t>quently, the activated carbon is analyzed using a Scanning Electron Microscope (SEM) to observe its morphology, and the Brunauer Emmett Teller (BET) method is utilized to determine the carbon surface area. Furthermore, a voltage test uses a multimeter to a</w:t>
      </w:r>
      <w:r w:rsidRPr="004A561B">
        <w:rPr>
          <w:rFonts w:ascii="Amasis MT Pro" w:eastAsia="Amasis MT Pro" w:hAnsi="Amasis MT Pro" w:cs="Amasis MT Pro"/>
          <w:sz w:val="18"/>
          <w:szCs w:val="18"/>
        </w:rPr>
        <w:t>ssess the electric potential properties. Another outcome of this study is developing a prototype bio-battery POWER. Activated carbon from oil palm frond (OPF) testing resulted in 1 M NaOH, giving the highest surface area of 336.493 m</w:t>
      </w:r>
      <w:r w:rsidRPr="004A561B">
        <w:rPr>
          <w:rFonts w:ascii="Amasis MT Pro" w:eastAsia="Amasis MT Pro" w:hAnsi="Amasis MT Pro" w:cs="Amasis MT Pro"/>
          <w:sz w:val="18"/>
          <w:szCs w:val="18"/>
          <w:vertAlign w:val="superscript"/>
        </w:rPr>
        <w:t>2</w:t>
      </w:r>
      <w:r w:rsidRPr="004A561B">
        <w:rPr>
          <w:rFonts w:ascii="Amasis MT Pro" w:eastAsia="Amasis MT Pro" w:hAnsi="Amasis MT Pro" w:cs="Amasis MT Pro"/>
          <w:sz w:val="18"/>
          <w:szCs w:val="18"/>
        </w:rPr>
        <w:t>g</w:t>
      </w:r>
      <w:r w:rsidRPr="004A561B">
        <w:rPr>
          <w:rFonts w:ascii="Amasis MT Pro" w:eastAsia="Amasis MT Pro" w:hAnsi="Amasis MT Pro" w:cs="Amasis MT Pro"/>
          <w:sz w:val="18"/>
          <w:szCs w:val="18"/>
          <w:vertAlign w:val="superscript"/>
        </w:rPr>
        <w:t>-1</w:t>
      </w:r>
      <w:r w:rsidRPr="004A561B">
        <w:rPr>
          <w:rFonts w:ascii="Amasis MT Pro" w:eastAsia="Amasis MT Pro" w:hAnsi="Amasis MT Pro" w:cs="Amasis MT Pro"/>
          <w:sz w:val="18"/>
          <w:szCs w:val="18"/>
        </w:rPr>
        <w:t>, and immersion ti</w:t>
      </w:r>
      <w:r w:rsidRPr="004A561B">
        <w:rPr>
          <w:rFonts w:ascii="Amasis MT Pro" w:eastAsia="Amasis MT Pro" w:hAnsi="Amasis MT Pro" w:cs="Amasis MT Pro"/>
          <w:sz w:val="18"/>
          <w:szCs w:val="18"/>
        </w:rPr>
        <w:t xml:space="preserve">me at 30 hours gave the optimum result </w:t>
      </w:r>
      <w:r w:rsidR="00975B2A">
        <w:rPr>
          <w:rFonts w:ascii="Amasis MT Pro" w:eastAsia="Amasis MT Pro" w:hAnsi="Amasis MT Pro" w:cs="Amasis MT Pro"/>
          <w:sz w:val="18"/>
          <w:szCs w:val="18"/>
        </w:rPr>
        <w:t>of</w:t>
      </w:r>
      <w:r w:rsidRPr="004A561B">
        <w:rPr>
          <w:rFonts w:ascii="Amasis MT Pro" w:eastAsia="Amasis MT Pro" w:hAnsi="Amasis MT Pro" w:cs="Amasis MT Pro"/>
          <w:sz w:val="18"/>
          <w:szCs w:val="18"/>
        </w:rPr>
        <w:t xml:space="preserve"> 396,808 m</w:t>
      </w:r>
      <w:r w:rsidRPr="004A561B">
        <w:rPr>
          <w:rFonts w:ascii="Amasis MT Pro" w:eastAsia="Amasis MT Pro" w:hAnsi="Amasis MT Pro" w:cs="Amasis MT Pro"/>
          <w:sz w:val="18"/>
          <w:szCs w:val="18"/>
          <w:vertAlign w:val="superscript"/>
        </w:rPr>
        <w:t>2</w:t>
      </w:r>
      <w:r w:rsidRPr="004A561B">
        <w:rPr>
          <w:rFonts w:ascii="Amasis MT Pro" w:eastAsia="Amasis MT Pro" w:hAnsi="Amasis MT Pro" w:cs="Amasis MT Pro"/>
          <w:sz w:val="18"/>
          <w:szCs w:val="18"/>
        </w:rPr>
        <w:t>g</w:t>
      </w:r>
      <w:r w:rsidRPr="004A561B">
        <w:rPr>
          <w:rFonts w:ascii="Amasis MT Pro" w:eastAsia="Amasis MT Pro" w:hAnsi="Amasis MT Pro" w:cs="Amasis MT Pro"/>
          <w:sz w:val="18"/>
          <w:szCs w:val="18"/>
          <w:vertAlign w:val="superscript"/>
        </w:rPr>
        <w:t>-1</w:t>
      </w:r>
      <w:r w:rsidRPr="004A561B">
        <w:rPr>
          <w:rFonts w:ascii="Amasis MT Pro" w:eastAsia="Amasis MT Pro" w:hAnsi="Amasis MT Pro" w:cs="Amasis MT Pro"/>
          <w:sz w:val="18"/>
          <w:szCs w:val="18"/>
        </w:rPr>
        <w:t>. At the same time, the bio</w:t>
      </w:r>
      <w:r w:rsidRPr="004A561B">
        <w:rPr>
          <w:rFonts w:ascii="Amasis MT Pro" w:eastAsia="Amasis MT Pro" w:hAnsi="Amasis MT Pro" w:cs="Amasis MT Pro"/>
          <w:sz w:val="18"/>
          <w:szCs w:val="18"/>
        </w:rPr>
        <w:t xml:space="preserve">battery electrical test voltage of 0,653 </w:t>
      </w:r>
      <w:r w:rsidR="00F20863">
        <w:rPr>
          <w:rFonts w:ascii="Amasis MT Pro" w:eastAsia="Amasis MT Pro" w:hAnsi="Amasis MT Pro" w:cs="Amasis MT Pro"/>
          <w:sz w:val="18"/>
          <w:szCs w:val="18"/>
        </w:rPr>
        <w:t>V</w:t>
      </w:r>
      <w:r w:rsidRPr="004A561B">
        <w:rPr>
          <w:rFonts w:ascii="Amasis MT Pro" w:eastAsia="Amasis MT Pro" w:hAnsi="Amasis MT Pro" w:cs="Amasis MT Pro"/>
          <w:sz w:val="18"/>
          <w:szCs w:val="18"/>
        </w:rPr>
        <w:t xml:space="preserve"> at a concentration of 1 M and 0,902 </w:t>
      </w:r>
      <w:r w:rsidR="00F20863">
        <w:rPr>
          <w:rFonts w:ascii="Amasis MT Pro" w:eastAsia="Amasis MT Pro" w:hAnsi="Amasis MT Pro" w:cs="Amasis MT Pro"/>
          <w:sz w:val="18"/>
          <w:szCs w:val="18"/>
        </w:rPr>
        <w:t>V</w:t>
      </w:r>
      <w:r w:rsidRPr="004A561B">
        <w:rPr>
          <w:rFonts w:ascii="Amasis MT Pro" w:eastAsia="Amasis MT Pro" w:hAnsi="Amasis MT Pro" w:cs="Amasis MT Pro"/>
          <w:sz w:val="18"/>
          <w:szCs w:val="18"/>
        </w:rPr>
        <w:t xml:space="preserve"> at 30 hours of immersion.</w:t>
      </w:r>
    </w:p>
    <w:p w14:paraId="16F55D8D" w14:textId="44D4E4AE" w:rsidR="001932B4" w:rsidRDefault="00E65D41">
      <w:pPr>
        <w:spacing w:before="120" w:after="240"/>
        <w:jc w:val="both"/>
        <w:rPr>
          <w:rFonts w:ascii="Amasis MT Pro" w:eastAsia="Amasis MT Pro" w:hAnsi="Amasis MT Pro" w:cs="Amasis MT Pro"/>
          <w:b/>
          <w:sz w:val="16"/>
          <w:szCs w:val="16"/>
        </w:rPr>
      </w:pPr>
      <w:r>
        <w:rPr>
          <w:rFonts w:ascii="Amasis MT Pro" w:eastAsia="Amasis MT Pro" w:hAnsi="Amasis MT Pro" w:cs="Amasis MT Pro"/>
          <w:b/>
          <w:sz w:val="16"/>
          <w:szCs w:val="16"/>
        </w:rPr>
        <w:t>Keywords:</w:t>
      </w:r>
      <w:r>
        <w:rPr>
          <w:rFonts w:ascii="Amasis MT Pro" w:eastAsia="Amasis MT Pro" w:hAnsi="Amasis MT Pro" w:cs="Amasis MT Pro"/>
          <w:sz w:val="16"/>
          <w:szCs w:val="16"/>
        </w:rPr>
        <w:t xml:space="preserve"> </w:t>
      </w:r>
      <w:r>
        <w:rPr>
          <w:rFonts w:ascii="Amasis MT Pro" w:eastAsia="Amasis MT Pro" w:hAnsi="Amasis MT Pro" w:cs="Amasis MT Pro"/>
          <w:i/>
          <w:sz w:val="16"/>
          <w:szCs w:val="16"/>
        </w:rPr>
        <w:t xml:space="preserve">Palm frond, </w:t>
      </w:r>
      <w:r w:rsidR="006E2CB4">
        <w:rPr>
          <w:rFonts w:ascii="Amasis MT Pro" w:eastAsia="Amasis MT Pro" w:hAnsi="Amasis MT Pro" w:cs="Amasis MT Pro"/>
          <w:i/>
          <w:sz w:val="16"/>
          <w:szCs w:val="16"/>
        </w:rPr>
        <w:t>Cathode, Anode,</w:t>
      </w:r>
      <w:r>
        <w:rPr>
          <w:rFonts w:ascii="Amasis MT Pro" w:eastAsia="Amasis MT Pro" w:hAnsi="Amasis MT Pro" w:cs="Amasis MT Pro"/>
          <w:i/>
          <w:sz w:val="16"/>
          <w:szCs w:val="16"/>
        </w:rPr>
        <w:t xml:space="preserve"> </w:t>
      </w:r>
      <w:r w:rsidR="006E2CB4">
        <w:rPr>
          <w:rFonts w:ascii="Amasis MT Pro" w:eastAsia="Amasis MT Pro" w:hAnsi="Amasis MT Pro" w:cs="Amasis MT Pro"/>
          <w:i/>
          <w:sz w:val="16"/>
          <w:szCs w:val="16"/>
        </w:rPr>
        <w:t xml:space="preserve">Carbon, </w:t>
      </w:r>
      <w:r>
        <w:rPr>
          <w:rFonts w:ascii="Amasis MT Pro" w:eastAsia="Amasis MT Pro" w:hAnsi="Amasis MT Pro" w:cs="Amasis MT Pro"/>
          <w:i/>
          <w:sz w:val="16"/>
          <w:szCs w:val="16"/>
        </w:rPr>
        <w:t>Bio Batter</w:t>
      </w:r>
      <w:r w:rsidR="006E2CB4">
        <w:rPr>
          <w:rFonts w:ascii="Amasis MT Pro" w:eastAsia="Amasis MT Pro" w:hAnsi="Amasis MT Pro" w:cs="Amasis MT Pro"/>
          <w:i/>
          <w:sz w:val="16"/>
          <w:szCs w:val="16"/>
        </w:rPr>
        <w:t>y</w:t>
      </w:r>
      <w:r>
        <w:rPr>
          <w:rFonts w:ascii="Amasis MT Pro" w:eastAsia="Amasis MT Pro" w:hAnsi="Amasis MT Pro" w:cs="Amasis MT Pro"/>
          <w:i/>
          <w:sz w:val="16"/>
          <w:szCs w:val="16"/>
        </w:rPr>
        <w:t>.</w:t>
      </w:r>
      <w:bookmarkStart w:id="0" w:name="_GoBack"/>
      <w:bookmarkEnd w:id="0"/>
    </w:p>
    <w:p w14:paraId="5B46DB83" w14:textId="55B24029" w:rsidR="001932B4" w:rsidRDefault="00E65D41" w:rsidP="009B3DA1">
      <w:pPr>
        <w:pBdr>
          <w:bottom w:val="single" w:sz="4" w:space="1" w:color="00B050"/>
        </w:pBdr>
        <w:spacing w:after="240"/>
        <w:rPr>
          <w:rFonts w:ascii="Amasis MT Pro" w:eastAsia="Amasis MT Pro" w:hAnsi="Amasis MT Pro" w:cs="Amasis MT Pro"/>
          <w:color w:val="ED7D31"/>
          <w:sz w:val="14"/>
          <w:szCs w:val="14"/>
        </w:rPr>
        <w:sectPr w:rsidR="001932B4">
          <w:headerReference w:type="even" r:id="rId10"/>
          <w:headerReference w:type="default" r:id="rId11"/>
          <w:footerReference w:type="even" r:id="rId12"/>
          <w:footerReference w:type="default" r:id="rId13"/>
          <w:headerReference w:type="first" r:id="rId14"/>
          <w:footerReference w:type="first" r:id="rId15"/>
          <w:pgSz w:w="11906" w:h="16838"/>
          <w:pgMar w:top="1276" w:right="913" w:bottom="1025" w:left="913" w:header="720" w:footer="370" w:gutter="0"/>
          <w:pgNumType w:start="97"/>
          <w:cols w:space="720"/>
          <w:titlePg/>
        </w:sectPr>
      </w:pPr>
      <w:r>
        <w:rPr>
          <w:rFonts w:ascii="Amasis MT Pro" w:eastAsia="Amasis MT Pro" w:hAnsi="Amasis MT Pro" w:cs="Amasis MT Pro"/>
          <w:color w:val="ED7D31"/>
          <w:sz w:val="14"/>
          <w:szCs w:val="14"/>
        </w:rPr>
        <w:t xml:space="preserve">  </w:t>
      </w:r>
    </w:p>
    <w:p w14:paraId="4860130C" w14:textId="77777777" w:rsidR="001932B4" w:rsidRDefault="00E65D41">
      <w:pPr>
        <w:numPr>
          <w:ilvl w:val="0"/>
          <w:numId w:val="1"/>
        </w:numPr>
        <w:pBdr>
          <w:top w:val="nil"/>
          <w:left w:val="nil"/>
          <w:bottom w:val="nil"/>
          <w:right w:val="nil"/>
          <w:between w:val="nil"/>
        </w:pBdr>
        <w:spacing w:after="120"/>
        <w:ind w:left="270" w:hanging="270"/>
        <w:rPr>
          <w:rFonts w:ascii="Amasis MT Pro" w:eastAsia="Amasis MT Pro" w:hAnsi="Amasis MT Pro" w:cs="Amasis MT Pro"/>
          <w:b/>
          <w:color w:val="000000"/>
          <w:sz w:val="18"/>
          <w:szCs w:val="18"/>
        </w:rPr>
      </w:pPr>
      <w:r>
        <w:rPr>
          <w:rFonts w:ascii="Amasis MT Pro" w:eastAsia="Amasis MT Pro" w:hAnsi="Amasis MT Pro" w:cs="Amasis MT Pro"/>
          <w:b/>
          <w:color w:val="000000"/>
          <w:sz w:val="18"/>
          <w:szCs w:val="18"/>
        </w:rPr>
        <w:lastRenderedPageBreak/>
        <w:t>Introduction</w:t>
      </w:r>
    </w:p>
    <w:p w14:paraId="28C780C3" w14:textId="3D0CCC05"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Energy is important in a country when there is a significant societal need. </w:t>
      </w:r>
      <w:r>
        <w:rPr>
          <w:rFonts w:ascii="Amasis MT Pro" w:eastAsia="Amasis MT Pro" w:hAnsi="Amasis MT Pro" w:cs="Amasis MT Pro"/>
          <w:color w:val="000000"/>
          <w:sz w:val="18"/>
          <w:szCs w:val="18"/>
        </w:rPr>
        <w:t>All aspects of life, starting from household activities, transportation, agriculture, industry, and others, require energy, both in the form of primary energy (oil, gas, and coal)</w:t>
      </w:r>
      <w:r w:rsidR="00032709">
        <w:rPr>
          <w:rFonts w:ascii="Amasis MT Pro" w:eastAsia="Amasis MT Pro" w:hAnsi="Amasis MT Pro" w:cs="Amasis MT Pro"/>
          <w:color w:val="000000"/>
          <w:sz w:val="18"/>
          <w:szCs w:val="18"/>
        </w:rPr>
        <w:fldChar w:fldCharType="begin" w:fldLock="1"/>
      </w:r>
      <w:r w:rsidR="0089296E">
        <w:rPr>
          <w:rFonts w:ascii="Amasis MT Pro" w:eastAsia="Amasis MT Pro" w:hAnsi="Amasis MT Pro" w:cs="Amasis MT Pro"/>
          <w:color w:val="000000"/>
          <w:sz w:val="18"/>
          <w:szCs w:val="18"/>
        </w:rPr>
        <w:instrText>ADDIN CSL_CITATION {"citationItems":[{"id":"ITEM-1","itemData":{"DOI":"10.1016/j.ngib.2016.02.001","ISSN":"23528559","abstract":"This paper aims to predict the future situation of global energy development. In view of this, we reviewed the history of energy use and understood that new energy sources will usher in a new era following oil &amp; gas, coal and wood one after another in the past time. Although the fossil energy sources are still plenty in the world, great breakthroughs made in some key technologies and the increasing demand for ecological environmental protection both impel the third time of transformation from oil &amp; gas to new energy sources. Sooner or later, oil, gas, coal and new energy sources will each account for a quarter of global energy consumption in the new era, specifically speaking, accounting for 32.6%, 23.7%, 30.0% and 13.7% respectively. As one of the largest coal consumer, China will inevitably face up to the situation of tripartite confrontation of the coal, oil &amp; gas and new energy. The following forecasting results were achieved. First, the oil will be in a stable period and its annual production peak will be around 2040, reaching up to 45 × 108 t. Second, the natural gas will enter the heyday period and its annual production peak will be around 2060, reaching up to 4.5 × 1012 m3, which will play a pivotal role in the future energy sustainable development. Third, the coal has entered a high-to-low-carbon transition period, and its direct use and the discharged pollutants will be significantly reduced. In 2050, the coal will be dropped to 25% of the primary energy mix. Last, the development and utilization of new energy sources has been getting into the golden age and its proportion in the primary energy mix will be substantially enhanced. On this basis, we presented some proposals for the future energy development in China. At first, we should understand well that China's energy production and consumption has its own characteristics. Under the present situation, we should strengthen the clean and efficient use of coal resources, which is the key to solving our energy and environmental issues. Then, under the low oil price circumstance, we should keep 200 million tons of annual oil production as “the bottom line” so as to ensure national energy security and to accelerate tight gas, shale gas and other unconventional resources development. In 2030, the annual natural gas production will reach up to more than 300 Bcm. Finally, the development and utilization of new energy resources should be further strengthened and non-fossil energy sources will be expec…","author":[{"dropping-particle":"","family":"Zou","given":"Caineng","non-dropping-particle":"","parse-names":false,"suffix":""},{"dropping-particle":"","family":"Zhao","given":"Qun","non-dropping-particle":"","parse-names":false,"suffix":""},{"dropping-particle":"","family":"Zhang","given":"Guosheng","non-dropping-particle":"","parse-names":false,"suffix":""},{"dropping-particle":"","family":"Xiong","given":"Bo","non-dropping-particle":"","parse-names":false,"suffix":""}],"container-title":"Nat. Gas Ind.","id":"ITEM-1","issue":"1","issued":{"date-parts":[["2016"]]},"page":"1-11","publisher":"Elsevier Ltd","title":"Energy revolution: From a fossil energy era to a new energy era","type":"article-journal","volume":"3"},"uris":["http://www.mendeley.com/documents/?uuid=0e8219d4-7422-419c-bbc7-bfb1397873ed"]}],"mendeley":{"formattedCitation":"(Zou et al., 2016)","plainTextFormattedCitation":"(Zou et al., 2016)","previouslyFormattedCitation":"(Zou et al., 2016)"},"properties":{"noteIndex":0},"schema":"https://github.com/citation-style-language/schema/raw/master/csl-citation.json"}</w:instrText>
      </w:r>
      <w:r w:rsidR="00032709">
        <w:rPr>
          <w:rFonts w:ascii="Amasis MT Pro" w:eastAsia="Amasis MT Pro" w:hAnsi="Amasis MT Pro" w:cs="Amasis MT Pro"/>
          <w:color w:val="000000"/>
          <w:sz w:val="18"/>
          <w:szCs w:val="18"/>
        </w:rPr>
        <w:fldChar w:fldCharType="separate"/>
      </w:r>
      <w:r w:rsidR="00032709" w:rsidRPr="00032709">
        <w:rPr>
          <w:rFonts w:ascii="Amasis MT Pro" w:eastAsia="Amasis MT Pro" w:hAnsi="Amasis MT Pro" w:cs="Amasis MT Pro"/>
          <w:noProof/>
          <w:color w:val="000000"/>
          <w:sz w:val="18"/>
          <w:szCs w:val="18"/>
        </w:rPr>
        <w:t>(Zou et al., 2016)</w:t>
      </w:r>
      <w:r w:rsidR="00032709">
        <w:rPr>
          <w:rFonts w:ascii="Amasis MT Pro" w:eastAsia="Amasis MT Pro" w:hAnsi="Amasis MT Pro" w:cs="Amasis MT Pro"/>
          <w:color w:val="000000"/>
          <w:sz w:val="18"/>
          <w:szCs w:val="18"/>
        </w:rPr>
        <w:fldChar w:fldCharType="end"/>
      </w:r>
      <w:r w:rsidR="00032709">
        <w:rPr>
          <w:rFonts w:ascii="Amasis MT Pro" w:eastAsia="Amasis MT Pro" w:hAnsi="Amasis MT Pro" w:cs="Amasis MT Pro"/>
          <w:color w:val="000000"/>
          <w:sz w:val="18"/>
          <w:szCs w:val="18"/>
        </w:rPr>
        <w:t xml:space="preserve"> </w:t>
      </w:r>
      <w:r>
        <w:rPr>
          <w:rFonts w:ascii="Amasis MT Pro" w:eastAsia="Amasis MT Pro" w:hAnsi="Amasis MT Pro" w:cs="Amasis MT Pro"/>
          <w:color w:val="000000"/>
          <w:sz w:val="18"/>
          <w:szCs w:val="18"/>
        </w:rPr>
        <w:t>and secondary energy (electricity, etc.)</w:t>
      </w:r>
      <w:r w:rsidR="00032709">
        <w:rPr>
          <w:rFonts w:ascii="Amasis MT Pro" w:eastAsia="Amasis MT Pro" w:hAnsi="Amasis MT Pro" w:cs="Amasis MT Pro"/>
          <w:color w:val="000000"/>
          <w:sz w:val="18"/>
          <w:szCs w:val="18"/>
        </w:rPr>
        <w:fldChar w:fldCharType="begin" w:fldLock="1"/>
      </w:r>
      <w:r w:rsidR="0089296E">
        <w:rPr>
          <w:rFonts w:ascii="Amasis MT Pro" w:eastAsia="Amasis MT Pro" w:hAnsi="Amasis MT Pro" w:cs="Amasis MT Pro"/>
          <w:color w:val="000000"/>
          <w:sz w:val="18"/>
          <w:szCs w:val="18"/>
        </w:rPr>
        <w:instrText>ADDIN CSL_CITATION {"citationItems":[{"id":"ITEM-1","itemData":{"DOI":"10.1016/j.rser.2016.11.102","ISSN":"18790690","abstract":"The increasing electricity generation from renewable resources has side effects on power grid systems, because of daily and seasonally intermittent nature of these sources. Additionally, there are fluctuations in the electricity demand during the day, so energy storage system (ESS) can play a vital role to compensate these troubles and seems to be a crucial part of smart grids in the future. This study comparatively presents a widespread and comprehensive description of energy storage systems with detailed classification, features, advantages, environmental impacts, and implementation possibilities with application variations.","author":[{"dropping-particle":"","family":"Guney","given":"Mukrimin Sevket","non-dropping-particle":"","parse-names":false,"suffix":""},{"dropping-particle":"","family":"Tepe","given":"Yalcin","non-dropping-particle":"","parse-names":false,"suffix":""}],"container-title":"Renewable Sustainable Energy Rev.","id":"ITEM-1","issue":"November","issued":{"date-parts":[["2017"]]},"page":"1187-1197","title":"Classification and assessment of energy storage systems","type":"article-journal","volume":"75"},"uris":["http://www.mendeley.com/documents/?uuid=158128c5-09f1-42c3-8eb1-459c63746fe6"]}],"mendeley":{"formattedCitation":"(Guney &amp; Tepe, 2017)","plainTextFormattedCitation":"(Guney &amp; Tepe, 2017)","previouslyFormattedCitation":"(Guney &amp; Tepe, 2017)"},"properties":{"noteIndex":0},"schema":"https://github.com/citation-style-language/schema/raw/master/csl-citation.json"}</w:instrText>
      </w:r>
      <w:r w:rsidR="00032709">
        <w:rPr>
          <w:rFonts w:ascii="Amasis MT Pro" w:eastAsia="Amasis MT Pro" w:hAnsi="Amasis MT Pro" w:cs="Amasis MT Pro"/>
          <w:color w:val="000000"/>
          <w:sz w:val="18"/>
          <w:szCs w:val="18"/>
        </w:rPr>
        <w:fldChar w:fldCharType="separate"/>
      </w:r>
      <w:r w:rsidR="00032709" w:rsidRPr="00032709">
        <w:rPr>
          <w:rFonts w:ascii="Amasis MT Pro" w:eastAsia="Amasis MT Pro" w:hAnsi="Amasis MT Pro" w:cs="Amasis MT Pro"/>
          <w:noProof/>
          <w:color w:val="000000"/>
          <w:sz w:val="18"/>
          <w:szCs w:val="18"/>
        </w:rPr>
        <w:t>(Guney &amp; Tepe, 2017)</w:t>
      </w:r>
      <w:r w:rsidR="00032709">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The use of </w:t>
      </w:r>
      <w:r>
        <w:rPr>
          <w:rFonts w:ascii="Amasis MT Pro" w:eastAsia="Amasis MT Pro" w:hAnsi="Amasis MT Pro" w:cs="Amasis MT Pro"/>
          <w:color w:val="000000"/>
          <w:sz w:val="18"/>
          <w:szCs w:val="18"/>
        </w:rPr>
        <w:t>energy can result in carbon emissions. The impact of carbon emissions on health and the environment is very difficult to avoid. Fuels containing hydrocarbons produce exhaust gases such as C</w:t>
      </w:r>
      <m:oMath>
        <m:sSub>
          <m:sSubPr>
            <m:ctrlPr>
              <w:rPr>
                <w:rFonts w:ascii="Amasis MT Pro" w:eastAsia="Amasis MT Pro" w:hAnsi="Amasis MT Pro" w:cs="Amasis MT Pro"/>
                <w:sz w:val="18"/>
                <w:szCs w:val="18"/>
              </w:rPr>
            </m:ctrlPr>
          </m:sSubPr>
          <m:e>
            <m:r>
              <w:rPr>
                <w:rFonts w:ascii="Amasis MT Pro" w:eastAsia="Amasis MT Pro" w:hAnsi="Amasis MT Pro" w:cs="Amasis MT Pro"/>
                <w:sz w:val="18"/>
                <w:szCs w:val="18"/>
              </w:rPr>
              <m:t>O</m:t>
            </m:r>
          </m:e>
          <m:sub>
            <m:r>
              <w:rPr>
                <w:rFonts w:ascii="Amasis MT Pro" w:eastAsia="Amasis MT Pro" w:hAnsi="Amasis MT Pro" w:cs="Amasis MT Pro"/>
                <w:sz w:val="18"/>
                <w:szCs w:val="18"/>
              </w:rPr>
              <m:t>2</m:t>
            </m:r>
          </m:sub>
        </m:sSub>
      </m:oMath>
      <w:r>
        <w:rPr>
          <w:rFonts w:ascii="Amasis MT Pro" w:eastAsia="Amasis MT Pro" w:hAnsi="Amasis MT Pro" w:cs="Amasis MT Pro"/>
          <w:color w:val="000000"/>
          <w:sz w:val="18"/>
          <w:szCs w:val="18"/>
        </w:rPr>
        <w:t>, N</w:t>
      </w:r>
      <m:oMath>
        <m:sSub>
          <m:sSubPr>
            <m:ctrlPr>
              <w:rPr>
                <w:rFonts w:ascii="Amasis MT Pro" w:eastAsia="Amasis MT Pro" w:hAnsi="Amasis MT Pro" w:cs="Amasis MT Pro"/>
                <w:color w:val="000000"/>
                <w:sz w:val="18"/>
                <w:szCs w:val="18"/>
              </w:rPr>
            </m:ctrlPr>
          </m:sSubPr>
          <m:e>
            <m:r>
              <w:rPr>
                <w:rFonts w:ascii="Amasis MT Pro" w:eastAsia="Amasis MT Pro" w:hAnsi="Amasis MT Pro" w:cs="Amasis MT Pro"/>
                <w:sz w:val="18"/>
                <w:szCs w:val="18"/>
              </w:rPr>
              <m:t>O</m:t>
            </m:r>
          </m:e>
          <m:sub>
            <m:r>
              <w:rPr>
                <w:rFonts w:ascii="Amasis MT Pro" w:eastAsia="Amasis MT Pro" w:hAnsi="Amasis MT Pro" w:cs="Amasis MT Pro"/>
                <w:color w:val="000000"/>
                <w:sz w:val="18"/>
                <w:szCs w:val="18"/>
              </w:rPr>
              <m:t>2</m:t>
            </m:r>
          </m:sub>
        </m:sSub>
      </m:oMath>
      <w:r>
        <w:rPr>
          <w:rFonts w:ascii="Amasis MT Pro" w:eastAsia="Amasis MT Pro" w:hAnsi="Amasis MT Pro" w:cs="Amasis MT Pro"/>
          <w:color w:val="000000"/>
          <w:sz w:val="18"/>
          <w:szCs w:val="18"/>
        </w:rPr>
        <w:t>, and other harmful gases</w:t>
      </w:r>
      <w:r w:rsidR="00032709">
        <w:rPr>
          <w:rFonts w:ascii="Amasis MT Pro" w:eastAsia="Amasis MT Pro" w:hAnsi="Amasis MT Pro" w:cs="Amasis MT Pro"/>
          <w:color w:val="000000"/>
          <w:sz w:val="18"/>
          <w:szCs w:val="18"/>
        </w:rPr>
        <w:t xml:space="preserve"> </w:t>
      </w:r>
      <w:r w:rsidR="00032709">
        <w:rPr>
          <w:rFonts w:ascii="Amasis MT Pro" w:eastAsia="Amasis MT Pro" w:hAnsi="Amasis MT Pro" w:cs="Amasis MT Pro"/>
          <w:color w:val="000000"/>
          <w:sz w:val="18"/>
          <w:szCs w:val="18"/>
        </w:rPr>
        <w:fldChar w:fldCharType="begin" w:fldLock="1"/>
      </w:r>
      <w:r w:rsidR="0089296E">
        <w:rPr>
          <w:rFonts w:ascii="Amasis MT Pro" w:eastAsia="Amasis MT Pro" w:hAnsi="Amasis MT Pro" w:cs="Amasis MT Pro"/>
          <w:color w:val="000000"/>
          <w:sz w:val="18"/>
          <w:szCs w:val="18"/>
        </w:rPr>
        <w:instrText>ADDIN CSL_CITATION {"citationItems":[{"id":"ITEM-1","itemData":{"DOI":"10.1016/j.jclepro.2020.121105","ISSN":"09596526","abstract":"Internal combustion engines will be the main power for the vessels, heavy duty vehicles and thermoelectric plants in the future as it is nowadays. Finding the way to reduce environmental impact and to produce cleaner energy is the main task of engine manufacturers. In this paper, different methods and systems of diesel emission control are analyzed, especially exhaust gas recirculation (EGR) techniques that regulate emissions during their formation as well as exhaust after treatment techniques which reduce already generated harmful emissions based on the catalytic effect of precious metals, various catalytic converters and particle filtering (DPF). The problems of divergence with existing emission norms and ways of fulfilling them are also explained. The mechanism of exhaust gas formation and their connection with engine parameters were thoroughly analyzed. Problems that occurred when using individual methods for reducing emissions in specific working conditions of engines were explained. The impact of emission control systems on engine performance parameters such as fuel consumption, CO2 emissions, load reaction and durability were explored. The experiments were performed based on failed studies of important parts within an emission control system. It was shown that only a systematic approach of solving diesel exhaust emissions with the use of advanced technologies will retain their importance and enable truly cleaner engines which will not only satisfy but well below the allowed emission norms.","author":[{"dropping-particle":"","family":"Kozina","given":"Ante","non-dropping-particle":"","parse-names":false,"suffix":""},{"dropping-particle":"","family":"Radica","given":"Gojmir","non-dropping-particle":"","parse-names":false,"suffix":""},{"dropping-particle":"","family":"Nižetić","given":"Sandro","non-dropping-particle":"","parse-names":false,"suffix":""}],"container-title":"J. Cleaner Prod.","id":"ITEM-1","issued":{"date-parts":[["2020"]]},"title":"Analysis of methods towards reduction of harmful pollutants from diesel engines","type":"article-journal","volume":"262"},"uris":["http://www.mendeley.com/documents/?uuid=a9f6a509-9fd3-49ef-917f-73ad00a0a640"]}],"mendeley":{"formattedCitation":"(Kozina et al., 2020)","plainTextFormattedCitation":"(Kozina et al., 2020)","previouslyFormattedCitation":"(Kozina et al., 2020)"},"properties":{"noteIndex":0},"schema":"https://github.com/citation-style-language/schema/raw/master/csl-citation.json"}</w:instrText>
      </w:r>
      <w:r w:rsidR="00032709">
        <w:rPr>
          <w:rFonts w:ascii="Amasis MT Pro" w:eastAsia="Amasis MT Pro" w:hAnsi="Amasis MT Pro" w:cs="Amasis MT Pro"/>
          <w:color w:val="000000"/>
          <w:sz w:val="18"/>
          <w:szCs w:val="18"/>
        </w:rPr>
        <w:fldChar w:fldCharType="separate"/>
      </w:r>
      <w:r w:rsidR="00032709" w:rsidRPr="00032709">
        <w:rPr>
          <w:rFonts w:ascii="Amasis MT Pro" w:eastAsia="Amasis MT Pro" w:hAnsi="Amasis MT Pro" w:cs="Amasis MT Pro"/>
          <w:noProof/>
          <w:color w:val="000000"/>
          <w:sz w:val="18"/>
          <w:szCs w:val="18"/>
        </w:rPr>
        <w:t>(Kozina et al., 2020)</w:t>
      </w:r>
      <w:r w:rsidR="00032709">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Batteries can generate electrical energy through chemical reactions, which are then utilized in electronic devices. The energy produced by batteries is relatively clean and emits zero emissions, making batterie</w:t>
      </w:r>
      <w:r>
        <w:rPr>
          <w:rFonts w:ascii="Amasis MT Pro" w:eastAsia="Amasis MT Pro" w:hAnsi="Amasis MT Pro" w:cs="Amasis MT Pro"/>
          <w:color w:val="000000"/>
          <w:sz w:val="18"/>
          <w:szCs w:val="18"/>
        </w:rPr>
        <w:t>s widely used in everyday life</w:t>
      </w:r>
      <w:r w:rsidR="00032709">
        <w:rPr>
          <w:rFonts w:ascii="Amasis MT Pro" w:eastAsia="Amasis MT Pro" w:hAnsi="Amasis MT Pro" w:cs="Amasis MT Pro"/>
          <w:color w:val="000000"/>
          <w:sz w:val="18"/>
          <w:szCs w:val="18"/>
        </w:rPr>
        <w:t xml:space="preserve"> </w:t>
      </w:r>
      <w:r w:rsidR="00032709">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{"citationItems":[{"id":"ITEM-1","itemData":{"DOI":"10.1016/j.joule.2019.06.002","ISSN":"25424351","abstract":"Greenhouse gas (GHG) emission reductions possible with battery electric vehicles (BEVs) are underestimated in the scientific literature. The following causes are identified and illustrated: overestimating battery manufacturing, underestimating battery lifetime, assuming an unchanged electricity mix over the lifetime of the BEV, using unrealistic tests for energy use, excluding fuel production emissions, and lack of system thinking. In an example calculation, BEVs reduce emissions from 244 to 98 g/km. In a fully renewable system, BEV emission could decrease to 10 g/km.","author":[{"dropping-particle":"","family":"Hoekstra","given":"Auke","non-dropping-particle":"","parse-names":false,"suffix":""}],"container-title":"Joule","id":"ITEM-1","issue":"6","issued":{"date-parts":[["2019"]]},"page":"1412-1414","publisher":"Elsevier Inc.","title":"The Underestimated Potential of Battery Electric Vehicles to Reduce Emissions","type":"article-journal","volume":"3"},"uris":["http://www.mendeley.com/documents/?uuid=09966e07-7a09-4de7-8fdd-aff9f028a968"]}],"mendeley":{"formattedCitation":"(Hoekstra, 2019)","plainTextFormattedCitation":"(Hoekstra, 2019)","previouslyFormattedCitation":"(Hoekstra, 2019)"},"properties":{"noteIndex":0},"schema":"https://github.com/citation-style-language/schema/raw/master/csl-citation.json"}</w:instrText>
      </w:r>
      <w:r w:rsidR="00032709">
        <w:rPr>
          <w:rFonts w:ascii="Amasis MT Pro" w:eastAsia="Amasis MT Pro" w:hAnsi="Amasis MT Pro" w:cs="Amasis MT Pro"/>
          <w:color w:val="000000"/>
          <w:sz w:val="18"/>
          <w:szCs w:val="18"/>
        </w:rPr>
        <w:fldChar w:fldCharType="separate"/>
      </w:r>
      <w:r w:rsidR="00032709" w:rsidRPr="00032709">
        <w:rPr>
          <w:rFonts w:ascii="Amasis MT Pro" w:eastAsia="Amasis MT Pro" w:hAnsi="Amasis MT Pro" w:cs="Amasis MT Pro"/>
          <w:noProof/>
          <w:color w:val="000000"/>
          <w:sz w:val="18"/>
          <w:szCs w:val="18"/>
        </w:rPr>
        <w:t>(Hoekstra, 2019)</w:t>
      </w:r>
      <w:r w:rsidR="00032709">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Batteries are a source of </w:t>
      </w:r>
      <w:r>
        <w:rPr>
          <w:rFonts w:ascii="Amasis MT Pro" w:eastAsia="Amasis MT Pro" w:hAnsi="Amasis MT Pro" w:cs="Amasis MT Pro"/>
          <w:color w:val="000000"/>
          <w:sz w:val="18"/>
          <w:szCs w:val="18"/>
        </w:rPr>
        <w:t>electrical energy that can be divided into two types: primary and secondary batteries. Secondary batteries are reusable batteries found in electronic devices, whereas primary batteries are disposable batteries, like those used in wall clocks. The component</w:t>
      </w:r>
      <w:r>
        <w:rPr>
          <w:rFonts w:ascii="Amasis MT Pro" w:eastAsia="Amasis MT Pro" w:hAnsi="Amasis MT Pro" w:cs="Amasis MT Pro"/>
          <w:color w:val="000000"/>
          <w:sz w:val="18"/>
          <w:szCs w:val="18"/>
        </w:rPr>
        <w:t>s that comprise the battery, both primary and secondary, contain chemicals that can pollute the environment as they fall under Hazardous and Toxic Materials</w:t>
      </w:r>
      <w:r w:rsidR="003B1004">
        <w:rPr>
          <w:rFonts w:ascii="Amasis MT Pro" w:eastAsia="Amasis MT Pro" w:hAnsi="Amasis MT Pro" w:cs="Amasis MT Pro"/>
          <w:color w:val="000000"/>
          <w:sz w:val="18"/>
          <w:szCs w:val="18"/>
        </w:rPr>
        <w:t xml:space="preserve"> </w:t>
      </w:r>
      <w:r w:rsidR="00DD755E">
        <w:rPr>
          <w:rFonts w:ascii="Amasis MT Pro" w:eastAsia="Amasis MT Pro" w:hAnsi="Amasis MT Pro" w:cs="Amasis MT Pro"/>
          <w:color w:val="000000"/>
          <w:sz w:val="18"/>
          <w:szCs w:val="18"/>
        </w:rPr>
        <w:fldChar w:fldCharType="begin" w:fldLock="1"/>
      </w:r>
      <w:r w:rsidR="00DD755E">
        <w:rPr>
          <w:rFonts w:ascii="Amasis MT Pro" w:eastAsia="Amasis MT Pro" w:hAnsi="Amasis MT Pro" w:cs="Amasis MT Pro"/>
          <w:color w:val="000000"/>
          <w:sz w:val="18"/>
          <w:szCs w:val="18"/>
        </w:rPr>
        <w:instrText>ADDIN CSL_CITATION {"citationItems":[{"id":"ITEM-1","itemData":{"DOI":"10.1016/j.jenvman.2014.01.021","ISSN":"03014797","PMID":"24531384","abstract":"While disposal bans of lithium-ion batteries are gaining in popularity, the infrastructure required to recycle these batteries has not yet fully emerged and the economic motivation for this type of recycling system has not yet been quantified comprehensively. This study combines economic modeling and fundamental material characterization methods to quantify economic trade-offs for lithium ion batteries at their end-of-life. Results show that as chemistries transition from lithium-cobalt based cathodes to less costly chemistries, battery recovery value decreases along with the initial value of the raw materials used. For example, manganese-spinel and iron phosphate cathode batteries have potential material values 73% and 79% less than cobalt cathode batteries, respectively. A majority of the potentially recoverable value resides in the base metals contained in the cathode; this increases disassembly cost and time as this is the last portion of the battery taken apart. A great deal of compositional variability exists, even within the same cathode chemistry, due to differences between manufacturers with coefficient of variation up to 37% for some base metals. Cathode changes over time will result in a heavily co-mingled waste stream, further complicating waste management and recycling processes. These results aim to inform disposal, collection, and take-back policies being proposed currently that affect waste management infrastructure as well as guide future deployment of novel recycling techniques. © 2014 Elsevier Ltd.","author":[{"dropping-particle":"","family":"Wang","given":"Xue","non-dropping-particle":"","parse-names":false,"suffix":""},{"dropping-particle":"","family":"Gaustad","given":"Gabrielle","non-dropping-particle":"","parse-names":false,"suffix":""},{"dropping-particle":"","family":"Babbitt","given":"Callie W.","non-dropping-particle":"","parse-names":false,"suffix":""},{"dropping-particle":"","family":"Bailey","given":"Chelsea","non-dropping-particle":"","parse-names":false,"suffix":""},{"dropping-particle":"","family":"Ganter","given":"Matthew J.","non-dropping-particle":"","parse-names":false,"suffix":""},{"dropping-particle":"","family":"Landi","given":"Brian J.","non-dropping-particle":"","parse-names":false,"suffix":""}],"container-title":"J. Environ. Manage.","id":"ITEM-1","issued":{"date-parts":[["2014"]]},"page":"126-134","publisher":"Elsevier Ltd","title":"Economic and environmental characterization of an evolving Li-ion battery waste stream","type":"article-journal","volume":"135"},"uris":["http://www.mendeley.com/documents/?uuid=22b0b0db-aa69-4f54-863b-e4f1d4cc96bd"]}],"mendeley":{"formattedCitation":"(X. Wang et al., 2014)","manualFormatting":"(Wang et al., 2014)","plainTextFormattedCitation":"(X. Wang et al., 2014)","previouslyFormattedCitation":"(X. Wang et al., 2014)"},"properties":{"noteIndex":0},"schema":"https://github.com/citation-style-language/schema/raw/master/csl-citation.json"}</w:instrText>
      </w:r>
      <w:r w:rsidR="00DD755E">
        <w:rPr>
          <w:rFonts w:ascii="Amasis MT Pro" w:eastAsia="Amasis MT Pro" w:hAnsi="Amasis MT Pro" w:cs="Amasis MT Pro"/>
          <w:color w:val="000000"/>
          <w:sz w:val="18"/>
          <w:szCs w:val="18"/>
        </w:rPr>
        <w:fldChar w:fldCharType="separate"/>
      </w:r>
      <w:r w:rsidR="00DD755E" w:rsidRPr="00DD755E">
        <w:rPr>
          <w:rFonts w:ascii="Amasis MT Pro" w:eastAsia="Amasis MT Pro" w:hAnsi="Amasis MT Pro" w:cs="Amasis MT Pro"/>
          <w:noProof/>
          <w:color w:val="000000"/>
          <w:sz w:val="18"/>
          <w:szCs w:val="18"/>
        </w:rPr>
        <w:t>(Wang et al., 2014)</w:t>
      </w:r>
      <w:r w:rsidR="00DD755E">
        <w:rPr>
          <w:rFonts w:ascii="Amasis MT Pro" w:eastAsia="Amasis MT Pro" w:hAnsi="Amasis MT Pro" w:cs="Amasis MT Pro"/>
          <w:color w:val="000000"/>
          <w:sz w:val="18"/>
          <w:szCs w:val="18"/>
        </w:rPr>
        <w:fldChar w:fldCharType="end"/>
      </w:r>
    </w:p>
    <w:p w14:paraId="08A384AC" w14:textId="49827B97"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Various studies have been conduc</w:t>
      </w:r>
      <w:r>
        <w:rPr>
          <w:rFonts w:ascii="Amasis MT Pro" w:eastAsia="Amasis MT Pro" w:hAnsi="Amasis MT Pro" w:cs="Amasis MT Pro"/>
          <w:color w:val="000000"/>
          <w:sz w:val="18"/>
          <w:szCs w:val="18"/>
        </w:rPr>
        <w:t xml:space="preserve">ted to obtain environmentally friendly alternative batteries. One research method used to create batteries is the manufacturing of batteries from natural materials, commonly known as bio-batteries. A bio-battery is a device that functions as an electrical </w:t>
      </w:r>
      <w:r>
        <w:rPr>
          <w:rFonts w:ascii="Amasis MT Pro" w:eastAsia="Amasis MT Pro" w:hAnsi="Amasis MT Pro" w:cs="Amasis MT Pro"/>
          <w:color w:val="000000"/>
          <w:sz w:val="18"/>
          <w:szCs w:val="18"/>
        </w:rPr>
        <w:t>energy producer based on organic compounds. The currently developed bio-batteries have started to provide portable energy sources that meet the current market needs</w:t>
      </w:r>
      <w:r w:rsidR="003B1004">
        <w:rPr>
          <w:rFonts w:ascii="Amasis MT Pro" w:eastAsia="Amasis MT Pro" w:hAnsi="Amasis MT Pro" w:cs="Amasis MT Pro"/>
          <w:color w:val="000000"/>
          <w:sz w:val="18"/>
          <w:szCs w:val="18"/>
        </w:rPr>
        <w:t xml:space="preserve">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{"citationItems":[{"id":"ITEM-1","itemData":{"DOI":"10.15623/ijret.2013.0211017","ISSN":"23217308","abstract":"In today’s world Electricity is considered as an in tegral utility. We can never ever think of our live s without machines. Thus electricity plays a vital role in functioning of the society. O ne of the portable and convenient sources of this e lectrical energy is a Battery. Battery is the basic yet most powerful part of any device. Thus a bio battery is an energy storing device that is powered by organic compounds. Bio-Battery generates electricity from r enewable fuels providing a sustained, on-demand por table power source. By using enzymes to break down organic compounds, bio-batter ies directly receive energy from them. Bio-batteries are alternative energy devices based on bio-electro catalysis of natural s ubstrates by enzymes or microorganisms. This paper brings out an alternative solution to the conventional batteries which is not only a boon to the environment by being eco friend ly but also it is an end to worries about non renewable and vanishing sources of energy","author":[{"dropping-particle":"","family":"Siddiqui","given":"Urba Ziyauddin","non-dropping-particle":"","parse-names":false,"suffix":""}],"container-title":"Int. J. Pure Appl. Res. Eng. Technol.","id":"ITEM-1","issue":"11","issued":{"date-parts":[["2013"]]},"page":"99-111","title":"the Future of Energy Bio Battery","type":"article-journal","volume":"02"},"uris":["http://www.mendeley.com/documents/?uuid=9adc7972-c67b-4994-a5f8-141ca831e1a5"]}],"mendeley":{"formattedCitation":"(Siddiqui, 2013)","plainTextFormattedCitation":"(Siddiqui, 2013)","previouslyFormattedCitation":"(Siddiqui, 2013)"},"properties":{"noteIndex":0},"schema":"https://github.com/citation-style-language/schema/raw/master/csl-citation.json"}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(Siddiqui, 2013)</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The bio-battery </w:t>
      </w:r>
      <w:r>
        <w:rPr>
          <w:rFonts w:ascii="Amasis MT Pro" w:eastAsia="Amasis MT Pro" w:hAnsi="Amasis MT Pro" w:cs="Amasis MT Pro"/>
          <w:color w:val="000000"/>
          <w:sz w:val="18"/>
          <w:szCs w:val="18"/>
        </w:rPr>
        <w:t>mechanism involves electron transport between two electrodes, separated by an electrolyte medium, to generate potential and electric current</w:t>
      </w:r>
      <w:r w:rsidR="003B1004">
        <w:rPr>
          <w:rFonts w:ascii="Amasis MT Pro" w:eastAsia="Amasis MT Pro" w:hAnsi="Amasis MT Pro" w:cs="Amasis MT Pro"/>
          <w:color w:val="000000"/>
          <w:sz w:val="18"/>
          <w:szCs w:val="18"/>
        </w:rPr>
        <w:t xml:space="preserve">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 xml:space="preserve">ADDIN CSL_CITATION {"citationItems":[{"id":"ITEM-1","itemData":{"DOI":"10.3389/fmicb.2019.00934","ISSN":"1664302X","abstract":"Marine sediment has a great potential to generate electricity with a bioelectrochemical system (BES) like the microbial fuel cell (MFC). In this study, we investigated the potential of marine sediment and activated carbon (AC) to generate and store electricity. Both internal and external energy supply was validated for storage behavior. Four types of anode electrode compositions were investigated. Two types were mixtures of different volumes of AC and Dutch Eastern Scheldt marine sediment (67% AC and 33% AC) and the others two were 100% AC or 100% marine sediment based. Each composition was duplicated. Operating these BES's under MFC mode with solely marine sediment as the anode electron donor resulted in the creation of a bio-battery. The recharge time of such bio-battery does depend on the fuel content and its usage. The results show that by usage of marine sediment and AC electricity was generated and stored. The 100% AC and the 67% AC mixed with marine sediment electrode were over long term potentiostatic controlled at -100 mV vs. Ag/AgCl which resulted in a cathodic current and an applied voltage. After switching back to the MFC operation mode at 1000 </w:instrText>
      </w:r>
      <w:r w:rsidR="00CA01A4">
        <w:rPr>
          <w:rFonts w:ascii="Cambria" w:eastAsia="Amasis MT Pro" w:hAnsi="Cambria" w:cs="Cambria"/>
          <w:color w:val="000000"/>
          <w:sz w:val="18"/>
          <w:szCs w:val="18"/>
        </w:rPr>
        <w:instrText>σ</w:instrText>
      </w:r>
      <w:r w:rsidR="00CA01A4">
        <w:rPr>
          <w:rFonts w:ascii="Amasis MT Pro" w:eastAsia="Amasis MT Pro" w:hAnsi="Amasis MT Pro" w:cs="Amasis MT Pro"/>
          <w:color w:val="000000"/>
          <w:sz w:val="18"/>
          <w:szCs w:val="18"/>
        </w:rPr>
        <w:instrText xml:space="preserve"> external load, the electrode turned into an anode and electricity was generated. This supports the hypothesis that external supply electrical energy was recovered via bi-directional electron transfer. With open cell voltage experiments these AC marine bioanodes showed internal supplied electric charge storage up to 100 mC at short self-charging times (10 and 60 s) and up to 2.4°C (3,666 C/m3 anode) at long charging time (1 h). Using a hypothetical cell voltage of 0.2 V, this value represents an internal electrical storage density of 0.3 mWh/kg AC marine anode. Furthermore it was remarkable that the BES with 100% marine sediment based electrode also acted like a capacitor similar to the charge storage behaviors of the AC based bioanodes with a maximum volumetric storage of 1,373 C/m3 anode. These insights give opportunities to apply such BES systems as e.g., ex situ bio-battery to store and use electricity for off-grid purpose in remote areas.","author":[{"dropping-particle":"","family":"Sudirjo","given":"Emilius","non-dropping-particle":"","parse-names":false,"suffix":""},{"dropping-particle":"","family":"Buisman","given":"Cees J.N.","non-dropping-particle":"","parse-names":false,"suffix":""},{"dropping-particle":"","family":"Strik","given":"David P.B.T.B.","non-dropping-particle":"","parse-names":false,"suffix":""}],"container-title":"Frontiers in Microbiology","id":"ITEM-1","issue":"MAY","issued":{"date-parts":[["2019"]]},"title":"Marine sediment mixed with activated carbon allows electricity production and storage from internal and external energy sources: A new rechargeable bio-battery with bi-directional electron transfer properties","type":"article-journal","volume":"10"},"uris":["http://www.mendeley.com/documents/?uuid=5fef44d6-90e2-409a-ad1d-5b551838a1fc"]}],"mendeley":{"formattedCitation":"(Sudirjo et al., 2019)","plainTextFormattedCitation":"(Sudirjo et al., 2019)","previouslyFormattedCitation":"(Sudirjo et al., 2019)"},"properties":{"noteIndex":0},"schema":"https://github.com/citation-style-language/schema/raw/master/csl-citation.json"}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(Sudirjo et al., 2019)</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Bio-battery production using </w:t>
      </w:r>
      <w:r>
        <w:rPr>
          <w:rFonts w:ascii="Amasis MT Pro" w:eastAsia="Amasis MT Pro" w:hAnsi="Amasis MT Pro" w:cs="Amasis MT Pro"/>
          <w:color w:val="000000"/>
          <w:sz w:val="18"/>
          <w:szCs w:val="18"/>
        </w:rPr>
        <w:t>natural materials has been extensively explored, such as bio-batteries made from durian skin waste</w:t>
      </w:r>
      <w:r w:rsidR="00714630">
        <w:rPr>
          <w:rFonts w:ascii="Amasis MT Pro" w:eastAsia="Amasis MT Pro" w:hAnsi="Amasis MT Pro" w:cs="Amasis MT Pro"/>
          <w:color w:val="000000"/>
          <w:sz w:val="18"/>
          <w:szCs w:val="18"/>
        </w:rPr>
        <w:t xml:space="preserve">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{"citationItems":[{"id":"ITEM-1","itemData":{"DOI":"10.1088/1742-6596/1120/1/012085","ISSN":"17426596","abstract":"This research aimed to show on electricity from Durian skin waste nanomaterials. The compounds that abundant in Durian skin waste are phosphate compounds (PO 4 ). This phosphate compound makes the Durian skin waste has a high and unique electrical properties. Durian skin waste was synthesized using co-precipitation method to obtain LKD nanopowder with an average crystal size of 5 nm. LKD was dried at 250 °C and then washed with 100 ml distilled water and measured the electrode with variations of Pb, Al, Zn, Fe and Cu. Obtained the electrical properties as much five times greater than before, which is an average of 6.5 Volts. It was concluded that the electrical properties of Durian skin waste will increase when the crystal size is smaller and Durian skin waste can be as bio-batteries. From electrode variations was obtained that the Zn electrode had a greater electrical voltage than the Al, Fe, Pb and Cu electrodes.","author":[{"dropping-particle":"","family":"Khairiah","given":"","non-dropping-particle":"","parse-names":false,"suffix":""},{"dropping-particle":"","family":"Siregar","given":"Shinta Marito","non-dropping-particle":"","parse-names":false,"suffix":""},{"dropping-particle":"","family":"Siregar","given":"Juliandi","non-dropping-particle":"","parse-names":false,"suffix":""},{"dropping-particle":"","family":"Nasution","given":"Lia A.","non-dropping-particle":"","parse-names":false,"suffix":""},{"dropping-particle":"","family":"Daulay","given":"Abdul Halim","non-dropping-particle":"","parse-names":false,"suffix":""}],"container-title":"J. Phys.: Conf. Ser.","id":"ITEM-1","issue":"1","issued":{"date-parts":[["2018"]]},"title":"The Electrical properties of nanomaterials derived from durian skin waste by using a various types of electrodes for bio-battery application","type":"article-journal","volume":"1120"},"uris":["http://www.mendeley.com/documents/?uuid=bfed8670-f35e-4f9b-8170-485608c06ec0"]}],"mendeley":{"formattedCitation":"(Khairiah et al., 2018)","plainTextFormattedCitation":"(Khairiah et al., 2018)","previouslyFormattedCitation":"(Khairiah et al., 2018)"},"properties":{"noteIndex":0},"schema":"https://github.com/citation-style-language/schema/raw/master/csl-citation.json"}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(Khairiah et al., 2018)</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Palm oil waste is one of the significant biomass potentials in East Kaliman</w:t>
      </w:r>
      <w:r>
        <w:rPr>
          <w:rFonts w:ascii="Amasis MT Pro" w:eastAsia="Amasis MT Pro" w:hAnsi="Amasis MT Pro" w:cs="Amasis MT Pro"/>
          <w:color w:val="000000"/>
          <w:sz w:val="18"/>
          <w:szCs w:val="18"/>
        </w:rPr>
        <w:t>tan that can be utilized as a substitute for battery electrodes.</w:t>
      </w:r>
    </w:p>
    <w:p w14:paraId="04256712" w14:textId="6777FD4A"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One part of the oil palm tree that is currently underutilized is the palm frond, which refers to the leaf stalks of the coconut plant. Palm fronds can be utilized as an ingredient for produci</w:t>
      </w:r>
      <w:r>
        <w:rPr>
          <w:rFonts w:ascii="Amasis MT Pro" w:eastAsia="Amasis MT Pro" w:hAnsi="Amasis MT Pro" w:cs="Amasis MT Pro"/>
          <w:color w:val="000000"/>
          <w:sz w:val="18"/>
          <w:szCs w:val="18"/>
        </w:rPr>
        <w:t xml:space="preserve">ng </w:t>
      </w:r>
      <w:r>
        <w:rPr>
          <w:rFonts w:ascii="Amasis MT Pro" w:eastAsia="Amasis MT Pro" w:hAnsi="Amasis MT Pro" w:cs="Amasis MT Pro"/>
          <w:color w:val="000000"/>
          <w:sz w:val="18"/>
          <w:szCs w:val="18"/>
        </w:rPr>
        <w:lastRenderedPageBreak/>
        <w:t>activated carbon, as they contain 35% carbon</w:t>
      </w:r>
      <w:r w:rsidR="003B1004">
        <w:rPr>
          <w:rFonts w:ascii="Amasis MT Pro" w:eastAsia="Amasis MT Pro" w:hAnsi="Amasis MT Pro" w:cs="Amasis MT Pro"/>
          <w:color w:val="000000"/>
          <w:sz w:val="18"/>
          <w:szCs w:val="18"/>
        </w:rPr>
        <w:t xml:space="preserve">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{"citationItems":[{"id":"ITEM-1","itemData":{"DOI":"10.1088/1757-899X/309/1/012087","ISSN":"1757899X","abstract":"Oil Palm Frond is a waste in palm oil plantations that have the potential to be processed into more valuable products. This possibility is because of the presence of cellulose, hemicellulose, and lignin in oil palm fronds. Therefore, this study aimed to utilize oil palm fronds in manufacturing of activated carbon through pyrolysis and impregnation that meets the requirements of the Industrial National Standard 06-3730-1995. The palm-fringed oil palm fronds were pyrolyzed in reactors at 150°C, 200°C, and 250°C for 60 minutes. Subsequently, the charcoal produced from the pyrolysis was smoothed with a ball mill, sieved with a size of 140 meshes, and impregnated using a Sodium Carbonate (Na2CO3) for 24 hours at a concentration of 0 %, 2.5%, 5%, and 7.5 % (w/v). The activated carbon has 35.13% of charcoal yield, 8.6% of water content, 14.25% of ash content, 24.75% of volatile matter, 72.75% of fixed carbon, and 492.29 of iodine number. Moreover, SEM analysis indicated that activated carbon porous are coarse and distributed.","author":[{"dropping-particle":"","family":"Maulina","given":"S.","non-dropping-particle":"","parse-names":false,"suffix":""},{"dropping-particle":"","family":"Anwari","given":"F. N.","non-dropping-particle":"","parse-names":false,"suffix":""}],"container-title":"IOP Conf. Ser.: Mater. Sci. Eng.","id":"ITEM-1","issue":"1","issued":{"date-parts":[["2018"]]},"page":"0-8","title":"Utilization of oil palm fronds in producing activated carbon using Na2CO3 as an activator","type":"article-journal","volume":"309"},"uris":["http://www.mendeley.com/documents/?uuid=0ac2f37a-6958-49ec-90aa-312ad63e547e"]}],"mendeley":{"formattedCitation":"(Maulina &amp; Anwari, 2018)","plainTextFormattedCitation":"(Maulina &amp; Anwari, 2018)","previouslyFormattedCitation":"(Maulina &amp; Anwari, 2018)"},"properties":{"noteIndex":0},"schema":"https://github.com/citation-style-language/schema/raw/master/csl-citation.json"}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(Maulina &amp; Anwari, 2018)</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Additionally, the carbon content of palm oil waste biomass is approximately 54%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{"citationItems":[{"id":"ITEM-1","itemData":{"DOI":"10.1007/s13399-020-01201-2","ISBN":"1339902001","ISSN":"21906823","abstract":"Malaysian oil palm industry produces a significant amount of oil palm residue as solid wastes. These solid wastes are comprised of oil palm residue which contains the stem, fronds from the farms, empty fruit bunch (EFB), mesocarp fibre (MF), and palm kernel shell (PKS) from the oil palm–processing factories. These residues are not successfully reused for other purposes, and the current dumping methods can possibly trigger unfavourable effects to the environment. As oil palm residues are a readily available waste biomass, it has a high potential to be converted into valuable energy-derived products. Hydrothermal carbonization (HTC), which is a thermochemical process, is a method used to treat biomass to produce hydrochar under hot-compressed water. Oil palm residues (palm leaves, palm fronds, and palm shell) were used as the feedstock for producing carbonaceous hydrochar. The key objective of this study is to examine the effect of the reaction temperature, residence time, and acid catalysts on the HTC process. HTC of oil palm residues was optimized at different operating temperatures from 140 to 300 °C and different reaction times between 30 and 240 minutes with a biomass-to-water ratio of 1:10 wt%. Acid catalysts such as citric acid and ascorbic acid were used for the HTC process. The hydrochar produced is further characterized using heating value and elemental and Fourier transform infrared (FTIR) analysis. The yield of hydrochar reduces with the rise of temperature and time but it increases in the presence of acid catalysts. The carbon content of hydrochar is observed to be between 44.36 and 49.50%. The FTIR analysis showed that a high intensity at 1423 cm−1 indicates a high content of lignin and cellulose in the hydrochar. A considerable decrease in the H/C and O/C atomic ratio shows that the dehydration and decarboxylation take place during the HTC process. [Figure not available: see fulltext.]","author":[{"dropping-particle":"","family":"Ameen","given":"Mariam","non-dropping-particle":"","parse-names":false,"suffix":""},{"dropping-particle":"","family":"Zamri","given":"Nohanisah Mohammad","non-dropping-particle":"","parse-names":false,"suffix":""},{"dropping-particle":"","family":"May","given":"So Tsuk","non-dropping-particle":"","parse-names":false,"suffix":""},{"dropping-particle":"","family":"Azizan","given":"Mohammad Tazli","non-dropping-particle":"","parse-names":false,"suffix":""},{"dropping-particle":"","family":"Aqsha","given":"Aqsha","non-dropping-particle":"","parse-names":false,"suffix":""},{"dropping-particle":"","family":"Sabzoi","given":"Nizamuddin","non-dropping-particle":"","parse-names":false,"suffix":""},{"dropping-particle":"","family":"Sher","given":"Farooq","non-dropping-particle":"","parse-names":false,"suffix":""}],"container-title":"Biomass Convers. Biorefin.","id":"ITEM-1","issue":"1","issued":{"date-parts":[["2022"]]},"page":"103-114","publisher":"Biomass Conversion and Biorefinery","title":"Effect of acid catalysts on hydrothermal carbonization of Malaysian oil palm residues (leaves, fronds, and shells) for hydrochar production","type":"article-journal","volume":"12"},"uris":["http://www.mendeley.com/documents/?uuid=490dabf2-ac12-4a90-b0dc-ead80db20fc5"]}],"mendeley":{"formattedCitation":"(Ameen et al., 2022)","plainTextFormattedCitation":"(Ameen et al., 2022)","previouslyFormattedCitation":"(Ameen et al., 2022)"},"properties":{"noteIndex":0},"schema":"https://github.com/citation-style-language/schema/raw/master/csl-citation.json"}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(Ameen et al., 2022)</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The cellulose content in palm fronds is about 50.78%</w:t>
      </w:r>
      <w:r w:rsidR="007E4764">
        <w:rPr>
          <w:rFonts w:ascii="Amasis MT Pro" w:eastAsia="Amasis MT Pro" w:hAnsi="Amasis MT Pro" w:cs="Amasis MT Pro"/>
          <w:color w:val="000000"/>
          <w:sz w:val="18"/>
          <w:szCs w:val="18"/>
        </w:rPr>
        <w:t xml:space="preserve">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{"citationItems":[{"id":"ITEM-1","itemData":{"DOI":"10.1088/1757-899X/358/1/012071","ISSN":"1757899X","abstract":"Pretreatment is the key to unlock the recalcitrance of lignocellulose for cellulosic biofuel production. Increasing attention has been drawn to ionic liquids (ILs) for pretreatment of lignocellulosic biomass because this approach was considered as a green engineering method over other conventional methods. In this work, Oil palm frond (OPF) was pretreated by using the ionic liquid 1-ethyl-3-methylimidazolium acetate [EMIM] Ac at the temperature of 99C for 3 hours. The characterization of the untreated and pretreated OPF was conducted by using different techniques which are Fourier Transform Infrared Spectroscopy (FTIR), X-Ray Diffraction (XRD) and Scanning Electron Microscopy (SEM). The pretreatment of OPF with [EMIM] Ac was demonstrated to be effective evidenced by the significant reduction of Lateral Order Index (LOI) from FTIR, reduction of Crystallinity Index (CI) based on XRD and the significant morphology changes indicated by SEM. The CI value for the pretreated OPF decreased from 0.47 (untreated sample) to 0.28 while the LOI value decreased from 1.10 to 0.24 after pretreatment with [EMIM]Ac and the SEM morphology showed that the pretreated OPF becomes distorted and disordered.","author":[{"dropping-particle":"","family":"Azmi","given":"I. S.","non-dropping-particle":"","parse-names":false,"suffix":""},{"dropping-particle":"","family":"Azizan","given":"A.","non-dropping-particle":"","parse-names":false,"suffix":""},{"dropping-particle":"","family":"Mohd Salleh","given":"R.","non-dropping-particle":"","parse-names":false,"suffix":""}],"container-title":"IOP Conf. Ser.: Mater. Sci. Eng.","id":"ITEM-1","issue":"1","issued":{"date-parts":[["2018"]]},"title":"Pretreatment of Oil Palm Frond (OPF) with Ionic Liquid","type":"article-journal","volume":"358"},"uris":["http://www.mendeley.com/documents/?uuid=13d2e8c6-2b0b-41bf-9d26-c3d822e3ca1a"]}],"mendeley":{"formattedCitation":"(Azmi et al., 2018)","plainTextFormattedCitation":"(Azmi et al., 2018)","previouslyFormattedCitation":"(Azmi et al., 2018)"},"properties":{"noteIndex":0},"schema":"https://github.com/citation-style-language/schema/raw/master/csl-citation.json"}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(Azmi et al., 2018)</w:t>
      </w:r>
      <w:r w:rsidR="00CA01A4">
        <w:rPr>
          <w:rFonts w:ascii="Amasis MT Pro" w:eastAsia="Amasis MT Pro" w:hAnsi="Amasis MT Pro" w:cs="Amasis MT Pro"/>
          <w:color w:val="000000"/>
          <w:sz w:val="18"/>
          <w:szCs w:val="18"/>
        </w:rPr>
        <w:fldChar w:fldCharType="end"/>
      </w:r>
      <w:r w:rsidR="00CA01A4">
        <w:rPr>
          <w:rFonts w:ascii="Amasis MT Pro" w:eastAsia="Amasis MT Pro" w:hAnsi="Amasis MT Pro" w:cs="Amasis MT Pro"/>
          <w:color w:val="000000"/>
          <w:sz w:val="18"/>
          <w:szCs w:val="18"/>
        </w:rPr>
        <w:fldChar w:fldCharType="begin" w:fldLock="1"/>
      </w:r>
      <w:r w:rsidR="0089296E">
        <w:rPr>
          <w:rFonts w:ascii="Amasis MT Pro" w:eastAsia="Amasis MT Pro" w:hAnsi="Amasis MT Pro" w:cs="Amasis MT Pro"/>
          <w:color w:val="000000"/>
          <w:sz w:val="18"/>
          <w:szCs w:val="18"/>
        </w:rPr>
        <w:instrText>ADDIN CSL_CITATION {"citationItems":[{"id":"ITEM-1","itemData":{"DOI":"10.1088/1757-899x/1195/1/012010","ISSN":"1757-8981","abstract":"The thermal degradation and kinetic analysis for oil palm frond (OPF) and oil palm trunk (OPT) with its ashes were investigated using thermogravimetric approach (TGA). OPF ash, OPT ash and its mixtures are used as a natural source of catalysts in the pyrolytic conversion of the palm oil wastes to bioenergy. The TGA experiments were conducted in a range of heating rates of 10-100 K/min from the temperature of 323 K to 1173 K. Coats-Redfern model is applied in this study to evaluate the activation energy ( E A ) and pre-exponential factor ( A ). The average E A values ranged 24.27-32.36 kJ.mol −1 and 41.42-46.10 kJ.mol −1 for pyrolysis of OPF and OPT respectively. Meanwhile, the average E A values ranged 24.27-31.06 kJ.mol −1 and 31.77-43.45 kJ.mol −1 for catalytic pyrolysis of OPF and OPT respectively.","author":[{"dropping-particle":"","family":"Hii","given":"S W","non-dropping-particle":"","parse-names":false,"suffix":""},{"dropping-particle":"","family":"Chin","given":"B L F","non-dropping-particle":"","parse-names":false,"suffix":""},{"dropping-particle":"","family":"Yiin","given":"C L","non-dropping-particle":"","parse-names":false,"suffix":""},{"dropping-particle":"","family":"Majing","given":"F R S","non-dropping-particle":"","parse-names":false,"suffix":""},{"dropping-particle":"","family":"Jawad","given":"Z A","non-dropping-particle":"","parse-names":false,"suffix":""},{"dropping-particle":"","family":"Lim","given":"H Y","non-dropping-particle":"","parse-names":false,"suffix":""},{"dropping-particle":"","family":"Yusup","given":"S","non-dropping-particle":"","parse-names":false,"suffix":""},{"dropping-particle":"","family":"Acda","given":"M N","non-dropping-particle":"","parse-names":false,"suffix":""},{"dropping-particle":"","family":"Unrean","given":"P","non-dropping-particle":"","parse-names":false,"suffix":""},{"dropping-particle":"","family":"Rianawati","given":"E","non-dropping-particle":"","parse-names":false,"suffix":""}],"container-title":"IOP Conf. Ser.: Mater. Sci. Eng.","id":"ITEM-1","issue":"1","issued":{"date-parts":[["2021"]]},"page":"012010","title":"Thermogravimetric kinetic analysis of in-situ catalytic pyrolysis of palm oil wastes with the presence of palm oil wastes ash catalyst","type":"article-journal","volume":"1195"},"uris":["http://www.mendeley.com/documents/?uuid=d5436c11-cd6c-45e3-8266-b16e094357d1"]}],"mendeley":{"formattedCitation":"(Hii et al., 2021)","plainTextFormattedCitation":"(Hii et al., 2021)","previouslyFormattedCitation":"(Hii et al., 2021)"},"properties":{"noteIndex":0},"schema":"https://github.com/citation-style-language/schema/raw/master/csl-citation.json"}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(Hii et al., 2021)</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xml:space="preserve">. Indicating a high concentration of pure cellulose. This high cellulose content presents the potential for further processing of palm fronds </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{"citationItems":[{"id":"ITEM-1","itemData":{"DOI":"10.3390/polym9100495","ISSN":"20734360","abstract":"A new fractionation process was developed to achieve valorization of fruit and vegetable pomaces. The importance of the residues from fruits and vegetables is still growing; therefore; the study presents the novel route of a fractioning process for the conversion of agro-industrial biomasses, such as pomaces, into useful feedstocks with potential application in the fields of fuels, chemicals, and polymers. Hence, the biorefinery process is expected to convert them into various by-products offering a great diversity of low-cost materials. The final product of the process is the cellulose of the biofuel importance. The study presents the novel route of the fractioning process for the conversion of agro-industrial biomasses, such as pomaces, into useful feedstocks with a potential application in the fields of fuels, chemicals, and polymers. Therefore the aim of this paper was to present the novel route of the pomaces fraction and the characterization of residuals. Pomaces from apple, cucumber, carrot, and tomato were treated sequentially with water, acidic solution, alkali solution, and oxidative reagent in order to obtain fractions reach in sugars, pectic polysaccharides, hemicellulose, cellulose, and lignin. Pomaces were characterized by dry matter content, neutral detergent solubles, hemicellulose, cellulose, and lignin. Obtained fractions were characterized by the content of pectins expressed as galacturonic acid equivalent and hemicelluloses expressed as a xyloglucan equivalent. The last fraction and residue was cellulose characterized by crystallinity degree by X-ray diffractometer (XRD), microfibril diameter by atomic force microscope (AFM), and overall morphology by scanning electron microscope (SEM). The hemicelluloses content was similar in all pomaces. Moreover, all the materials were characterized by the high pectins level in extracts evaluated as galacturonic acid content. The lignins content compared with other plant biomasses was on a very low level. The cellulose fraction was the highest in cucumber pomace. The cellulose fraction was characterized by crystallinity degree, microfibril diameter, and overall morphology. Isolated cellulose had a very fine structure with relatively high crystalline index but small crystallites.","author":[{"dropping-particle":"","family":"Szymanska-Chargot","given":"Monika","non-dropping-particle":"","parse-names":false,"suffix":""},{"dropping-particle":"","family":"Chylinska","given":"Monika","non-dropping-particle":"","parse-names":false,"suffix":""},{"dropping-particle":"","family":"Gdula","given":"Karolina","non-dropping-particle":"","parse-names":false,"suffix":""},{"dropping-particle":"","family":"Koziol","given":"Arkadiusz","non-dropping-particle":"","parse-names":false,"suffix":""},{"dropping-particle":"","family":"Zdunek","given":"Artur","non-dropping-particle":"","parse-names":false,"suffix":""}],"container-title":"Polymers","id":"ITEM-1","issue":"10","issued":{"date-parts":[["2017"]]},"title":"Isolation and characterization of cellulose from different fruit and vegetable pomaces","type":"article-journal","volume":"9"},"uris":["http://www.mendeley.com/documents/?uuid=90c7dfd7-f743-4c36-987d-33af44bf5442"]}],"mendeley":{"formattedCitation":"(Szymanska-Chargot et al., 2017)","plainTextFormattedCitation":"(Szymanska-Chargot et al., 2017)","previouslyFormattedCitation":"(Szymanska-Chargot et al., 2017)"},"properties":{"noteIndex":0},"schema":"https://github.com/citation-style-language/schema/raw/master/csl-citation.json"}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(Szymanska-Chargot et al., 2017)</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One possible approach to maximize palm fronds’ benefits is converting them into activated carbon.</w:t>
      </w:r>
    </w:p>
    <w:p w14:paraId="29EFD3F0" w14:textId="7B071B77"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Activated carbon is a compound enhanced by carbon adsorption by carrying out </w:t>
      </w:r>
      <w:r>
        <w:rPr>
          <w:rFonts w:ascii="Amasis MT Pro" w:eastAsia="Amasis MT Pro" w:hAnsi="Amasis MT Pro" w:cs="Amasis MT Pro"/>
          <w:color w:val="000000"/>
          <w:sz w:val="18"/>
          <w:szCs w:val="18"/>
        </w:rPr>
        <w:t>the process of carbonation and activation. This process aims to eliminate hydrogen, water, and gasses on activated carbon surfaces so that the carbon pores are more open</w:t>
      </w:r>
      <w:r w:rsidR="00CA01A4">
        <w:rPr>
          <w:rFonts w:ascii="Amasis MT Pro" w:eastAsia="Amasis MT Pro" w:hAnsi="Amasis MT Pro" w:cs="Amasis MT Pro"/>
          <w:color w:val="000000"/>
          <w:sz w:val="18"/>
          <w:szCs w:val="18"/>
        </w:rPr>
        <w:fldChar w:fldCharType="begin" w:fldLock="1"/>
      </w:r>
      <w:r w:rsidR="00CA01A4">
        <w:rPr>
          <w:rFonts w:ascii="Amasis MT Pro" w:eastAsia="Amasis MT Pro" w:hAnsi="Amasis MT Pro" w:cs="Amasis MT Pro"/>
          <w:color w:val="000000"/>
          <w:sz w:val="18"/>
          <w:szCs w:val="18"/>
        </w:rPr>
        <w:instrText>ADDIN CSL_CITATION {"citationItems":[{"id":"ITEM-1","itemData":{"DOI":"10.1007/s13399-020-01001-8","ISBN":"1339902001","ISSN":"21906823","abstract":"Multiple factors are responsible for the properties of developed briquettes. The effect of the agricultural residue type in determining resulting properties of developed briquettes is seldom elucidated. Agricultural residue biochars from groundnut shells, sugarcane bagasse, coffee husks, and rice husks were used in developing carbonized briquettes using the low-cost compression method. In this study, a general factorial multi-level categorical experimental design method was used to investigate the effects and interactions of the carbonized agricultural type, binder type, and binder amount on physical properties and calorific values of developed briquettes. Statistically significant models (p &lt; 0.05) were obtained for physical property responses of fixed carbon, ash content, volatile matter, and moisture content as well as calorific values for the developed briquettes. In experiments where only cassava starch binder (30 g and 50 g) was used, carbonized agricultural residues played a significant role in the resulting physical property. Increasing the cassava starch binder from 30 to 50 g had a minimal impact on the resulting briquette physical property. In experiments where cassava starch binder and wheat starch binder were used, it was clear that the physical property of the developed briquette was affected significantly by the carbonized agricultural residue used and binder type. Calorific values of groundnut shell and bagasse briquettes were observed to be significantly affected by the agricultural residue type. The highest calorific values of 23.9 MJ/kg and 23.3 MJ/kg were obtained for groundnut shell and bagasse biochar briquettes, respectively, when only 30 g of cassava starch binder was used. Changes in cassava and wheat starch binder amounts did not significantly affect heating values of developed groundnut shell and bagasse briquettes.","author":[{"dropping-particle":"","family":"Lubwama","given":"Michael","non-dropping-particle":"","parse-names":false,"suffix":""},{"dropping-particle":"","family":"Yiga","given":"Vianney Andrew","non-dropping-particle":"","parse-names":false,"suffix":""},{"dropping-particle":"","family":"Lubwama","given":"Harriet Nalubega","non-dropping-particle":"","parse-names":false,"suffix":""}],"container-title":"Biomass Convers. Biorefin.","id":"ITEM-1","issue":"11","issued":{"date-parts":[["2022"]]},"page":"4979-4999","publisher":"Biomass Conversion and Biorefinery","title":"Effects and interactions of the agricultural waste residues and binder type on physical properties and calorific values of carbonized briquettes","type":"article-journal","volume":"12"},"uris":["http://www.mendeley.com/documents/?uuid=9bdded49-2f7c-48d4-ba3d-7c9e5750ce03"]}],"mendeley":{"formattedCitation":"(Lubwama et al., 2022)","plainTextFormattedCitation":"(Lubwama et al., 2022)","previouslyFormattedCitation":"(Lubwama et al., 2022)"},"properties":{"noteIndex":0},"schema":"https://github.com/citation-style-language/schema/raw/master/csl-citation.json"}</w:instrText>
      </w:r>
      <w:r w:rsidR="00CA01A4">
        <w:rPr>
          <w:rFonts w:ascii="Amasis MT Pro" w:eastAsia="Amasis MT Pro" w:hAnsi="Amasis MT Pro" w:cs="Amasis MT Pro"/>
          <w:color w:val="000000"/>
          <w:sz w:val="18"/>
          <w:szCs w:val="18"/>
        </w:rPr>
        <w:fldChar w:fldCharType="separate"/>
      </w:r>
      <w:r w:rsidR="00CA01A4" w:rsidRPr="00CA01A4">
        <w:rPr>
          <w:rFonts w:ascii="Amasis MT Pro" w:eastAsia="Amasis MT Pro" w:hAnsi="Amasis MT Pro" w:cs="Amasis MT Pro"/>
          <w:noProof/>
          <w:color w:val="000000"/>
          <w:sz w:val="18"/>
          <w:szCs w:val="18"/>
        </w:rPr>
        <w:t>(Lubwama et al., 2022)</w:t>
      </w:r>
      <w:r w:rsidR="00CA01A4">
        <w:rPr>
          <w:rFonts w:ascii="Amasis MT Pro" w:eastAsia="Amasis MT Pro" w:hAnsi="Amasis MT Pro" w:cs="Amasis MT Pro"/>
          <w:color w:val="000000"/>
          <w:sz w:val="18"/>
          <w:szCs w:val="18"/>
        </w:rPr>
        <w:fldChar w:fldCharType="end"/>
      </w:r>
      <w:r>
        <w:rPr>
          <w:rFonts w:ascii="Amasis MT Pro" w:eastAsia="Amasis MT Pro" w:hAnsi="Amasis MT Pro" w:cs="Amasis MT Pro"/>
          <w:color w:val="000000"/>
          <w:sz w:val="18"/>
          <w:szCs w:val="18"/>
        </w:rPr>
        <w:t>. The active groups are formed due to the interaction between free radical oxygen atoms and nitrogen on the surface of activated carbon.</w:t>
      </w:r>
    </w:p>
    <w:p w14:paraId="70A27314" w14:textId="77777777"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Regarding </w:t>
      </w:r>
      <w:r>
        <w:rPr>
          <w:rFonts w:ascii="Amasis MT Pro" w:eastAsia="Amasis MT Pro" w:hAnsi="Amasis MT Pro" w:cs="Amasis MT Pro"/>
          <w:sz w:val="18"/>
          <w:szCs w:val="18"/>
        </w:rPr>
        <w:t>using OPF</w:t>
      </w:r>
      <w:r>
        <w:rPr>
          <w:rFonts w:ascii="Amasis MT Pro" w:eastAsia="Amasis MT Pro" w:hAnsi="Amasis MT Pro" w:cs="Amasis MT Pro"/>
          <w:color w:val="000000"/>
          <w:sz w:val="18"/>
          <w:szCs w:val="18"/>
        </w:rPr>
        <w:t xml:space="preserve"> as a primary material for electrode production, the common practice invol</w:t>
      </w:r>
      <w:r>
        <w:rPr>
          <w:rFonts w:ascii="Amasis MT Pro" w:eastAsia="Amasis MT Pro" w:hAnsi="Amasis MT Pro" w:cs="Amasis MT Pro"/>
          <w:color w:val="000000"/>
          <w:sz w:val="18"/>
          <w:szCs w:val="18"/>
        </w:rPr>
        <w:t xml:space="preserve">ves collecting and preparing palm frond waste. The fronds are then transformed into charcoal through </w:t>
      </w:r>
      <w:r>
        <w:rPr>
          <w:rFonts w:ascii="Amasis MT Pro" w:eastAsia="Amasis MT Pro" w:hAnsi="Amasis MT Pro" w:cs="Amasis MT Pro"/>
          <w:sz w:val="18"/>
          <w:szCs w:val="18"/>
        </w:rPr>
        <w:t xml:space="preserve">the </w:t>
      </w:r>
      <w:r>
        <w:rPr>
          <w:rFonts w:ascii="Amasis MT Pro" w:eastAsia="Amasis MT Pro" w:hAnsi="Amasis MT Pro" w:cs="Amasis MT Pro"/>
          <w:color w:val="000000"/>
          <w:sz w:val="18"/>
          <w:szCs w:val="18"/>
        </w:rPr>
        <w:t>carbonization process. Subsequently, the regenerated carbon undergoes physical and chemical activation using NaOH. Finally, the activated carbon is ass</w:t>
      </w:r>
      <w:r>
        <w:rPr>
          <w:rFonts w:ascii="Amasis MT Pro" w:eastAsia="Amasis MT Pro" w:hAnsi="Amasis MT Pro" w:cs="Amasis MT Pro"/>
          <w:color w:val="000000"/>
          <w:sz w:val="18"/>
          <w:szCs w:val="18"/>
        </w:rPr>
        <w:t>embled by the predetermined design.</w:t>
      </w:r>
    </w:p>
    <w:p w14:paraId="2325BEC1" w14:textId="77777777" w:rsidR="001932B4" w:rsidRDefault="00E65D41">
      <w:pPr>
        <w:pBdr>
          <w:top w:val="nil"/>
          <w:left w:val="nil"/>
          <w:bottom w:val="nil"/>
          <w:right w:val="nil"/>
          <w:between w:val="nil"/>
        </w:pBdr>
        <w:ind w:firstLine="284"/>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In this study, the activated carbon derived from OPF was subjected to activation using various concentrations of NaOH and different immersion times. Furthermore, the activated carbon was examined and analyzed using </w:t>
      </w:r>
      <w:r>
        <w:rPr>
          <w:rFonts w:ascii="Amasis MT Pro" w:eastAsia="Amasis MT Pro" w:hAnsi="Amasis MT Pro" w:cs="Amasis MT Pro"/>
          <w:color w:val="000000"/>
          <w:sz w:val="18"/>
          <w:szCs w:val="18"/>
        </w:rPr>
        <w:t>Scanning Electron Microscope (SEM) and Brunauer Emmett Teller (BET) tests. Additionally, the electrical properties</w:t>
      </w:r>
      <w:r>
        <w:rPr>
          <w:rFonts w:ascii="Amasis MT Pro" w:eastAsia="Amasis MT Pro" w:hAnsi="Amasis MT Pro" w:cs="Amasis MT Pro"/>
          <w:sz w:val="18"/>
          <w:szCs w:val="18"/>
        </w:rPr>
        <w:t xml:space="preserve"> using a multimeter</w:t>
      </w:r>
      <w:r>
        <w:rPr>
          <w:rFonts w:ascii="Amasis MT Pro" w:eastAsia="Amasis MT Pro" w:hAnsi="Amasis MT Pro" w:cs="Amasis MT Pro"/>
          <w:color w:val="000000"/>
          <w:sz w:val="18"/>
          <w:szCs w:val="18"/>
        </w:rPr>
        <w:t xml:space="preserve">. Another outcome of this research is developing a prototype model for the POWER bio-battery. </w:t>
      </w:r>
    </w:p>
    <w:p w14:paraId="7A13A895" w14:textId="77777777" w:rsidR="001932B4" w:rsidRDefault="00E65D41">
      <w:pPr>
        <w:pBdr>
          <w:top w:val="nil"/>
          <w:left w:val="nil"/>
          <w:bottom w:val="nil"/>
          <w:right w:val="nil"/>
          <w:between w:val="nil"/>
        </w:pBdr>
        <w:spacing w:before="360" w:after="240"/>
        <w:jc w:val="both"/>
        <w:rPr>
          <w:rFonts w:ascii="Amasis MT Pro" w:eastAsia="Amasis MT Pro" w:hAnsi="Amasis MT Pro" w:cs="Amasis MT Pro"/>
          <w:b/>
          <w:color w:val="000000"/>
          <w:sz w:val="18"/>
          <w:szCs w:val="18"/>
        </w:rPr>
      </w:pPr>
      <w:r>
        <w:rPr>
          <w:rFonts w:ascii="Amasis MT Pro" w:eastAsia="Amasis MT Pro" w:hAnsi="Amasis MT Pro" w:cs="Amasis MT Pro"/>
          <w:b/>
          <w:color w:val="000000"/>
          <w:sz w:val="18"/>
          <w:szCs w:val="18"/>
        </w:rPr>
        <w:t>2. Experimental</w:t>
      </w:r>
    </w:p>
    <w:p w14:paraId="5F375E5A" w14:textId="77777777"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 xml:space="preserve">2.1 </w:t>
      </w:r>
      <w:r>
        <w:rPr>
          <w:rFonts w:ascii="Amasis MT Pro" w:eastAsia="Amasis MT Pro" w:hAnsi="Amasis MT Pro" w:cs="Amasis MT Pro"/>
          <w:i/>
          <w:color w:val="000000"/>
          <w:sz w:val="18"/>
          <w:szCs w:val="18"/>
        </w:rPr>
        <w:t>Carbonization process</w:t>
      </w:r>
    </w:p>
    <w:p w14:paraId="6A2B9735" w14:textId="77777777" w:rsidR="001932B4" w:rsidRDefault="00E65D41">
      <w:pPr>
        <w:pBdr>
          <w:top w:val="nil"/>
          <w:left w:val="nil"/>
          <w:bottom w:val="nil"/>
          <w:right w:val="nil"/>
          <w:between w:val="nil"/>
        </w:pBdr>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Palm frond preparation is carried out by separating the frond peel, cutting, and drying. Pieces of </w:t>
      </w:r>
      <w:r>
        <w:rPr>
          <w:rFonts w:ascii="Amasis MT Pro" w:eastAsia="Amasis MT Pro" w:hAnsi="Amasis MT Pro" w:cs="Amasis MT Pro"/>
          <w:sz w:val="18"/>
          <w:szCs w:val="18"/>
        </w:rPr>
        <w:t xml:space="preserve">OPF </w:t>
      </w:r>
      <w:r>
        <w:rPr>
          <w:rFonts w:ascii="Amasis MT Pro" w:eastAsia="Amasis MT Pro" w:hAnsi="Amasis MT Pro" w:cs="Amasis MT Pro"/>
          <w:color w:val="000000"/>
          <w:sz w:val="18"/>
          <w:szCs w:val="18"/>
        </w:rPr>
        <w:t xml:space="preserve">are carbonized in a muffle </w:t>
      </w:r>
      <w:r>
        <w:rPr>
          <w:rFonts w:ascii="Amasis MT Pro" w:eastAsia="Amasis MT Pro" w:hAnsi="Amasis MT Pro" w:cs="Amasis MT Pro"/>
          <w:color w:val="000000"/>
          <w:sz w:val="18"/>
          <w:szCs w:val="18"/>
        </w:rPr>
        <w:lastRenderedPageBreak/>
        <w:t xml:space="preserve">furnace at 500°C for 1 hour. After that, the carbon is cooled to room temperature, around 25-30°C. </w:t>
      </w:r>
    </w:p>
    <w:p w14:paraId="2554B767" w14:textId="77777777" w:rsidR="001932B4" w:rsidRDefault="001932B4">
      <w:pPr>
        <w:pBdr>
          <w:top w:val="nil"/>
          <w:left w:val="nil"/>
          <w:bottom w:val="nil"/>
          <w:right w:val="nil"/>
          <w:between w:val="nil"/>
        </w:pBdr>
        <w:ind w:firstLine="270"/>
        <w:jc w:val="both"/>
        <w:rPr>
          <w:rFonts w:ascii="Amasis MT Pro" w:eastAsia="Amasis MT Pro" w:hAnsi="Amasis MT Pro" w:cs="Amasis MT Pro"/>
          <w:i/>
          <w:color w:val="000000"/>
          <w:sz w:val="18"/>
          <w:szCs w:val="18"/>
        </w:rPr>
      </w:pPr>
    </w:p>
    <w:p w14:paraId="3E0CBA84" w14:textId="77777777"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2.2</w:t>
      </w:r>
      <w:r>
        <w:rPr>
          <w:rFonts w:ascii="Amasis MT Pro" w:eastAsia="Amasis MT Pro" w:hAnsi="Amasis MT Pro" w:cs="Amasis MT Pro"/>
          <w:i/>
          <w:color w:val="000000"/>
          <w:sz w:val="18"/>
          <w:szCs w:val="18"/>
        </w:rPr>
        <w:t xml:space="preserve"> Carbon activation with NaOH concentration variation</w:t>
      </w:r>
    </w:p>
    <w:p w14:paraId="095C3A77" w14:textId="77777777" w:rsidR="001932B4" w:rsidRDefault="00E65D41">
      <w:pPr>
        <w:pBdr>
          <w:top w:val="nil"/>
          <w:left w:val="nil"/>
          <w:bottom w:val="nil"/>
          <w:right w:val="nil"/>
          <w:between w:val="nil"/>
        </w:pBdr>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In the activation process, carbon was impregnated with NaOH activator, with variations of 0.5 M, 1 M, 1.5 M, 2 M, and 2.5 M, for 24 hours to determine the optimal concentration for the subsequent </w:t>
      </w:r>
      <w:r>
        <w:rPr>
          <w:rFonts w:ascii="Amasis MT Pro" w:eastAsia="Amasis MT Pro" w:hAnsi="Amasis MT Pro" w:cs="Amasis MT Pro"/>
          <w:color w:val="000000"/>
          <w:sz w:val="18"/>
          <w:szCs w:val="18"/>
        </w:rPr>
        <w:t>diffusion process into the interior of the carbon pores.</w:t>
      </w:r>
      <w:r>
        <w:rPr>
          <w:rFonts w:ascii="Amasis MT Pro" w:eastAsia="Amasis MT Pro" w:hAnsi="Amasis MT Pro" w:cs="Amasis MT Pro"/>
          <w:sz w:val="18"/>
          <w:szCs w:val="18"/>
        </w:rPr>
        <w:t xml:space="preserve"> </w:t>
      </w:r>
      <w:r>
        <w:rPr>
          <w:rFonts w:ascii="Amasis MT Pro" w:eastAsia="Amasis MT Pro" w:hAnsi="Amasis MT Pro" w:cs="Amasis MT Pro"/>
          <w:color w:val="000000"/>
          <w:sz w:val="18"/>
          <w:szCs w:val="18"/>
        </w:rPr>
        <w:t>The chemical activation solution was filtered, and the residue was dried at room temperature. Afterward, the chemically activated carbon was physically activated through pyrolysis by heating the carb</w:t>
      </w:r>
      <w:r>
        <w:rPr>
          <w:rFonts w:ascii="Amasis MT Pro" w:eastAsia="Amasis MT Pro" w:hAnsi="Amasis MT Pro" w:cs="Amasis MT Pro"/>
          <w:color w:val="000000"/>
          <w:sz w:val="18"/>
          <w:szCs w:val="18"/>
        </w:rPr>
        <w:t>on in a muffle furnace at 900</w:t>
      </w:r>
      <w:r>
        <w:rPr>
          <w:color w:val="000000"/>
          <w:sz w:val="18"/>
          <w:szCs w:val="18"/>
        </w:rPr>
        <w:t>℃</w:t>
      </w:r>
      <w:r>
        <w:rPr>
          <w:rFonts w:ascii="Amasis MT Pro" w:eastAsia="Amasis MT Pro" w:hAnsi="Amasis MT Pro" w:cs="Amasis MT Pro"/>
          <w:color w:val="000000"/>
          <w:sz w:val="18"/>
          <w:szCs w:val="18"/>
        </w:rPr>
        <w:t xml:space="preserve"> to enhance the pore surface of the activated carbon. Subsequently, the physically activated carbon was rinsed using HCl and then further rinsed with distilled water until the pH became neutral. The final step involved drying </w:t>
      </w:r>
      <w:r>
        <w:rPr>
          <w:rFonts w:ascii="Amasis MT Pro" w:eastAsia="Amasis MT Pro" w:hAnsi="Amasis MT Pro" w:cs="Amasis MT Pro"/>
          <w:color w:val="000000"/>
          <w:sz w:val="18"/>
          <w:szCs w:val="18"/>
        </w:rPr>
        <w:t>the obtained activated carbon in an oven at a temperature of 105</w:t>
      </w:r>
      <w:r>
        <w:rPr>
          <w:color w:val="000000"/>
          <w:sz w:val="18"/>
          <w:szCs w:val="18"/>
        </w:rPr>
        <w:t>℃</w:t>
      </w:r>
      <w:r>
        <w:rPr>
          <w:rFonts w:ascii="Amasis MT Pro" w:eastAsia="Amasis MT Pro" w:hAnsi="Amasis MT Pro" w:cs="Amasis MT Pro"/>
          <w:color w:val="000000"/>
          <w:sz w:val="18"/>
          <w:szCs w:val="18"/>
        </w:rPr>
        <w:t xml:space="preserve"> for </w:t>
      </w:r>
      <w:r>
        <w:rPr>
          <w:rFonts w:ascii="Amasis MT Pro" w:eastAsia="Amasis MT Pro" w:hAnsi="Amasis MT Pro" w:cs="Amasis MT Pro"/>
          <w:sz w:val="18"/>
          <w:szCs w:val="18"/>
        </w:rPr>
        <w:t>3 hours</w:t>
      </w:r>
      <w:r>
        <w:rPr>
          <w:rFonts w:ascii="Amasis MT Pro" w:eastAsia="Amasis MT Pro" w:hAnsi="Amasis MT Pro" w:cs="Amasis MT Pro"/>
          <w:color w:val="000000"/>
          <w:sz w:val="18"/>
          <w:szCs w:val="18"/>
        </w:rPr>
        <w:t>.</w:t>
      </w:r>
    </w:p>
    <w:p w14:paraId="323B98E9" w14:textId="77777777" w:rsidR="001932B4" w:rsidRDefault="001932B4">
      <w:pPr>
        <w:pBdr>
          <w:top w:val="nil"/>
          <w:left w:val="nil"/>
          <w:bottom w:val="nil"/>
          <w:right w:val="nil"/>
          <w:between w:val="nil"/>
        </w:pBdr>
        <w:jc w:val="both"/>
        <w:rPr>
          <w:rFonts w:ascii="Amasis MT Pro" w:eastAsia="Amasis MT Pro" w:hAnsi="Amasis MT Pro" w:cs="Amasis MT Pro"/>
          <w:color w:val="000000"/>
          <w:sz w:val="18"/>
          <w:szCs w:val="18"/>
        </w:rPr>
      </w:pPr>
    </w:p>
    <w:p w14:paraId="3365E688" w14:textId="77777777"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2.3 Carbon activation with NaOH time immersion variation</w:t>
      </w:r>
    </w:p>
    <w:p w14:paraId="6749B89C" w14:textId="77777777" w:rsidR="001932B4" w:rsidRDefault="00E65D41">
      <w:pPr>
        <w:pBdr>
          <w:top w:val="nil"/>
          <w:left w:val="nil"/>
          <w:bottom w:val="nil"/>
          <w:right w:val="nil"/>
          <w:between w:val="nil"/>
        </w:pBdr>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Impregnation was conducted using </w:t>
      </w:r>
      <w:r>
        <w:rPr>
          <w:rFonts w:ascii="Amasis MT Pro" w:eastAsia="Amasis MT Pro" w:hAnsi="Amasis MT Pro" w:cs="Amasis MT Pro"/>
          <w:sz w:val="18"/>
          <w:szCs w:val="18"/>
        </w:rPr>
        <w:t>an</w:t>
      </w:r>
      <w:r>
        <w:rPr>
          <w:rFonts w:ascii="Amasis MT Pro" w:eastAsia="Amasis MT Pro" w:hAnsi="Amasis MT Pro" w:cs="Amasis MT Pro"/>
          <w:color w:val="000000"/>
          <w:sz w:val="18"/>
          <w:szCs w:val="18"/>
        </w:rPr>
        <w:t xml:space="preserve"> optimum concentration of 1.5 M from </w:t>
      </w:r>
      <w:r>
        <w:rPr>
          <w:rFonts w:ascii="Amasis MT Pro" w:eastAsia="Amasis MT Pro" w:hAnsi="Amasis MT Pro" w:cs="Amasis MT Pro"/>
          <w:sz w:val="18"/>
          <w:szCs w:val="18"/>
        </w:rPr>
        <w:t>the previous</w:t>
      </w:r>
      <w:r>
        <w:rPr>
          <w:rFonts w:ascii="Amasis MT Pro" w:eastAsia="Amasis MT Pro" w:hAnsi="Amasis MT Pro" w:cs="Amasis MT Pro"/>
          <w:color w:val="000000"/>
          <w:sz w:val="18"/>
          <w:szCs w:val="18"/>
        </w:rPr>
        <w:t xml:space="preserve">, with variations of immersion for </w:t>
      </w:r>
      <w:r>
        <w:rPr>
          <w:rFonts w:ascii="Amasis MT Pro" w:eastAsia="Amasis MT Pro" w:hAnsi="Amasis MT Pro" w:cs="Amasis MT Pro"/>
          <w:color w:val="000000"/>
          <w:sz w:val="18"/>
          <w:szCs w:val="18"/>
        </w:rPr>
        <w:t>12, 18, 24, 30, and 36 hours to determine the optimal duration for the diffusion process into the interior of the carbon pores.</w:t>
      </w:r>
      <w:r>
        <w:rPr>
          <w:rFonts w:ascii="Amasis MT Pro" w:eastAsia="Amasis MT Pro" w:hAnsi="Amasis MT Pro" w:cs="Amasis MT Pro"/>
          <w:sz w:val="18"/>
          <w:szCs w:val="18"/>
        </w:rPr>
        <w:t xml:space="preserve"> </w:t>
      </w:r>
      <w:r>
        <w:rPr>
          <w:rFonts w:ascii="Amasis MT Pro" w:eastAsia="Amasis MT Pro" w:hAnsi="Amasis MT Pro" w:cs="Amasis MT Pro"/>
          <w:color w:val="000000"/>
          <w:sz w:val="18"/>
          <w:szCs w:val="18"/>
        </w:rPr>
        <w:t>Afterward, the chemically activated carbon was activated by heating it in a muffle furnace at 900</w:t>
      </w:r>
      <w:r>
        <w:rPr>
          <w:color w:val="000000"/>
          <w:sz w:val="18"/>
          <w:szCs w:val="18"/>
        </w:rPr>
        <w:t>℃</w:t>
      </w:r>
      <w:r>
        <w:rPr>
          <w:rFonts w:ascii="Amasis MT Pro" w:eastAsia="Amasis MT Pro" w:hAnsi="Amasis MT Pro" w:cs="Amasis MT Pro"/>
          <w:color w:val="000000"/>
          <w:sz w:val="18"/>
          <w:szCs w:val="18"/>
        </w:rPr>
        <w:t xml:space="preserve"> to expand the pore surface of</w:t>
      </w:r>
      <w:r>
        <w:rPr>
          <w:rFonts w:ascii="Amasis MT Pro" w:eastAsia="Amasis MT Pro" w:hAnsi="Amasis MT Pro" w:cs="Amasis MT Pro"/>
          <w:color w:val="000000"/>
          <w:sz w:val="18"/>
          <w:szCs w:val="18"/>
        </w:rPr>
        <w:t xml:space="preserve"> the activated carbon. Furthermore, the physically activated carbon was rinsed using HCl and then further rinsed with distilled water to achieve a neutral pH. In the final step, the obtained activated carbon was dried in an oven at a temperature of 105</w:t>
      </w:r>
      <w:r>
        <w:rPr>
          <w:color w:val="000000"/>
          <w:sz w:val="18"/>
          <w:szCs w:val="18"/>
        </w:rPr>
        <w:t>℃</w:t>
      </w:r>
      <w:r>
        <w:rPr>
          <w:rFonts w:ascii="Amasis MT Pro" w:eastAsia="Amasis MT Pro" w:hAnsi="Amasis MT Pro" w:cs="Amasis MT Pro"/>
          <w:color w:val="000000"/>
          <w:sz w:val="18"/>
          <w:szCs w:val="18"/>
        </w:rPr>
        <w:t xml:space="preserve"> fo</w:t>
      </w:r>
      <w:r>
        <w:rPr>
          <w:rFonts w:ascii="Amasis MT Pro" w:eastAsia="Amasis MT Pro" w:hAnsi="Amasis MT Pro" w:cs="Amasis MT Pro"/>
          <w:color w:val="000000"/>
          <w:sz w:val="18"/>
          <w:szCs w:val="18"/>
        </w:rPr>
        <w:t>r 3 hours and subsequently stored in a crucible.</w:t>
      </w:r>
    </w:p>
    <w:p w14:paraId="123C2446" w14:textId="77777777" w:rsidR="001932B4" w:rsidRDefault="001932B4">
      <w:pPr>
        <w:pBdr>
          <w:top w:val="nil"/>
          <w:left w:val="nil"/>
          <w:bottom w:val="nil"/>
          <w:right w:val="nil"/>
          <w:between w:val="nil"/>
        </w:pBdr>
        <w:ind w:firstLine="270"/>
        <w:jc w:val="both"/>
        <w:rPr>
          <w:rFonts w:ascii="Amasis MT Pro" w:eastAsia="Amasis MT Pro" w:hAnsi="Amasis MT Pro" w:cs="Amasis MT Pro"/>
          <w:color w:val="000000"/>
          <w:sz w:val="18"/>
          <w:szCs w:val="18"/>
        </w:rPr>
      </w:pPr>
    </w:p>
    <w:p w14:paraId="28483E9D" w14:textId="77777777"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 xml:space="preserve">2.4 Prototype design of </w:t>
      </w:r>
      <w:r>
        <w:rPr>
          <w:rFonts w:ascii="Amasis MT Pro" w:eastAsia="Amasis MT Pro" w:hAnsi="Amasis MT Pro" w:cs="Amasis MT Pro"/>
          <w:i/>
          <w:sz w:val="18"/>
          <w:szCs w:val="18"/>
        </w:rPr>
        <w:t>bio-battery</w:t>
      </w:r>
      <w:r>
        <w:rPr>
          <w:rFonts w:ascii="Amasis MT Pro" w:eastAsia="Amasis MT Pro" w:hAnsi="Amasis MT Pro" w:cs="Amasis MT Pro"/>
          <w:i/>
          <w:color w:val="000000"/>
          <w:sz w:val="18"/>
          <w:szCs w:val="18"/>
        </w:rPr>
        <w:t xml:space="preserve"> POWER.</w:t>
      </w:r>
    </w:p>
    <w:p w14:paraId="7696D4D0" w14:textId="77777777" w:rsidR="001932B4" w:rsidRDefault="00E65D41">
      <w:pPr>
        <w:pBdr>
          <w:top w:val="nil"/>
          <w:left w:val="nil"/>
          <w:bottom w:val="nil"/>
          <w:right w:val="nil"/>
          <w:between w:val="nil"/>
        </w:pBdr>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The biobattery prototype in this study consists of several components, including a protective casing, current collector, electrodes, and battery electrolyte.</w:t>
      </w:r>
      <w:r>
        <w:rPr>
          <w:rFonts w:ascii="Amasis MT Pro" w:eastAsia="Amasis MT Pro" w:hAnsi="Amasis MT Pro" w:cs="Amasis MT Pro"/>
          <w:sz w:val="18"/>
          <w:szCs w:val="18"/>
        </w:rPr>
        <w:t xml:space="preserve"> </w:t>
      </w:r>
      <w:r>
        <w:rPr>
          <w:rFonts w:ascii="Amasis MT Pro" w:eastAsia="Amasis MT Pro" w:hAnsi="Amasis MT Pro" w:cs="Amasis MT Pro"/>
          <w:color w:val="000000"/>
          <w:sz w:val="18"/>
          <w:szCs w:val="18"/>
        </w:rPr>
        <w:t>After</w:t>
      </w:r>
      <w:r>
        <w:rPr>
          <w:rFonts w:ascii="Amasis MT Pro" w:eastAsia="Amasis MT Pro" w:hAnsi="Amasis MT Pro" w:cs="Amasis MT Pro"/>
          <w:color w:val="000000"/>
          <w:sz w:val="18"/>
          <w:szCs w:val="18"/>
        </w:rPr>
        <w:t xml:space="preserve"> the activation of the carbon, the electrode manufacturing process can be initiated. The initial step in making the electrode sheet is to create a slurry from activated carbon by adding distilled water as a solvent. Next, the Polymer Electrolyte is manufac</w:t>
      </w:r>
      <w:r>
        <w:rPr>
          <w:rFonts w:ascii="Amasis MT Pro" w:eastAsia="Amasis MT Pro" w:hAnsi="Amasis MT Pro" w:cs="Amasis MT Pro"/>
          <w:color w:val="000000"/>
          <w:sz w:val="18"/>
          <w:szCs w:val="18"/>
        </w:rPr>
        <w:t>tured by mixing K2CO3 with PVA (PVA-K2CO3). This is achieved by dissolving 0.7 grams of PVA and 0.3 grams of K2CO3 in 20 mL of distilled water. The solution is stirred and heated until the temperature reaches 80</w:t>
      </w:r>
      <w:r>
        <w:rPr>
          <w:color w:val="000000"/>
          <w:sz w:val="18"/>
          <w:szCs w:val="18"/>
        </w:rPr>
        <w:t>℃</w:t>
      </w:r>
      <w:r>
        <w:rPr>
          <w:rFonts w:ascii="Amasis MT Pro" w:eastAsia="Amasis MT Pro" w:hAnsi="Amasis MT Pro" w:cs="Amasis MT Pro"/>
          <w:sz w:val="18"/>
          <w:szCs w:val="18"/>
        </w:rPr>
        <w:t xml:space="preserve">. </w:t>
      </w:r>
      <w:r>
        <w:rPr>
          <w:rFonts w:ascii="Amasis MT Pro" w:eastAsia="Amasis MT Pro" w:hAnsi="Amasis MT Pro" w:cs="Amasis MT Pro"/>
          <w:color w:val="000000"/>
          <w:sz w:val="18"/>
          <w:szCs w:val="18"/>
        </w:rPr>
        <w:t>Once the polymer gel is prepared</w:t>
      </w:r>
      <w:r>
        <w:rPr>
          <w:rFonts w:ascii="Amasis MT Pro" w:eastAsia="Amasis MT Pro" w:hAnsi="Amasis MT Pro" w:cs="Amasis MT Pro"/>
          <w:sz w:val="18"/>
          <w:szCs w:val="18"/>
        </w:rPr>
        <w:t>.</w:t>
      </w:r>
      <w:r>
        <w:rPr>
          <w:rFonts w:ascii="Amasis MT Pro" w:eastAsia="Amasis MT Pro" w:hAnsi="Amasis MT Pro" w:cs="Amasis MT Pro"/>
          <w:color w:val="000000"/>
          <w:sz w:val="18"/>
          <w:szCs w:val="18"/>
        </w:rPr>
        <w:t xml:space="preserve"> Finally,</w:t>
      </w:r>
      <w:r>
        <w:rPr>
          <w:rFonts w:ascii="Amasis MT Pro" w:eastAsia="Amasis MT Pro" w:hAnsi="Amasis MT Pro" w:cs="Amasis MT Pro"/>
          <w:color w:val="000000"/>
          <w:sz w:val="18"/>
          <w:szCs w:val="18"/>
        </w:rPr>
        <w:t xml:space="preserve"> all the ingredients are combined and stacked according to the scheme shown in Figure 1.</w:t>
      </w:r>
    </w:p>
    <w:p w14:paraId="136F3038" w14:textId="77777777" w:rsidR="001932B4" w:rsidRDefault="00E65D41">
      <w:pPr>
        <w:pBdr>
          <w:top w:val="nil"/>
          <w:left w:val="nil"/>
          <w:bottom w:val="nil"/>
          <w:right w:val="nil"/>
          <w:between w:val="nil"/>
        </w:pBdr>
        <w:jc w:val="center"/>
        <w:rPr>
          <w:rFonts w:ascii="Amasis MT Pro" w:eastAsia="Amasis MT Pro" w:hAnsi="Amasis MT Pro" w:cs="Amasis MT Pro"/>
          <w:color w:val="000000"/>
          <w:sz w:val="18"/>
          <w:szCs w:val="18"/>
        </w:rPr>
      </w:pPr>
      <w:r>
        <w:rPr>
          <w:b/>
          <w:noProof/>
          <w:color w:val="000000"/>
          <w:lang w:val="en-US" w:eastAsia="ja-JP"/>
        </w:rPr>
        <w:drawing>
          <wp:inline distT="0" distB="0" distL="0" distR="0" wp14:anchorId="2667B4BA" wp14:editId="738CFC10">
            <wp:extent cx="2243455" cy="1243965"/>
            <wp:effectExtent l="0" t="0" r="0" b="0"/>
            <wp:docPr id="18"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a:srcRect/>
                    <a:stretch>
                      <a:fillRect/>
                    </a:stretch>
                  </pic:blipFill>
                  <pic:spPr>
                    <a:xfrm>
                      <a:off x="0" y="0"/>
                      <a:ext cx="2243455" cy="1243965"/>
                    </a:xfrm>
                    <a:prstGeom prst="rect">
                      <a:avLst/>
                    </a:prstGeom>
                    <a:ln/>
                  </pic:spPr>
                </pic:pic>
              </a:graphicData>
            </a:graphic>
          </wp:inline>
        </w:drawing>
      </w:r>
    </w:p>
    <w:p w14:paraId="2B99832D" w14:textId="77777777" w:rsidR="001932B4" w:rsidRDefault="00E65D41">
      <w:pPr>
        <w:pBdr>
          <w:top w:val="nil"/>
          <w:left w:val="nil"/>
          <w:bottom w:val="nil"/>
          <w:right w:val="nil"/>
          <w:between w:val="nil"/>
        </w:pBdr>
        <w:jc w:val="center"/>
        <w:rPr>
          <w:rFonts w:ascii="Amasis MT Pro" w:eastAsia="Amasis MT Pro" w:hAnsi="Amasis MT Pro" w:cs="Amasis MT Pro"/>
          <w:b/>
          <w:color w:val="000000"/>
          <w:sz w:val="16"/>
          <w:szCs w:val="16"/>
        </w:rPr>
      </w:pPr>
      <w:r>
        <w:rPr>
          <w:rFonts w:ascii="Amasis MT Pro" w:eastAsia="Amasis MT Pro" w:hAnsi="Amasis MT Pro" w:cs="Amasis MT Pro"/>
          <w:b/>
          <w:color w:val="000000"/>
          <w:sz w:val="16"/>
          <w:szCs w:val="16"/>
        </w:rPr>
        <w:t>Figure</w:t>
      </w:r>
      <w:r>
        <w:rPr>
          <w:rFonts w:ascii="Amasis MT Pro" w:eastAsia="Amasis MT Pro" w:hAnsi="Amasis MT Pro" w:cs="Amasis MT Pro"/>
          <w:b/>
          <w:sz w:val="16"/>
          <w:szCs w:val="16"/>
        </w:rPr>
        <w:t xml:space="preserve"> </w:t>
      </w:r>
      <w:r>
        <w:rPr>
          <w:rFonts w:ascii="Amasis MT Pro" w:eastAsia="Amasis MT Pro" w:hAnsi="Amasis MT Pro" w:cs="Amasis MT Pro"/>
          <w:b/>
          <w:color w:val="000000"/>
          <w:sz w:val="16"/>
          <w:szCs w:val="16"/>
        </w:rPr>
        <w:t>1 Design of the POWER Biobattery Prototype</w:t>
      </w:r>
    </w:p>
    <w:p w14:paraId="3B4A1CFB" w14:textId="77777777" w:rsidR="001932B4" w:rsidRDefault="001932B4">
      <w:pPr>
        <w:pBdr>
          <w:top w:val="nil"/>
          <w:left w:val="nil"/>
          <w:bottom w:val="nil"/>
          <w:right w:val="nil"/>
          <w:between w:val="nil"/>
        </w:pBdr>
        <w:jc w:val="center"/>
        <w:rPr>
          <w:rFonts w:ascii="Amasis MT Pro" w:eastAsia="Amasis MT Pro" w:hAnsi="Amasis MT Pro" w:cs="Amasis MT Pro"/>
          <w:color w:val="000000"/>
          <w:sz w:val="18"/>
          <w:szCs w:val="18"/>
        </w:rPr>
      </w:pPr>
    </w:p>
    <w:p w14:paraId="2546958A" w14:textId="0AECC2EE"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2.5 Morphology and Composition Test</w:t>
      </w:r>
    </w:p>
    <w:p w14:paraId="1FE38622" w14:textId="77777777" w:rsidR="001932B4" w:rsidRDefault="00E65D41">
      <w:pPr>
        <w:pBdr>
          <w:top w:val="nil"/>
          <w:left w:val="nil"/>
          <w:bottom w:val="nil"/>
          <w:right w:val="nil"/>
          <w:between w:val="nil"/>
        </w:pBdr>
        <w:spacing w:after="240"/>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The Scanning Electron Microscope (SEM) is a type of electron microscope that </w:t>
      </w:r>
      <w:r>
        <w:rPr>
          <w:rFonts w:ascii="Amasis MT Pro" w:eastAsia="Amasis MT Pro" w:hAnsi="Amasis MT Pro" w:cs="Amasis MT Pro"/>
          <w:color w:val="000000"/>
          <w:sz w:val="18"/>
          <w:szCs w:val="18"/>
        </w:rPr>
        <w:t>operates by scanning the surface using high-energy electrons in a raster pattern. SEM is used to analyze the carbon composition before and after activation and to observe the formation of pores on the carbon surface.</w:t>
      </w:r>
    </w:p>
    <w:p w14:paraId="769D8643" w14:textId="37FED983" w:rsidR="001932B4" w:rsidRDefault="00E65D41">
      <w:pPr>
        <w:pBdr>
          <w:top w:val="nil"/>
          <w:left w:val="nil"/>
          <w:bottom w:val="nil"/>
          <w:right w:val="nil"/>
          <w:between w:val="nil"/>
        </w:pBdr>
        <w:spacing w:after="240"/>
        <w:jc w:val="both"/>
        <w:rPr>
          <w:rFonts w:ascii="Amasis MT Pro" w:eastAsia="Amasis MT Pro" w:hAnsi="Amasis MT Pro" w:cs="Amasis MT Pro"/>
          <w:i/>
          <w:color w:val="000000"/>
          <w:sz w:val="18"/>
          <w:szCs w:val="18"/>
        </w:rPr>
      </w:pPr>
      <w:r>
        <w:rPr>
          <w:rFonts w:ascii="Amasis MT Pro" w:eastAsia="Amasis MT Pro" w:hAnsi="Amasis MT Pro" w:cs="Amasis MT Pro"/>
          <w:i/>
          <w:color w:val="000000"/>
          <w:sz w:val="18"/>
          <w:szCs w:val="18"/>
        </w:rPr>
        <w:t>2.6 Surface Area Analysis (SAA) Carbon</w:t>
      </w:r>
    </w:p>
    <w:p w14:paraId="1434B639" w14:textId="77777777" w:rsidR="001932B4" w:rsidRDefault="00E65D41">
      <w:pPr>
        <w:pBdr>
          <w:top w:val="nil"/>
          <w:left w:val="nil"/>
          <w:bottom w:val="nil"/>
          <w:right w:val="nil"/>
          <w:between w:val="nil"/>
        </w:pBdr>
        <w:ind w:firstLine="27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lastRenderedPageBreak/>
        <w:t>SAA, also known as Brunauer Emmett Teller (BET) analysis, is a method used to determine the surface area of a solid. This test aims to calculate the surface area of each specimen based on the NaOH concentration as a variable. The surface area of the specim</w:t>
      </w:r>
      <w:r>
        <w:rPr>
          <w:rFonts w:ascii="Amasis MT Pro" w:eastAsia="Amasis MT Pro" w:hAnsi="Amasis MT Pro" w:cs="Amasis MT Pro"/>
          <w:color w:val="000000"/>
          <w:sz w:val="18"/>
          <w:szCs w:val="18"/>
        </w:rPr>
        <w:t>en can be obtained by extrapolating the curve and applying the BET equation.</w:t>
      </w:r>
    </w:p>
    <w:p w14:paraId="453F622D" w14:textId="77777777" w:rsidR="001932B4" w:rsidRDefault="001932B4">
      <w:pPr>
        <w:pBdr>
          <w:top w:val="nil"/>
          <w:left w:val="nil"/>
          <w:bottom w:val="nil"/>
          <w:right w:val="nil"/>
          <w:between w:val="nil"/>
        </w:pBdr>
        <w:jc w:val="both"/>
        <w:rPr>
          <w:rFonts w:ascii="Amasis MT Pro" w:eastAsia="Amasis MT Pro" w:hAnsi="Amasis MT Pro" w:cs="Amasis MT Pro"/>
          <w:color w:val="000000"/>
          <w:sz w:val="18"/>
          <w:szCs w:val="18"/>
        </w:rPr>
      </w:pPr>
    </w:p>
    <w:p w14:paraId="2BA63E67" w14:textId="77777777" w:rsidR="001932B4" w:rsidRDefault="00E65D41">
      <w:pPr>
        <w:numPr>
          <w:ilvl w:val="0"/>
          <w:numId w:val="2"/>
        </w:numPr>
        <w:jc w:val="both"/>
        <w:rPr>
          <w:rFonts w:ascii="Amasis MT Pro" w:eastAsia="Amasis MT Pro" w:hAnsi="Amasis MT Pro" w:cs="Amasis MT Pro"/>
          <w:b/>
          <w:sz w:val="18"/>
          <w:szCs w:val="18"/>
        </w:rPr>
      </w:pPr>
      <w:r>
        <w:rPr>
          <w:rFonts w:ascii="Amasis MT Pro" w:eastAsia="Amasis MT Pro" w:hAnsi="Amasis MT Pro" w:cs="Amasis MT Pro"/>
          <w:b/>
          <w:sz w:val="18"/>
          <w:szCs w:val="18"/>
        </w:rPr>
        <w:t>Result and Discussion</w:t>
      </w:r>
    </w:p>
    <w:p w14:paraId="23B4B808" w14:textId="77777777" w:rsidR="001932B4" w:rsidRDefault="001932B4">
      <w:pPr>
        <w:ind w:left="360"/>
        <w:jc w:val="both"/>
        <w:rPr>
          <w:rFonts w:ascii="Amasis MT Pro" w:eastAsia="Amasis MT Pro" w:hAnsi="Amasis MT Pro" w:cs="Amasis MT Pro"/>
          <w:b/>
          <w:sz w:val="18"/>
          <w:szCs w:val="18"/>
        </w:rPr>
      </w:pPr>
    </w:p>
    <w:p w14:paraId="6704D0BD" w14:textId="77777777" w:rsidR="001932B4" w:rsidRDefault="00E65D41">
      <w:pPr>
        <w:spacing w:after="240"/>
        <w:rPr>
          <w:rFonts w:ascii="Amasis MT Pro" w:eastAsia="Amasis MT Pro" w:hAnsi="Amasis MT Pro" w:cs="Amasis MT Pro"/>
          <w:sz w:val="18"/>
          <w:szCs w:val="18"/>
        </w:rPr>
      </w:pPr>
      <w:r>
        <w:rPr>
          <w:rFonts w:ascii="Amasis MT Pro" w:eastAsia="Amasis MT Pro" w:hAnsi="Amasis MT Pro" w:cs="Amasis MT Pro"/>
          <w:i/>
          <w:sz w:val="18"/>
          <w:szCs w:val="18"/>
        </w:rPr>
        <w:t>3.1 Results of OPF carbonization</w:t>
      </w:r>
    </w:p>
    <w:p w14:paraId="3EC8C797" w14:textId="77777777" w:rsidR="001932B4" w:rsidRDefault="00E65D41">
      <w:pPr>
        <w:widowControl w:val="0"/>
        <w:tabs>
          <w:tab w:val="left" w:pos="284"/>
        </w:tabs>
        <w:spacing w:before="1"/>
        <w:jc w:val="both"/>
        <w:rPr>
          <w:rFonts w:ascii="Amasis MT Pro" w:eastAsia="Amasis MT Pro" w:hAnsi="Amasis MT Pro" w:cs="Amasis MT Pro"/>
          <w:sz w:val="18"/>
          <w:szCs w:val="18"/>
        </w:rPr>
      </w:pPr>
      <w:r>
        <w:rPr>
          <w:rFonts w:ascii="Amasis MT Pro" w:eastAsia="Amasis MT Pro" w:hAnsi="Amasis MT Pro" w:cs="Amasis MT Pro"/>
          <w:color w:val="F79646"/>
          <w:sz w:val="18"/>
          <w:szCs w:val="18"/>
        </w:rPr>
        <w:tab/>
      </w:r>
      <w:r>
        <w:rPr>
          <w:rFonts w:ascii="Amasis MT Pro" w:eastAsia="Amasis MT Pro" w:hAnsi="Amasis MT Pro" w:cs="Amasis MT Pro"/>
          <w:sz w:val="18"/>
          <w:szCs w:val="18"/>
        </w:rPr>
        <w:t xml:space="preserve">The carbonized OPF appears black and has a brittle nature. This change is attributed to the release of volatile compound </w:t>
      </w:r>
      <w:r>
        <w:rPr>
          <w:rFonts w:ascii="Amasis MT Pro" w:eastAsia="Amasis MT Pro" w:hAnsi="Amasis MT Pro" w:cs="Amasis MT Pro"/>
          <w:sz w:val="18"/>
          <w:szCs w:val="18"/>
        </w:rPr>
        <w:t>bonds from the carbon, resulting in a sample that primarily consists of carbon content. In general, the carbonization process involves the conversion of carbohydrate compounds found in OPF into carbon. The reactions that take place during the carbonization</w:t>
      </w:r>
      <w:r>
        <w:rPr>
          <w:rFonts w:ascii="Amasis MT Pro" w:eastAsia="Amasis MT Pro" w:hAnsi="Amasis MT Pro" w:cs="Amasis MT Pro"/>
          <w:sz w:val="18"/>
          <w:szCs w:val="18"/>
        </w:rPr>
        <w:t xml:space="preserve"> process are as follows:</w:t>
      </w:r>
    </w:p>
    <w:p w14:paraId="379DB908" w14:textId="77777777" w:rsidR="001932B4" w:rsidRDefault="001932B4">
      <w:pPr>
        <w:widowControl w:val="0"/>
        <w:tabs>
          <w:tab w:val="left" w:pos="284"/>
        </w:tabs>
        <w:spacing w:before="1"/>
        <w:jc w:val="both"/>
        <w:rPr>
          <w:rFonts w:ascii="Amasis MT Pro" w:eastAsia="Amasis MT Pro" w:hAnsi="Amasis MT Pro" w:cs="Amasis MT Pro"/>
          <w:sz w:val="18"/>
          <w:szCs w:val="18"/>
        </w:rPr>
      </w:pPr>
    </w:p>
    <w:tbl>
      <w:tblPr>
        <w:tblStyle w:val="a0"/>
        <w:tblW w:w="4860" w:type="dxa"/>
        <w:tblBorders>
          <w:insideH w:val="nil"/>
          <w:insideV w:val="nil"/>
        </w:tblBorders>
        <w:tblLayout w:type="fixed"/>
        <w:tblLook w:val="0400" w:firstRow="0" w:lastRow="0" w:firstColumn="0" w:lastColumn="0" w:noHBand="0" w:noVBand="1"/>
      </w:tblPr>
      <w:tblGrid>
        <w:gridCol w:w="4406"/>
        <w:gridCol w:w="454"/>
      </w:tblGrid>
      <w:tr w:rsidR="001932B4" w14:paraId="4B0A35CF" w14:textId="77777777">
        <w:tc>
          <w:tcPr>
            <w:tcW w:w="4406" w:type="dxa"/>
            <w:tcBorders>
              <w:top w:val="nil"/>
              <w:left w:val="nil"/>
              <w:bottom w:val="nil"/>
              <w:right w:val="nil"/>
            </w:tcBorders>
            <w:vAlign w:val="center"/>
          </w:tcPr>
          <w:p w14:paraId="38D04531" w14:textId="77777777" w:rsidR="001932B4" w:rsidRDefault="00E65D41">
            <w:pPr>
              <w:jc w:val="center"/>
              <w:rPr>
                <w:rFonts w:ascii="Cambria Math" w:eastAsia="Cambria Math" w:hAnsi="Cambria Math" w:cs="Cambria Math"/>
                <w:sz w:val="18"/>
                <w:szCs w:val="18"/>
              </w:rPr>
            </w:pPr>
            <m:oMathPara>
              <m:oMath>
                <m:d>
                  <m:dPr>
                    <m:ctrlPr>
                      <w:rPr>
                        <w:rFonts w:ascii="Cambria Math" w:hAnsi="Cambria Math"/>
                      </w:rPr>
                    </m:ctrlPr>
                  </m:dPr>
                  <m:e>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C</m:t>
                        </m:r>
                      </m:e>
                      <m:sub>
                        <m:r>
                          <w:rPr>
                            <w:rFonts w:ascii="Cambria Math" w:eastAsia="Cambria Math" w:hAnsi="Cambria Math" w:cs="Cambria Math"/>
                            <w:sz w:val="18"/>
                            <w:szCs w:val="18"/>
                          </w:rPr>
                          <m:t>X</m:t>
                        </m:r>
                      </m:sub>
                    </m:sSub>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Y</m:t>
                        </m:r>
                      </m:sub>
                    </m:sSub>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O</m:t>
                        </m:r>
                      </m:e>
                      <m:sub>
                        <m:r>
                          <w:rPr>
                            <w:rFonts w:ascii="Cambria Math" w:eastAsia="Cambria Math" w:hAnsi="Cambria Math" w:cs="Cambria Math"/>
                            <w:sz w:val="18"/>
                            <w:szCs w:val="18"/>
                          </w:rPr>
                          <m:t>Z</m:t>
                        </m:r>
                      </m:sub>
                    </m:sSub>
                  </m:e>
                </m:d>
                <m:r>
                  <w:rPr>
                    <w:rFonts w:ascii="Cambria Math" w:eastAsia="Cambria Math" w:hAnsi="Cambria Math" w:cs="Cambria Math"/>
                    <w:sz w:val="18"/>
                    <w:szCs w:val="18"/>
                  </w:rPr>
                  <m:t>+</m:t>
                </m:r>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O</m:t>
                    </m:r>
                  </m:e>
                  <m:sub>
                    <m:r>
                      <w:rPr>
                        <w:rFonts w:ascii="Cambria Math" w:eastAsia="Cambria Math" w:hAnsi="Cambria Math" w:cs="Cambria Math"/>
                        <w:sz w:val="18"/>
                        <w:szCs w:val="18"/>
                      </w:rPr>
                      <m:t>2</m:t>
                    </m:r>
                  </m:sub>
                </m:sSub>
                <m:r>
                  <w:rPr>
                    <w:rFonts w:ascii="Cambria Math" w:eastAsia="Cambria Math" w:hAnsi="Cambria Math" w:cs="Cambria Math"/>
                    <w:sz w:val="18"/>
                    <w:szCs w:val="18"/>
                  </w:rPr>
                  <m:t>→</m:t>
                </m:r>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C</m:t>
                    </m:r>
                  </m:e>
                  <m:sub>
                    <m:d>
                      <m:dPr>
                        <m:ctrlPr>
                          <w:rPr>
                            <w:rFonts w:ascii="Cambria Math" w:eastAsia="Cambria Math" w:hAnsi="Cambria Math" w:cs="Cambria Math"/>
                            <w:sz w:val="18"/>
                            <w:szCs w:val="18"/>
                          </w:rPr>
                        </m:ctrlPr>
                      </m:dPr>
                      <m:e>
                        <m:r>
                          <w:rPr>
                            <w:rFonts w:ascii="Cambria Math" w:eastAsia="Cambria Math" w:hAnsi="Cambria Math" w:cs="Cambria Math"/>
                            <w:sz w:val="18"/>
                            <w:szCs w:val="18"/>
                          </w:rPr>
                          <m:t>grafit</m:t>
                        </m:r>
                      </m:e>
                    </m:d>
                  </m:sub>
                </m:sSub>
                <m:r>
                  <w:rPr>
                    <w:rFonts w:ascii="Cambria Math" w:eastAsia="Cambria Math" w:hAnsi="Cambria Math" w:cs="Cambria Math"/>
                    <w:sz w:val="18"/>
                    <w:szCs w:val="18"/>
                  </w:rPr>
                  <m:t>+</m:t>
                </m:r>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CO</m:t>
                    </m:r>
                  </m:e>
                  <m:sub>
                    <m:d>
                      <m:dPr>
                        <m:ctrlPr>
                          <w:rPr>
                            <w:rFonts w:ascii="Cambria Math" w:eastAsia="Cambria Math" w:hAnsi="Cambria Math" w:cs="Cambria Math"/>
                            <w:sz w:val="18"/>
                            <w:szCs w:val="18"/>
                          </w:rPr>
                        </m:ctrlPr>
                      </m:dPr>
                      <m:e>
                        <m:r>
                          <w:rPr>
                            <w:rFonts w:ascii="Cambria Math" w:eastAsia="Cambria Math" w:hAnsi="Cambria Math" w:cs="Cambria Math"/>
                            <w:sz w:val="18"/>
                            <w:szCs w:val="18"/>
                          </w:rPr>
                          <m:t>g</m:t>
                        </m:r>
                      </m:e>
                    </m:d>
                  </m:sub>
                </m:sSub>
                <m:r>
                  <w:rPr>
                    <w:rFonts w:ascii="Cambria Math" w:eastAsia="Cambria Math" w:hAnsi="Cambria Math" w:cs="Cambria Math"/>
                    <w:sz w:val="18"/>
                    <w:szCs w:val="18"/>
                  </w:rPr>
                  <m:t>+</m:t>
                </m:r>
                <m:sSub>
                  <m:sSubPr>
                    <m:ctrlPr>
                      <w:rPr>
                        <w:rFonts w:ascii="Cambria Math" w:eastAsia="Cambria Math" w:hAnsi="Cambria Math" w:cs="Cambria Math"/>
                        <w:sz w:val="18"/>
                        <w:szCs w:val="18"/>
                      </w:rPr>
                    </m:ctrlPr>
                  </m:sSubPr>
                  <m:e>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Sub>
                    <m:r>
                      <w:rPr>
                        <w:rFonts w:ascii="Cambria Math" w:eastAsia="Cambria Math" w:hAnsi="Cambria Math" w:cs="Cambria Math"/>
                        <w:sz w:val="18"/>
                        <w:szCs w:val="18"/>
                      </w:rPr>
                      <m:t>O</m:t>
                    </m:r>
                  </m:e>
                  <m:sub>
                    <m:r>
                      <w:rPr>
                        <w:rFonts w:ascii="Cambria Math" w:eastAsia="Cambria Math" w:hAnsi="Cambria Math" w:cs="Cambria Math"/>
                        <w:sz w:val="18"/>
                        <w:szCs w:val="18"/>
                      </w:rPr>
                      <m:t>(</m:t>
                    </m:r>
                    <m:r>
                      <w:rPr>
                        <w:rFonts w:ascii="Cambria Math" w:eastAsia="Cambria Math" w:hAnsi="Cambria Math" w:cs="Cambria Math"/>
                        <w:sz w:val="18"/>
                        <w:szCs w:val="18"/>
                      </w:rPr>
                      <m:t>g</m:t>
                    </m:r>
                    <m:r>
                      <w:rPr>
                        <w:rFonts w:ascii="Cambria Math" w:eastAsia="Cambria Math" w:hAnsi="Cambria Math" w:cs="Cambria Math"/>
                        <w:sz w:val="18"/>
                        <w:szCs w:val="18"/>
                      </w:rPr>
                      <m:t>)</m:t>
                    </m:r>
                  </m:sub>
                </m:sSub>
              </m:oMath>
            </m:oMathPara>
          </w:p>
        </w:tc>
        <w:tc>
          <w:tcPr>
            <w:tcW w:w="454" w:type="dxa"/>
            <w:tcBorders>
              <w:top w:val="nil"/>
              <w:left w:val="nil"/>
              <w:bottom w:val="nil"/>
              <w:right w:val="nil"/>
            </w:tcBorders>
          </w:tcPr>
          <w:p w14:paraId="28FB481C" w14:textId="77777777" w:rsidR="001932B4" w:rsidRDefault="00E65D41">
            <w:pPr>
              <w:widowControl w:val="0"/>
              <w:tabs>
                <w:tab w:val="left" w:pos="284"/>
              </w:tabs>
              <w:spacing w:before="1" w:after="200"/>
              <w:ind w:right="-60"/>
              <w:jc w:val="both"/>
              <w:rPr>
                <w:rFonts w:ascii="Amasis MT Pro" w:eastAsia="Amasis MT Pro" w:hAnsi="Amasis MT Pro" w:cs="Amasis MT Pro"/>
                <w:sz w:val="18"/>
                <w:szCs w:val="18"/>
              </w:rPr>
            </w:pPr>
            <w:r>
              <w:rPr>
                <w:rFonts w:ascii="Amasis MT Pro" w:eastAsia="Amasis MT Pro" w:hAnsi="Amasis MT Pro" w:cs="Amasis MT Pro"/>
                <w:sz w:val="18"/>
                <w:szCs w:val="18"/>
              </w:rPr>
              <w:t>(1)</w:t>
            </w:r>
          </w:p>
        </w:tc>
      </w:tr>
    </w:tbl>
    <w:p w14:paraId="61BF25A8" w14:textId="77777777" w:rsidR="001932B4" w:rsidRDefault="00E65D41">
      <w:pPr>
        <w:widowControl w:val="0"/>
        <w:tabs>
          <w:tab w:val="left" w:pos="284"/>
        </w:tabs>
        <w:spacing w:before="1"/>
        <w:jc w:val="both"/>
        <w:rPr>
          <w:rFonts w:ascii="Amasis MT Pro" w:eastAsia="Amasis MT Pro" w:hAnsi="Amasis MT Pro" w:cs="Amasis MT Pro"/>
          <w:color w:val="F79646"/>
          <w:sz w:val="18"/>
          <w:szCs w:val="18"/>
        </w:rPr>
      </w:pPr>
      <w:r>
        <w:rPr>
          <w:rFonts w:ascii="Amasis MT Pro" w:eastAsia="Amasis MT Pro" w:hAnsi="Amasis MT Pro" w:cs="Amasis MT Pro"/>
          <w:color w:val="F79646"/>
          <w:sz w:val="18"/>
          <w:szCs w:val="18"/>
        </w:rPr>
        <w:tab/>
      </w:r>
    </w:p>
    <w:p w14:paraId="5AC1BBF8" w14:textId="2BC44CB0" w:rsidR="00CE441F" w:rsidRDefault="00E65D41" w:rsidP="00AE5985">
      <w:pPr>
        <w:widowControl w:val="0"/>
        <w:tabs>
          <w:tab w:val="left" w:pos="284"/>
        </w:tabs>
        <w:spacing w:before="1"/>
        <w:jc w:val="both"/>
        <w:rPr>
          <w:rFonts w:ascii="Amasis MT Pro" w:eastAsia="Amasis MT Pro" w:hAnsi="Amasis MT Pro" w:cs="Amasis MT Pro"/>
          <w:sz w:val="18"/>
          <w:szCs w:val="18"/>
        </w:rPr>
      </w:pPr>
      <w:r>
        <w:rPr>
          <w:rFonts w:ascii="Amasis MT Pro" w:eastAsia="Amasis MT Pro" w:hAnsi="Amasis MT Pro" w:cs="Amasis MT Pro"/>
          <w:sz w:val="18"/>
          <w:szCs w:val="18"/>
        </w:rPr>
        <w:t>At high temperatures, biomass OPF undergoes significant dehydration</w:t>
      </w:r>
      <w:r w:rsidR="007E4764">
        <w:rPr>
          <w:rFonts w:ascii="Amasis MT Pro" w:eastAsia="Amasis MT Pro" w:hAnsi="Amasis MT Pro" w:cs="Amasis MT Pro"/>
          <w:sz w:val="18"/>
          <w:szCs w:val="18"/>
        </w:rPr>
        <w:t xml:space="preserve"> </w:t>
      </w:r>
      <w:r w:rsidR="00CA01A4">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{"citationItems":[{"id":"ITEM-1","itemData":{"DOI":"10.1016/j.rser.2016.12.122","ISSN":"18790690","abstract":"The preceding decades witnessed hydrothermal processes being actively utilized all over the world, specifically in the developed zones. Their optimum usage is primarily sought for in terms of conversion of biomass into valuable solid, liquid and gaseous fuels. Indeed, Hydrothermal carbonization (HTC) is an effective and environment friendly technique; it possesses extensive potential towards producing high-energy density solid fuels. However, the production and quality of solid fuels from HTC depends upon several parameters; temperature, feed type, residence time, pressure and catalyst being the eminent ones. This study investigates the influence of operating parameters on solid fuel production during HTC. The biomass quality has also been analyzed in HTC by extending existing literature work through experiments that have been performed. Data including chemical composition, heating value, proximate analysis and ultimate analysis for different types of biomass was consequently collected and analyzed. It was found that reaction temperature, residence time and type of feed material are the primary factors that influence the HTC process. At higher temperatures, lower solid product is obtained; the carbon content increases, whilst the hydrogen and oxygen content decrease. Further, it has been found that higher lignin content in biomass leads to an increased solid fuel production.","author":[{"dropping-particle":"","family":"Nizamuddin","given":"Sabzoi","non-dropping-particle":"","parse-names":false,"suffix":""},{"dropping-particle":"","family":"Baloch","given":"Humair Ahmed","non-dropping-particle":"","parse-names":false,"suffix":""},{"dropping-particle":"","family":"Griffin","given":"G. J.","non-dropping-particle":"","parse-names":false,"suffix":""},{"dropping-particle":"","family":"Mubarak","given":"N. M.","non-dropping-particle":"","parse-names":false,"suffix":""},{"dropping-particle":"","family":"Bhutto","given":"Abdul Waheed","non-dropping-particle":"","parse-names":false,"suffix":""},{"dropping-particle":"","family":"Abro","given":"Rashid","non-dropping-particle":"","parse-names":false,"suffix":""},{"dropping-particle":"","family":"Mazari","given":"Shaukat Ali","non-dropping-particle":"","parse-names":false,"suffix":""},{"dropping-particle":"","family":"Ali","given":"Brahim Si","non-dropping-particle":"","parse-names":false,"suffix":""}],"container-title":"Renewable Sustainable Energy Rev.","id":"ITEM-1","issue":"December 2015","issued":{"date-parts":[["2017"]]},"page":"1289-1299","title":"An overview of effect of process parameters on hydrothermal carbonization of biomass","type":"article-journal","volume":"73"},"uris":["http://www.mendeley.com/documents/?uuid=ac9b7971-73dc-4074-8490-58bbf30a8876"]}],"mendeley":{"formattedCitation":"(Nizamuddin et al., 2017)","plainTextFormattedCitation":"(Nizamuddin et al., 2017)","previouslyFormattedCitation":"(Nizamuddin et al., 2017)"},"properties":{"noteIndex":0},"schema":"https://github.com/citation-style-language/schema/raw/master/csl-citation.json"}</w:instrText>
      </w:r>
      <w:r w:rsidR="00CA01A4">
        <w:rPr>
          <w:rFonts w:ascii="Amasis MT Pro" w:eastAsia="Amasis MT Pro" w:hAnsi="Amasis MT Pro" w:cs="Amasis MT Pro"/>
          <w:sz w:val="18"/>
          <w:szCs w:val="18"/>
        </w:rPr>
        <w:fldChar w:fldCharType="separate"/>
      </w:r>
      <w:r w:rsidR="00CA01A4" w:rsidRPr="00CA01A4">
        <w:rPr>
          <w:rFonts w:ascii="Amasis MT Pro" w:eastAsia="Amasis MT Pro" w:hAnsi="Amasis MT Pro" w:cs="Amasis MT Pro"/>
          <w:noProof/>
          <w:sz w:val="18"/>
          <w:szCs w:val="18"/>
        </w:rPr>
        <w:t>(Nizamuddin et al., 2017)</w:t>
      </w:r>
      <w:r w:rsidR="00CA01A4">
        <w:rPr>
          <w:rFonts w:ascii="Amasis MT Pro" w:eastAsia="Amasis MT Pro" w:hAnsi="Amasis MT Pro" w:cs="Amasis MT Pro"/>
          <w:sz w:val="18"/>
          <w:szCs w:val="18"/>
        </w:rPr>
        <w:fldChar w:fldCharType="end"/>
      </w:r>
      <w:r>
        <w:rPr>
          <w:rFonts w:ascii="Amasis MT Pro" w:eastAsia="Amasis MT Pro" w:hAnsi="Amasis MT Pro" w:cs="Amasis MT Pro"/>
          <w:sz w:val="18"/>
          <w:szCs w:val="18"/>
        </w:rPr>
        <w:t>. In the carbonization reaction, the carbon (C), hydrogen (H), and oxygen (O) compounds present in the OPF come into contact with free oxygen from the air during the coagulation process. This reaction produces carbon compounds that are subsequently activat</w:t>
      </w:r>
      <w:r>
        <w:rPr>
          <w:rFonts w:ascii="Amasis MT Pro" w:eastAsia="Amasis MT Pro" w:hAnsi="Amasis MT Pro" w:cs="Amasis MT Pro"/>
          <w:sz w:val="18"/>
          <w:szCs w:val="18"/>
        </w:rPr>
        <w:t>ed and utilized as materials for constructing biobattery electrodes. Throughout the carbonization process, a reaction decomposes the elements found in OPF and causes water evaporation. The elements to be elucidated include cellulose, hemicellulose, and lig</w:t>
      </w:r>
      <w:r>
        <w:rPr>
          <w:rFonts w:ascii="Amasis MT Pro" w:eastAsia="Amasis MT Pro" w:hAnsi="Amasis MT Pro" w:cs="Amasis MT Pro"/>
          <w:sz w:val="18"/>
          <w:szCs w:val="18"/>
        </w:rPr>
        <w:t xml:space="preserve">nin. </w:t>
      </w:r>
      <w:r w:rsidR="00CE441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{"citationItems":[{"id":"ITEM-1","itemData":{"DOI":"10.1016/j.enconman.2010.10.041","ISSN":"01968904","abstract":"In recent years, there has been a steadily increasing in the amount of solid waste due to the increasing human population and urbanization. Waste materials are generated from manufacturing processes, industries and municipal solid wastes (MSW). Waste-to-energy (WTE) technologies convert waste matter into various forms of fuel that can be used to supply energy. Today, a new generation of WTE technologies is emerging which hold the potential to create renewable energy from waste matter, including MSW, industrial waste, agricultural waste, and waste byproducts. There are four major methods for conversion of organic wastes to synthetic fuels: (1) hydrogenation, (2) pyrolysis, (3) gasification, and (4) bioconversion. © 2010 Elsevier Ltd. All rights reserved.","author":[{"dropping-particle":"","family":"Fatih Demirbas","given":"M.","non-dropping-particle":"","parse-names":false,"suffix":""},{"dropping-particle":"","family":"Balat","given":"Mustafa","non-dropping-particle":"","parse-names":false,"suffix":""},{"dropping-particle":"","family":"Balat","given":"Havva","non-dropping-particle":"","parse-names":false,"suffix":""}],"container-title":"Energy Convers. Manage.","id":"ITEM-1","issue":"4","issued":{"date-parts":[["2011"]]},"page":"1815-1828","publisher":"Elsevier Ltd","title":"Biowastes-to-biofuels","type":"article-journal","volume":"52"},"uris":["http://www.mendeley.com/documents/?uuid=75904a3c-fe86-4c02-9be8-4ed87097e29c"]}],"mendeley":{"formattedCitation":"(Fatih Demirbas et al., 2011)","plainTextFormattedCitation":"(Fatih Demirbas et al., 2011)","previouslyFormattedCitation":"(Fatih Demirbas et al., 2011)"},"properties":{"noteIndex":0},"schema":"https://github.com/citation-style-language/schema/raw/master/csl-citation.json"}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(Fatih Demirbas et al., 2011)</w:t>
      </w:r>
      <w:r w:rsidR="00CE441F">
        <w:rPr>
          <w:rFonts w:ascii="Amasis MT Pro" w:eastAsia="Amasis MT Pro" w:hAnsi="Amasis MT Pro" w:cs="Amasis MT Pro"/>
          <w:sz w:val="18"/>
          <w:szCs w:val="18"/>
        </w:rPr>
        <w:fldChar w:fldCharType="end"/>
      </w:r>
      <w:r w:rsidR="00CE441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{"citationItems":[{"id":"ITEM-1","itemData":{"DOI":"10.1016/j.rser.2010.09.033","ISSN":"13640321","abstract":"Biomass is the major energy source in Ghana contributing about 64% of Ghana's primary energy supply. In this paper, an assessment of biomass resources and biofuels production potential in Ghana is given. The broad areas of energy crops, agricultural crop residues, forest products residues, urban wastes and animal wastes are included. Animal wastes are limited to those produced by domesticated livestock. Agricultural residues included those generated from sugarcane, maize, rice, cocoa, oil palm, coconut, sorghum and millet processing. The urban category is subdivided into municipal solid waste, food waste, sewage sludge or bio-solids and waste grease. The availability of these types of biomass, together with a brief description of possible biomass conversion routes, sustainability measures, and current research and development activities in Ghana is given. It is concluded that a large availability of biomass in Ghana gives a great potential for biofuels production from these biomass resources. © 2010 Elsevier Ltd.","author":[{"dropping-particle":"","family":"Duku","given":"Moses Hensley","non-dropping-particle":"","parse-names":false,"suffix":""},{"dropping-particle":"","family":"Gu","given":"Sai","non-dropping-particle":"","parse-names":false,"suffix":""},{"dropping-particle":"Ben","family":"Hagan","given":"Essel","non-dropping-particle":"","parse-names":false,"suffix":""}],"container-title":"Renewable Sustainable Energy Rev.","id":"ITEM-1","issue":"1","issued":{"date-parts":[["2011"]]},"page":"404-415","publisher":"Elsevier Ltd","title":"A comprehensive review of biomass resources and biofuels potential in Ghana","type":"article-journal","volume":"15"},"uris":["http://www.mendeley.com/documents/?uuid=185300b6-506b-4290-9653-c76c1c810218"]}],"mendeley":{"formattedCitation":"(Duku et al., 2011)","plainTextFormattedCitation":"(Duku et al., 2011)","previouslyFormattedCitation":"(Duku et al., 2011)"},"properties":{"noteIndex":0},"schema":"https://github.com/citation-style-language/schema/raw/master/csl-citation.json"}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(Duku et al., 2011)</w:t>
      </w:r>
      <w:r w:rsidR="00CE441F">
        <w:rPr>
          <w:rFonts w:ascii="Amasis MT Pro" w:eastAsia="Amasis MT Pro" w:hAnsi="Amasis MT Pro" w:cs="Amasis MT Pro"/>
          <w:sz w:val="18"/>
          <w:szCs w:val="18"/>
        </w:rPr>
        <w:fldChar w:fldCharType="end"/>
      </w:r>
      <w:r>
        <w:rPr>
          <w:rFonts w:ascii="Amasis MT Pro" w:eastAsia="Amasis MT Pro" w:hAnsi="Amasis MT Pro" w:cs="Amasis MT Pro"/>
          <w:sz w:val="18"/>
          <w:szCs w:val="18"/>
        </w:rPr>
        <w:t xml:space="preserve">. OPF is utilized for carbon production due to its higher cellulose content compared to Empty Oil Palm Bunches and palm kernel shells </w:t>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{"citationItems":[{"id":"ITEM-1","itemData":{"DOI":"10.1016/j.biombioe.2014.12.016","ISSN":"1873-2909","abstract":"Sliced activated carbons were prepared from palm tree fronds, a biomass material, using a single step physical method. Effect of the synthetic parameters on the surface area, pore size and pore volume of the activated carbon were studied, pursuing by the optimization of studied parameters. The activation temperature, heating ramp rate, reaction vessel pressure and the CO2 flowrate were found to be the influential parameters for the synthesis of sliced activated carbon with larger porosity and surface area. The optimum conditions to synthesize the porous activated carbon bearing high pore volume and surface area were studied and identified. Highest surface area of 1094m2g-1 was achieved under the optimum conditions. Scanning electron microscopy (SEM) for the porosity and Fourier transform infrared spectroscopy (FTIR) for surface functional groups and transmission electron microscopy (TEM) confirms the presence of uniform nanoparticles of 2.1385nm.","author":[{"dropping-particle":"","family":"Shoaib","given":"Muhammad","non-dropping-particle":"","parse-names":false,"suffix":""},{"dropping-particle":"","family":"Al-Swaidan","given":"Hassan M.","non-dropping-particle":"","parse-names":false,"suffix":""}],"container-title":"Biomass and Bioenergy","id":"ITEM-1","issued":{"date-parts":[["2015"]]},"page":"124-134","publisher":"Elsevier Ltd","title":"Optimization and characterization of sliced activated carbon prepared from date palm tree fronds by physical activation","type":"article-journal","volume":"73"},"uris":["http://www.mendeley.com/documents/?uuid=0a59a9b1-9b8c-4a77-8afc-6db547af35be"]}],"mendeley":{"formattedCitation":"(Shoaib &amp; Al-Swaidan, 2015)","plainTextFormattedCitation":"(Shoaib &amp; Al-Swaidan, 2015)","previouslyFormattedCitation":"(Shoaib &amp; Al-Swaidan, 2015)"},"properties":{"noteIndex":0},"schema":"https://github.com/citation-style-language/schema/raw/master/csl-citation.json"}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(Shoaib &amp; Al-Swaidan, 2015)</w:t>
      </w:r>
      <w:r w:rsidR="00CE441F">
        <w:rPr>
          <w:rFonts w:ascii="Amasis MT Pro" w:eastAsia="Amasis MT Pro" w:hAnsi="Amasis MT Pro" w:cs="Amasis MT Pro"/>
          <w:sz w:val="18"/>
          <w:szCs w:val="18"/>
        </w:rPr>
        <w:fldChar w:fldCharType="end"/>
      </w:r>
      <w:r w:rsidR="00CE441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{"citationItems":[{"id":"ITEM-1","itemData":{"DOI":"10.1016/j.carbpol.2018.06.089","ISSN":"01448617","PMID":"30093004","abstract":"Cellulose nanofibers (CNFs) were obtained from three types of oil palm wastes, mesocarp, empty fruit bunch (EFB), and palm kernel shell (PKS), as well as the trunk of the oil palm tree, to compare their morphological, thermal, and mechanical properties. Despite large differences in the chemical components of cell walls in the raw materials, the production of CNFs from all parts of the oil palm were achieved in this work. The morphology and mechanical properties of the CNF sheets obtained from the trunk had advantages over the CNF sheets from wastes, while the thermal degradation properties showed no advantage. Cellulose crystallinity of the CNF sheet from the mesocarp and PKS had lower crystallinity (69.1 and 71.1%), and the highest crystallinity of 77.0% was exhibited by the sheet from the trunk. The value of specific tensile strength and specific Young's modulus were highest in the CNF sheet of the trunk, and lowest mechanical properties shown in the CNF sheet from the mesocarp. These results strongly suggested that the CNF could be obtained from all parts of the plants, but their properties may vary.","author":[{"dropping-particle":"","family":"Okahisa","given":"Yoko","non-dropping-particle":"","parse-names":false,"suffix":""},{"dropping-particle":"","family":"Furukawa","given":"Yuma","non-dropping-particle":"","parse-names":false,"suffix":""},{"dropping-particle":"","family":"Ishimoto","given":"Kiyoaki","non-dropping-particle":"","parse-names":false,"suffix":""},{"dropping-particle":"","family":"Narita","given":"Chieko","non-dropping-particle":"","parse-names":false,"suffix":""},{"dropping-particle":"","family":"Intharapichai","given":"Kamthorn","non-dropping-particle":"","parse-names":false,"suffix":""},{"dropping-particle":"","family":"Ohara","given":"Hitomi","non-dropping-particle":"","parse-names":false,"suffix":""}],"container-title":"Carbohydr. Polym.","id":"ITEM-1","issued":{"date-parts":[["2018"]]},"page":"313-319","publisher":"Elsevier Ltd.","title":"Comparison of cellulose nanofiber properties produced from different parts of the oil palm tree","type":"article-journal","volume":"198"},"uris":["http://www.mendeley.com/documents/?uuid=078d090d-87b7-418d-a096-217b14b9264e"]}],"mendeley":{"formattedCitation":"(Okahisa et al., 2018)","plainTextFormattedCitation":"(Okahisa et al., 2018)","previouslyFormattedCitation":"(Okahisa et al., 2018)"},"properties":{"noteIndex":0},"schema":"https://github.com/citation-style-language/schema/raw/master/csl-citation.json"}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(Okahisa et al., 2018)</w:t>
      </w:r>
      <w:r w:rsidR="00CE441F">
        <w:rPr>
          <w:rFonts w:ascii="Amasis MT Pro" w:eastAsia="Amasis MT Pro" w:hAnsi="Amasis MT Pro" w:cs="Amasis MT Pro"/>
          <w:sz w:val="18"/>
          <w:szCs w:val="18"/>
        </w:rPr>
        <w:fldChar w:fldCharType="end"/>
      </w:r>
      <w:r>
        <w:rPr>
          <w:rFonts w:ascii="Amasis MT Pro" w:eastAsia="Amasis MT Pro" w:hAnsi="Amasis MT Pro" w:cs="Amasis MT Pro"/>
          <w:sz w:val="18"/>
          <w:szCs w:val="18"/>
        </w:rPr>
        <w:t xml:space="preserve">. The presence of cellulose compounds in OPF results in a higher carbon weight in the final product </w:t>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{"citationItems":[{"id":"ITEM-1","itemData":{"DOI":"10.1016/j.rser.2013.06.033","ISSN":"13640321","abstract":"Pretreatment technologies are aimed to increase enzyme accessibility to biomass and yields of fermentable sugars. In general, pretreatment methods fall into four different categories including physical, chemical, physico-chemical, and biological. This paper comprehensively reviews the lignocellulosic wastes to bioethanol process with a focus on pretreatment methods, their mechanisms, advantages and disadvantages as well as the combinations of different pretreatment technologies. Moreover, the new advances in plant \"omics\" and genetic engineering approaches to increase cellulose composition, reduce cellulose crystallinity, produce hydrolases and protein modules disrupting plant cell wall substrates, and modify lignin structure in plants have also been expansively presented. © 2013 Published by Elsevier Ltd. All rights reserved.","author":[{"dropping-particle":"","family":"Haghighi Mood","given":"Sohrab","non-dropping-particle":"","parse-names":false,"suffix":""},{"dropping-particle":"","family":"Hossein Golfeshan","given":"Amir","non-dropping-particle":"","parse-names":false,"suffix":""},{"dropping-particle":"","family":"Tabatabaei","given":"Meisam","non-dropping-particle":"","parse-names":false,"suffix":""},{"dropping-particle":"","family":"Salehi Jouzani","given":"Gholamreza","non-dropping-particle":"","parse-names":false,"suffix":""},{"dropping-particle":"","family":"Najafi","given":"Gholam Hassan","non-dropping-particle":"","parse-names":false,"suffix":""},{"dropping-particle":"","family":"Gholami","given":"Mehdi","non-dropping-particle":"","parse-names":false,"suffix":""},{"dropping-particle":"","family":"Ardjmand","given":"Mehdi","non-dropping-particle":"","parse-names":false,"suffix":""}],"container-title":"Renewable Sustainable Energy Rev.","id":"ITEM-1","issued":{"date-parts":[["2013"]]},"page":"77-93","title":"Lignocellulosic biomass to bioethanol, a comprehensive review with a focus on pretreatment","type":"article-journal","volume":"27"},"uris":["http://www.mendeley.com/documents/?uuid=c864901c-7d71-482d-8960-0c04116be4f8"]}],"mendeley":{"formattedCitation":"(Haghighi Mood et al., 2013)","plainTextFormattedCitation":"(Haghighi Mood et al., 2013)","previouslyFormattedCitation":"(Haghighi Mood et al., 2013)"},"properties":{"noteIndex":0},"schema":"https://github.com/citation-style-language/schema/raw/master/csl-citation.json"}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(Haghighi Mood et al., 2013)</w:t>
      </w:r>
      <w:r w:rsidR="00CE441F">
        <w:rPr>
          <w:rFonts w:ascii="Amasis MT Pro" w:eastAsia="Amasis MT Pro" w:hAnsi="Amasis MT Pro" w:cs="Amasis MT Pro"/>
          <w:sz w:val="18"/>
          <w:szCs w:val="18"/>
        </w:rPr>
        <w:fldChar w:fldCharType="end"/>
      </w:r>
    </w:p>
    <w:p w14:paraId="048AFA95" w14:textId="273AD5CB" w:rsidR="00AE5985" w:rsidRPr="00CE441F" w:rsidRDefault="00AE5985" w:rsidP="00AE5985">
      <w:pPr>
        <w:widowControl w:val="0"/>
        <w:tabs>
          <w:tab w:val="left" w:pos="284"/>
        </w:tabs>
        <w:spacing w:before="1"/>
        <w:jc w:val="both"/>
        <w:rPr>
          <w:rFonts w:ascii="Amasis MT Pro" w:eastAsia="Amasis MT Pro" w:hAnsi="Amasis MT Pro" w:cs="Amasis MT Pro"/>
          <w:sz w:val="18"/>
          <w:szCs w:val="18"/>
        </w:rPr>
      </w:pPr>
      <w:r>
        <w:rPr>
          <w:rFonts w:ascii="Amasis MT Pro" w:eastAsia="Amasis MT Pro" w:hAnsi="Amasis MT Pro" w:cs="Amasis MT Pro"/>
          <w:sz w:val="18"/>
          <w:szCs w:val="18"/>
        </w:rPr>
        <w:tab/>
      </w:r>
      <w:r w:rsidRPr="00CE441F">
        <w:rPr>
          <w:rFonts w:ascii="Amasis MT Pro" w:eastAsia="Amasis MT Pro" w:hAnsi="Amasis MT Pro" w:cs="Amasis MT Pro"/>
          <w:sz w:val="18"/>
          <w:szCs w:val="18"/>
        </w:rPr>
        <w:t>At a temperature of 200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to 250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hemicellulose decomposes. This process is marked by white smoke coming out of the chimney fireplace. Furthermore, at a temperature of 280</w:t>
      </w:r>
      <w:r w:rsidR="00975B2A">
        <w:rPr>
          <w:rFonts w:ascii="Amasis MT Pro" w:eastAsia="Amasis MT Pro" w:hAnsi="Amasis MT Pro" w:cs="Amasis MT Pro"/>
          <w:sz w:val="18"/>
          <w:szCs w:val="18"/>
          <w:vertAlign w:val="superscript"/>
        </w:rPr>
        <w:t xml:space="preserve"> </w:t>
      </w:r>
      <w:r w:rsidRPr="00975B2A">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is the initial temperature of cellulose decomposition. This decomposition is terminated when the temperature is between 300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up to 350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The cellulose decomposition stage is characterized by the presence of more smoke thick and dark. At a temperature of 300oC to 350oC also occurs the initial reaction of decomposing lignin where this process is characterized by the color of the smoke back thin and white which will eventually disappear. The decomposition process of this lignin compound ends at</w:t>
      </w:r>
      <w:r w:rsidR="00CE441F">
        <w:rPr>
          <w:rFonts w:ascii="Amasis MT Pro" w:eastAsia="Amasis MT Pro" w:hAnsi="Amasis MT Pro" w:cs="Amasis MT Pro"/>
          <w:sz w:val="18"/>
          <w:szCs w:val="18"/>
        </w:rPr>
        <w:t xml:space="preserve"> </w:t>
      </w:r>
      <w:r w:rsidRPr="00CE441F">
        <w:rPr>
          <w:rFonts w:ascii="Amasis MT Pro" w:eastAsia="Amasis MT Pro" w:hAnsi="Amasis MT Pro" w:cs="Amasis MT Pro"/>
          <w:sz w:val="18"/>
          <w:szCs w:val="18"/>
        </w:rPr>
        <w:t>a temperature of 400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 to 500</w:t>
      </w:r>
      <w:r w:rsidRPr="00CE441F">
        <w:rPr>
          <w:rFonts w:ascii="Amasis MT Pro" w:eastAsia="Amasis MT Pro" w:hAnsi="Amasis MT Pro" w:cs="Amasis MT Pro"/>
          <w:sz w:val="18"/>
          <w:szCs w:val="18"/>
          <w:vertAlign w:val="superscript"/>
        </w:rPr>
        <w:t>o</w:t>
      </w:r>
      <w:r w:rsidRPr="00CE441F">
        <w:rPr>
          <w:rFonts w:ascii="Amasis MT Pro" w:eastAsia="Amasis MT Pro" w:hAnsi="Amasis MT Pro" w:cs="Amasis MT Pro"/>
          <w:sz w:val="18"/>
          <w:szCs w:val="18"/>
        </w:rPr>
        <w:t>C</w:t>
      </w:r>
      <w:r w:rsidR="00584DCF">
        <w:rPr>
          <w:rFonts w:ascii="Amasis MT Pro" w:eastAsia="Amasis MT Pro" w:hAnsi="Amasis MT Pro" w:cs="Amasis MT Pro"/>
          <w:sz w:val="18"/>
          <w:szCs w:val="18"/>
        </w:rPr>
        <w:t xml:space="preserve"> </w:t>
      </w:r>
      <w:r w:rsidR="00AD4345">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{"citationItems":[{"id":"ITEM-1","itemData":{"DOI":"10.1063/5.0045368","ISBN":"9780735440852","ISSN":"15517616","abstract":"Lignin is one of the chemical components of wood beside cellulose, hemicellulose and extractive. Lignin contains phenolic hydroxyl group that are bound to phenyl propane unit, allowing lignin bonds with formaldehyde to be similar to the results of the reaction between phenol and formaldehyde. The catalytic process in lignin isolation is expected to convert lignin efficiently. Although many catalysts have been developed and shown to efficiently degrade lignin compositions, only a few catalyst can degrade lignin with good conversion. In this study we will discuss the effect of temperature and reaction time on lignin isolation from reeds and is expected to be applied later in the process of making surfactants. This research was carried out at temperatures of 70 °C, 80 °C, and 90 °C, and reaction times during (10, 20, 30, 40, and 50) minutes, with catalyst NaOH 10%. The observations of the most lignin yield obtained from the reaction temperature of 90 and the reaction time of 30 minutes as much as 30,93%. The product will be investigated by FTIR (Fourier Transform Infra Red).","author":[{"dropping-particle":"","family":"Riyadi","given":"Rahmad","non-dropping-particle":"","parse-names":false,"suffix":""},{"dropping-particle":"","family":"Masyithah","given":"Zuhrina","non-dropping-particle":"","parse-names":false,"suffix":""},{"dropping-particle":"","family":"Hutagalung","given":"Alkesa","non-dropping-particle":"","parse-names":false,"suffix":""},{"dropping-particle":"","family":"Haryanto","given":"Bode","non-dropping-particle":"","parse-names":false,"suffix":""}],"container-title":"AIP Conf. Proc.","id":"ITEM-1","issue":"April","issued":{"date-parts":[["2021"]]},"title":"The effect of temperature and reaction time on lignin content of Imperata Cylindrica","type":"article-journal","volume":"2342"},"uris":["http://www.mendeley.com/documents/?uuid=0738e925-aa70-4caf-9277-e0e9c071cb7d"]},{"id":"ITEM-2","itemData":{"DOI":"10.1021/acssuschemeng.8b00701","ISSN":"21680485","abstract":"This study aimed to explore the in situ hydrogenolysis of alkali lignin into bio-oil over three kinds of heterogeneous catalysts with varied catalytic properties (Ru/C, Ni/ZSM-5, and CuNiAl hydrotalcite-based catalyst) in supercritical ethanol. Phenol was first introduced to the in situ hydrogenolysis system to form a complex solvent to improve the lignin depolymerization over heterogeneous catalysts. The promotion effect of phenol was obviously observed during the hydrogenolysis process, leading to improved bio-oil yield and decreased solid residue yield, due to the unique dissolution and diffusion properties of phenol-containing solvent. The synergistic effects of basic sites and complex solvents were observed; thus, herein, the effect of catalysts, reaction temperature, and time on the hydrogenolysis, repolymerization, and coking on catalysts was investigated in detail, considering the molecular weight, elemental composition, and higher heating value (HHV) of bio-oil. The highest bio-oil yield was up to 81.8%, with an improved HHV of 30.09 MJ/kg, when the hydrogenolysis reaction was carried out at 290 °C for 3 h over CuNiAl catalyst, in ethanol-phenol solvent (phenol/lignin ratio of 0.8). This study could provide a beneficial reference for the hydrogenolysis of lignin over heterogeneous catalyzed systems in complex solvent.","author":[{"dropping-particle":"","family":"Zhou","given":"Minghao","non-dropping-particle":"","parse-names":false,"suffix":""},{"dropping-particle":"","family":"Sharma","given":"Brajendra K.","non-dropping-particle":"","parse-names":false,"suffix":""},{"dropping-particle":"","family":"Liu","given":"Peng","non-dropping-particle":"","parse-names":false,"suffix":""},{"dropping-particle":"","family":"Ye","given":"Jun","non-dropping-particle":"","parse-names":false,"suffix":""},{"dropping-particle":"","family":"Xu","given":"Junming","non-dropping-particle":"","parse-names":false,"suffix":""},{"dropping-particle":"","family":"Jiang","given":"Jian Chun","non-dropping-particle":"","parse-names":false,"suffix":""}],"container-title":"ACS Sustainable Chem. Eng.","id":"ITEM-2","issue":"5","issued":{"date-parts":[["2018"]]},"page":"6867-6875","title":"Catalytic in Situ Hydrogenolysis of Lignin in Supercritical Ethanol: Effect of Phenol, Catalysts, and Reaction Temperature","type":"article-journal","volume":"6"},"uris":["http://www.mendeley.com/documents/?uuid=056d6e68-1a29-4eae-a1c3-ccd5ac48cc2c"]},{"id":"ITEM-3","itemData":{"DOI":"10.1515/hf-2019-0147","ISSN":"1437434X","abstract":"Lignin is the second most abundant biopolymer and will be an important source for carbon-containing compounds in the future. Based on their similar phenolic structures, lignin has great potential to become a valuable substitute for phenol in phenol-formaldehyde resin adhesives. To meet this aim, the sodium hydroxide (NaOH)-catalyzed reaction of kraft lignin with formaldehyde was studied by using paraformaldehyde (PFA) as a formaldehyde source. The advantage of using PFA, the solid polymer of formaldehyde, is the simple composition of the depolymerized solution. According to the results of differential scanning calorimetry (DSC), the lignin reaction was found to require a high NaOH concentration in order for the reaction with PFA to proceed at reasonably low temperatures compared to the curing temperature of phenol-formaldehyde resins (approximately 150°C). On the other hand, high alkalinity conditions are known to favor the disproportionation of formaldehyde to formic acid and methanol. Due to the moderate reactivity of lignin, the Cannizzaro reaction can compete with the methylolation reaction of lignin. Based on the results of 13C, 31P and 1H-13C heteronuclear single quantum correlation nuclear magnetic resonance (HSQC NMR), methylolation was found to be the main reaction occurring in the lignin-formaldehyde reaction.","author":[{"dropping-particle":"","family":"Paananen","given":"Hanna","non-dropping-particle":"","parse-names":false,"suffix":""},{"dropping-particle":"","family":"Pakkanen","given":"Tuula T.","non-dropping-particle":"","parse-names":false,"suffix":""}],"container-title":"Holzforschung","id":"ITEM-3","issue":"7","issued":{"date-parts":[["2020"]]},"page":"663-672","title":"Kraft lignin reaction with paraformaldehyde","type":"article-journal","volume":"74"},"uris":["http://www.mendeley.com/documents/?uuid=b2aa28c3-55eb-4b8f-aadb-d265b6c0c6ac"]}],"mendeley":{"formattedCitation":"(Paananen &amp; Pakkanen, 2020; Riyadi et al., 2021; Zhou et al., 2018)","plainTextFormattedCitation":"(Paananen &amp; Pakkanen, 2020; Riyadi et al., 2021; Zhou et al., 2018)","previouslyFormattedCitation":"(Paananen &amp; Pakkanen, 2020; Riyadi et al., 2021; Zhou et al., 2018)"},"properties":{"noteIndex":0},"schema":"https://github.com/citation-style-language/schema/raw/master/csl-citation.json"}</w:instrText>
      </w:r>
      <w:r w:rsidR="00AD4345">
        <w:rPr>
          <w:rFonts w:ascii="Amasis MT Pro" w:eastAsia="Amasis MT Pro" w:hAnsi="Amasis MT Pro" w:cs="Amasis MT Pro"/>
          <w:sz w:val="18"/>
          <w:szCs w:val="18"/>
        </w:rPr>
        <w:fldChar w:fldCharType="separate"/>
      </w:r>
      <w:r w:rsidR="00AD4345" w:rsidRPr="00AD4345">
        <w:rPr>
          <w:rFonts w:ascii="Amasis MT Pro" w:eastAsia="Amasis MT Pro" w:hAnsi="Amasis MT Pro" w:cs="Amasis MT Pro"/>
          <w:noProof/>
          <w:sz w:val="18"/>
          <w:szCs w:val="18"/>
        </w:rPr>
        <w:t>(Paananen &amp; Pakkanen, 2020; Riyadi et al., 2021; Zhou et al., 2018)</w:t>
      </w:r>
      <w:r w:rsidR="00AD4345">
        <w:rPr>
          <w:rFonts w:ascii="Amasis MT Pro" w:eastAsia="Amasis MT Pro" w:hAnsi="Amasis MT Pro" w:cs="Amasis MT Pro"/>
          <w:sz w:val="18"/>
          <w:szCs w:val="18"/>
        </w:rPr>
        <w:fldChar w:fldCharType="end"/>
      </w:r>
      <w:r w:rsidR="00AD4345">
        <w:rPr>
          <w:rFonts w:ascii="Amasis MT Pro" w:eastAsia="Amasis MT Pro" w:hAnsi="Amasis MT Pro" w:cs="Amasis MT Pro"/>
          <w:sz w:val="18"/>
          <w:szCs w:val="18"/>
        </w:rPr>
        <w:t>.</w:t>
      </w:r>
    </w:p>
    <w:p w14:paraId="17A31C87" w14:textId="77777777" w:rsidR="001932B4" w:rsidRDefault="00E65D41">
      <w:pPr>
        <w:widowControl w:val="0"/>
        <w:tabs>
          <w:tab w:val="left" w:pos="284"/>
        </w:tabs>
        <w:spacing w:before="1"/>
        <w:jc w:val="both"/>
        <w:rPr>
          <w:rFonts w:ascii="Amasis MT Pro" w:eastAsia="Amasis MT Pro" w:hAnsi="Amasis MT Pro" w:cs="Amasis MT Pro"/>
          <w:color w:val="F79646"/>
          <w:sz w:val="18"/>
          <w:szCs w:val="18"/>
        </w:rPr>
      </w:pPr>
      <w:r>
        <w:rPr>
          <w:rFonts w:ascii="Amasis MT Pro" w:eastAsia="Amasis MT Pro" w:hAnsi="Amasis MT Pro" w:cs="Amasis MT Pro"/>
          <w:color w:val="F79646"/>
          <w:sz w:val="18"/>
          <w:szCs w:val="18"/>
        </w:rPr>
        <w:tab/>
      </w:r>
      <w:r>
        <w:rPr>
          <w:rFonts w:ascii="Amasis MT Pro" w:eastAsia="Amasis MT Pro" w:hAnsi="Amasis MT Pro" w:cs="Amasis MT Pro"/>
          <w:color w:val="F79646"/>
          <w:sz w:val="18"/>
          <w:szCs w:val="18"/>
        </w:rPr>
        <w:tab/>
      </w:r>
    </w:p>
    <w:p w14:paraId="678A2B00" w14:textId="77777777" w:rsidR="001932B4" w:rsidRDefault="00E65D41">
      <w:pPr>
        <w:widowControl w:val="0"/>
        <w:tabs>
          <w:tab w:val="left" w:pos="284"/>
        </w:tabs>
        <w:spacing w:before="1"/>
        <w:jc w:val="center"/>
        <w:rPr>
          <w:rFonts w:ascii="Amasis MT Pro" w:eastAsia="Amasis MT Pro" w:hAnsi="Amasis MT Pro" w:cs="Amasis MT Pro"/>
          <w:color w:val="F79646"/>
          <w:sz w:val="18"/>
          <w:szCs w:val="18"/>
        </w:rPr>
      </w:pPr>
      <w:r>
        <w:rPr>
          <w:rFonts w:ascii="Amasis MT Pro" w:eastAsia="Amasis MT Pro" w:hAnsi="Amasis MT Pro" w:cs="Amasis MT Pro"/>
          <w:noProof/>
          <w:sz w:val="18"/>
          <w:szCs w:val="18"/>
          <w:lang w:val="en-US" w:eastAsia="ja-JP"/>
        </w:rPr>
        <w:drawing>
          <wp:inline distT="114300" distB="114300" distL="114300" distR="114300" wp14:anchorId="02AEF05F" wp14:editId="0C48180C">
            <wp:extent cx="2139633" cy="2099887"/>
            <wp:effectExtent l="0" t="0" r="0" b="0"/>
            <wp:docPr id="15"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7"/>
                    <a:srcRect/>
                    <a:stretch>
                      <a:fillRect/>
                    </a:stretch>
                  </pic:blipFill>
                  <pic:spPr>
                    <a:xfrm>
                      <a:off x="0" y="0"/>
                      <a:ext cx="2139633" cy="2099887"/>
                    </a:xfrm>
                    <a:prstGeom prst="rect">
                      <a:avLst/>
                    </a:prstGeom>
                    <a:ln/>
                  </pic:spPr>
                </pic:pic>
              </a:graphicData>
            </a:graphic>
          </wp:inline>
        </w:drawing>
      </w:r>
    </w:p>
    <w:p w14:paraId="3AA0958A" w14:textId="77777777" w:rsidR="001932B4" w:rsidRDefault="00E65D41">
      <w:pPr>
        <w:widowControl w:val="0"/>
        <w:tabs>
          <w:tab w:val="left" w:pos="284"/>
        </w:tabs>
        <w:spacing w:before="1"/>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Figure 2 </w:t>
      </w:r>
      <w:r w:rsidRPr="00F20863">
        <w:rPr>
          <w:rFonts w:ascii="Amasis MT Pro" w:eastAsia="Amasis MT Pro" w:hAnsi="Amasis MT Pro" w:cs="Amasis MT Pro"/>
          <w:bCs/>
          <w:sz w:val="16"/>
          <w:szCs w:val="16"/>
        </w:rPr>
        <w:t>Carbonization result of OPF</w:t>
      </w:r>
    </w:p>
    <w:p w14:paraId="3D95903F" w14:textId="77777777" w:rsidR="001932B4" w:rsidRDefault="001932B4">
      <w:pPr>
        <w:widowControl w:val="0"/>
        <w:tabs>
          <w:tab w:val="left" w:pos="284"/>
        </w:tabs>
        <w:spacing w:before="1"/>
        <w:jc w:val="center"/>
        <w:rPr>
          <w:rFonts w:ascii="Amasis MT Pro" w:eastAsia="Amasis MT Pro" w:hAnsi="Amasis MT Pro" w:cs="Amasis MT Pro"/>
          <w:b/>
          <w:color w:val="F79646"/>
          <w:sz w:val="18"/>
          <w:szCs w:val="18"/>
        </w:rPr>
      </w:pPr>
    </w:p>
    <w:p w14:paraId="2DCB94CF" w14:textId="69E3362A" w:rsidR="001932B4" w:rsidRDefault="00E65D41">
      <w:pPr>
        <w:widowControl w:val="0"/>
        <w:tabs>
          <w:tab w:val="left" w:pos="284"/>
        </w:tabs>
        <w:spacing w:before="1"/>
        <w:jc w:val="both"/>
        <w:rPr>
          <w:rFonts w:ascii="Amasis MT Pro" w:eastAsia="Amasis MT Pro" w:hAnsi="Amasis MT Pro" w:cs="Amasis MT Pro"/>
          <w:color w:val="F79646"/>
          <w:sz w:val="18"/>
          <w:szCs w:val="18"/>
        </w:rPr>
      </w:pPr>
      <w:r>
        <w:rPr>
          <w:rFonts w:ascii="Amasis MT Pro" w:eastAsia="Amasis MT Pro" w:hAnsi="Amasis MT Pro" w:cs="Amasis MT Pro"/>
          <w:color w:val="F79646"/>
          <w:sz w:val="18"/>
          <w:szCs w:val="18"/>
        </w:rPr>
        <w:tab/>
      </w:r>
      <w:r>
        <w:rPr>
          <w:rFonts w:ascii="Amasis MT Pro" w:eastAsia="Amasis MT Pro" w:hAnsi="Amasis MT Pro" w:cs="Amasis MT Pro"/>
          <w:sz w:val="18"/>
          <w:szCs w:val="18"/>
        </w:rPr>
        <w:t>At a magnification of 5000x, it is observed in Figure 2 that the carbonized carbon exhibits pores. The carbon pores appear to have a large diameter and are sparsely distributed on the carbon surface. Moreover, the tot</w:t>
      </w:r>
      <w:r>
        <w:rPr>
          <w:rFonts w:ascii="Amasis MT Pro" w:eastAsia="Amasis MT Pro" w:hAnsi="Amasis MT Pro" w:cs="Amasis MT Pro"/>
          <w:sz w:val="18"/>
          <w:szCs w:val="18"/>
        </w:rPr>
        <w:t>al area covered by carbon particles is relatively small. The spacing between the pores appears to be large and not closely packed. Therefore, additional treatment, such as carbon activation, is required to widen the pores and increase their quantity, there</w:t>
      </w:r>
      <w:r>
        <w:rPr>
          <w:rFonts w:ascii="Amasis MT Pro" w:eastAsia="Amasis MT Pro" w:hAnsi="Amasis MT Pro" w:cs="Amasis MT Pro"/>
          <w:sz w:val="18"/>
          <w:szCs w:val="18"/>
        </w:rPr>
        <w:t>by optimizing the adsorbability of the carbon.</w:t>
      </w:r>
    </w:p>
    <w:p w14:paraId="76188D75" w14:textId="77777777" w:rsidR="001932B4" w:rsidRDefault="001932B4">
      <w:pPr>
        <w:widowControl w:val="0"/>
        <w:tabs>
          <w:tab w:val="left" w:pos="284"/>
        </w:tabs>
        <w:spacing w:before="1"/>
        <w:jc w:val="both"/>
        <w:rPr>
          <w:rFonts w:ascii="Amasis MT Pro" w:eastAsia="Amasis MT Pro" w:hAnsi="Amasis MT Pro" w:cs="Amasis MT Pro"/>
          <w:color w:val="F79646"/>
          <w:sz w:val="18"/>
          <w:szCs w:val="18"/>
        </w:rPr>
      </w:pPr>
    </w:p>
    <w:p w14:paraId="26F7AD8D" w14:textId="77777777" w:rsidR="001932B4" w:rsidRPr="00764708" w:rsidRDefault="00E65D41" w:rsidP="007E4764">
      <w:pPr>
        <w:widowControl w:val="0"/>
        <w:tabs>
          <w:tab w:val="left" w:pos="409"/>
        </w:tabs>
        <w:jc w:val="both"/>
        <w:rPr>
          <w:rFonts w:ascii="Amasis MT Pro" w:eastAsia="Amasis MT Pro" w:hAnsi="Amasis MT Pro" w:cs="Amasis MT Pro"/>
          <w:i/>
          <w:iCs/>
          <w:sz w:val="18"/>
          <w:szCs w:val="18"/>
        </w:rPr>
      </w:pPr>
      <w:r w:rsidRPr="00764708">
        <w:rPr>
          <w:rFonts w:ascii="Amasis MT Pro" w:eastAsia="Amasis MT Pro" w:hAnsi="Amasis MT Pro" w:cs="Amasis MT Pro"/>
          <w:i/>
          <w:iCs/>
          <w:sz w:val="18"/>
          <w:szCs w:val="18"/>
        </w:rPr>
        <w:t>3.2 Results of OPF Activated Carbon with Activation Concentration and Immersion Time</w:t>
      </w:r>
    </w:p>
    <w:p w14:paraId="06C9D15E" w14:textId="733900AE" w:rsidR="001932B4" w:rsidRDefault="00E65D41">
      <w:pPr>
        <w:widowControl w:val="0"/>
        <w:spacing w:before="137"/>
        <w:ind w:right="-25" w:firstLine="270"/>
        <w:jc w:val="both"/>
        <w:rPr>
          <w:rFonts w:ascii="Amasis MT Pro" w:eastAsia="Amasis MT Pro" w:hAnsi="Amasis MT Pro" w:cs="Amasis MT Pro"/>
          <w:sz w:val="18"/>
          <w:szCs w:val="18"/>
        </w:rPr>
      </w:pPr>
      <w:r>
        <w:rPr>
          <w:rFonts w:ascii="Amasis MT Pro" w:eastAsia="Amasis MT Pro" w:hAnsi="Amasis MT Pro" w:cs="Amasis MT Pro"/>
          <w:sz w:val="18"/>
          <w:szCs w:val="18"/>
        </w:rPr>
        <w:t>Carbon activation is a process carried out to enhance affects the absorption power of carbon, which previously had low abso</w:t>
      </w:r>
      <w:r>
        <w:rPr>
          <w:rFonts w:ascii="Amasis MT Pro" w:eastAsia="Amasis MT Pro" w:hAnsi="Amasis MT Pro" w:cs="Amasis MT Pro"/>
          <w:sz w:val="18"/>
          <w:szCs w:val="18"/>
        </w:rPr>
        <w:t>rption capabilities. This change occurs through both physical and chemical processes during carbon activation. The carbon activation process aims to produce carbon with a larger and wider carbon surface area or pore surface area compared to unactivated car</w:t>
      </w:r>
      <w:r>
        <w:rPr>
          <w:rFonts w:ascii="Amasis MT Pro" w:eastAsia="Amasis MT Pro" w:hAnsi="Amasis MT Pro" w:cs="Amasis MT Pro"/>
          <w:sz w:val="18"/>
          <w:szCs w:val="18"/>
        </w:rPr>
        <w:t xml:space="preserve">bon </w:t>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{"citationItems":[{"id":"ITEM-1","itemData":{"DOI":"10.1016/j.cej.2011.08.058","ISSN":"13858947","abstract":"Activated carbons (ACs) of coconut shell produced by NaOH activation at impregnation ratios of NaOH:char (w/w) equal to 1:1 (AC-1), 2:1 (AC-2) and 3:1 (AC-3) were prepared. The properties of these carbons, including BET surface area, pore volume, pore size distribution, and pore diameter, were characterized from N2 adsorption isotherms. It was found that the ACs are essentially microporous and that the BET surface area was in order of 783 m2g-1 for AC-1, 1842 m2g-1 for AC-2, and 2825 m2g-1 for AC-3. Scanning electron microscopy images showed a high pore development while Boehm method and Fourier-transform infrared spectroscopy spectra indicated the presence of acid functional groups which was confirmed by pH drift method. The adsorption equilibrium and kinetics of methylene blue (MB) onto AC-3 were carried out. Experimental data were fitted to the four isotherm models (Langmuir, Freundlich, Toth and Redlich-Peterson), and was found that Langmuir model presented the best fit, showing maximum monolayer adsorption capacity of 916mgg-1. The kinetic studies showed that experimental data follow pseudo-second-order model. The mechanism of the adsorption process was described from the intraparticle diffusion model. The AC-3 has a high surface area and showed to be an efficient adsorbent for removal of MB from aqueous solutions. © 2011 Elsevier B.V.","author":[{"dropping-particle":"","family":"Cazetta","given":"André L.","non-dropping-particle":"","parse-names":false,"suffix":""},{"dropping-particle":"","family":"Vargas","given":"Alexandro M.M.","non-dropping-particle":"","parse-names":false,"suffix":""},{"dropping-particle":"","family":"Nogami","given":"Eurica M.","non-dropping-particle":"","parse-names":false,"suffix":""},{"dropping-particle":"","family":"Kunita","given":"Marcos H.","non-dropping-particle":"","parse-names":false,"suffix":""},{"dropping-particle":"","family":"Guilherme","given":"Marcos R.","non-dropping-particle":"","parse-names":false,"suffix":""},{"dropping-particle":"","family":"Martins","given":"Alessandro C.","non-dropping-particle":"","parse-names":false,"suffix":""},{"dropping-particle":"","family":"Silva","given":"Tais L.","non-dropping-particle":"","parse-names":false,"suffix":""},{"dropping-particle":"","family":"Moraes","given":"Juliana C.G.","non-dropping-particle":"","parse-names":false,"suffix":""},{"dropping-particle":"","family":"Almeida","given":"Vitor C.","non-dropping-particle":"","parse-names":false,"suffix":""}],"container-title":"Chem. Eng. J.","id":"ITEM-1","issue":"1","issued":{"date-parts":[["2011"]]},"page":"117-125","title":"NaOH-activated carbon of high surface area produced from coconut shell: Kinetics and equilibrium studies from the methylene blue adsorption","type":"article-journal","volume":"174"},"uris":["http://www.mendeley.com/documents/?uuid=9f5f6d08-0dbd-4736-87bc-6cb960b84542"]}],"mendeley":{"formattedCitation":"(Cazetta et al., 2011)","plainTextFormattedCitation":"(Cazetta et al., 2011)","previouslyFormattedCitation":"(Cazetta et al., 2011)"},"properties":{"noteIndex":0},"schema":"https://github.com/citation-style-language/schema/raw/master/csl-citation.json"}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(Cazetta et al., 2011)</w:t>
      </w:r>
      <w:r w:rsidR="00CE441F">
        <w:rPr>
          <w:rFonts w:ascii="Amasis MT Pro" w:eastAsia="Amasis MT Pro" w:hAnsi="Amasis MT Pro" w:cs="Amasis MT Pro"/>
          <w:sz w:val="18"/>
          <w:szCs w:val="18"/>
        </w:rPr>
        <w:fldChar w:fldCharType="end"/>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{"citationItems":[{"id":"ITEM-1","itemData":{"DOI":"10.1016/j.cej.2014.09.017","ISSN":"13858947","abstract":"A NaOH-activated carbon was prepared from macadamia nut shell using the impregnation ratio of 3:1 (NaOH:char) (wt:wt). The obtained material (ACM) was characterized by several techniques and methodologies such as, N2 adsorption-desorption isotherms, SEM, FT-IR, Boehm titration, and pHpzc. The results demonstrated that the ACM is composed mainly of micropores (78.2%), presenting BET surface area of 1524m2g-1. Through the SEM and FT-IR analysis it could be observed that significant changes occurred on the material surface after the activation procedure. According to Boehm titration, the ACM has on its surface a majority of basic groups which is in agreement with the obtained pHpzc value of 8.74. The ACM was applied for tetracycline (TC) removal in order to assess its potential as an adsorbent. Thus, adsorption studies were carried out and several kinetic and isotherm models were employed. The isotherm model which best fitted to experimental data was Temkin, while the best fitted kinetic model was Elovich. ACM showed maximum monolayer adsorption capacity (Qm) of 455.33mgg-1. The intraparticle diffusion and film diffusion mechanisms were studied by the equations of Weber &amp; Morris and Boyd, respectively. According to the results, the limiting step of the adsorption of TC onto ACM is influenced by intraparticle diffusion and by film diffusion.","author":[{"dropping-particle":"","family":"Martins","given":"Alessandro C.","non-dropping-particle":"","parse-names":false,"suffix":""},{"dropping-particle":"","family":"Pezoti","given":"Osvaldo","non-dropping-particle":"","parse-names":false,"suffix":""},{"dropping-particle":"","family":"Cazetta","given":"André L.","non-dropping-particle":"","parse-names":false,"suffix":""},{"dropping-particle":"","family":"Bedin","given":"Karen C.","non-dropping-particle":"","parse-names":false,"suffix":""},{"dropping-particle":"","family":"Yamazaki","given":"Diego A.S.","non-dropping-particle":"","parse-names":false,"suffix":""},{"dropping-particle":"","family":"Bandoch","given":"Gisele F.G.","non-dropping-particle":"","parse-names":false,"suffix":""},{"dropping-particle":"","family":"Asefa","given":"Tewodros","non-dropping-particle":"","parse-names":false,"suffix":""},{"dropping-particle":"V.","family":"Visentainer","given":"Jesuí","non-dropping-particle":"","parse-names":false,"suffix":""},{"dropping-particle":"","family":"Almeida","given":"Vitor C.","non-dropping-particle":"","parse-names":false,"suffix":""}],"container-title":"Chem. Eng. J.","id":"ITEM-1","issued":{"date-parts":[["2015"]]},"page":"291-299","publisher":"Elsevier B.V.","title":"Removal of tetracycline by NaOH-activated carbon produced from macadamia nut shells: Kinetic and equilibrium studies","type":"article-journal","volume":"260"},"uris":["http://www.mendeley.com/documents/?uuid=b56f3183-72fa-41ee-ad09-bc766509a899"]}],"mendeley":{"formattedCitation":"(Martins et al., 2015)","plainTextFormattedCitation":"(Martins et al., 2015)","previouslyFormattedCitation":"(Martins et al., 2015)"},"properties":{"noteIndex":0},"schema":"https://github.com/citation-style-language/schema/raw/master/csl-citation.json"}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(Martins et al., 2015)</w:t>
      </w:r>
      <w:r w:rsidR="00CE441F">
        <w:rPr>
          <w:rFonts w:ascii="Amasis MT Pro" w:eastAsia="Amasis MT Pro" w:hAnsi="Amasis MT Pro" w:cs="Amasis MT Pro"/>
          <w:sz w:val="18"/>
          <w:szCs w:val="18"/>
        </w:rPr>
        <w:fldChar w:fldCharType="end"/>
      </w:r>
      <w:r>
        <w:rPr>
          <w:rFonts w:ascii="Amasis MT Pro" w:eastAsia="Amasis MT Pro" w:hAnsi="Amasis MT Pro" w:cs="Amasis MT Pro"/>
          <w:sz w:val="18"/>
          <w:szCs w:val="18"/>
        </w:rPr>
        <w:t xml:space="preserve">. During the activation of OPF </w:t>
      </w:r>
      <w:r>
        <w:rPr>
          <w:rFonts w:ascii="Amasis MT Pro" w:eastAsia="Amasis MT Pro" w:hAnsi="Amasis MT Pro" w:cs="Amasis MT Pro"/>
          <w:sz w:val="18"/>
          <w:szCs w:val="18"/>
        </w:rPr>
        <w:t>carbon, several processes take place. Two important parts in this process significantly affect the increase in the surface area of OPF carbon: chemical activation and physical activation. This study used NaOH as a chemical activation agent, focusing on var</w:t>
      </w:r>
      <w:r>
        <w:rPr>
          <w:rFonts w:ascii="Amasis MT Pro" w:eastAsia="Amasis MT Pro" w:hAnsi="Amasis MT Pro" w:cs="Amasis MT Pro"/>
          <w:sz w:val="18"/>
          <w:szCs w:val="18"/>
        </w:rPr>
        <w:t xml:space="preserve">iations in concentration and immersion time for 24 hours. For physical activation, a furnace with a temperature of 900°C was utilized for 60 minutes </w:t>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{"citationItems":[{"id":"ITEM-1","itemData":{"DOI":"10.1016/j.cej.2014.02.050","ISSN":"13858947","abstract":"Three activated carbons were produced by means of phosphoric acid impregnation from Phoenix canariensis palm frond mulch at three temperatures (450, 550 and 650°C). The starting material, the resulting activated carbons and a commercial high performance activated carbon (Darco KB-G, Norit) were subjected to different techniques to determine their characteristics. The starting material without impregnation, carbonization and activation (as a biosorbent) and the activated carbons were applied to the removal of the fungicide Imazalil (sulphate formulation). The effects of initial concentration, initial pH and temperature on the kinetic parameters were studied for the activated carbons. Only the influence of initial pH was evaluated for the biosorbent. The kinetic experimental data were studied for their fit to pseudo-first and pseudo-second order kinetic models, with the latter providing a better mathematical fit. The adsorption isotherms of Imazalil at 25°C were obtained, and the experimental data were fitted to Langmuir, Freundlich and Dubinin-Radushkevich models. The Freundlich model provided the best mathematical fit for the activated carbons, and the Langmuir model for the biosorbent. The activated carbons that were obtained showed high specific surface areas (988-1305m2g-1), substantial total pore volumes (0.59-0.88cm3g-1), acidic nature and good performance in the adsorption of the fungicide, especially the adsorbent obtained at 550°C (186.15mgg-1). Use of the precursor as a biosorbent is not recommended due to its poor adsorption capacity for the fungicide tested (57.46mgg-1) and lignin release at pH≥7. © 2014 Elsevier B.V.","author":[{"dropping-particle":"","family":"Martín-González","given":"M. A.","non-dropping-particle":"","parse-names":false,"suffix":""},{"dropping-particle":"","family":"González-Díaz","given":"O.","non-dropping-particle":"","parse-names":false,"suffix":""},{"dropping-particle":"","family":"Susial","given":"P.","non-dropping-particle":"","parse-names":false,"suffix":""},{"dropping-particle":"","family":"Araña","given":"J.","non-dropping-particle":"","parse-names":false,"suffix":""},{"dropping-particle":"","family":"Herrera-Melián","given":"J. A.","non-dropping-particle":"","parse-names":false,"suffix":""},{"dropping-particle":"","family":"Doña-Rodríguez","given":"J. M.","non-dropping-particle":"","parse-names":false,"suffix":""},{"dropping-particle":"","family":"Pérez-Peña","given":"J.","non-dropping-particle":"","parse-names":false,"suffix":""}],"container-title":"Chem. Eng. J.","id":"ITEM-1","issued":{"date-parts":[["2014"]]},"page":"348-358","title":"Reuse of Phoenix canariensis palm frond mulch as biosorbent and as precursor of activated carbons for the adsorption of Imazalil in aqueous phase","type":"article-journal","volume":"245"},"uris":["http://www.mendeley.com/documents/?uuid=3a37e534-49a2-4e03-bd61-c1fce0f2a23d"]}],"mendeley":{"formattedCitation":"(Martín-González et al., 2014)","plainTextFormattedCitation":"(Martín-González et al., 2014)","previouslyFormattedCitation":"(Martín-González et al., 2014)"},"properties":{"noteIndex":0},"schema":"https://github.com/citation-style-language/schema/raw/master/csl-citation.json"}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(Martín-González et al., 2014)</w:t>
      </w:r>
      <w:r w:rsidR="00CE441F">
        <w:rPr>
          <w:rFonts w:ascii="Amasis MT Pro" w:eastAsia="Amasis MT Pro" w:hAnsi="Amasis MT Pro" w:cs="Amasis MT Pro"/>
          <w:sz w:val="18"/>
          <w:szCs w:val="18"/>
        </w:rPr>
        <w:fldChar w:fldCharType="end"/>
      </w:r>
      <w:r>
        <w:rPr>
          <w:rFonts w:ascii="Amasis MT Pro" w:eastAsia="Amasis MT Pro" w:hAnsi="Amasis MT Pro" w:cs="Amasis MT Pro"/>
          <w:sz w:val="18"/>
          <w:szCs w:val="18"/>
        </w:rPr>
        <w:t>.</w:t>
      </w:r>
    </w:p>
    <w:p w14:paraId="5B848415" w14:textId="77777777" w:rsidR="00AB50AD" w:rsidRDefault="00AB50AD">
      <w:pPr>
        <w:widowControl w:val="0"/>
        <w:tabs>
          <w:tab w:val="left" w:pos="284"/>
        </w:tabs>
        <w:jc w:val="both"/>
        <w:rPr>
          <w:rFonts w:ascii="Amasis MT Pro" w:eastAsia="Amasis MT Pro" w:hAnsi="Amasis MT Pro" w:cs="Amasis MT Pro"/>
          <w:color w:val="F79646"/>
          <w:sz w:val="18"/>
          <w:szCs w:val="18"/>
        </w:rPr>
      </w:pPr>
    </w:p>
    <w:p w14:paraId="31E4F960" w14:textId="77777777" w:rsidR="001932B4" w:rsidRPr="00764708" w:rsidRDefault="00E65D41">
      <w:pPr>
        <w:widowControl w:val="0"/>
        <w:tabs>
          <w:tab w:val="left" w:pos="0"/>
        </w:tabs>
        <w:ind w:left="450" w:hanging="450"/>
        <w:rPr>
          <w:rFonts w:ascii="Amasis MT Pro" w:eastAsia="Amasis MT Pro" w:hAnsi="Amasis MT Pro" w:cs="Amasis MT Pro"/>
          <w:i/>
          <w:iCs/>
          <w:sz w:val="18"/>
          <w:szCs w:val="18"/>
        </w:rPr>
      </w:pPr>
      <w:r w:rsidRPr="00764708">
        <w:rPr>
          <w:rFonts w:ascii="Amasis MT Pro" w:eastAsia="Amasis MT Pro" w:hAnsi="Amasis MT Pro" w:cs="Amasis MT Pro"/>
          <w:i/>
          <w:iCs/>
          <w:sz w:val="18"/>
          <w:szCs w:val="18"/>
        </w:rPr>
        <w:t xml:space="preserve">3.2.1 Surface Area comparison analysis of OPF Activated </w:t>
      </w:r>
      <w:r w:rsidRPr="00764708">
        <w:rPr>
          <w:rFonts w:ascii="Amasis MT Pro" w:eastAsia="Amasis MT Pro" w:hAnsi="Amasis MT Pro" w:cs="Amasis MT Pro"/>
          <w:i/>
          <w:iCs/>
          <w:sz w:val="18"/>
          <w:szCs w:val="18"/>
        </w:rPr>
        <w:t>Carbon with Activation Concentration</w:t>
      </w:r>
    </w:p>
    <w:p w14:paraId="383F989D" w14:textId="77777777" w:rsidR="001932B4" w:rsidRDefault="001932B4">
      <w:pPr>
        <w:widowControl w:val="0"/>
        <w:tabs>
          <w:tab w:val="left" w:pos="0"/>
        </w:tabs>
        <w:ind w:left="567" w:hanging="450"/>
        <w:jc w:val="center"/>
        <w:rPr>
          <w:rFonts w:ascii="Amasis MT Pro" w:eastAsia="Amasis MT Pro" w:hAnsi="Amasis MT Pro" w:cs="Amasis MT Pro"/>
          <w:i/>
          <w:sz w:val="18"/>
          <w:szCs w:val="18"/>
        </w:rPr>
      </w:pPr>
    </w:p>
    <w:p w14:paraId="7ACE9679" w14:textId="77777777" w:rsidR="001932B4" w:rsidRDefault="00E65D41">
      <w:pPr>
        <w:widowControl w:val="0"/>
        <w:tabs>
          <w:tab w:val="left" w:pos="0"/>
        </w:tabs>
        <w:ind w:left="450" w:hanging="450"/>
        <w:jc w:val="center"/>
        <w:rPr>
          <w:rFonts w:ascii="Amasis MT Pro" w:eastAsia="Amasis MT Pro" w:hAnsi="Amasis MT Pro" w:cs="Amasis MT Pro"/>
          <w:color w:val="F79646"/>
          <w:sz w:val="18"/>
          <w:szCs w:val="18"/>
        </w:rPr>
      </w:pPr>
      <w:r>
        <w:rPr>
          <w:rFonts w:ascii="Amasis MT Pro" w:eastAsia="Amasis MT Pro" w:hAnsi="Amasis MT Pro" w:cs="Amasis MT Pro"/>
          <w:i/>
          <w:color w:val="F79646"/>
          <w:sz w:val="18"/>
          <w:szCs w:val="18"/>
        </w:rPr>
        <w:t xml:space="preserve">    </w:t>
      </w:r>
      <w:r>
        <w:rPr>
          <w:rFonts w:ascii="Amasis MT Pro" w:eastAsia="Amasis MT Pro" w:hAnsi="Amasis MT Pro" w:cs="Amasis MT Pro"/>
          <w:noProof/>
          <w:color w:val="F79646"/>
          <w:sz w:val="18"/>
          <w:szCs w:val="18"/>
          <w:lang w:val="en-US" w:eastAsia="ja-JP"/>
        </w:rPr>
        <w:drawing>
          <wp:inline distT="0" distB="0" distL="0" distR="0" wp14:anchorId="44CF4C4B" wp14:editId="5FAEB21A">
            <wp:extent cx="2429510" cy="1965325"/>
            <wp:effectExtent l="0" t="0" r="0" b="0"/>
            <wp:docPr id="19"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a:srcRect/>
                    <a:stretch>
                      <a:fillRect/>
                    </a:stretch>
                  </pic:blipFill>
                  <pic:spPr>
                    <a:xfrm>
                      <a:off x="0" y="0"/>
                      <a:ext cx="2429510" cy="1965325"/>
                    </a:xfrm>
                    <a:prstGeom prst="rect">
                      <a:avLst/>
                    </a:prstGeom>
                    <a:ln/>
                  </pic:spPr>
                </pic:pic>
              </a:graphicData>
            </a:graphic>
          </wp:inline>
        </w:drawing>
      </w:r>
    </w:p>
    <w:p w14:paraId="626F9F2F" w14:textId="53E03756" w:rsidR="001932B4" w:rsidRPr="00F20863" w:rsidRDefault="00E65D41">
      <w:pPr>
        <w:widowControl w:val="0"/>
        <w:tabs>
          <w:tab w:val="left" w:pos="409"/>
        </w:tabs>
        <w:jc w:val="center"/>
        <w:rPr>
          <w:rFonts w:ascii="Amasis MT Pro" w:eastAsia="Amasis MT Pro" w:hAnsi="Amasis MT Pro" w:cs="Amasis MT Pro"/>
          <w:bCs/>
          <w:sz w:val="16"/>
          <w:szCs w:val="16"/>
        </w:rPr>
      </w:pPr>
      <w:r>
        <w:rPr>
          <w:rFonts w:ascii="Amasis MT Pro" w:eastAsia="Amasis MT Pro" w:hAnsi="Amasis MT Pro" w:cs="Amasis MT Pro"/>
          <w:b/>
          <w:sz w:val="16"/>
          <w:szCs w:val="16"/>
        </w:rPr>
        <w:t>Figure 3</w:t>
      </w:r>
      <w:r w:rsidR="00F20863">
        <w:rPr>
          <w:rFonts w:ascii="Amasis MT Pro" w:eastAsia="Amasis MT Pro" w:hAnsi="Amasis MT Pro" w:cs="Amasis MT Pro"/>
          <w:b/>
          <w:sz w:val="16"/>
          <w:szCs w:val="16"/>
        </w:rPr>
        <w:t xml:space="preserve"> </w:t>
      </w:r>
      <w:r w:rsidRPr="00F20863">
        <w:rPr>
          <w:rFonts w:ascii="Amasis MT Pro" w:eastAsia="Amasis MT Pro" w:hAnsi="Amasis MT Pro" w:cs="Amasis MT Pro"/>
          <w:bCs/>
          <w:sz w:val="16"/>
          <w:szCs w:val="16"/>
        </w:rPr>
        <w:t>Isotherm graph of concentration variation 1 M.</w:t>
      </w:r>
    </w:p>
    <w:p w14:paraId="6F3AB865" w14:textId="77777777" w:rsidR="001932B4" w:rsidRDefault="001932B4">
      <w:pPr>
        <w:widowControl w:val="0"/>
        <w:tabs>
          <w:tab w:val="left" w:pos="409"/>
        </w:tabs>
        <w:jc w:val="center"/>
        <w:rPr>
          <w:rFonts w:ascii="Amasis MT Pro" w:eastAsia="Amasis MT Pro" w:hAnsi="Amasis MT Pro" w:cs="Amasis MT Pro"/>
          <w:b/>
          <w:sz w:val="16"/>
          <w:szCs w:val="16"/>
        </w:rPr>
      </w:pPr>
    </w:p>
    <w:p w14:paraId="3AC0F13B" w14:textId="77777777" w:rsidR="001932B4" w:rsidRDefault="00E65D41">
      <w:pPr>
        <w:widowControl w:val="0"/>
        <w:tabs>
          <w:tab w:val="left" w:pos="409"/>
        </w:tabs>
        <w:jc w:val="both"/>
        <w:rPr>
          <w:rFonts w:ascii="Amasis MT Pro" w:eastAsia="Amasis MT Pro" w:hAnsi="Amasis MT Pro" w:cs="Amasis MT Pro"/>
          <w:sz w:val="18"/>
          <w:szCs w:val="18"/>
        </w:rPr>
      </w:pPr>
      <w:r>
        <w:rPr>
          <w:rFonts w:ascii="Amasis MT Pro" w:eastAsia="Amasis MT Pro" w:hAnsi="Amasis MT Pro" w:cs="Amasis MT Pro"/>
          <w:sz w:val="18"/>
          <w:szCs w:val="18"/>
        </w:rPr>
        <w:tab/>
      </w:r>
      <w:r>
        <w:rPr>
          <w:rFonts w:ascii="Amasis MT Pro" w:eastAsia="Amasis MT Pro" w:hAnsi="Amasis MT Pro" w:cs="Amasis MT Pro"/>
          <w:sz w:val="18"/>
          <w:szCs w:val="18"/>
        </w:rPr>
        <w:t>In the above isotherm variations, it can be concluded that the highest adsorption value of nitrogen gas on the surface of activated carbon was obtained by varying the concentration to 1 M. Thus, when using a concentration of 1 M with NaOH as the activator,</w:t>
      </w:r>
      <w:r>
        <w:rPr>
          <w:rFonts w:ascii="Amasis MT Pro" w:eastAsia="Amasis MT Pro" w:hAnsi="Amasis MT Pro" w:cs="Amasis MT Pro"/>
          <w:sz w:val="18"/>
          <w:szCs w:val="18"/>
        </w:rPr>
        <w:t xml:space="preserve"> the activated carbon formed had a maximal pore surface area and a high absorption capacity. According to IUPAC, the isothermal curve type of the five materials is a combination of types I and IV. This indicates that these materials possess both a micropor</w:t>
      </w:r>
      <w:r>
        <w:rPr>
          <w:rFonts w:ascii="Amasis MT Pro" w:eastAsia="Amasis MT Pro" w:hAnsi="Amasis MT Pro" w:cs="Amasis MT Pro"/>
          <w:sz w:val="18"/>
          <w:szCs w:val="18"/>
        </w:rPr>
        <w:t xml:space="preserve">ous and mesoporous structure simultaneously. </w:t>
      </w:r>
    </w:p>
    <w:p w14:paraId="16F325B3" w14:textId="77777777" w:rsidR="001932B4" w:rsidRDefault="001932B4">
      <w:pPr>
        <w:widowControl w:val="0"/>
        <w:tabs>
          <w:tab w:val="left" w:pos="409"/>
        </w:tabs>
        <w:jc w:val="both"/>
        <w:rPr>
          <w:rFonts w:ascii="Amasis MT Pro" w:eastAsia="Amasis MT Pro" w:hAnsi="Amasis MT Pro" w:cs="Amasis MT Pro"/>
          <w:sz w:val="18"/>
          <w:szCs w:val="18"/>
        </w:rPr>
      </w:pPr>
    </w:p>
    <w:p w14:paraId="08F9FF86" w14:textId="77777777" w:rsidR="001932B4" w:rsidRDefault="00E65D41">
      <w:pPr>
        <w:widowControl w:val="0"/>
        <w:ind w:right="20"/>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Table 1 </w:t>
      </w:r>
      <w:r w:rsidRPr="00F20863">
        <w:rPr>
          <w:rFonts w:ascii="Amasis MT Pro" w:eastAsia="Amasis MT Pro" w:hAnsi="Amasis MT Pro" w:cs="Amasis MT Pro"/>
          <w:bCs/>
          <w:sz w:val="16"/>
          <w:szCs w:val="16"/>
        </w:rPr>
        <w:t>Carbon surface area variation concentration</w:t>
      </w:r>
    </w:p>
    <w:tbl>
      <w:tblPr>
        <w:tblStyle w:val="a1"/>
        <w:tblW w:w="4868" w:type="dxa"/>
        <w:tblInd w:w="-8" w:type="dxa"/>
        <w:tblLayout w:type="fixed"/>
        <w:tblLook w:val="0400" w:firstRow="0" w:lastRow="0" w:firstColumn="0" w:lastColumn="0" w:noHBand="0" w:noVBand="1"/>
      </w:tblPr>
      <w:tblGrid>
        <w:gridCol w:w="2528"/>
        <w:gridCol w:w="2340"/>
      </w:tblGrid>
      <w:tr w:rsidR="001932B4" w14:paraId="38A45ED1" w14:textId="77777777">
        <w:trPr>
          <w:trHeight w:val="258"/>
        </w:trPr>
        <w:tc>
          <w:tcPr>
            <w:tcW w:w="2528" w:type="dxa"/>
            <w:tcBorders>
              <w:top w:val="single" w:sz="4" w:space="0" w:color="000000"/>
              <w:left w:val="nil"/>
              <w:bottom w:val="single" w:sz="4" w:space="0" w:color="000000"/>
              <w:right w:val="nil"/>
            </w:tcBorders>
            <w:tcMar>
              <w:top w:w="30" w:type="dxa"/>
              <w:left w:w="45" w:type="dxa"/>
              <w:bottom w:w="30" w:type="dxa"/>
              <w:right w:w="45" w:type="dxa"/>
            </w:tcMar>
            <w:vAlign w:val="center"/>
          </w:tcPr>
          <w:p w14:paraId="79CC73B2"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b/>
                <w:sz w:val="16"/>
                <w:szCs w:val="16"/>
              </w:rPr>
              <w:t>Sample</w:t>
            </w:r>
          </w:p>
        </w:tc>
        <w:tc>
          <w:tcPr>
            <w:tcW w:w="2340" w:type="dxa"/>
            <w:tcBorders>
              <w:top w:val="single" w:sz="4" w:space="0" w:color="000000"/>
              <w:left w:val="nil"/>
              <w:bottom w:val="single" w:sz="4" w:space="0" w:color="000000"/>
              <w:right w:val="nil"/>
            </w:tcBorders>
            <w:tcMar>
              <w:top w:w="30" w:type="dxa"/>
              <w:left w:w="45" w:type="dxa"/>
              <w:bottom w:w="30" w:type="dxa"/>
              <w:right w:w="45" w:type="dxa"/>
            </w:tcMar>
            <w:vAlign w:val="center"/>
          </w:tcPr>
          <w:p w14:paraId="337F6076"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b/>
                <w:sz w:val="16"/>
                <w:szCs w:val="16"/>
              </w:rPr>
              <w:t>Surface area (m</w:t>
            </w:r>
            <w:r>
              <w:rPr>
                <w:rFonts w:ascii="Amasis MT Pro" w:eastAsia="Amasis MT Pro" w:hAnsi="Amasis MT Pro" w:cs="Amasis MT Pro"/>
                <w:b/>
                <w:sz w:val="16"/>
                <w:szCs w:val="16"/>
                <w:vertAlign w:val="superscript"/>
              </w:rPr>
              <w:t>2</w:t>
            </w:r>
            <w:r>
              <w:rPr>
                <w:rFonts w:ascii="Amasis MT Pro" w:eastAsia="Amasis MT Pro" w:hAnsi="Amasis MT Pro" w:cs="Amasis MT Pro"/>
                <w:b/>
                <w:sz w:val="16"/>
                <w:szCs w:val="16"/>
              </w:rPr>
              <w:t>.g</w:t>
            </w:r>
            <w:r>
              <w:rPr>
                <w:rFonts w:ascii="Amasis MT Pro" w:eastAsia="Amasis MT Pro" w:hAnsi="Amasis MT Pro" w:cs="Amasis MT Pro"/>
                <w:b/>
                <w:sz w:val="16"/>
                <w:szCs w:val="16"/>
                <w:vertAlign w:val="superscript"/>
              </w:rPr>
              <w:t>-1</w:t>
            </w:r>
            <w:r>
              <w:rPr>
                <w:rFonts w:ascii="Amasis MT Pro" w:eastAsia="Amasis MT Pro" w:hAnsi="Amasis MT Pro" w:cs="Amasis MT Pro"/>
                <w:b/>
                <w:sz w:val="16"/>
                <w:szCs w:val="16"/>
              </w:rPr>
              <w:t>)</w:t>
            </w:r>
          </w:p>
        </w:tc>
      </w:tr>
      <w:tr w:rsidR="001932B4" w14:paraId="7906545E" w14:textId="77777777">
        <w:trPr>
          <w:trHeight w:val="258"/>
        </w:trPr>
        <w:tc>
          <w:tcPr>
            <w:tcW w:w="2528" w:type="dxa"/>
            <w:tcMar>
              <w:top w:w="30" w:type="dxa"/>
              <w:left w:w="45" w:type="dxa"/>
              <w:bottom w:w="30" w:type="dxa"/>
              <w:right w:w="45" w:type="dxa"/>
            </w:tcMar>
            <w:vAlign w:val="center"/>
          </w:tcPr>
          <w:p w14:paraId="14D64A80"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0.5 M</w:t>
            </w:r>
          </w:p>
        </w:tc>
        <w:tc>
          <w:tcPr>
            <w:tcW w:w="2340" w:type="dxa"/>
            <w:tcMar>
              <w:top w:w="30" w:type="dxa"/>
              <w:left w:w="45" w:type="dxa"/>
              <w:bottom w:w="30" w:type="dxa"/>
              <w:right w:w="45" w:type="dxa"/>
            </w:tcMar>
            <w:vAlign w:val="bottom"/>
          </w:tcPr>
          <w:p w14:paraId="7BF4CA6B"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263.879</w:t>
            </w:r>
          </w:p>
        </w:tc>
      </w:tr>
      <w:tr w:rsidR="001932B4" w14:paraId="744D1D67" w14:textId="77777777">
        <w:trPr>
          <w:trHeight w:val="258"/>
        </w:trPr>
        <w:tc>
          <w:tcPr>
            <w:tcW w:w="2528" w:type="dxa"/>
            <w:tcMar>
              <w:top w:w="30" w:type="dxa"/>
              <w:left w:w="45" w:type="dxa"/>
              <w:bottom w:w="30" w:type="dxa"/>
              <w:right w:w="45" w:type="dxa"/>
            </w:tcMar>
            <w:vAlign w:val="center"/>
          </w:tcPr>
          <w:p w14:paraId="02DF90C4"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1 M</w:t>
            </w:r>
          </w:p>
        </w:tc>
        <w:tc>
          <w:tcPr>
            <w:tcW w:w="2340" w:type="dxa"/>
            <w:tcMar>
              <w:top w:w="30" w:type="dxa"/>
              <w:left w:w="45" w:type="dxa"/>
              <w:bottom w:w="30" w:type="dxa"/>
              <w:right w:w="45" w:type="dxa"/>
            </w:tcMar>
            <w:vAlign w:val="bottom"/>
          </w:tcPr>
          <w:p w14:paraId="55C150FF"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336.493</w:t>
            </w:r>
          </w:p>
        </w:tc>
      </w:tr>
      <w:tr w:rsidR="001932B4" w14:paraId="10D4521B" w14:textId="77777777">
        <w:trPr>
          <w:trHeight w:val="258"/>
        </w:trPr>
        <w:tc>
          <w:tcPr>
            <w:tcW w:w="2528" w:type="dxa"/>
            <w:tcMar>
              <w:top w:w="30" w:type="dxa"/>
              <w:left w:w="45" w:type="dxa"/>
              <w:bottom w:w="30" w:type="dxa"/>
              <w:right w:w="45" w:type="dxa"/>
            </w:tcMar>
            <w:vAlign w:val="center"/>
          </w:tcPr>
          <w:p w14:paraId="4D6DF64C"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1.5 M</w:t>
            </w:r>
          </w:p>
        </w:tc>
        <w:tc>
          <w:tcPr>
            <w:tcW w:w="2340" w:type="dxa"/>
            <w:tcMar>
              <w:top w:w="30" w:type="dxa"/>
              <w:left w:w="45" w:type="dxa"/>
              <w:bottom w:w="30" w:type="dxa"/>
              <w:right w:w="45" w:type="dxa"/>
            </w:tcMar>
            <w:vAlign w:val="bottom"/>
          </w:tcPr>
          <w:p w14:paraId="0E8EA172"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111.556</w:t>
            </w:r>
          </w:p>
        </w:tc>
      </w:tr>
      <w:tr w:rsidR="001932B4" w14:paraId="656FCA1A" w14:textId="77777777">
        <w:trPr>
          <w:trHeight w:val="258"/>
        </w:trPr>
        <w:tc>
          <w:tcPr>
            <w:tcW w:w="2528" w:type="dxa"/>
            <w:tcMar>
              <w:top w:w="30" w:type="dxa"/>
              <w:left w:w="45" w:type="dxa"/>
              <w:bottom w:w="30" w:type="dxa"/>
              <w:right w:w="45" w:type="dxa"/>
            </w:tcMar>
            <w:vAlign w:val="center"/>
          </w:tcPr>
          <w:p w14:paraId="3C5E986C"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 M</w:t>
            </w:r>
          </w:p>
        </w:tc>
        <w:tc>
          <w:tcPr>
            <w:tcW w:w="2340" w:type="dxa"/>
            <w:tcMar>
              <w:top w:w="30" w:type="dxa"/>
              <w:left w:w="45" w:type="dxa"/>
              <w:bottom w:w="30" w:type="dxa"/>
              <w:right w:w="45" w:type="dxa"/>
            </w:tcMar>
            <w:vAlign w:val="bottom"/>
          </w:tcPr>
          <w:p w14:paraId="140A2D12"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89.779</w:t>
            </w:r>
          </w:p>
        </w:tc>
      </w:tr>
      <w:tr w:rsidR="001932B4" w14:paraId="270174B1" w14:textId="77777777">
        <w:trPr>
          <w:trHeight w:val="258"/>
        </w:trPr>
        <w:tc>
          <w:tcPr>
            <w:tcW w:w="2528" w:type="dxa"/>
            <w:tcBorders>
              <w:top w:val="nil"/>
              <w:left w:val="nil"/>
              <w:bottom w:val="single" w:sz="4" w:space="0" w:color="000000"/>
              <w:right w:val="nil"/>
            </w:tcBorders>
            <w:tcMar>
              <w:top w:w="30" w:type="dxa"/>
              <w:left w:w="45" w:type="dxa"/>
              <w:bottom w:w="30" w:type="dxa"/>
              <w:right w:w="45" w:type="dxa"/>
            </w:tcMar>
            <w:vAlign w:val="center"/>
          </w:tcPr>
          <w:p w14:paraId="0CA93AFD"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2.5 M</w:t>
            </w:r>
          </w:p>
        </w:tc>
        <w:tc>
          <w:tcPr>
            <w:tcW w:w="2340" w:type="dxa"/>
            <w:tcBorders>
              <w:top w:val="nil"/>
              <w:left w:val="nil"/>
              <w:bottom w:val="single" w:sz="4" w:space="0" w:color="000000"/>
              <w:right w:val="nil"/>
            </w:tcBorders>
            <w:tcMar>
              <w:top w:w="30" w:type="dxa"/>
              <w:left w:w="45" w:type="dxa"/>
              <w:bottom w:w="30" w:type="dxa"/>
              <w:right w:w="45" w:type="dxa"/>
            </w:tcMar>
            <w:vAlign w:val="bottom"/>
          </w:tcPr>
          <w:p w14:paraId="5348B2D5"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75.036</w:t>
            </w:r>
          </w:p>
        </w:tc>
      </w:tr>
    </w:tbl>
    <w:p w14:paraId="7DE65F92" w14:textId="77777777" w:rsidR="001932B4" w:rsidRDefault="001932B4">
      <w:pPr>
        <w:widowControl w:val="0"/>
        <w:ind w:right="277" w:firstLine="720"/>
        <w:jc w:val="both"/>
        <w:rPr>
          <w:rFonts w:ascii="Amasis MT Pro" w:eastAsia="Amasis MT Pro" w:hAnsi="Amasis MT Pro" w:cs="Amasis MT Pro"/>
          <w:sz w:val="18"/>
          <w:szCs w:val="18"/>
        </w:rPr>
      </w:pPr>
    </w:p>
    <w:p w14:paraId="09ED69DD" w14:textId="0C244A55" w:rsidR="001932B4" w:rsidRDefault="00E65D41">
      <w:pPr>
        <w:widowControl w:val="0"/>
        <w:tabs>
          <w:tab w:val="left" w:pos="0"/>
        </w:tabs>
        <w:jc w:val="both"/>
        <w:rPr>
          <w:rFonts w:ascii="Amasis MT Pro" w:eastAsia="Amasis MT Pro" w:hAnsi="Amasis MT Pro" w:cs="Amasis MT Pro"/>
          <w:sz w:val="18"/>
          <w:szCs w:val="18"/>
        </w:rPr>
      </w:pPr>
      <w:r>
        <w:rPr>
          <w:rFonts w:ascii="Amasis MT Pro" w:eastAsia="Amasis MT Pro" w:hAnsi="Amasis MT Pro" w:cs="Amasis MT Pro"/>
          <w:sz w:val="18"/>
          <w:szCs w:val="18"/>
        </w:rPr>
        <w:lastRenderedPageBreak/>
        <w:tab/>
      </w:r>
      <w:r>
        <w:rPr>
          <w:rFonts w:ascii="Amasis MT Pro" w:eastAsia="Amasis MT Pro" w:hAnsi="Amasis MT Pro" w:cs="Amasis MT Pro"/>
          <w:sz w:val="18"/>
          <w:szCs w:val="18"/>
        </w:rPr>
        <w:t xml:space="preserve">In Table 1, it can be observed that the lowest surface area value of 75.0357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m</m:t>
            </m:r>
          </m:e>
          <m:sup>
            <m:r>
              <w:rPr>
                <w:rFonts w:ascii="Cambria Math" w:eastAsia="Cambria Math" w:hAnsi="Cambria Math" w:cs="Cambria Math"/>
                <w:sz w:val="18"/>
                <w:szCs w:val="18"/>
              </w:rPr>
              <m:t>2</m:t>
            </m:r>
          </m:sup>
        </m:sSup>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g</m:t>
            </m:r>
          </m:e>
          <m:sup>
            <m:r>
              <w:rPr>
                <w:rFonts w:ascii="Cambria Math" w:eastAsia="Cambria Math" w:hAnsi="Cambria Math" w:cs="Cambria Math"/>
                <w:sz w:val="18"/>
                <w:szCs w:val="18"/>
              </w:rPr>
              <m:t>-</m:t>
            </m:r>
            <m:r>
              <w:rPr>
                <w:rFonts w:ascii="Cambria Math" w:eastAsia="Cambria Math" w:hAnsi="Cambria Math" w:cs="Cambria Math"/>
                <w:sz w:val="18"/>
                <w:szCs w:val="18"/>
              </w:rPr>
              <m:t>1</m:t>
            </m:r>
          </m:sup>
        </m:sSup>
      </m:oMath>
      <w:r>
        <w:rPr>
          <w:rFonts w:ascii="Amasis MT Pro" w:eastAsia="Amasis MT Pro" w:hAnsi="Amasis MT Pro" w:cs="Amasis MT Pro"/>
          <w:sz w:val="18"/>
          <w:szCs w:val="18"/>
        </w:rPr>
        <w:t xml:space="preserve"> is obtained from a concentration of 2.5 M. This is followed by concentrations of 2 M, 1.5 M, and 0.5 M. In contrast, the activated carbon with the highest surface area val</w:t>
      </w:r>
      <w:r>
        <w:rPr>
          <w:rFonts w:ascii="Amasis MT Pro" w:eastAsia="Amasis MT Pro" w:hAnsi="Amasis MT Pro" w:cs="Amasis MT Pro"/>
          <w:sz w:val="18"/>
          <w:szCs w:val="18"/>
        </w:rPr>
        <w:t>ue of 336.49 m</w:t>
      </w:r>
      <w:r>
        <w:rPr>
          <w:rFonts w:ascii="Amasis MT Pro" w:eastAsia="Amasis MT Pro" w:hAnsi="Amasis MT Pro" w:cs="Amasis MT Pro"/>
          <w:sz w:val="18"/>
          <w:szCs w:val="18"/>
          <w:vertAlign w:val="superscript"/>
        </w:rPr>
        <w:t>2</w:t>
      </w:r>
      <w:r>
        <w:rPr>
          <w:rFonts w:ascii="Amasis MT Pro" w:eastAsia="Amasis MT Pro" w:hAnsi="Amasis MT Pro" w:cs="Amasis MT Pro"/>
          <w:sz w:val="18"/>
          <w:szCs w:val="18"/>
        </w:rPr>
        <w:t>g</w:t>
      </w:r>
      <w:r>
        <w:rPr>
          <w:rFonts w:ascii="Amasis MT Pro" w:eastAsia="Amasis MT Pro" w:hAnsi="Amasis MT Pro" w:cs="Amasis MT Pro"/>
          <w:sz w:val="18"/>
          <w:szCs w:val="18"/>
          <w:vertAlign w:val="superscript"/>
        </w:rPr>
        <w:t>-1</w:t>
      </w:r>
      <w:r>
        <w:rPr>
          <w:rFonts w:ascii="Amasis MT Pro" w:eastAsia="Amasis MT Pro" w:hAnsi="Amasis MT Pro" w:cs="Amasis MT Pro"/>
          <w:sz w:val="18"/>
          <w:szCs w:val="18"/>
        </w:rPr>
        <w:t xml:space="preserve"> is obtained from a concentration of 1 M. The carbon surface area values shown exhibit significant differences. There is an increase in value from a concentration of 0.5 M to 1 M, followed by a gradual decrease in value from a concentrati</w:t>
      </w:r>
      <w:r>
        <w:rPr>
          <w:rFonts w:ascii="Amasis MT Pro" w:eastAsia="Amasis MT Pro" w:hAnsi="Amasis MT Pro" w:cs="Amasis MT Pro"/>
          <w:sz w:val="18"/>
          <w:szCs w:val="18"/>
        </w:rPr>
        <w:t>on of 1 M to 2.5 M. The decrease in surface area is attributed to the increasing concentration of NaOH. This observation is supported by research that states that an increase in the activating agent concentration enhances the surface area value of the prec</w:t>
      </w:r>
      <w:r>
        <w:rPr>
          <w:rFonts w:ascii="Amasis MT Pro" w:eastAsia="Amasis MT Pro" w:hAnsi="Amasis MT Pro" w:cs="Amasis MT Pro"/>
          <w:sz w:val="18"/>
          <w:szCs w:val="18"/>
        </w:rPr>
        <w:t>ursor carbon, but excessive concentrations of the activator will reduce the surface area of the activated carbon</w:t>
      </w:r>
      <w:r w:rsidR="007E4764">
        <w:rPr>
          <w:rFonts w:ascii="Amasis MT Pro" w:eastAsia="Amasis MT Pro" w:hAnsi="Amasis MT Pro" w:cs="Amasis MT Pro"/>
          <w:sz w:val="18"/>
          <w:szCs w:val="18"/>
        </w:rPr>
        <w:t xml:space="preserve"> </w:t>
      </w:r>
      <w:r w:rsidR="00CE441F">
        <w:rPr>
          <w:rFonts w:ascii="Amasis MT Pro" w:eastAsia="Amasis MT Pro" w:hAnsi="Amasis MT Pro" w:cs="Amasis MT Pro"/>
          <w:sz w:val="18"/>
          <w:szCs w:val="18"/>
        </w:rPr>
        <w:fldChar w:fldCharType="begin" w:fldLock="1"/>
      </w:r>
      <w:r w:rsidR="00CE441F">
        <w:rPr>
          <w:rFonts w:ascii="Amasis MT Pro" w:eastAsia="Amasis MT Pro" w:hAnsi="Amasis MT Pro" w:cs="Amasis MT Pro"/>
          <w:sz w:val="18"/>
          <w:szCs w:val="18"/>
        </w:rPr>
        <w:instrText>ADDIN CSL_CITATION {"citationItems":[{"id":"ITEM-1","itemData":{"DOI":"10.1016/j.arabjc.2020.102958","ISSN":"18785352","abstract":"In the current study, an oak as a non-expensive, renewable, and a biomass resource was used to generate a nano-porous activated carbon applicable in methylene blue adsorption from wastewater and energy storage equipment. Furnace activation in the temperature range of 450, 550, 650 and 750 °C was used for activated carbon synthesis after infusion with potassium hydroxide. The synthesized activated carbon was characterized using different techniques including nitrogen adsorption/desorption, scanning electron microscopy, and fourier-transform infrared spectroscopy. The results showed that temperature has significant effect on activated carbon efficiency. Specific surface and pore volumes increased with the enhancement of temperature until 650 °C, but then it was decreased. Pores volume was consisting of mesoporous and microporous structure. The highest surface area (2896 m2/g) and pores volume (1.554 cm3/g) was obtained for the sample prepared at 650 °C. Freundlich isotherm model is appropriate for methylene blue adsorption isotherm by the synthesized activated carbon. The maximum adsorption capacity of MB was obtained as 24 mg/g. Moreover, the synthesized activated carbon exhibited the highest specific capacitance when it was used as electrode (551 F/g at current density of 1 A/g) in 1 M sulphuric acid electrolyte and 96% specific capacitance was remained after 5000 charge-discharge cycles at a current density of 10 A/g.","author":[{"dropping-particle":"","family":"Borghei","given":"Seyed Abbas","non-dropping-particle":"","parse-names":false,"suffix":""},{"dropping-particle":"","family":"Zare","given":"Masoud Habibi","non-dropping-particle":"","parse-names":false,"suffix":""},{"dropping-particle":"","family":"Ahmadi","given":"Mojtaba","non-dropping-particle":"","parse-names":false,"suffix":""},{"dropping-particle":"","family":"Sadeghi","given":"Mohammad Hasan","non-dropping-particle":"","parse-names":false,"suffix":""},{"dropping-particle":"","family":"Marjani","given":"Azam","non-dropping-particle":"","parse-names":false,"suffix":""},{"dropping-particle":"","family":"Shirazian","given":"Saeed","non-dropping-particle":"","parse-names":false,"suffix":""},{"dropping-particle":"","family":"Ghadiri","given":"Mahdi","non-dropping-particle":"","parse-names":false,"suffix":""}],"container-title":"Arabian J. Chem.","id":"ITEM-1","issue":"2","issued":{"date-parts":[["2021"]]},"page":"102958","publisher":"The Author(s)","title":"Synthesis of multi-application activated carbon from oak seeds by KOH activation for methylene blue adsorption and electrochemical supercapacitor electrode","type":"article-journal","volume":"14"},"uris":["http://www.mendeley.com/documents/?uuid=633707f0-f158-469a-bf52-7595fe9bf9f9"]}],"mendeley":{"formattedCitation":"(Borghei et al., 2021)","plainTextFormattedCitation":"(Borghei et al., 2021)","previouslyFormattedCitation":"(Borghei et al., 2021)"},"properties":{"noteIndex":0},"schema":"https://github.com/citation-style-language/schema/raw/master/csl-citation.json"}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(Borghei et al., 2021)</w:t>
      </w:r>
      <w:r w:rsidR="00CE441F">
        <w:rPr>
          <w:rFonts w:ascii="Amasis MT Pro" w:eastAsia="Amasis MT Pro" w:hAnsi="Amasis MT Pro" w:cs="Amasis MT Pro"/>
          <w:sz w:val="18"/>
          <w:szCs w:val="18"/>
        </w:rPr>
        <w:fldChar w:fldCharType="end"/>
      </w:r>
      <w:r w:rsidR="00CE441F">
        <w:rPr>
          <w:rFonts w:ascii="Amasis MT Pro" w:eastAsia="Amasis MT Pro" w:hAnsi="Amasis MT Pro" w:cs="Amasis MT Pro"/>
          <w:sz w:val="18"/>
          <w:szCs w:val="18"/>
        </w:rPr>
        <w:t>.</w:t>
      </w:r>
    </w:p>
    <w:p w14:paraId="740306A5" w14:textId="77777777" w:rsidR="001932B4" w:rsidRDefault="001932B4">
      <w:pPr>
        <w:widowControl w:val="0"/>
        <w:tabs>
          <w:tab w:val="left" w:pos="0"/>
        </w:tabs>
        <w:rPr>
          <w:rFonts w:ascii="Amasis MT Pro" w:eastAsia="Amasis MT Pro" w:hAnsi="Amasis MT Pro" w:cs="Amasis MT Pro"/>
          <w:sz w:val="18"/>
          <w:szCs w:val="18"/>
        </w:rPr>
      </w:pPr>
    </w:p>
    <w:p w14:paraId="3322CD19" w14:textId="77777777" w:rsidR="001932B4" w:rsidRDefault="00E65D41">
      <w:pPr>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0" distB="0" distL="0" distR="0" wp14:anchorId="4BF36A55" wp14:editId="54432561">
            <wp:extent cx="2391235" cy="1965960"/>
            <wp:effectExtent l="0" t="0" r="0" b="0"/>
            <wp:docPr id="2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9"/>
                    <a:srcRect/>
                    <a:stretch>
                      <a:fillRect/>
                    </a:stretch>
                  </pic:blipFill>
                  <pic:spPr>
                    <a:xfrm>
                      <a:off x="0" y="0"/>
                      <a:ext cx="2391235" cy="1965960"/>
                    </a:xfrm>
                    <a:prstGeom prst="rect">
                      <a:avLst/>
                    </a:prstGeom>
                    <a:ln/>
                  </pic:spPr>
                </pic:pic>
              </a:graphicData>
            </a:graphic>
          </wp:inline>
        </w:drawing>
      </w:r>
    </w:p>
    <w:p w14:paraId="5922F3F3" w14:textId="710ABB47" w:rsidR="001932B4" w:rsidRDefault="00E65D41">
      <w:pPr>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Figure 4 </w:t>
      </w:r>
      <w:r w:rsidR="006F4306" w:rsidRPr="00F20863">
        <w:rPr>
          <w:rFonts w:ascii="Amasis MT Pro" w:eastAsia="Amasis MT Pro" w:hAnsi="Amasis MT Pro" w:cs="Amasis MT Pro"/>
          <w:bCs/>
          <w:sz w:val="16"/>
          <w:szCs w:val="16"/>
        </w:rPr>
        <w:t>I</w:t>
      </w:r>
      <w:r w:rsidRPr="00F20863">
        <w:rPr>
          <w:rFonts w:ascii="Amasis MT Pro" w:eastAsia="Amasis MT Pro" w:hAnsi="Amasis MT Pro" w:cs="Amasis MT Pro"/>
          <w:bCs/>
          <w:sz w:val="16"/>
          <w:szCs w:val="16"/>
        </w:rPr>
        <w:t xml:space="preserve">sotherm </w:t>
      </w:r>
      <w:r w:rsidRPr="00F20863">
        <w:rPr>
          <w:rFonts w:ascii="Amasis MT Pro" w:eastAsia="Amasis MT Pro" w:hAnsi="Amasis MT Pro" w:cs="Amasis MT Pro"/>
          <w:bCs/>
          <w:sz w:val="16"/>
          <w:szCs w:val="16"/>
        </w:rPr>
        <w:t>graph</w:t>
      </w:r>
      <w:r w:rsidR="006F4306" w:rsidRPr="00F20863">
        <w:rPr>
          <w:rFonts w:ascii="Amasis MT Pro" w:eastAsia="Amasis MT Pro" w:hAnsi="Amasis MT Pro" w:cs="Amasis MT Pro"/>
          <w:bCs/>
          <w:sz w:val="16"/>
          <w:szCs w:val="16"/>
        </w:rPr>
        <w:t xml:space="preserve"> of immersion time</w:t>
      </w:r>
      <w:r w:rsidRPr="00F20863">
        <w:rPr>
          <w:rFonts w:ascii="Amasis MT Pro" w:eastAsia="Amasis MT Pro" w:hAnsi="Amasis MT Pro" w:cs="Amasis MT Pro"/>
          <w:bCs/>
          <w:sz w:val="16"/>
          <w:szCs w:val="16"/>
        </w:rPr>
        <w:t xml:space="preserve"> 30 hours</w:t>
      </w:r>
    </w:p>
    <w:p w14:paraId="2CF59023" w14:textId="77777777" w:rsidR="001932B4" w:rsidRDefault="001932B4">
      <w:pPr>
        <w:widowControl w:val="0"/>
        <w:tabs>
          <w:tab w:val="left" w:pos="409"/>
        </w:tabs>
        <w:jc w:val="center"/>
        <w:rPr>
          <w:rFonts w:ascii="Amasis MT Pro" w:eastAsia="Amasis MT Pro" w:hAnsi="Amasis MT Pro" w:cs="Amasis MT Pro"/>
          <w:sz w:val="18"/>
          <w:szCs w:val="18"/>
        </w:rPr>
      </w:pPr>
    </w:p>
    <w:p w14:paraId="63A766E7" w14:textId="1B2C1B4D" w:rsidR="001932B4" w:rsidRDefault="00E65D41">
      <w:pPr>
        <w:widowControl w:val="0"/>
        <w:tabs>
          <w:tab w:val="left" w:pos="409"/>
        </w:tabs>
        <w:jc w:val="both"/>
        <w:rPr>
          <w:rFonts w:ascii="Amasis MT Pro" w:eastAsia="Amasis MT Pro" w:hAnsi="Amasis MT Pro" w:cs="Amasis MT Pro"/>
          <w:sz w:val="18"/>
          <w:szCs w:val="18"/>
        </w:rPr>
      </w:pPr>
      <w:r>
        <w:rPr>
          <w:rFonts w:ascii="Amasis MT Pro" w:eastAsia="Amasis MT Pro" w:hAnsi="Amasis MT Pro" w:cs="Amasis MT Pro"/>
          <w:sz w:val="18"/>
          <w:szCs w:val="18"/>
        </w:rPr>
        <w:tab/>
        <w:t>Among the five types of variations, it can be concluded that the highest adsorption value of nitrogen gas on the surface of activated carbon was obtained after 30 hours of immersion Figure 4, with a value ranging from 150</w:t>
      </w:r>
      <w:r>
        <w:rPr>
          <w:rFonts w:ascii="Amasis MT Pro" w:eastAsia="Amasis MT Pro" w:hAnsi="Amasis MT Pro" w:cs="Amasis MT Pro"/>
          <w:sz w:val="18"/>
          <w:szCs w:val="18"/>
        </w:rPr>
        <w:t xml:space="preserve"> to 160 cc/g. This means that when carbon is immersed in a NaOH activator for 30 hours, the maximum surface area of the formed pores and the absorption capacity of the resulting activated carbon is significantly high. The adsorb isotherms are classified in</w:t>
      </w:r>
      <w:r>
        <w:rPr>
          <w:rFonts w:ascii="Amasis MT Pro" w:eastAsia="Amasis MT Pro" w:hAnsi="Amasis MT Pro" w:cs="Amasis MT Pro"/>
          <w:sz w:val="18"/>
          <w:szCs w:val="18"/>
        </w:rPr>
        <w:t xml:space="preserve">to six types, and type </w:t>
      </w:r>
      <w:r w:rsidR="00714630">
        <w:rPr>
          <w:rFonts w:ascii="Amasis MT Pro" w:eastAsia="Amasis MT Pro" w:hAnsi="Amasis MT Pro" w:cs="Amasis MT Pro"/>
          <w:sz w:val="18"/>
          <w:szCs w:val="18"/>
        </w:rPr>
        <w:t>I</w:t>
      </w:r>
      <w:r>
        <w:rPr>
          <w:rFonts w:ascii="Amasis MT Pro" w:eastAsia="Amasis MT Pro" w:hAnsi="Amasis MT Pro" w:cs="Amasis MT Pro"/>
          <w:sz w:val="18"/>
          <w:szCs w:val="18"/>
        </w:rPr>
        <w:t xml:space="preserve">V isotherms represent the adsorption of water molecules on carbon. Generally, the isotherm graphs for all five variations exhibit a type </w:t>
      </w:r>
      <w:r w:rsidR="00714630">
        <w:rPr>
          <w:rFonts w:ascii="Amasis MT Pro" w:eastAsia="Amasis MT Pro" w:hAnsi="Amasis MT Pro" w:cs="Amasis MT Pro"/>
          <w:sz w:val="18"/>
          <w:szCs w:val="18"/>
        </w:rPr>
        <w:t>I</w:t>
      </w:r>
      <w:r>
        <w:rPr>
          <w:rFonts w:ascii="Amasis MT Pro" w:eastAsia="Amasis MT Pro" w:hAnsi="Amasis MT Pro" w:cs="Amasis MT Pro"/>
          <w:sz w:val="18"/>
          <w:szCs w:val="18"/>
        </w:rPr>
        <w:t xml:space="preserve">V isotherm. This type of isotherm occurs when both micropores and mesopores are in the carbon </w:t>
      </w:r>
      <w:r>
        <w:rPr>
          <w:rFonts w:ascii="Amasis MT Pro" w:eastAsia="Amasis MT Pro" w:hAnsi="Amasis MT Pro" w:cs="Amasis MT Pro"/>
          <w:sz w:val="18"/>
          <w:szCs w:val="18"/>
        </w:rPr>
        <w:t>structure</w:t>
      </w:r>
      <w:r w:rsidR="003C08F8">
        <w:rPr>
          <w:rFonts w:ascii="Amasis MT Pro" w:eastAsia="Amasis MT Pro" w:hAnsi="Amasis MT Pro" w:cs="Amasis MT Pro"/>
          <w:sz w:val="18"/>
          <w:szCs w:val="18"/>
        </w:rPr>
        <w:t xml:space="preserve"> </w:t>
      </w:r>
      <w:r w:rsidR="00CE441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{"citationItems":[{"id":"ITEM-1","itemData":{"DOI":"10.1016/j.ijheatmasstransfer.2018.01.107","ISSN":"00179310","abstract":"An adsorption chiller requires thermal energy to regenerate the adsorbent by desorbing the refrigerant vapor. Minimum desorption temperature is the parameter which defines the lowest possible heat source temperature required for driving adsorption chiller. In this study minimum desorption temperature is evaluated for different types of adsorption isotherms classified by International Union of Pure and Applied Chemistry (IUPAC). For each type, adsorption isotherm model is utilized to estimate the minimum desorption temperature and then compared to the mathematical expression reported in literature derived using Dubinin-Astakhov isotherm model. This allows for critical scrutiny of the universal validity of mathematical expression. It is observed that this expression can estimate the minimum desorption temperature with reasonable accuracy for all isotherm models.","author":[{"dropping-particle":"","family":"Muttakin","given":"Mahbubul","non-dropping-particle":"","parse-names":false,"suffix":""},{"dropping-particle":"","family":"Mitra","given":"Sourav","non-dropping-particle":"","parse-names":false,"suffix":""},{"dropping-particle":"","family":"Thu","given":"Kyaw","non-dropping-particle":"","parse-names":false,"suffix":""},{"dropping-particle":"","family":"Ito","given":"Kazuhide","non-dropping-particle":"","parse-names":false,"suffix":""},{"dropping-particle":"","family":"Saha","given":"Bidyut Baran","non-dropping-particle":"","parse-names":false,"suffix":""}],"container-title":"Int. J. Heat Mass Transfer","id":"ITEM-1","issued":{"date-parts":[["2018"]]},"page":"795-805","publisher":"Elsevier Ltd","title":"Theoretical framework to evaluate minimum desorption temperature for IUPAC classified adsorption isotherms","type":"article-journal","volume":"122"},"uris":["http://www.mendeley.com/documents/?uuid=a6f04fb3-c999-4357-b4a1-c2a033ec2e46"]}],"mendeley":{"formattedCitation":"(Muttakin et al., 2018)","plainTextFormattedCitation":"(Muttakin et al., 2018)","previouslyFormattedCitation":"(Muttakin et al., 2018)"},"properties":{"noteIndex":0},"schema":"https://github.com/citation-style-language/schema/raw/master/csl-citation.json"}</w:instrText>
      </w:r>
      <w:r w:rsidR="00CE441F">
        <w:rPr>
          <w:rFonts w:ascii="Amasis MT Pro" w:eastAsia="Amasis MT Pro" w:hAnsi="Amasis MT Pro" w:cs="Amasis MT Pro"/>
          <w:sz w:val="18"/>
          <w:szCs w:val="18"/>
        </w:rPr>
        <w:fldChar w:fldCharType="separate"/>
      </w:r>
      <w:r w:rsidR="00CE441F" w:rsidRPr="00CE441F">
        <w:rPr>
          <w:rFonts w:ascii="Amasis MT Pro" w:eastAsia="Amasis MT Pro" w:hAnsi="Amasis MT Pro" w:cs="Amasis MT Pro"/>
          <w:noProof/>
          <w:sz w:val="18"/>
          <w:szCs w:val="18"/>
        </w:rPr>
        <w:t>(Muttakin et al., 2018)</w:t>
      </w:r>
      <w:r w:rsidR="00CE441F">
        <w:rPr>
          <w:rFonts w:ascii="Amasis MT Pro" w:eastAsia="Amasis MT Pro" w:hAnsi="Amasis MT Pro" w:cs="Amasis MT Pro"/>
          <w:sz w:val="18"/>
          <w:szCs w:val="18"/>
        </w:rPr>
        <w:fldChar w:fldCharType="end"/>
      </w:r>
    </w:p>
    <w:p w14:paraId="2823A41B" w14:textId="77777777" w:rsidR="001932B4" w:rsidRDefault="001932B4">
      <w:pPr>
        <w:widowControl w:val="0"/>
        <w:ind w:right="20"/>
        <w:jc w:val="both"/>
        <w:rPr>
          <w:rFonts w:ascii="Amasis MT Pro" w:eastAsia="Amasis MT Pro" w:hAnsi="Amasis MT Pro" w:cs="Amasis MT Pro"/>
          <w:sz w:val="18"/>
          <w:szCs w:val="18"/>
        </w:rPr>
      </w:pPr>
    </w:p>
    <w:p w14:paraId="7A5B60C5" w14:textId="77777777" w:rsidR="001932B4" w:rsidRDefault="00E65D41">
      <w:pPr>
        <w:widowControl w:val="0"/>
        <w:ind w:right="20"/>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Table 2 </w:t>
      </w:r>
      <w:r w:rsidRPr="00F20863">
        <w:rPr>
          <w:rFonts w:ascii="Amasis MT Pro" w:eastAsia="Amasis MT Pro" w:hAnsi="Amasis MT Pro" w:cs="Amasis MT Pro"/>
          <w:bCs/>
          <w:sz w:val="16"/>
          <w:szCs w:val="16"/>
        </w:rPr>
        <w:t>Carbon surface area variation of immersion time.</w:t>
      </w:r>
    </w:p>
    <w:tbl>
      <w:tblPr>
        <w:tblStyle w:val="a2"/>
        <w:tblW w:w="4868" w:type="dxa"/>
        <w:tblInd w:w="-8" w:type="dxa"/>
        <w:tblLayout w:type="fixed"/>
        <w:tblLook w:val="0400" w:firstRow="0" w:lastRow="0" w:firstColumn="0" w:lastColumn="0" w:noHBand="0" w:noVBand="1"/>
      </w:tblPr>
      <w:tblGrid>
        <w:gridCol w:w="2528"/>
        <w:gridCol w:w="2340"/>
      </w:tblGrid>
      <w:tr w:rsidR="001932B4" w14:paraId="75E00843" w14:textId="77777777">
        <w:trPr>
          <w:trHeight w:val="258"/>
        </w:trPr>
        <w:tc>
          <w:tcPr>
            <w:tcW w:w="2528" w:type="dxa"/>
            <w:tcBorders>
              <w:top w:val="single" w:sz="4" w:space="0" w:color="000000"/>
              <w:left w:val="nil"/>
              <w:bottom w:val="single" w:sz="4" w:space="0" w:color="000000"/>
              <w:right w:val="nil"/>
            </w:tcBorders>
            <w:tcMar>
              <w:top w:w="30" w:type="dxa"/>
              <w:left w:w="45" w:type="dxa"/>
              <w:bottom w:w="30" w:type="dxa"/>
              <w:right w:w="45" w:type="dxa"/>
            </w:tcMar>
            <w:vAlign w:val="center"/>
          </w:tcPr>
          <w:p w14:paraId="1E9C51EA"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b/>
                <w:sz w:val="16"/>
                <w:szCs w:val="16"/>
              </w:rPr>
              <w:t>Sample</w:t>
            </w:r>
          </w:p>
        </w:tc>
        <w:tc>
          <w:tcPr>
            <w:tcW w:w="2340" w:type="dxa"/>
            <w:tcBorders>
              <w:top w:val="single" w:sz="4" w:space="0" w:color="000000"/>
              <w:left w:val="nil"/>
              <w:bottom w:val="single" w:sz="4" w:space="0" w:color="000000"/>
              <w:right w:val="nil"/>
            </w:tcBorders>
            <w:tcMar>
              <w:top w:w="30" w:type="dxa"/>
              <w:left w:w="45" w:type="dxa"/>
              <w:bottom w:w="30" w:type="dxa"/>
              <w:right w:w="45" w:type="dxa"/>
            </w:tcMar>
            <w:vAlign w:val="center"/>
          </w:tcPr>
          <w:p w14:paraId="6DFF4AA8"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b/>
                <w:sz w:val="16"/>
                <w:szCs w:val="16"/>
              </w:rPr>
              <w:t>Surface area (m</w:t>
            </w:r>
            <w:r>
              <w:rPr>
                <w:rFonts w:ascii="Amasis MT Pro" w:eastAsia="Amasis MT Pro" w:hAnsi="Amasis MT Pro" w:cs="Amasis MT Pro"/>
                <w:b/>
                <w:sz w:val="16"/>
                <w:szCs w:val="16"/>
                <w:vertAlign w:val="superscript"/>
              </w:rPr>
              <w:t>2</w:t>
            </w:r>
            <w:r>
              <w:rPr>
                <w:rFonts w:ascii="Amasis MT Pro" w:eastAsia="Amasis MT Pro" w:hAnsi="Amasis MT Pro" w:cs="Amasis MT Pro"/>
                <w:b/>
                <w:sz w:val="16"/>
                <w:szCs w:val="16"/>
              </w:rPr>
              <w:t>.g</w:t>
            </w:r>
            <w:r>
              <w:rPr>
                <w:rFonts w:ascii="Amasis MT Pro" w:eastAsia="Amasis MT Pro" w:hAnsi="Amasis MT Pro" w:cs="Amasis MT Pro"/>
                <w:b/>
                <w:sz w:val="16"/>
                <w:szCs w:val="16"/>
                <w:vertAlign w:val="superscript"/>
              </w:rPr>
              <w:t>-1</w:t>
            </w:r>
            <w:r>
              <w:rPr>
                <w:rFonts w:ascii="Amasis MT Pro" w:eastAsia="Amasis MT Pro" w:hAnsi="Amasis MT Pro" w:cs="Amasis MT Pro"/>
                <w:b/>
                <w:sz w:val="16"/>
                <w:szCs w:val="16"/>
              </w:rPr>
              <w:t>)</w:t>
            </w:r>
          </w:p>
        </w:tc>
      </w:tr>
      <w:tr w:rsidR="001932B4" w14:paraId="37BEF891" w14:textId="77777777">
        <w:trPr>
          <w:trHeight w:val="258"/>
        </w:trPr>
        <w:tc>
          <w:tcPr>
            <w:tcW w:w="2528" w:type="dxa"/>
            <w:tcMar>
              <w:top w:w="30" w:type="dxa"/>
              <w:left w:w="45" w:type="dxa"/>
              <w:bottom w:w="30" w:type="dxa"/>
              <w:right w:w="45" w:type="dxa"/>
            </w:tcMar>
          </w:tcPr>
          <w:p w14:paraId="2EA9EEA6"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12 Hours</w:t>
            </w:r>
          </w:p>
        </w:tc>
        <w:tc>
          <w:tcPr>
            <w:tcW w:w="2340" w:type="dxa"/>
            <w:tcMar>
              <w:top w:w="30" w:type="dxa"/>
              <w:left w:w="45" w:type="dxa"/>
              <w:bottom w:w="30" w:type="dxa"/>
              <w:right w:w="45" w:type="dxa"/>
            </w:tcMar>
          </w:tcPr>
          <w:p w14:paraId="483516F8"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60,0668</w:t>
            </w:r>
          </w:p>
        </w:tc>
      </w:tr>
      <w:tr w:rsidR="001932B4" w14:paraId="5624D3EC" w14:textId="77777777">
        <w:trPr>
          <w:trHeight w:val="258"/>
        </w:trPr>
        <w:tc>
          <w:tcPr>
            <w:tcW w:w="2528" w:type="dxa"/>
            <w:tcMar>
              <w:top w:w="30" w:type="dxa"/>
              <w:left w:w="45" w:type="dxa"/>
              <w:bottom w:w="30" w:type="dxa"/>
              <w:right w:w="45" w:type="dxa"/>
            </w:tcMar>
          </w:tcPr>
          <w:p w14:paraId="3452AFAA"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18 Hours</w:t>
            </w:r>
          </w:p>
        </w:tc>
        <w:tc>
          <w:tcPr>
            <w:tcW w:w="2340" w:type="dxa"/>
            <w:tcMar>
              <w:top w:w="30" w:type="dxa"/>
              <w:left w:w="45" w:type="dxa"/>
              <w:bottom w:w="30" w:type="dxa"/>
              <w:right w:w="45" w:type="dxa"/>
            </w:tcMar>
          </w:tcPr>
          <w:p w14:paraId="6329D031"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250,525</w:t>
            </w:r>
          </w:p>
        </w:tc>
      </w:tr>
      <w:tr w:rsidR="001932B4" w14:paraId="2B159548" w14:textId="77777777">
        <w:trPr>
          <w:trHeight w:val="258"/>
        </w:trPr>
        <w:tc>
          <w:tcPr>
            <w:tcW w:w="2528" w:type="dxa"/>
            <w:tcMar>
              <w:top w:w="30" w:type="dxa"/>
              <w:left w:w="45" w:type="dxa"/>
              <w:bottom w:w="30" w:type="dxa"/>
              <w:right w:w="45" w:type="dxa"/>
            </w:tcMar>
          </w:tcPr>
          <w:p w14:paraId="5DE2E2B1"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24 Hours</w:t>
            </w:r>
          </w:p>
        </w:tc>
        <w:tc>
          <w:tcPr>
            <w:tcW w:w="2340" w:type="dxa"/>
            <w:tcMar>
              <w:top w:w="30" w:type="dxa"/>
              <w:left w:w="45" w:type="dxa"/>
              <w:bottom w:w="30" w:type="dxa"/>
              <w:right w:w="45" w:type="dxa"/>
            </w:tcMar>
          </w:tcPr>
          <w:p w14:paraId="641F97F6"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254,958</w:t>
            </w:r>
          </w:p>
        </w:tc>
      </w:tr>
      <w:tr w:rsidR="001932B4" w14:paraId="0CBA571A" w14:textId="77777777">
        <w:trPr>
          <w:trHeight w:val="258"/>
        </w:trPr>
        <w:tc>
          <w:tcPr>
            <w:tcW w:w="2528" w:type="dxa"/>
            <w:tcMar>
              <w:top w:w="30" w:type="dxa"/>
              <w:left w:w="45" w:type="dxa"/>
              <w:bottom w:w="30" w:type="dxa"/>
              <w:right w:w="45" w:type="dxa"/>
            </w:tcMar>
          </w:tcPr>
          <w:p w14:paraId="760CA79F"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30 Hours</w:t>
            </w:r>
          </w:p>
        </w:tc>
        <w:tc>
          <w:tcPr>
            <w:tcW w:w="2340" w:type="dxa"/>
            <w:tcMar>
              <w:top w:w="30" w:type="dxa"/>
              <w:left w:w="45" w:type="dxa"/>
              <w:bottom w:w="30" w:type="dxa"/>
              <w:right w:w="45" w:type="dxa"/>
            </w:tcMar>
          </w:tcPr>
          <w:p w14:paraId="5E876F01"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396,808</w:t>
            </w:r>
          </w:p>
        </w:tc>
      </w:tr>
      <w:tr w:rsidR="001932B4" w14:paraId="562DC629" w14:textId="77777777">
        <w:trPr>
          <w:trHeight w:val="258"/>
        </w:trPr>
        <w:tc>
          <w:tcPr>
            <w:tcW w:w="2528" w:type="dxa"/>
            <w:tcBorders>
              <w:top w:val="nil"/>
              <w:left w:val="nil"/>
              <w:bottom w:val="single" w:sz="4" w:space="0" w:color="000000"/>
              <w:right w:val="nil"/>
            </w:tcBorders>
            <w:tcMar>
              <w:top w:w="30" w:type="dxa"/>
              <w:left w:w="45" w:type="dxa"/>
              <w:bottom w:w="30" w:type="dxa"/>
              <w:right w:w="45" w:type="dxa"/>
            </w:tcMar>
          </w:tcPr>
          <w:p w14:paraId="63AC3CD6"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36 Hours</w:t>
            </w:r>
          </w:p>
        </w:tc>
        <w:tc>
          <w:tcPr>
            <w:tcW w:w="2340" w:type="dxa"/>
            <w:tcBorders>
              <w:top w:val="nil"/>
              <w:left w:val="nil"/>
              <w:bottom w:val="single" w:sz="4" w:space="0" w:color="000000"/>
              <w:right w:val="nil"/>
            </w:tcBorders>
            <w:tcMar>
              <w:top w:w="30" w:type="dxa"/>
              <w:left w:w="45" w:type="dxa"/>
              <w:bottom w:w="30" w:type="dxa"/>
              <w:right w:w="45" w:type="dxa"/>
            </w:tcMar>
          </w:tcPr>
          <w:p w14:paraId="61A6C704" w14:textId="77777777" w:rsidR="001932B4" w:rsidRDefault="00E65D41">
            <w:pPr>
              <w:jc w:val="center"/>
              <w:rPr>
                <w:rFonts w:ascii="Amasis MT Pro" w:eastAsia="Amasis MT Pro" w:hAnsi="Amasis MT Pro" w:cs="Amasis MT Pro"/>
                <w:sz w:val="16"/>
                <w:szCs w:val="16"/>
              </w:rPr>
            </w:pPr>
            <w:r>
              <w:rPr>
                <w:rFonts w:ascii="Amasis MT Pro" w:eastAsia="Amasis MT Pro" w:hAnsi="Amasis MT Pro" w:cs="Amasis MT Pro"/>
                <w:sz w:val="16"/>
                <w:szCs w:val="16"/>
              </w:rPr>
              <w:t>377,228</w:t>
            </w:r>
          </w:p>
        </w:tc>
      </w:tr>
    </w:tbl>
    <w:p w14:paraId="3517E757" w14:textId="77777777" w:rsidR="001932B4" w:rsidRDefault="001932B4">
      <w:pPr>
        <w:jc w:val="both"/>
        <w:rPr>
          <w:rFonts w:ascii="Amasis MT Pro" w:eastAsia="Amasis MT Pro" w:hAnsi="Amasis MT Pro" w:cs="Amasis MT Pro"/>
          <w:sz w:val="18"/>
          <w:szCs w:val="18"/>
        </w:rPr>
      </w:pPr>
    </w:p>
    <w:p w14:paraId="7112C347" w14:textId="0CBC9A49" w:rsidR="001932B4" w:rsidRDefault="00E65D41">
      <w:pPr>
        <w:widowControl w:val="0"/>
        <w:tabs>
          <w:tab w:val="left" w:pos="409"/>
        </w:tabs>
        <w:jc w:val="both"/>
        <w:rPr>
          <w:rFonts w:ascii="Amasis MT Pro" w:eastAsia="Amasis MT Pro" w:hAnsi="Amasis MT Pro" w:cs="Amasis MT Pro"/>
          <w:sz w:val="18"/>
          <w:szCs w:val="18"/>
        </w:rPr>
      </w:pPr>
      <w:r>
        <w:rPr>
          <w:rFonts w:ascii="Amasis MT Pro" w:eastAsia="Amasis MT Pro" w:hAnsi="Amasis MT Pro" w:cs="Amasis MT Pro"/>
          <w:sz w:val="18"/>
          <w:szCs w:val="18"/>
        </w:rPr>
        <w:tab/>
        <w:t xml:space="preserve">The highest value for carbon surface area </w:t>
      </w:r>
      <w:r>
        <w:rPr>
          <w:rFonts w:ascii="Amasis MT Pro" w:eastAsia="Amasis MT Pro" w:hAnsi="Amasis MT Pro" w:cs="Amasis MT Pro"/>
          <w:sz w:val="18"/>
          <w:szCs w:val="18"/>
        </w:rPr>
        <w:t>was obtained after 30 hours of immersion time, while the lowest surface area was obtained after 12 hours of immersion time. The increase in carbon surface area is usually caused by the evaporation of compounds contained in the material. This evaporation le</w:t>
      </w:r>
      <w:r>
        <w:rPr>
          <w:rFonts w:ascii="Amasis MT Pro" w:eastAsia="Amasis MT Pro" w:hAnsi="Amasis MT Pro" w:cs="Amasis MT Pro"/>
          <w:sz w:val="18"/>
          <w:szCs w:val="18"/>
        </w:rPr>
        <w:t>ads to the formation of pores on the carbon surface</w:t>
      </w:r>
      <w:r w:rsidR="003C08F8">
        <w:rPr>
          <w:rFonts w:ascii="Amasis MT Pro" w:eastAsia="Amasis MT Pro" w:hAnsi="Amasis MT Pro" w:cs="Amasis MT Pro"/>
          <w:sz w:val="18"/>
          <w:szCs w:val="18"/>
        </w:rPr>
        <w:t xml:space="preserve"> </w:t>
      </w:r>
      <w:r w:rsidR="00835B27">
        <w:rPr>
          <w:rFonts w:ascii="Amasis MT Pro" w:eastAsia="Amasis MT Pro" w:hAnsi="Amasis MT Pro" w:cs="Amasis MT Pro"/>
          <w:sz w:val="18"/>
          <w:szCs w:val="18"/>
        </w:rPr>
        <w:fldChar w:fldCharType="begin" w:fldLock="1"/>
      </w:r>
      <w:r w:rsidR="00584DCF">
        <w:rPr>
          <w:rFonts w:ascii="Amasis MT Pro" w:eastAsia="Amasis MT Pro" w:hAnsi="Amasis MT Pro" w:cs="Amasis MT Pro"/>
          <w:sz w:val="18"/>
          <w:szCs w:val="18"/>
        </w:rPr>
        <w:instrText>ADDIN CSL_CITATION {"citationItems":[{"id":"ITEM-1","itemData":{"DOI":"10.1016/j.chemosphere.2015.05.084","ISSN":"18791298","PMID":"26058554","abstract":"Biochar conversion of sugarcane and rice harvest residues provides an alternative for managing these crop residues that are traditionally burned in open field. Sugarcane leaves, bagasse, rice straw and husk were converted to biochar at four pyrolysis temperatures (PTs) of 450. °C, 550. °C, 650. °C, and 750. °C and evaluated for various elemental, molecular and surface properties. The carbon content of biochars was highest for those produced at 650-750. °C. Biochars produced at 550. °C showed the characteristics of biochar that are commonly interpreted as being stable in soil, with low H/C and O/C ratios and pyrolysis fingerprints dominated by aromatic and polyaromatic hydrocarbons. At 550. °C, all biochars also exhibited maximum CEC values with sugarcane leaves biochar (SLB) &gt; sugarcane bagasse biochar (SBB) &gt; rice straw biochar (RSB) &gt; rice husk biochar (RHB). The pore size distribution of biochars was dominated by pores of 20. nm and high PT increased both smaller and larger than 50. nm pores. Water holding capacity of biochars increased with PT but the magnitude of the increase was limited by feedstock types, likely related to the hydrophobicity of biochars as evident by molecular composition, besides pore volume properties of biochars. Py-GC/MS analysis revealed a clear destruction of lignin with decarboxylation and demethoxylation at 450. °C and dehydroxylation at above 550. °C. Overall, biochar molecular compositions became similar as PT increased, and the biochars produced at 550. °C demonstrated characteristics that have potential benefit as soil amendment for improving both C sequestration and nutrient dynamics.","author":[{"dropping-particle":"","family":"Jeong","given":"Chang Yoon","non-dropping-particle":"","parse-names":false,"suffix":""},{"dropping-particle":"","family":"Dodla","given":"Syam K.","non-dropping-particle":"","parse-names":false,"suffix":""},{"dropping-particle":"","family":"Wang","given":"Jim J.","non-dropping-particle":"","parse-names":false,"suffix":""}],"container-title":"Chemosphere","id":"ITEM-1","issued":{"date-parts":[["2016"]]},"page":"4-13","publisher":"Elsevier Ltd","title":"Fundamental and molecular composition characteristics of biochars produced from sugarcane and rice crop residues and by-products","type":"article-journal","volume":"142"},"uris":["http://www.mendeley.com/documents/?uuid=a75970f0-9c66-4328-a865-de202d62e736"]}],"mendeley":{"formattedCitation":"(Jeong et al., 2016)","plainTextFormattedCitation":"(Jeong et al., 2016)","previouslyFormattedCitation":"(Jeong et al., 2016)"},"properties":{"noteIndex":0},"schema":"https://github.com/citation-style-language/schema/raw/master/csl-citation.json"}</w:instrText>
      </w:r>
      <w:r w:rsidR="00835B27">
        <w:rPr>
          <w:rFonts w:ascii="Amasis MT Pro" w:eastAsia="Amasis MT Pro" w:hAnsi="Amasis MT Pro" w:cs="Amasis MT Pro"/>
          <w:sz w:val="18"/>
          <w:szCs w:val="18"/>
        </w:rPr>
        <w:fldChar w:fldCharType="separate"/>
      </w:r>
      <w:r w:rsidR="00835B27" w:rsidRPr="00835B27">
        <w:rPr>
          <w:rFonts w:ascii="Amasis MT Pro" w:eastAsia="Amasis MT Pro" w:hAnsi="Amasis MT Pro" w:cs="Amasis MT Pro"/>
          <w:noProof/>
          <w:sz w:val="18"/>
          <w:szCs w:val="18"/>
        </w:rPr>
        <w:t>(Jeong et al., 2016)</w:t>
      </w:r>
      <w:r w:rsidR="00835B27">
        <w:rPr>
          <w:rFonts w:ascii="Amasis MT Pro" w:eastAsia="Amasis MT Pro" w:hAnsi="Amasis MT Pro" w:cs="Amasis MT Pro"/>
          <w:sz w:val="18"/>
          <w:szCs w:val="18"/>
        </w:rPr>
        <w:fldChar w:fldCharType="end"/>
      </w:r>
      <w:r>
        <w:rPr>
          <w:rFonts w:ascii="Amasis MT Pro" w:eastAsia="Amasis MT Pro" w:hAnsi="Amasis MT Pro" w:cs="Amasis MT Pro"/>
          <w:sz w:val="18"/>
          <w:szCs w:val="18"/>
        </w:rPr>
        <w:t>.</w:t>
      </w:r>
      <w:r>
        <w:rPr>
          <w:rFonts w:ascii="Amasis MT Pro" w:eastAsia="Amasis MT Pro" w:hAnsi="Amasis MT Pro" w:cs="Amasis MT Pro"/>
          <w:color w:val="374151"/>
          <w:sz w:val="18"/>
          <w:szCs w:val="18"/>
          <w:shd w:val="clear" w:color="auto" w:fill="F7F7F8"/>
        </w:rPr>
        <w:t xml:space="preserve"> </w:t>
      </w:r>
      <w:r>
        <w:rPr>
          <w:rFonts w:ascii="Amasis MT Pro" w:eastAsia="Amasis MT Pro" w:hAnsi="Amasis MT Pro" w:cs="Amasis MT Pro"/>
          <w:sz w:val="18"/>
          <w:szCs w:val="18"/>
        </w:rPr>
        <w:t>The pore volume helps determine the amount of nitrogen gas absorbed on the surface of the activated carbon from OPF. Among the five samples, it can b</w:t>
      </w:r>
      <w:r>
        <w:rPr>
          <w:rFonts w:ascii="Amasis MT Pro" w:eastAsia="Amasis MT Pro" w:hAnsi="Amasis MT Pro" w:cs="Amasis MT Pro"/>
          <w:sz w:val="18"/>
          <w:szCs w:val="18"/>
        </w:rPr>
        <w:t>e concluded that the sample with a 30-hour immersion variation had the highest surface area, specifically 396,808 m</w:t>
      </w:r>
      <w:r>
        <w:rPr>
          <w:rFonts w:ascii="Amasis MT Pro" w:eastAsia="Amasis MT Pro" w:hAnsi="Amasis MT Pro" w:cs="Amasis MT Pro"/>
          <w:sz w:val="18"/>
          <w:szCs w:val="18"/>
          <w:vertAlign w:val="superscript"/>
        </w:rPr>
        <w:t>2</w:t>
      </w:r>
      <w:r>
        <w:rPr>
          <w:rFonts w:ascii="Amasis MT Pro" w:eastAsia="Amasis MT Pro" w:hAnsi="Amasis MT Pro" w:cs="Amasis MT Pro"/>
          <w:sz w:val="18"/>
          <w:szCs w:val="18"/>
        </w:rPr>
        <w:t>.g</w:t>
      </w:r>
      <w:r>
        <w:rPr>
          <w:rFonts w:ascii="Amasis MT Pro" w:eastAsia="Amasis MT Pro" w:hAnsi="Amasis MT Pro" w:cs="Amasis MT Pro"/>
          <w:sz w:val="18"/>
          <w:szCs w:val="18"/>
          <w:vertAlign w:val="superscript"/>
        </w:rPr>
        <w:t>-1</w:t>
      </w:r>
      <w:r>
        <w:rPr>
          <w:rFonts w:ascii="Amasis MT Pro" w:eastAsia="Amasis MT Pro" w:hAnsi="Amasis MT Pro" w:cs="Amasis MT Pro"/>
          <w:sz w:val="18"/>
          <w:szCs w:val="18"/>
        </w:rPr>
        <w:t>. Based on these data, it was concluded that soaking the carbon with the NaOH activator for 30 hours was the optimal activation time bec</w:t>
      </w:r>
      <w:r>
        <w:rPr>
          <w:rFonts w:ascii="Amasis MT Pro" w:eastAsia="Amasis MT Pro" w:hAnsi="Amasis MT Pro" w:cs="Amasis MT Pro"/>
          <w:sz w:val="18"/>
          <w:szCs w:val="18"/>
        </w:rPr>
        <w:t xml:space="preserve">ause a larger surface area of carbon pores </w:t>
      </w:r>
      <w:r>
        <w:rPr>
          <w:rFonts w:ascii="Amasis MT Pro" w:eastAsia="Amasis MT Pro" w:hAnsi="Amasis MT Pro" w:cs="Amasis MT Pro"/>
          <w:sz w:val="18"/>
          <w:szCs w:val="18"/>
        </w:rPr>
        <w:lastRenderedPageBreak/>
        <w:t>results in stronger carbon absorption.</w:t>
      </w:r>
    </w:p>
    <w:p w14:paraId="0A530076" w14:textId="6A76C4FE" w:rsidR="00AB4944" w:rsidRPr="00835B27" w:rsidRDefault="00AB4944" w:rsidP="00AB4944">
      <w:pPr>
        <w:widowControl w:val="0"/>
        <w:tabs>
          <w:tab w:val="left" w:pos="409"/>
        </w:tabs>
        <w:jc w:val="both"/>
        <w:rPr>
          <w:rStyle w:val="Hyperlink"/>
          <w:rFonts w:ascii="Amasis MT Pro" w:eastAsia="Amasis MT Pro" w:hAnsi="Amasis MT Pro" w:cs="Amasis MT Pro"/>
          <w:color w:val="auto"/>
          <w:sz w:val="18"/>
          <w:szCs w:val="18"/>
          <w:lang w:val="en-US"/>
        </w:rPr>
      </w:pPr>
      <w:r w:rsidRPr="00835B27">
        <w:rPr>
          <w:rFonts w:ascii="Amasis MT Pro" w:eastAsia="Amasis MT Pro" w:hAnsi="Amasis MT Pro" w:cs="Amasis MT Pro"/>
          <w:sz w:val="18"/>
          <w:szCs w:val="18"/>
        </w:rPr>
        <w:tab/>
      </w:r>
      <w:r w:rsidRPr="00835B27">
        <w:rPr>
          <w:rFonts w:ascii="Amasis MT Pro" w:eastAsia="Amasis MT Pro" w:hAnsi="Amasis MT Pro" w:cs="Amasis MT Pro"/>
          <w:sz w:val="18"/>
          <w:szCs w:val="18"/>
          <w:lang w:val="en-US"/>
        </w:rPr>
        <w:t>Activated carbon can have a surface area of 300 m²/g or higher. For example, a study reported the preparation of activated carbon from pea peels by chemical activation with zinc chloride, which had a surface area measured by the Brunauer-Emmett-Teller analyzer (BET) of not specified value but was confirmed to be a very good adsorbent for efficient removal of Cr (VI)</w:t>
      </w:r>
      <w:r w:rsidR="00AD4345">
        <w:rPr>
          <w:rFonts w:ascii="Amasis MT Pro" w:eastAsia="Amasis MT Pro" w:hAnsi="Amasis MT Pro" w:cs="Amasis MT Pro"/>
          <w:sz w:val="18"/>
          <w:szCs w:val="18"/>
          <w:lang w:val="en-US"/>
        </w:rPr>
        <w:t xml:space="preserve"> </w:t>
      </w:r>
      <w:r w:rsidR="00AD4345">
        <w:rPr>
          <w:rFonts w:ascii="Amasis MT Pro" w:eastAsia="Amasis MT Pro" w:hAnsi="Amasis MT Pro" w:cs="Amasis MT Pro"/>
          <w:sz w:val="18"/>
          <w:szCs w:val="18"/>
          <w:lang w:val="en-US"/>
        </w:rPr>
        <w:fldChar w:fldCharType="begin" w:fldLock="1"/>
      </w:r>
      <w:r w:rsidR="0089296E">
        <w:rPr>
          <w:rFonts w:ascii="Amasis MT Pro" w:eastAsia="Amasis MT Pro" w:hAnsi="Amasis MT Pro" w:cs="Amasis MT Pro"/>
          <w:sz w:val="18"/>
          <w:szCs w:val="18"/>
          <w:lang w:val="en-US"/>
        </w:rPr>
        <w:instrText>ADDIN CSL_CITATION {"citationItems":[{"id":"ITEM-1","itemData":{"DOI":"10.1080/15569543.2021.1908361","ISSN":"15569551","abstract":"This study demonstrates the use of an ecofriendly activated carbon (AC) prepared from pea peels by chemical activation with zinc chloride for the biosorption of Cr (VI) from aqueous solutions. The prepared AC was characterized by Fourier transform infrared spectrometry (FTIR), scanning electron microscopy (SEM) and Brunauer–Emmett–Teller analyzer (BET). Characterization of AC confirmed the presence of majorly carbonyl and hydroxyl groups, which constitute important adsorption centers. The results declared that prepared AC is designed to be a very good adsorbent for efficient removal of Cr (VI). The maximum adsorption capacity was 480.05 mg/g at an initial Cr (VI) concentration of 400 mg/L.","author":[{"dropping-particle":"","family":"Sahlabji","given":"Taher","non-dropping-particle":"","parse-names":false,"suffix":""},{"dropping-particle":"","family":"El-Nemr","given":"Mohamed A.","non-dropping-particle":"","parse-names":false,"suffix":""},{"dropping-particle":"El","family":"Nemr","given":"Ahmed","non-dropping-particle":"","parse-names":false,"suffix":""},{"dropping-particle":"","family":"Ragab","given":"Safaa","non-dropping-particle":"","parse-names":false,"suffix":""},{"dropping-particle":"","family":"Alghamdi","given":"Majed M.","non-dropping-particle":"","parse-names":false,"suffix":""},{"dropping-particle":"","family":"El-Zahhar","given":"Adel A.","non-dropping-particle":"","parse-names":false,"suffix":""},{"dropping-particle":"","family":"Idris","given":"Abubakr M.","non-dropping-particle":"","parse-names":false,"suffix":""},{"dropping-particle":"","family":"Said","given":"Tarek O.","non-dropping-particle":"","parse-names":false,"suffix":""}],"container-title":"Toxin Rev.","id":"ITEM-1","issue":"2","issued":{"date-parts":[["2022"]]},"page":"639-649","publisher":"Taylor &amp; Francis","title":"High surface area microporous activated carbon from Pisum sativum peels for hexavalent chromium removal from aquatic environment","type":"article-journal","volume":"41"},"uris":["http://www.mendeley.com/documents/?uuid=c772d9c9-4fb1-415a-b6e5-b003f792eaff"]}],"mendeley":{"formattedCitation":"(Sahlabji et al., 2022)","plainTextFormattedCitation":"(Sahlabji et al., 2022)","previouslyFormattedCitation":"(Sahlabji et al., 2022)"},"properties":{"noteIndex":0},"schema":"https://github.com/citation-style-language/schema/raw/master/csl-citation.json"}</w:instrText>
      </w:r>
      <w:r w:rsidR="00AD4345">
        <w:rPr>
          <w:rFonts w:ascii="Amasis MT Pro" w:eastAsia="Amasis MT Pro" w:hAnsi="Amasis MT Pro" w:cs="Amasis MT Pro"/>
          <w:sz w:val="18"/>
          <w:szCs w:val="18"/>
          <w:lang w:val="en-US"/>
        </w:rPr>
        <w:fldChar w:fldCharType="separate"/>
      </w:r>
      <w:r w:rsidR="00AD4345" w:rsidRPr="00AD4345">
        <w:rPr>
          <w:rFonts w:ascii="Amasis MT Pro" w:eastAsia="Amasis MT Pro" w:hAnsi="Amasis MT Pro" w:cs="Amasis MT Pro"/>
          <w:noProof/>
          <w:sz w:val="18"/>
          <w:szCs w:val="18"/>
          <w:lang w:val="en-US"/>
        </w:rPr>
        <w:t>(Sahlabji et al., 2022)</w:t>
      </w:r>
      <w:r w:rsidR="00AD4345">
        <w:rPr>
          <w:rFonts w:ascii="Amasis MT Pro" w:eastAsia="Amasis MT Pro" w:hAnsi="Amasis MT Pro" w:cs="Amasis MT Pro"/>
          <w:sz w:val="18"/>
          <w:szCs w:val="18"/>
          <w:lang w:val="en-US"/>
        </w:rPr>
        <w:fldChar w:fldCharType="end"/>
      </w:r>
      <w:r w:rsidR="00AD4345">
        <w:rPr>
          <w:rFonts w:ascii="Amasis MT Pro" w:eastAsia="Amasis MT Pro" w:hAnsi="Amasis MT Pro" w:cs="Amasis MT Pro"/>
          <w:sz w:val="18"/>
          <w:szCs w:val="18"/>
          <w:lang w:val="en-US"/>
        </w:rPr>
        <w:t>.</w:t>
      </w:r>
      <w:r w:rsidRPr="00835B27">
        <w:rPr>
          <w:rFonts w:ascii="Amasis MT Pro" w:eastAsia="Amasis MT Pro" w:hAnsi="Amasis MT Pro" w:cs="Amasis MT Pro"/>
          <w:sz w:val="18"/>
          <w:szCs w:val="18"/>
          <w:lang w:val="en-US"/>
        </w:rPr>
        <w:t> Another study reported the synthesis of a carbon-based nanoscale material with a unique highly porous structure, which had a BET-estimated specific surface area of 3167 m²/g</w:t>
      </w:r>
      <w:r w:rsidRPr="00835B27">
        <w:rPr>
          <w:rFonts w:ascii="Amasis MT Pro" w:eastAsia="Amasis MT Pro" w:hAnsi="Amasis MT Pro" w:cs="Amasis MT Pro"/>
          <w:sz w:val="18"/>
          <w:szCs w:val="18"/>
          <w:lang w:val="en-US"/>
        </w:rPr>
        <w:fldChar w:fldCharType="begin"/>
      </w:r>
      <w:r w:rsidRPr="00835B27">
        <w:rPr>
          <w:rFonts w:ascii="Amasis MT Pro" w:eastAsia="Amasis MT Pro" w:hAnsi="Amasis MT Pro" w:cs="Amasis MT Pro"/>
          <w:sz w:val="18"/>
          <w:szCs w:val="18"/>
          <w:lang w:val="en-US"/>
        </w:rPr>
        <w:instrText>HYPERLINK "https://www.ncbi.nlm.nih.gov/pmc/articles/PMC8156701/" \t "_blank"</w:instrText>
      </w:r>
      <w:r w:rsidRPr="00835B27">
        <w:rPr>
          <w:rFonts w:ascii="Amasis MT Pro" w:eastAsia="Amasis MT Pro" w:hAnsi="Amasis MT Pro" w:cs="Amasis MT Pro"/>
          <w:sz w:val="18"/>
          <w:szCs w:val="18"/>
          <w:lang w:val="en-US"/>
        </w:rPr>
        <w:fldChar w:fldCharType="separate"/>
      </w:r>
      <w:r w:rsidR="00AD4345">
        <w:rPr>
          <w:rStyle w:val="Hyperlink"/>
          <w:rFonts w:ascii="Amasis MT Pro" w:eastAsia="Amasis MT Pro" w:hAnsi="Amasis MT Pro" w:cs="Amasis MT Pro"/>
          <w:color w:val="auto"/>
          <w:sz w:val="18"/>
          <w:szCs w:val="18"/>
          <w:lang w:val="en-US"/>
        </w:rPr>
        <w:t xml:space="preserve"> </w:t>
      </w:r>
      <w:r w:rsidR="00AD4345">
        <w:rPr>
          <w:rStyle w:val="Hyperlink"/>
          <w:rFonts w:ascii="Amasis MT Pro" w:eastAsia="Amasis MT Pro" w:hAnsi="Amasis MT Pro" w:cs="Amasis MT Pro"/>
          <w:color w:val="auto"/>
          <w:sz w:val="18"/>
          <w:szCs w:val="18"/>
          <w:lang w:val="en-US"/>
        </w:rPr>
        <w:fldChar w:fldCharType="begin" w:fldLock="1"/>
      </w:r>
      <w:r w:rsidR="006F27A6">
        <w:rPr>
          <w:rStyle w:val="Hyperlink"/>
          <w:rFonts w:ascii="Amasis MT Pro" w:eastAsia="Amasis MT Pro" w:hAnsi="Amasis MT Pro" w:cs="Amasis MT Pro"/>
          <w:color w:val="auto"/>
          <w:sz w:val="18"/>
          <w:szCs w:val="18"/>
          <w:lang w:val="en-US"/>
        </w:rPr>
        <w:instrText>ADDIN CSL_CITATION {"citationItems":[{"id":"ITEM-1","itemData":{"DOI":"10.3390/nano11051324","ISSN":"20794991","abstract":"The alkaline activation of a carbonized graphene oxide/dextrin mixture yielded a carbonbased nanoscale material (AC</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TR) with a unique highly porous structure. The BET</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estimated specific surface area of the material is 3167 m2/g, which is higher than the specific surface area of a graphene layer. The material has a density of 0.34 g/cm3 and electrical resistivity of 0.25 Ω∙cm and its properties were studied using the elemental analysis, transmission electron microscopy (TEM), electron diffraction (ED), X</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ray diffraction (XRD), Raman spectroscopy, X</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ray photoelectron spectroscopy (XPS), X</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ray induced Auger electron spectroscopy (XAES), and electron energy loss spectroscopy (EELS) in the plasmon excitation range. From these data, we derive an integral understanding of the structure of this material. The concentration of sp3 carbon atoms was found to be relatively low with an absolute value that depends on the measurement method. It was shown that there is no graphite</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like (002) peak in the electron and X</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ray diffraction pattern. The characteristic size of a sp2</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domain in the basal plane estimated from the Raman spectra was 7 nm. It was also found that plasmon peaks in the EELS spectrum of AC</w:instrText>
      </w:r>
      <w:r w:rsidR="006F27A6">
        <w:rPr>
          <w:rStyle w:val="Hyperlink"/>
          <w:rFonts w:eastAsia="Amasis MT Pro"/>
          <w:color w:val="auto"/>
          <w:sz w:val="18"/>
          <w:szCs w:val="18"/>
          <w:lang w:val="en-US"/>
        </w:rPr>
        <w:instrText>‐</w:instrText>
      </w:r>
      <w:r w:rsidR="006F27A6">
        <w:rPr>
          <w:rStyle w:val="Hyperlink"/>
          <w:rFonts w:ascii="Amasis MT Pro" w:eastAsia="Amasis MT Pro" w:hAnsi="Amasis MT Pro" w:cs="Amasis MT Pro"/>
          <w:color w:val="auto"/>
          <w:sz w:val="18"/>
          <w:szCs w:val="18"/>
          <w:lang w:val="en-US"/>
        </w:rPr>
        <w:instrText>TR are downshifted compared to those of graphite.","author":[{"dropping-particle":"","family":"Shulga","given":"Yury M.","non-dropping-particle":"","parse-names":false,"suffix":""},{"dropping-particle":"","family":"Kabachkov","given":"Eugene N.","non-dropping-particle":"","parse-names":false,"suffix":""},{"dropping-particle":"","family":"Korepanov","given":"Vitaly I.","non-dropping-particle":"","parse-names":false,"suffix":""},{"dropping-particle":"","family":"Khodos","given":"Igor I.","non-dropping-particle":"","parse-names":false,"suffix":""},{"dropping-particle":"","family":"Kovalev","given":"Dmitry Y.","non-dropping-particle":"","parse-names":false,"suffix":""},{"dropping-particle":"V.","family":"Melezhik","given":"Alexandr","non-dropping-particle":"","parse-names":false,"suffix":""},{"dropping-particle":"","family":"Tkachev","given":"Aleksei G.","non-dropping-particle":"","parse-names":false,"suffix":""},{"dropping-particle":"","family":"Gutsev","given":"Gennady L.","non-dropping-particle":"","parse-names":false,"suffix":""}],"container-title":"Nanomaterials","id":"ITEM-1","issue":"5","issued":{"date-parts":[["2021"]]},"page":"1-16","title":"The concentration of c(Sp3) atoms and properties of an activated carbon with over 3000 m2/g bet surface area","type":"article-journal","volume":"11"},"uris":["http://www.mendeley.com/documents/?uuid=4e8c905c-5ac6-4c6c-9f2a-2392a72e1fa6"]}],"mendeley":{"formattedCitation":"(Shulga et al., 2021)","plainTextFormattedCitation":"(Shulga et al., 2021)","previouslyFormattedCitation":"(Shulga et al., 2021)"},"properties":{"noteIndex":0},"schema":"https://github.com/citation-style-language/schema/raw/master/csl-citation.json"}</w:instrText>
      </w:r>
      <w:r w:rsidR="00AD4345">
        <w:rPr>
          <w:rStyle w:val="Hyperlink"/>
          <w:rFonts w:ascii="Amasis MT Pro" w:eastAsia="Amasis MT Pro" w:hAnsi="Amasis MT Pro" w:cs="Amasis MT Pro"/>
          <w:color w:val="auto"/>
          <w:sz w:val="18"/>
          <w:szCs w:val="18"/>
          <w:lang w:val="en-US"/>
        </w:rPr>
        <w:fldChar w:fldCharType="separate"/>
      </w:r>
      <w:r w:rsidR="00AD4345" w:rsidRPr="00AD4345">
        <w:rPr>
          <w:rStyle w:val="Hyperlink"/>
          <w:rFonts w:ascii="Amasis MT Pro" w:eastAsia="Amasis MT Pro" w:hAnsi="Amasis MT Pro" w:cs="Amasis MT Pro"/>
          <w:noProof/>
          <w:color w:val="auto"/>
          <w:sz w:val="18"/>
          <w:szCs w:val="18"/>
          <w:u w:val="none"/>
          <w:lang w:val="en-US"/>
        </w:rPr>
        <w:t>(Shulga et al., 2021)</w:t>
      </w:r>
      <w:r w:rsidR="00AD4345">
        <w:rPr>
          <w:rStyle w:val="Hyperlink"/>
          <w:rFonts w:ascii="Amasis MT Pro" w:eastAsia="Amasis MT Pro" w:hAnsi="Amasis MT Pro" w:cs="Amasis MT Pro"/>
          <w:color w:val="auto"/>
          <w:sz w:val="18"/>
          <w:szCs w:val="18"/>
          <w:lang w:val="en-US"/>
        </w:rPr>
        <w:fldChar w:fldCharType="end"/>
      </w:r>
      <w:r w:rsidR="006F27A6">
        <w:rPr>
          <w:rStyle w:val="Hyperlink"/>
          <w:rFonts w:ascii="Amasis MT Pro" w:eastAsia="Amasis MT Pro" w:hAnsi="Amasis MT Pro" w:cs="Amasis MT Pro"/>
          <w:color w:val="auto"/>
          <w:sz w:val="18"/>
          <w:szCs w:val="18"/>
          <w:lang w:val="en-US"/>
        </w:rPr>
        <w:t>.</w:t>
      </w:r>
    </w:p>
    <w:p w14:paraId="3EBDEAED" w14:textId="2D4568CA" w:rsidR="00AB4944" w:rsidRDefault="00AB4944" w:rsidP="00AB4944">
      <w:pPr>
        <w:widowControl w:val="0"/>
        <w:tabs>
          <w:tab w:val="left" w:pos="409"/>
        </w:tabs>
        <w:jc w:val="both"/>
        <w:rPr>
          <w:rFonts w:ascii="Amasis MT Pro" w:eastAsia="Amasis MT Pro" w:hAnsi="Amasis MT Pro" w:cs="Amasis MT Pro"/>
          <w:sz w:val="18"/>
          <w:szCs w:val="18"/>
        </w:rPr>
      </w:pPr>
      <w:r w:rsidRPr="00835B27">
        <w:rPr>
          <w:rFonts w:ascii="Amasis MT Pro" w:eastAsia="Amasis MT Pro" w:hAnsi="Amasis MT Pro" w:cs="Amasis MT Pro"/>
          <w:sz w:val="18"/>
          <w:szCs w:val="18"/>
        </w:rPr>
        <w:fldChar w:fldCharType="end"/>
      </w:r>
    </w:p>
    <w:p w14:paraId="12152CC0" w14:textId="77777777" w:rsidR="001932B4" w:rsidRPr="00764708" w:rsidRDefault="00E65D41">
      <w:pPr>
        <w:widowControl w:val="0"/>
        <w:tabs>
          <w:tab w:val="left" w:pos="409"/>
        </w:tabs>
        <w:jc w:val="both"/>
        <w:rPr>
          <w:rFonts w:ascii="Amasis MT Pro" w:eastAsia="Amasis MT Pro" w:hAnsi="Amasis MT Pro" w:cs="Amasis MT Pro"/>
          <w:i/>
          <w:iCs/>
          <w:sz w:val="18"/>
          <w:szCs w:val="18"/>
        </w:rPr>
      </w:pPr>
      <w:r>
        <w:rPr>
          <w:rFonts w:ascii="Amasis MT Pro" w:eastAsia="Amasis MT Pro" w:hAnsi="Amasis MT Pro" w:cs="Amasis MT Pro"/>
          <w:sz w:val="18"/>
          <w:szCs w:val="18"/>
        </w:rPr>
        <w:t xml:space="preserve">3.2.2 </w:t>
      </w:r>
      <w:r w:rsidRPr="00764708">
        <w:rPr>
          <w:rFonts w:ascii="Amasis MT Pro" w:eastAsia="Amasis MT Pro" w:hAnsi="Amasis MT Pro" w:cs="Amasis MT Pro"/>
          <w:i/>
          <w:iCs/>
          <w:sz w:val="18"/>
          <w:szCs w:val="18"/>
        </w:rPr>
        <w:t>Comparative analysis of OPF morphology Activation Concentration and Immersion Time</w:t>
      </w:r>
    </w:p>
    <w:p w14:paraId="5162858F" w14:textId="77777777" w:rsidR="001932B4" w:rsidRDefault="001932B4">
      <w:pPr>
        <w:widowControl w:val="0"/>
        <w:tabs>
          <w:tab w:val="left" w:pos="409"/>
        </w:tabs>
        <w:rPr>
          <w:rFonts w:ascii="Amasis MT Pro" w:eastAsia="Amasis MT Pro" w:hAnsi="Amasis MT Pro" w:cs="Amasis MT Pro"/>
          <w:sz w:val="18"/>
          <w:szCs w:val="18"/>
        </w:rPr>
      </w:pPr>
    </w:p>
    <w:tbl>
      <w:tblPr>
        <w:tblStyle w:val="a3"/>
        <w:tblW w:w="48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20"/>
        <w:gridCol w:w="2421"/>
      </w:tblGrid>
      <w:tr w:rsidR="001932B4" w14:paraId="121FCD20" w14:textId="77777777">
        <w:tc>
          <w:tcPr>
            <w:tcW w:w="2420" w:type="dxa"/>
            <w:tcBorders>
              <w:top w:val="nil"/>
              <w:left w:val="nil"/>
              <w:bottom w:val="nil"/>
              <w:right w:val="nil"/>
            </w:tcBorders>
            <w:shd w:val="clear" w:color="auto" w:fill="auto"/>
            <w:tcMar>
              <w:top w:w="100" w:type="dxa"/>
              <w:left w:w="100" w:type="dxa"/>
              <w:bottom w:w="100" w:type="dxa"/>
              <w:right w:w="100" w:type="dxa"/>
            </w:tcMar>
          </w:tcPr>
          <w:p w14:paraId="4BAAA78C" w14:textId="77777777" w:rsidR="001932B4" w:rsidRDefault="00E65D41">
            <w:pPr>
              <w:widowControl w:val="0"/>
              <w:tabs>
                <w:tab w:val="left" w:pos="409"/>
              </w:tabs>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2EFDE6A9" wp14:editId="5D86B4DD">
                  <wp:extent cx="1400175" cy="1054100"/>
                  <wp:effectExtent l="0" t="0" r="0" b="0"/>
                  <wp:docPr id="1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0"/>
                          <a:srcRect/>
                          <a:stretch>
                            <a:fillRect/>
                          </a:stretch>
                        </pic:blipFill>
                        <pic:spPr>
                          <a:xfrm>
                            <a:off x="0" y="0"/>
                            <a:ext cx="1400175" cy="1054100"/>
                          </a:xfrm>
                          <a:prstGeom prst="rect">
                            <a:avLst/>
                          </a:prstGeom>
                          <a:ln/>
                        </pic:spPr>
                      </pic:pic>
                    </a:graphicData>
                  </a:graphic>
                </wp:inline>
              </w:drawing>
            </w:r>
          </w:p>
          <w:p w14:paraId="6CEA9593"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(a)</w:t>
            </w:r>
          </w:p>
        </w:tc>
        <w:tc>
          <w:tcPr>
            <w:tcW w:w="2420" w:type="dxa"/>
            <w:tcBorders>
              <w:top w:val="nil"/>
              <w:left w:val="nil"/>
              <w:bottom w:val="nil"/>
              <w:right w:val="nil"/>
            </w:tcBorders>
            <w:shd w:val="clear" w:color="auto" w:fill="auto"/>
            <w:tcMar>
              <w:top w:w="100" w:type="dxa"/>
              <w:left w:w="100" w:type="dxa"/>
              <w:bottom w:w="100" w:type="dxa"/>
              <w:right w:w="100" w:type="dxa"/>
            </w:tcMar>
          </w:tcPr>
          <w:p w14:paraId="7E7921EF" w14:textId="77777777" w:rsidR="001932B4" w:rsidRDefault="00E65D41">
            <w:pPr>
              <w:widowControl w:val="0"/>
              <w:tabs>
                <w:tab w:val="left" w:pos="409"/>
              </w:tabs>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13D56977" wp14:editId="7D3BB246">
                  <wp:extent cx="1400175" cy="1054100"/>
                  <wp:effectExtent l="0" t="0" r="0" b="0"/>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1"/>
                          <a:srcRect/>
                          <a:stretch>
                            <a:fillRect/>
                          </a:stretch>
                        </pic:blipFill>
                        <pic:spPr>
                          <a:xfrm>
                            <a:off x="0" y="0"/>
                            <a:ext cx="1400175" cy="1054100"/>
                          </a:xfrm>
                          <a:prstGeom prst="rect">
                            <a:avLst/>
                          </a:prstGeom>
                          <a:ln/>
                        </pic:spPr>
                      </pic:pic>
                    </a:graphicData>
                  </a:graphic>
                </wp:inline>
              </w:drawing>
            </w:r>
          </w:p>
          <w:p w14:paraId="0817BFA5"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(b)</w:t>
            </w:r>
          </w:p>
        </w:tc>
      </w:tr>
      <w:tr w:rsidR="001932B4" w14:paraId="6404FC2E" w14:textId="77777777">
        <w:tc>
          <w:tcPr>
            <w:tcW w:w="2420" w:type="dxa"/>
            <w:tcBorders>
              <w:top w:val="nil"/>
              <w:left w:val="nil"/>
              <w:bottom w:val="nil"/>
              <w:right w:val="nil"/>
            </w:tcBorders>
            <w:shd w:val="clear" w:color="auto" w:fill="auto"/>
            <w:tcMar>
              <w:top w:w="100" w:type="dxa"/>
              <w:left w:w="100" w:type="dxa"/>
              <w:bottom w:w="100" w:type="dxa"/>
              <w:right w:w="100" w:type="dxa"/>
            </w:tcMar>
          </w:tcPr>
          <w:p w14:paraId="690CF03B" w14:textId="77777777" w:rsidR="001932B4" w:rsidRDefault="00E65D41">
            <w:pPr>
              <w:widowControl w:val="0"/>
              <w:shd w:val="clear" w:color="auto" w:fill="FFFFFF"/>
              <w:tabs>
                <w:tab w:val="left" w:pos="409"/>
              </w:tabs>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76332289" wp14:editId="22C0CC65">
                  <wp:extent cx="1400175" cy="1054100"/>
                  <wp:effectExtent l="0" t="0" r="0" b="0"/>
                  <wp:docPr id="2"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22"/>
                          <a:srcRect/>
                          <a:stretch>
                            <a:fillRect/>
                          </a:stretch>
                        </pic:blipFill>
                        <pic:spPr>
                          <a:xfrm>
                            <a:off x="0" y="0"/>
                            <a:ext cx="1400175" cy="1054100"/>
                          </a:xfrm>
                          <a:prstGeom prst="rect">
                            <a:avLst/>
                          </a:prstGeom>
                          <a:ln/>
                        </pic:spPr>
                      </pic:pic>
                    </a:graphicData>
                  </a:graphic>
                </wp:inline>
              </w:drawing>
            </w:r>
          </w:p>
          <w:p w14:paraId="3068FCB3"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(c)</w:t>
            </w:r>
          </w:p>
        </w:tc>
        <w:tc>
          <w:tcPr>
            <w:tcW w:w="2420" w:type="dxa"/>
            <w:tcBorders>
              <w:top w:val="nil"/>
              <w:left w:val="nil"/>
              <w:bottom w:val="nil"/>
              <w:right w:val="nil"/>
            </w:tcBorders>
            <w:shd w:val="clear" w:color="auto" w:fill="auto"/>
            <w:tcMar>
              <w:top w:w="100" w:type="dxa"/>
              <w:left w:w="100" w:type="dxa"/>
              <w:bottom w:w="100" w:type="dxa"/>
              <w:right w:w="100" w:type="dxa"/>
            </w:tcMar>
          </w:tcPr>
          <w:p w14:paraId="46B31CC5" w14:textId="77777777" w:rsidR="001932B4" w:rsidRDefault="00E65D41">
            <w:pPr>
              <w:widowControl w:val="0"/>
              <w:shd w:val="clear" w:color="auto" w:fill="FFFFFF"/>
              <w:tabs>
                <w:tab w:val="left" w:pos="409"/>
              </w:tabs>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596E0473" wp14:editId="6CAD8DBC">
                  <wp:extent cx="1400175" cy="1054100"/>
                  <wp:effectExtent l="0" t="0" r="0" b="0"/>
                  <wp:docPr id="12"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3"/>
                          <a:srcRect/>
                          <a:stretch>
                            <a:fillRect/>
                          </a:stretch>
                        </pic:blipFill>
                        <pic:spPr>
                          <a:xfrm>
                            <a:off x="0" y="0"/>
                            <a:ext cx="1400175" cy="1054100"/>
                          </a:xfrm>
                          <a:prstGeom prst="rect">
                            <a:avLst/>
                          </a:prstGeom>
                          <a:ln/>
                        </pic:spPr>
                      </pic:pic>
                    </a:graphicData>
                  </a:graphic>
                </wp:inline>
              </w:drawing>
            </w:r>
          </w:p>
          <w:p w14:paraId="60637ED1"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(d)</w:t>
            </w:r>
          </w:p>
        </w:tc>
      </w:tr>
      <w:tr w:rsidR="001932B4" w14:paraId="6622A09C" w14:textId="77777777">
        <w:trPr>
          <w:trHeight w:val="380"/>
        </w:trPr>
        <w:tc>
          <w:tcPr>
            <w:tcW w:w="4840" w:type="dxa"/>
            <w:gridSpan w:val="2"/>
            <w:tcBorders>
              <w:top w:val="nil"/>
              <w:left w:val="nil"/>
              <w:bottom w:val="nil"/>
              <w:right w:val="nil"/>
            </w:tcBorders>
            <w:shd w:val="clear" w:color="auto" w:fill="auto"/>
            <w:tcMar>
              <w:top w:w="100" w:type="dxa"/>
              <w:left w:w="100" w:type="dxa"/>
              <w:bottom w:w="100" w:type="dxa"/>
              <w:right w:w="100" w:type="dxa"/>
            </w:tcMar>
          </w:tcPr>
          <w:p w14:paraId="2E4B4BE6" w14:textId="77777777" w:rsidR="001932B4" w:rsidRDefault="00E65D41">
            <w:pPr>
              <w:widowControl w:val="0"/>
              <w:shd w:val="clear" w:color="auto" w:fill="FFFFFF"/>
              <w:tabs>
                <w:tab w:val="left" w:pos="409"/>
              </w:tabs>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59235CF5" wp14:editId="3CB1FFFE">
                  <wp:extent cx="1463040" cy="1097280"/>
                  <wp:effectExtent l="0" t="0" r="0" b="0"/>
                  <wp:docPr id="1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4"/>
                          <a:srcRect/>
                          <a:stretch>
                            <a:fillRect/>
                          </a:stretch>
                        </pic:blipFill>
                        <pic:spPr>
                          <a:xfrm>
                            <a:off x="0" y="0"/>
                            <a:ext cx="1463040" cy="1097280"/>
                          </a:xfrm>
                          <a:prstGeom prst="rect">
                            <a:avLst/>
                          </a:prstGeom>
                          <a:ln/>
                        </pic:spPr>
                      </pic:pic>
                    </a:graphicData>
                  </a:graphic>
                </wp:inline>
              </w:drawing>
            </w:r>
          </w:p>
          <w:p w14:paraId="19AB9292"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(e)</w:t>
            </w:r>
          </w:p>
        </w:tc>
      </w:tr>
    </w:tbl>
    <w:p w14:paraId="59787C01" w14:textId="77777777" w:rsidR="001932B4" w:rsidRDefault="001932B4">
      <w:pPr>
        <w:widowControl w:val="0"/>
        <w:shd w:val="clear" w:color="auto" w:fill="FFFFFF"/>
        <w:tabs>
          <w:tab w:val="left" w:pos="409"/>
        </w:tabs>
        <w:rPr>
          <w:rFonts w:ascii="Amasis MT Pro" w:eastAsia="Amasis MT Pro" w:hAnsi="Amasis MT Pro" w:cs="Amasis MT Pro"/>
          <w:sz w:val="18"/>
          <w:szCs w:val="18"/>
        </w:rPr>
      </w:pPr>
    </w:p>
    <w:p w14:paraId="7E3A0B73" w14:textId="77777777" w:rsidR="001932B4" w:rsidRDefault="00E65D41">
      <w:pPr>
        <w:shd w:val="clear" w:color="auto" w:fill="FFFFFF"/>
        <w:spacing w:after="200"/>
        <w:ind w:firstLine="270"/>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Figure 5 </w:t>
      </w:r>
      <w:r w:rsidRPr="00F20863">
        <w:rPr>
          <w:rFonts w:ascii="Amasis MT Pro" w:eastAsia="Amasis MT Pro" w:hAnsi="Amasis MT Pro" w:cs="Amasis MT Pro"/>
          <w:bCs/>
          <w:sz w:val="16"/>
          <w:szCs w:val="16"/>
        </w:rPr>
        <w:t>Scanning Electron Microscopy Test Results of Concentration Variations (a) 0.5 M, (b) 1 M, (c) 1.5 M, (d) 2 M, (e) 2.5 M.</w:t>
      </w:r>
    </w:p>
    <w:p w14:paraId="13D639DC" w14:textId="3FA6A32E" w:rsidR="001932B4" w:rsidRDefault="00E65D41">
      <w:pPr>
        <w:shd w:val="clear" w:color="auto" w:fill="FFFFFF"/>
        <w:ind w:firstLine="270"/>
        <w:jc w:val="both"/>
        <w:rPr>
          <w:rFonts w:ascii="Amasis MT Pro" w:eastAsia="Amasis MT Pro" w:hAnsi="Amasis MT Pro" w:cs="Amasis MT Pro"/>
          <w:color w:val="000000"/>
          <w:sz w:val="18"/>
          <w:szCs w:val="18"/>
        </w:rPr>
      </w:pPr>
      <w:r>
        <w:rPr>
          <w:rFonts w:ascii="Amasis MT Pro" w:eastAsia="Amasis MT Pro" w:hAnsi="Amasis MT Pro" w:cs="Amasis MT Pro"/>
          <w:sz w:val="18"/>
          <w:szCs w:val="18"/>
          <w:highlight w:val="white"/>
        </w:rPr>
        <w:t>Based on Figure 5, the results of activated carbon morphology can be determined, and the formed pores on the surface area of activated carbon can be observed. The activation process with a concentration variation of 0.5 M NaOH. As can be seen, pores are fo</w:t>
      </w:r>
      <w:r>
        <w:rPr>
          <w:rFonts w:ascii="Amasis MT Pro" w:eastAsia="Amasis MT Pro" w:hAnsi="Amasis MT Pro" w:cs="Amasis MT Pro"/>
          <w:sz w:val="18"/>
          <w:szCs w:val="18"/>
          <w:highlight w:val="white"/>
        </w:rPr>
        <w:t>rmed, but the number of pores formed in the activated carbon is insignificant. In Figure (5 b), the morphology results of activated carbon with a concentration variation of 1 M, which is the optimal concentration resulting in the largest surface area, show</w:t>
      </w:r>
      <w:r>
        <w:rPr>
          <w:rFonts w:ascii="Amasis MT Pro" w:eastAsia="Amasis MT Pro" w:hAnsi="Amasis MT Pro" w:cs="Amasis MT Pro"/>
          <w:sz w:val="18"/>
          <w:szCs w:val="18"/>
          <w:highlight w:val="white"/>
        </w:rPr>
        <w:t xml:space="preserve"> an increase in the number and size of pores compared to the previous concentration in the activated carbon. This indicates that increasing the concentration in the chemical activation of carbon can increase the surface area and the number of pores. This i</w:t>
      </w:r>
      <w:r>
        <w:rPr>
          <w:rFonts w:ascii="Amasis MT Pro" w:eastAsia="Amasis MT Pro" w:hAnsi="Amasis MT Pro" w:cs="Amasis MT Pro"/>
          <w:sz w:val="18"/>
          <w:szCs w:val="18"/>
          <w:highlight w:val="white"/>
        </w:rPr>
        <w:t xml:space="preserve">s also supported </w:t>
      </w:r>
      <w:r w:rsidR="00584DCF">
        <w:rPr>
          <w:rFonts w:ascii="Amasis MT Pro" w:eastAsia="Amasis MT Pro" w:hAnsi="Amasis MT Pro" w:cs="Amasis MT Pro"/>
          <w:sz w:val="18"/>
          <w:szCs w:val="18"/>
          <w:highlight w:val="white"/>
        </w:rPr>
        <w:fldChar w:fldCharType="begin" w:fldLock="1"/>
      </w:r>
      <w:r w:rsidR="00584DCF">
        <w:rPr>
          <w:rFonts w:ascii="Amasis MT Pro" w:eastAsia="Amasis MT Pro" w:hAnsi="Amasis MT Pro" w:cs="Amasis MT Pro"/>
          <w:sz w:val="18"/>
          <w:szCs w:val="18"/>
          <w:highlight w:val="white"/>
        </w:rPr>
        <w:instrText>ADDIN CSL_CITATION {"citationItems":[{"id":"ITEM-1","itemData":{"DOI":"10.1142/S1793292020501064","ISSN":"17932920","abstract":"Biomass-based activated porous carbon (PC) with large porosity and high surface area has been considered as potential electrode material for supercapacitors. The spongy-like porous-activated carbon (SPAC) was prepared from millfeed by one-step carbonization/activation with KOH treatment. It shows three-dimensional (3D) spongy-like structure and high specific surface area (1535m2g-1). The SPAC electrode exhibits a high specific capacitance (237.9Fg-1 at a current density of 0.5Ag-1) and a superior cycle stability (the capacitance retention of 95% after 10000 cycles at 2Ag-1) in 2M KOH electrolyte, while the SPAC reveals a high specific capacitance of 157Fg-1 at 0.5Ag-1, good electrochemical stability with 93% capacitance retention after 5000 cycles in ionic liquids. Furthermore, the specific capacitance of SPAC//SPAC supercapacitor reaches 82.1Fg-1 at a current density of 0.5Ag-1 and achieves a high capacitance retention of 75% when the charging current increases to 10Ag-1 in 2M KOH electrolyte. The SPAC//SPAC supercapacitor possesses a high specific capacitance of 29.6Fg-1 at 0.5Ag-1 and a preeminent energy density of 27.8Whkg-1 (at a power density of 640Wkg-1) in ionic liquids. This paper provides a convenient approach to synthesize low-cost biomass-based carbon material for supercapacitor applications.","author":[{"dropping-particle":"","family":"Han","given":"Rong Rong","non-dropping-particle":"","parse-names":false,"suffix":""},{"dropping-particle":"","family":"Zhu","given":"Hao Yan","non-dropping-particle":"","parse-names":false,"suffix":""},{"dropping-particle":"","family":"Li","given":"Min Peng","non-dropping-particle":"","parse-names":false,"suffix":""},{"dropping-particle":"","family":"Yang","given":"Wen Tong","non-dropping-particle":"","parse-names":false,"suffix":""},{"dropping-particle":"","family":"Lu","given":"Chun","non-dropping-particle":"","parse-names":false,"suffix":""},{"dropping-particle":"","family":"Zhang","given":"Yu Shan","non-dropping-particle":"","parse-names":false,"suffix":""},{"dropping-particle":"","family":"Zhang","given":"Bin Mei","non-dropping-particle":"","parse-names":false,"suffix":""},{"dropping-particle":"","family":"Liang","given":"Xiao Rong","non-dropping-particle":"","parse-names":false,"suffix":""},{"dropping-particle":"","family":"Liu","given":"Mao Cheng","non-dropping-particle":"","parse-names":false,"suffix":""}],"container-title":"Nano","id":"ITEM-1","issue":"8","issued":{"date-parts":[["2020"]]},"title":"Efficient Preparation of Spongy-Like Porous-Activated Carbon from Waste Millfeed towards High Performance Supercapacitors","type":"article-journal","volume":"15"},"uris":["http://www.mendeley.com/documents/?uuid=d9e520b0-8895-4b65-a9ab-868750e1d8ff"]}],"mendeley":{"formattedCitation":"(Han et al., 2020)","plainTextFormattedCitation":"(Han et al., 2020)","previouslyFormattedCitation":"(Han et al., 2020)"},"properties":{"noteIndex":0},"schema":"https://github.com/citation-style-language/schema/raw/master/csl-citation.json"}</w:instrText>
      </w:r>
      <w:r w:rsidR="00584DCF">
        <w:rPr>
          <w:rFonts w:ascii="Amasis MT Pro" w:eastAsia="Amasis MT Pro" w:hAnsi="Amasis MT Pro" w:cs="Amasis MT Pro"/>
          <w:sz w:val="18"/>
          <w:szCs w:val="18"/>
          <w:highlight w:val="white"/>
        </w:rPr>
        <w:fldChar w:fldCharType="separate"/>
      </w:r>
      <w:r w:rsidR="00584DCF" w:rsidRPr="00584DCF">
        <w:rPr>
          <w:rFonts w:ascii="Amasis MT Pro" w:eastAsia="Amasis MT Pro" w:hAnsi="Amasis MT Pro" w:cs="Amasis MT Pro"/>
          <w:noProof/>
          <w:sz w:val="18"/>
          <w:szCs w:val="18"/>
          <w:highlight w:val="white"/>
        </w:rPr>
        <w:t>(Han et al., 2020)</w:t>
      </w:r>
      <w:r w:rsidR="00584DCF">
        <w:rPr>
          <w:rFonts w:ascii="Amasis MT Pro" w:eastAsia="Amasis MT Pro" w:hAnsi="Amasis MT Pro" w:cs="Amasis MT Pro"/>
          <w:sz w:val="18"/>
          <w:szCs w:val="18"/>
          <w:highlight w:val="white"/>
        </w:rPr>
        <w:fldChar w:fldCharType="end"/>
      </w:r>
      <w:r>
        <w:rPr>
          <w:rFonts w:ascii="Amasis MT Pro" w:eastAsia="Amasis MT Pro" w:hAnsi="Amasis MT Pro" w:cs="Amasis MT Pro"/>
          <w:sz w:val="18"/>
          <w:szCs w:val="18"/>
          <w:highlight w:val="white"/>
        </w:rPr>
        <w:t>, who stated that increasing the activator concentration in the chemical activation of carbon can enhance the pores in activated carbon</w:t>
      </w:r>
      <w:r>
        <w:rPr>
          <w:rFonts w:ascii="Amasis MT Pro" w:eastAsia="Amasis MT Pro" w:hAnsi="Amasis MT Pro" w:cs="Amasis MT Pro"/>
          <w:color w:val="D1D5DB"/>
          <w:sz w:val="18"/>
          <w:szCs w:val="18"/>
          <w:highlight w:val="white"/>
        </w:rPr>
        <w:t>.</w:t>
      </w:r>
    </w:p>
    <w:p w14:paraId="1C7662CC" w14:textId="1100D100" w:rsidR="001932B4" w:rsidRDefault="00E65D41">
      <w:pPr>
        <w:widowControl w:val="0"/>
        <w:tabs>
          <w:tab w:val="left" w:pos="284"/>
        </w:tabs>
        <w:spacing w:line="276" w:lineRule="auto"/>
        <w:jc w:val="both"/>
        <w:rPr>
          <w:rFonts w:ascii="Amasis MT Pro" w:eastAsia="Amasis MT Pro" w:hAnsi="Amasis MT Pro" w:cs="Amasis MT Pro"/>
          <w:sz w:val="18"/>
          <w:szCs w:val="18"/>
          <w:shd w:val="clear" w:color="auto" w:fill="444654"/>
        </w:rPr>
      </w:pPr>
      <w:r>
        <w:rPr>
          <w:rFonts w:ascii="Amasis MT Pro" w:eastAsia="Amasis MT Pro" w:hAnsi="Amasis MT Pro" w:cs="Amasis MT Pro"/>
          <w:sz w:val="18"/>
          <w:szCs w:val="18"/>
          <w:highlight w:val="white"/>
        </w:rPr>
        <w:tab/>
      </w:r>
      <w:r>
        <w:rPr>
          <w:rFonts w:ascii="Amasis MT Pro" w:eastAsia="Amasis MT Pro" w:hAnsi="Amasis MT Pro" w:cs="Amasis MT Pro"/>
          <w:sz w:val="18"/>
          <w:szCs w:val="18"/>
          <w:highlight w:val="white"/>
        </w:rPr>
        <w:t xml:space="preserve">In Figures (5 c), (5 d), and (5 e), pores are also formed; however, as the concentration used as a carbon activator increases, the formed pores become more damaged and covered by surface deterioration. Therefore, it can be concluded that excessive use of </w:t>
      </w:r>
      <w:r>
        <w:rPr>
          <w:rFonts w:ascii="Amasis MT Pro" w:eastAsia="Amasis MT Pro" w:hAnsi="Amasis MT Pro" w:cs="Amasis MT Pro"/>
          <w:sz w:val="18"/>
          <w:szCs w:val="18"/>
          <w:highlight w:val="white"/>
        </w:rPr>
        <w:lastRenderedPageBreak/>
        <w:t>t</w:t>
      </w:r>
      <w:r>
        <w:rPr>
          <w:rFonts w:ascii="Amasis MT Pro" w:eastAsia="Amasis MT Pro" w:hAnsi="Amasis MT Pro" w:cs="Amasis MT Pro"/>
          <w:sz w:val="18"/>
          <w:szCs w:val="18"/>
          <w:highlight w:val="white"/>
        </w:rPr>
        <w:t xml:space="preserve">he activator can lead to the degradation and destruction of the surface area and form pores. This aligns with the findings </w:t>
      </w:r>
      <w:r w:rsidR="00584DCF">
        <w:rPr>
          <w:rFonts w:ascii="Amasis MT Pro" w:eastAsia="Amasis MT Pro" w:hAnsi="Amasis MT Pro" w:cs="Amasis MT Pro"/>
          <w:sz w:val="18"/>
          <w:szCs w:val="18"/>
          <w:highlight w:val="white"/>
        </w:rPr>
        <w:fldChar w:fldCharType="begin" w:fldLock="1"/>
      </w:r>
      <w:r w:rsidR="00584DCF">
        <w:rPr>
          <w:rFonts w:ascii="Amasis MT Pro" w:eastAsia="Amasis MT Pro" w:hAnsi="Amasis MT Pro" w:cs="Amasis MT Pro"/>
          <w:sz w:val="18"/>
          <w:szCs w:val="18"/>
          <w:highlight w:val="white"/>
        </w:rPr>
        <w:instrText>ADDIN CSL_CITATION {"citationItems":[{"id":"ITEM-1","itemData":{"DOI":"10.1142/S1793292020501064","ISSN":"17932920","abstract":"Biomass-based activated porous carbon (PC) with large porosity and high surface area has been considered as potential electrode material for supercapacitors. The spongy-like porous-activated carbon (SPAC) was prepared from millfeed by one-step carbonization/activation with KOH treatment. It shows three-dimensional (3D) spongy-like structure and high specific surface area (1535m2g-1). The SPAC electrode exhibits a high specific capacitance (237.9Fg-1 at a current density of 0.5Ag-1) and a superior cycle stability (the capacitance retention of 95% after 10000 cycles at 2Ag-1) in 2M KOH electrolyte, while the SPAC reveals a high specific capacitance of 157Fg-1 at 0.5Ag-1, good electrochemical stability with 93% capacitance retention after 5000 cycles in ionic liquids. Furthermore, the specific capacitance of SPAC//SPAC supercapacitor reaches 82.1Fg-1 at a current density of 0.5Ag-1 and achieves a high capacitance retention of 75% when the charging current increases to 10Ag-1 in 2M KOH electrolyte. The SPAC//SPAC supercapacitor possesses a high specific capacitance of 29.6Fg-1 at 0.5Ag-1 and a preeminent energy density of 27.8Whkg-1 (at a power density of 640Wkg-1) in ionic liquids. This paper provides a convenient approach to synthesize low-cost biomass-based carbon material for supercapacitor applications.","author":[{"dropping-particle":"","family":"Han","given":"Rong Rong","non-dropping-particle":"","parse-names":false,"suffix":""},{"dropping-particle":"","family":"Zhu","given":"Hao Yan","non-dropping-particle":"","parse-names":false,"suffix":""},{"dropping-particle":"","family":"Li","given":"Min Peng","non-dropping-particle":"","parse-names":false,"suffix":""},{"dropping-particle":"","family":"Yang","given":"Wen Tong","non-dropping-particle":"","parse-names":false,"suffix":""},{"dropping-particle":"","family":"Lu","given":"Chun","non-dropping-particle":"","parse-names":false,"suffix":""},{"dropping-particle":"","family":"Zhang","given":"Yu Shan","non-dropping-particle":"","parse-names":false,"suffix":""},{"dropping-particle":"","family":"Zhang","given":"Bin Mei","non-dropping-particle":"","parse-names":false,"suffix":""},{"dropping-particle":"","family":"Liang","given":"Xiao Rong","non-dropping-particle":"","parse-names":false,"suffix":""},{"dropping-particle":"","family":"Liu","given":"Mao Cheng","non-dropping-particle":"","parse-names":false,"suffix":""}],"container-title":"Nano","id":"ITEM-1","issue":"8","issued":{"date-parts":[["2020"]]},"title":"Efficient Preparation of Spongy-Like Porous-Activated Carbon from Waste Millfeed towards High Performance Supercapacitors","type":"article-journal","volume":"15"},"uris":["http://www.mendeley.com/documents/?uuid=d9e520b0-8895-4b65-a9ab-868750e1d8ff"]}],"mendeley":{"formattedCitation":"(Han et al., 2020)","plainTextFormattedCitation":"(Han et al., 2020)","previouslyFormattedCitation":"(Han et al., 2020)"},"properties":{"noteIndex":0},"schema":"https://github.com/citation-style-language/schema/raw/master/csl-citation.json"}</w:instrText>
      </w:r>
      <w:r w:rsidR="00584DCF">
        <w:rPr>
          <w:rFonts w:ascii="Amasis MT Pro" w:eastAsia="Amasis MT Pro" w:hAnsi="Amasis MT Pro" w:cs="Amasis MT Pro"/>
          <w:sz w:val="18"/>
          <w:szCs w:val="18"/>
          <w:highlight w:val="white"/>
        </w:rPr>
        <w:fldChar w:fldCharType="separate"/>
      </w:r>
      <w:r w:rsidR="00584DCF" w:rsidRPr="00584DCF">
        <w:rPr>
          <w:rFonts w:ascii="Amasis MT Pro" w:eastAsia="Amasis MT Pro" w:hAnsi="Amasis MT Pro" w:cs="Amasis MT Pro"/>
          <w:noProof/>
          <w:sz w:val="18"/>
          <w:szCs w:val="18"/>
          <w:highlight w:val="white"/>
        </w:rPr>
        <w:t>(Han et al., 2020)</w:t>
      </w:r>
      <w:r w:rsidR="00584DCF">
        <w:rPr>
          <w:rFonts w:ascii="Amasis MT Pro" w:eastAsia="Amasis MT Pro" w:hAnsi="Amasis MT Pro" w:cs="Amasis MT Pro"/>
          <w:sz w:val="18"/>
          <w:szCs w:val="18"/>
          <w:highlight w:val="white"/>
        </w:rPr>
        <w:fldChar w:fldCharType="end"/>
      </w:r>
      <w:r>
        <w:rPr>
          <w:rFonts w:ascii="Amasis MT Pro" w:eastAsia="Amasis MT Pro" w:hAnsi="Amasis MT Pro" w:cs="Amasis MT Pro"/>
          <w:sz w:val="18"/>
          <w:szCs w:val="18"/>
          <w:highlight w:val="white"/>
        </w:rPr>
        <w:t xml:space="preserve">, as they stated that increasing </w:t>
      </w:r>
      <w:r>
        <w:rPr>
          <w:rFonts w:ascii="Amasis MT Pro" w:eastAsia="Amasis MT Pro" w:hAnsi="Amasis MT Pro" w:cs="Amasis MT Pro"/>
          <w:sz w:val="18"/>
          <w:szCs w:val="18"/>
          <w:highlight w:val="white"/>
        </w:rPr>
        <w:t>the concentration in the activation process can enhance the surface area and the number of pores in activated carbon. Excessive concentration can result in the deterioration of the activated carbon's pore surface.</w:t>
      </w:r>
    </w:p>
    <w:p w14:paraId="0568D416" w14:textId="67446250" w:rsidR="001932B4" w:rsidRDefault="00E65D41" w:rsidP="001E5384">
      <w:pPr>
        <w:spacing w:line="276" w:lineRule="auto"/>
        <w:ind w:firstLine="270"/>
        <w:jc w:val="both"/>
        <w:rPr>
          <w:rFonts w:ascii="Amasis MT Pro" w:eastAsia="Amasis MT Pro" w:hAnsi="Amasis MT Pro" w:cs="Amasis MT Pro"/>
          <w:sz w:val="18"/>
          <w:szCs w:val="18"/>
        </w:rPr>
      </w:pPr>
      <w:r>
        <w:rPr>
          <w:rFonts w:ascii="Amasis MT Pro" w:eastAsia="Amasis MT Pro" w:hAnsi="Amasis MT Pro" w:cs="Amasis MT Pro"/>
          <w:sz w:val="18"/>
          <w:szCs w:val="18"/>
        </w:rPr>
        <w:t>The carbon content in each concentration v</w:t>
      </w:r>
      <w:r>
        <w:rPr>
          <w:rFonts w:ascii="Amasis MT Pro" w:eastAsia="Amasis MT Pro" w:hAnsi="Amasis MT Pro" w:cs="Amasis MT Pro"/>
          <w:sz w:val="18"/>
          <w:szCs w:val="18"/>
        </w:rPr>
        <w:t>ariation can be observed for both chemical and physical activation processes. The difference in carbon content is due to the temperature in the physical activation process. The activation process in carbon can trigger the release of other elements from the</w:t>
      </w:r>
      <w:r>
        <w:rPr>
          <w:rFonts w:ascii="Amasis MT Pro" w:eastAsia="Amasis MT Pro" w:hAnsi="Amasis MT Pro" w:cs="Amasis MT Pro"/>
          <w:sz w:val="18"/>
          <w:szCs w:val="18"/>
        </w:rPr>
        <w:t xml:space="preserve"> structure. Among the five tested variations, the highest content obtained is carbon (C). According to </w:t>
      </w:r>
      <w:r w:rsidR="00584DC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{"citationItems":[{"id":"ITEM-1","itemData":{"DOI":"10.1016/j.rser.2017.04.117","ISSN":"18790690","abstract":"Activated carbon is a porous material that has been in many important ages of the human history. Lignocellulosic precursors and biomass sources have become important materials to produce it because their use produces many benefits, mainly environmental. Nowadays, it is possible to find numerous research papers devoted to the synthesis characterization and applications of novel precursors to produce activated carbon. Hence, special attention must be given to the relationship among the selected precursor characteristics, the final microstructure and properties of carbon. The present work provides a summary of research works outlining the use of lignocellulosic–based precursors to obtain activated carbons. A brief description of the characterization techniques for both, the precursors and activated carbons, comprising: physicochemical, micro/nanostructural, surface chemistry, textural and adsorption capacity features is presented. Finally, the application of these materials in adsorption of heavy metals, dyes, volatile organic compounds, gas storage and electrochemical capacitors is also included.","author":[{"dropping-particle":"","family":"González-García","given":"P.","non-dropping-particle":"","parse-names":false,"suffix":""}],"container-title":"Renewable Sustainable Energy Rev.","id":"ITEM-1","issue":"August 2017","issued":{"date-parts":[["2018"]]},"page":"1393-1414","publisher":"Elsevier Ltd","title":"Activated carbon from lignocellulosics precursors: A review of the synthesis methods, characterization techniques and applications","type":"article-journal","volume":"82"},"uris":["http://www.mendeley.com/documents/?uuid=9f8d078a-63a9-4a45-b838-9bdf8b09b27e"]}],"mendeley":{"formattedCitation":"(González-García, 2018)","plainTextFormattedCitation":"(González-García, 2018)","previouslyFormattedCitation":"(González-García, 2018)"},"properties":{"noteIndex":0},"schema":"https://github.com/citation-style-language/schema/raw/master/csl-citation.json"}</w:instrText>
      </w:r>
      <w:r w:rsidR="00584DCF">
        <w:rPr>
          <w:rFonts w:ascii="Amasis MT Pro" w:eastAsia="Amasis MT Pro" w:hAnsi="Amasis MT Pro" w:cs="Amasis MT Pro"/>
          <w:sz w:val="18"/>
          <w:szCs w:val="18"/>
        </w:rPr>
        <w:fldChar w:fldCharType="separate"/>
      </w:r>
      <w:r w:rsidR="00584DCF" w:rsidRPr="00584DCF">
        <w:rPr>
          <w:rFonts w:ascii="Amasis MT Pro" w:eastAsia="Amasis MT Pro" w:hAnsi="Amasis MT Pro" w:cs="Amasis MT Pro"/>
          <w:noProof/>
          <w:sz w:val="18"/>
          <w:szCs w:val="18"/>
        </w:rPr>
        <w:t>(González-García, 2018)</w:t>
      </w:r>
      <w:r w:rsidR="00584DCF">
        <w:rPr>
          <w:rFonts w:ascii="Amasis MT Pro" w:eastAsia="Amasis MT Pro" w:hAnsi="Amasis MT Pro" w:cs="Amasis MT Pro"/>
          <w:sz w:val="18"/>
          <w:szCs w:val="18"/>
        </w:rPr>
        <w:fldChar w:fldCharType="end"/>
      </w:r>
      <w:r>
        <w:rPr>
          <w:rFonts w:ascii="Amasis MT Pro" w:eastAsia="Amasis MT Pro" w:hAnsi="Amasis MT Pro" w:cs="Amasis MT Pro"/>
          <w:sz w:val="18"/>
          <w:szCs w:val="18"/>
        </w:rPr>
        <w:t>, the more carbon content produced, the more pores formed, increasi</w:t>
      </w:r>
      <w:r>
        <w:rPr>
          <w:rFonts w:ascii="Amasis MT Pro" w:eastAsia="Amasis MT Pro" w:hAnsi="Amasis MT Pro" w:cs="Amasis MT Pro"/>
          <w:sz w:val="18"/>
          <w:szCs w:val="18"/>
        </w:rPr>
        <w:t>ng the surface area.</w:t>
      </w:r>
      <w:r w:rsidR="001E5384">
        <w:rPr>
          <w:rFonts w:ascii="Amasis MT Pro" w:eastAsia="Amasis MT Pro" w:hAnsi="Amasis MT Pro" w:cs="Amasis MT Pro"/>
          <w:sz w:val="18"/>
          <w:szCs w:val="18"/>
        </w:rPr>
        <w:t xml:space="preserve"> </w:t>
      </w:r>
      <w:r>
        <w:rPr>
          <w:rFonts w:ascii="Amasis MT Pro" w:eastAsia="Amasis MT Pro" w:hAnsi="Amasis MT Pro" w:cs="Amasis MT Pro"/>
          <w:sz w:val="18"/>
          <w:szCs w:val="18"/>
        </w:rPr>
        <w:t xml:space="preserve">Based on the above analysis, it can be concluded that the activated carbon from OPF with NaOH concentrations above 0.5 M and below 1.5 M, specifically at 1 M concentration, will result in more evenly distributed pores in the activated carbon and a diverse </w:t>
      </w:r>
      <w:r>
        <w:rPr>
          <w:rFonts w:ascii="Amasis MT Pro" w:eastAsia="Amasis MT Pro" w:hAnsi="Amasis MT Pro" w:cs="Amasis MT Pro"/>
          <w:sz w:val="18"/>
          <w:szCs w:val="18"/>
        </w:rPr>
        <w:t xml:space="preserve">range of pore sizes on the carbon surface. The morphology analysis indicates that the highest number of pores is achieved at a concentration of 1 M, supported by a surface area measurement of 336.49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m</m:t>
            </m:r>
          </m:e>
          <m:sup>
            <m:r>
              <w:rPr>
                <w:rFonts w:ascii="Cambria Math" w:eastAsia="Cambria Math" w:hAnsi="Cambria Math" w:cs="Cambria Math"/>
                <w:sz w:val="18"/>
                <w:szCs w:val="18"/>
              </w:rPr>
              <m:t>2</m:t>
            </m:r>
          </m:sup>
        </m:sSup>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g</m:t>
            </m:r>
          </m:e>
          <m:sup>
            <m:r>
              <w:rPr>
                <w:rFonts w:ascii="Cambria Math" w:eastAsia="Cambria Math" w:hAnsi="Cambria Math" w:cs="Cambria Math"/>
                <w:sz w:val="18"/>
                <w:szCs w:val="18"/>
              </w:rPr>
              <m:t>-</m:t>
            </m:r>
            <m:r>
              <w:rPr>
                <w:rFonts w:ascii="Cambria Math" w:eastAsia="Cambria Math" w:hAnsi="Cambria Math" w:cs="Cambria Math"/>
                <w:sz w:val="18"/>
                <w:szCs w:val="18"/>
              </w:rPr>
              <m:t>1</m:t>
            </m:r>
          </m:sup>
        </m:sSup>
      </m:oMath>
      <w:r>
        <w:rPr>
          <w:rFonts w:ascii="Amasis MT Pro" w:eastAsia="Amasis MT Pro" w:hAnsi="Amasis MT Pro" w:cs="Amasis MT Pro"/>
          <w:sz w:val="18"/>
          <w:szCs w:val="18"/>
        </w:rPr>
        <w:t xml:space="preserve">. </w:t>
      </w:r>
    </w:p>
    <w:p w14:paraId="6DA86468" w14:textId="77777777" w:rsidR="00764708" w:rsidRDefault="00764708" w:rsidP="001E5384">
      <w:pPr>
        <w:spacing w:line="276" w:lineRule="auto"/>
        <w:ind w:firstLine="270"/>
        <w:jc w:val="both"/>
        <w:rPr>
          <w:rFonts w:ascii="Amasis MT Pro" w:eastAsia="Amasis MT Pro" w:hAnsi="Amasis MT Pro" w:cs="Amasis MT Pro"/>
          <w:sz w:val="18"/>
          <w:szCs w:val="18"/>
        </w:rPr>
      </w:pPr>
    </w:p>
    <w:tbl>
      <w:tblPr>
        <w:tblStyle w:val="a4"/>
        <w:tblW w:w="48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20"/>
        <w:gridCol w:w="2421"/>
      </w:tblGrid>
      <w:tr w:rsidR="001932B4" w14:paraId="1EE62E1B" w14:textId="77777777">
        <w:tc>
          <w:tcPr>
            <w:tcW w:w="2420" w:type="dxa"/>
            <w:tcBorders>
              <w:top w:val="nil"/>
              <w:left w:val="nil"/>
              <w:bottom w:val="nil"/>
              <w:right w:val="nil"/>
            </w:tcBorders>
            <w:shd w:val="clear" w:color="auto" w:fill="auto"/>
            <w:tcMar>
              <w:top w:w="100" w:type="dxa"/>
              <w:left w:w="100" w:type="dxa"/>
              <w:bottom w:w="100" w:type="dxa"/>
              <w:right w:w="100" w:type="dxa"/>
            </w:tcMar>
          </w:tcPr>
          <w:p w14:paraId="219CF7C8" w14:textId="77777777" w:rsidR="001932B4" w:rsidRDefault="00E65D41">
            <w:pPr>
              <w:spacing w:before="240" w:after="200" w:line="276" w:lineRule="auto"/>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13B676B6" wp14:editId="59F4E9E0">
                  <wp:extent cx="1400175" cy="1054100"/>
                  <wp:effectExtent l="0" t="0" r="0" b="0"/>
                  <wp:docPr id="9"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25"/>
                          <a:srcRect/>
                          <a:stretch>
                            <a:fillRect/>
                          </a:stretch>
                        </pic:blipFill>
                        <pic:spPr>
                          <a:xfrm>
                            <a:off x="0" y="0"/>
                            <a:ext cx="1400175" cy="1054100"/>
                          </a:xfrm>
                          <a:prstGeom prst="rect">
                            <a:avLst/>
                          </a:prstGeom>
                          <a:ln/>
                        </pic:spPr>
                      </pic:pic>
                    </a:graphicData>
                  </a:graphic>
                </wp:inline>
              </w:drawing>
            </w:r>
          </w:p>
          <w:p w14:paraId="1DDA7871"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(a)</w:t>
            </w:r>
          </w:p>
        </w:tc>
        <w:tc>
          <w:tcPr>
            <w:tcW w:w="2420" w:type="dxa"/>
            <w:tcBorders>
              <w:top w:val="nil"/>
              <w:left w:val="nil"/>
              <w:bottom w:val="nil"/>
              <w:right w:val="nil"/>
            </w:tcBorders>
            <w:shd w:val="clear" w:color="auto" w:fill="auto"/>
            <w:tcMar>
              <w:top w:w="100" w:type="dxa"/>
              <w:left w:w="100" w:type="dxa"/>
              <w:bottom w:w="100" w:type="dxa"/>
              <w:right w:w="100" w:type="dxa"/>
            </w:tcMar>
          </w:tcPr>
          <w:p w14:paraId="614B5726" w14:textId="77777777" w:rsidR="001932B4" w:rsidRDefault="00E65D41">
            <w:pPr>
              <w:spacing w:before="240" w:after="200" w:line="276" w:lineRule="auto"/>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23BD1456" wp14:editId="27C1F88B">
                  <wp:extent cx="1400175" cy="1054100"/>
                  <wp:effectExtent l="0" t="0" r="0" b="0"/>
                  <wp:docPr id="10"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26"/>
                          <a:srcRect/>
                          <a:stretch>
                            <a:fillRect/>
                          </a:stretch>
                        </pic:blipFill>
                        <pic:spPr>
                          <a:xfrm>
                            <a:off x="0" y="0"/>
                            <a:ext cx="1400175" cy="1054100"/>
                          </a:xfrm>
                          <a:prstGeom prst="rect">
                            <a:avLst/>
                          </a:prstGeom>
                          <a:ln/>
                        </pic:spPr>
                      </pic:pic>
                    </a:graphicData>
                  </a:graphic>
                </wp:inline>
              </w:drawing>
            </w:r>
          </w:p>
          <w:p w14:paraId="225B2D51"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(b)</w:t>
            </w:r>
          </w:p>
        </w:tc>
      </w:tr>
      <w:tr w:rsidR="001932B4" w14:paraId="5E58F5DE" w14:textId="77777777">
        <w:tc>
          <w:tcPr>
            <w:tcW w:w="2420" w:type="dxa"/>
            <w:tcBorders>
              <w:top w:val="nil"/>
              <w:left w:val="nil"/>
              <w:bottom w:val="nil"/>
              <w:right w:val="nil"/>
            </w:tcBorders>
            <w:shd w:val="clear" w:color="auto" w:fill="auto"/>
            <w:tcMar>
              <w:top w:w="100" w:type="dxa"/>
              <w:left w:w="100" w:type="dxa"/>
              <w:bottom w:w="100" w:type="dxa"/>
              <w:right w:w="100" w:type="dxa"/>
            </w:tcMar>
          </w:tcPr>
          <w:p w14:paraId="7F8385B1" w14:textId="77777777" w:rsidR="001932B4" w:rsidRDefault="00E65D41">
            <w:pPr>
              <w:spacing w:after="200" w:line="276" w:lineRule="auto"/>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5768A30B" wp14:editId="6443BFD3">
                  <wp:extent cx="1400175" cy="1054100"/>
                  <wp:effectExtent l="0" t="0" r="0" b="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7"/>
                          <a:srcRect/>
                          <a:stretch>
                            <a:fillRect/>
                          </a:stretch>
                        </pic:blipFill>
                        <pic:spPr>
                          <a:xfrm>
                            <a:off x="0" y="0"/>
                            <a:ext cx="1400175" cy="1054100"/>
                          </a:xfrm>
                          <a:prstGeom prst="rect">
                            <a:avLst/>
                          </a:prstGeom>
                          <a:ln/>
                        </pic:spPr>
                      </pic:pic>
                    </a:graphicData>
                  </a:graphic>
                </wp:inline>
              </w:drawing>
            </w:r>
          </w:p>
          <w:p w14:paraId="73ACC6DE"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(c)</w:t>
            </w:r>
          </w:p>
        </w:tc>
        <w:tc>
          <w:tcPr>
            <w:tcW w:w="2420" w:type="dxa"/>
            <w:tcBorders>
              <w:top w:val="nil"/>
              <w:left w:val="nil"/>
              <w:bottom w:val="nil"/>
              <w:right w:val="nil"/>
            </w:tcBorders>
            <w:shd w:val="clear" w:color="auto" w:fill="auto"/>
            <w:tcMar>
              <w:top w:w="100" w:type="dxa"/>
              <w:left w:w="100" w:type="dxa"/>
              <w:bottom w:w="100" w:type="dxa"/>
              <w:right w:w="100" w:type="dxa"/>
            </w:tcMar>
          </w:tcPr>
          <w:p w14:paraId="46561E52" w14:textId="17AAECBB" w:rsidR="001932B4" w:rsidRDefault="00B6202C">
            <w:pPr>
              <w:spacing w:after="200" w:line="276" w:lineRule="auto"/>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0" distB="0" distL="0" distR="0" wp14:anchorId="13488B84" wp14:editId="6E0AEECA">
                  <wp:extent cx="1406525" cy="1051509"/>
                  <wp:effectExtent l="0" t="0" r="3175" b="0"/>
                  <wp:docPr id="1984378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378158" name="Picture 1984378158"/>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11290" cy="1055071"/>
                          </a:xfrm>
                          <a:prstGeom prst="rect">
                            <a:avLst/>
                          </a:prstGeom>
                        </pic:spPr>
                      </pic:pic>
                    </a:graphicData>
                  </a:graphic>
                </wp:inline>
              </w:drawing>
            </w:r>
          </w:p>
          <w:p w14:paraId="70D60A60"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(d)</w:t>
            </w:r>
          </w:p>
        </w:tc>
      </w:tr>
      <w:tr w:rsidR="001932B4" w14:paraId="3BDA5BD4" w14:textId="77777777">
        <w:trPr>
          <w:trHeight w:val="380"/>
        </w:trPr>
        <w:tc>
          <w:tcPr>
            <w:tcW w:w="4840" w:type="dxa"/>
            <w:gridSpan w:val="2"/>
            <w:tcBorders>
              <w:top w:val="nil"/>
              <w:left w:val="nil"/>
              <w:bottom w:val="nil"/>
              <w:right w:val="nil"/>
            </w:tcBorders>
            <w:shd w:val="clear" w:color="auto" w:fill="auto"/>
            <w:tcMar>
              <w:top w:w="100" w:type="dxa"/>
              <w:left w:w="100" w:type="dxa"/>
              <w:bottom w:w="100" w:type="dxa"/>
              <w:right w:w="100" w:type="dxa"/>
            </w:tcMar>
          </w:tcPr>
          <w:p w14:paraId="15DD1C32" w14:textId="77777777" w:rsidR="001932B4" w:rsidRDefault="00E65D41">
            <w:pPr>
              <w:spacing w:after="200" w:line="276" w:lineRule="auto"/>
              <w:jc w:val="center"/>
              <w:rPr>
                <w:rFonts w:ascii="Amasis MT Pro" w:eastAsia="Amasis MT Pro" w:hAnsi="Amasis MT Pro" w:cs="Amasis MT Pro"/>
                <w:sz w:val="18"/>
                <w:szCs w:val="18"/>
              </w:rPr>
            </w:pPr>
            <w:r>
              <w:rPr>
                <w:rFonts w:ascii="Amasis MT Pro" w:eastAsia="Amasis MT Pro" w:hAnsi="Amasis MT Pro" w:cs="Amasis MT Pro"/>
                <w:noProof/>
                <w:sz w:val="18"/>
                <w:szCs w:val="18"/>
                <w:lang w:val="en-US" w:eastAsia="ja-JP"/>
              </w:rPr>
              <w:drawing>
                <wp:inline distT="114300" distB="114300" distL="114300" distR="114300" wp14:anchorId="787E961C" wp14:editId="2B51A1B1">
                  <wp:extent cx="1463040" cy="1097280"/>
                  <wp:effectExtent l="0" t="0" r="0" b="0"/>
                  <wp:docPr id="7"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29"/>
                          <a:srcRect/>
                          <a:stretch>
                            <a:fillRect/>
                          </a:stretch>
                        </pic:blipFill>
                        <pic:spPr>
                          <a:xfrm>
                            <a:off x="0" y="0"/>
                            <a:ext cx="1463040" cy="1097280"/>
                          </a:xfrm>
                          <a:prstGeom prst="rect">
                            <a:avLst/>
                          </a:prstGeom>
                          <a:ln/>
                        </pic:spPr>
                      </pic:pic>
                    </a:graphicData>
                  </a:graphic>
                </wp:inline>
              </w:drawing>
            </w:r>
          </w:p>
          <w:p w14:paraId="5E8F55C5" w14:textId="77777777" w:rsidR="001932B4" w:rsidRDefault="00E65D41">
            <w:pPr>
              <w:widowControl w:val="0"/>
              <w:pBdr>
                <w:top w:val="nil"/>
                <w:left w:val="nil"/>
                <w:bottom w:val="nil"/>
                <w:right w:val="nil"/>
                <w:between w:val="nil"/>
              </w:pBdr>
              <w:jc w:val="center"/>
              <w:rPr>
                <w:rFonts w:ascii="Amasis MT Pro" w:eastAsia="Amasis MT Pro" w:hAnsi="Amasis MT Pro" w:cs="Amasis MT Pro"/>
                <w:sz w:val="18"/>
                <w:szCs w:val="18"/>
              </w:rPr>
            </w:pPr>
            <w:r>
              <w:rPr>
                <w:rFonts w:ascii="Amasis MT Pro" w:eastAsia="Amasis MT Pro" w:hAnsi="Amasis MT Pro" w:cs="Amasis MT Pro"/>
                <w:sz w:val="18"/>
                <w:szCs w:val="18"/>
              </w:rPr>
              <w:t>(e)</w:t>
            </w:r>
          </w:p>
        </w:tc>
      </w:tr>
    </w:tbl>
    <w:p w14:paraId="4301B81F" w14:textId="77777777" w:rsidR="001932B4" w:rsidRDefault="00E65D41">
      <w:pPr>
        <w:spacing w:after="200" w:line="276" w:lineRule="auto"/>
        <w:ind w:firstLine="426"/>
        <w:jc w:val="center"/>
        <w:rPr>
          <w:rFonts w:ascii="Amasis MT Pro" w:eastAsia="Amasis MT Pro" w:hAnsi="Amasis MT Pro" w:cs="Amasis MT Pro"/>
          <w:b/>
          <w:sz w:val="16"/>
          <w:szCs w:val="16"/>
        </w:rPr>
      </w:pPr>
      <w:r>
        <w:rPr>
          <w:rFonts w:ascii="Amasis MT Pro" w:eastAsia="Amasis MT Pro" w:hAnsi="Amasis MT Pro" w:cs="Amasis MT Pro"/>
          <w:b/>
          <w:sz w:val="16"/>
          <w:szCs w:val="16"/>
        </w:rPr>
        <w:t xml:space="preserve">Figure 6 </w:t>
      </w:r>
      <w:r w:rsidRPr="00F20863">
        <w:rPr>
          <w:rFonts w:ascii="Amasis MT Pro" w:eastAsia="Amasis MT Pro" w:hAnsi="Amasis MT Pro" w:cs="Amasis MT Pro"/>
          <w:bCs/>
          <w:sz w:val="16"/>
          <w:szCs w:val="16"/>
        </w:rPr>
        <w:t>SEM-EDX Testing Results of Immersion Time Variations (a) 12 hours, (b) 18 hours, (c) 24 hours, (d) 30 hours, (e) 36 hours.</w:t>
      </w:r>
    </w:p>
    <w:p w14:paraId="79A88725" w14:textId="7840C9F9" w:rsidR="00DF0F06" w:rsidRPr="006F27A6" w:rsidRDefault="00DF0F06" w:rsidP="00E921A1">
      <w:pPr>
        <w:spacing w:line="276" w:lineRule="auto"/>
        <w:ind w:firstLine="270"/>
        <w:jc w:val="both"/>
        <w:rPr>
          <w:rFonts w:ascii="Amasis MT Pro" w:eastAsia="Amasis MT Pro" w:hAnsi="Amasis MT Pro" w:cs="Amasis MT Pro"/>
          <w:sz w:val="18"/>
          <w:szCs w:val="18"/>
        </w:rPr>
      </w:pPr>
      <w:r w:rsidRPr="006F27A6">
        <w:rPr>
          <w:rFonts w:ascii="Amasis MT Pro" w:eastAsia="Amasis MT Pro" w:hAnsi="Amasis MT Pro" w:cs="Amasis MT Pro"/>
          <w:sz w:val="18"/>
          <w:szCs w:val="18"/>
        </w:rPr>
        <w:t xml:space="preserve">The SEM results in Figures 6a, 6b, 6c show the formation of pores. However, the resulting pore is small when compared to the pore surface images of other variations. In addition, the pore surface is clogged with broken carbon particles and impurities. </w:t>
      </w:r>
      <w:r w:rsidRPr="006F27A6">
        <w:rPr>
          <w:rFonts w:ascii="Amasis MT Pro" w:eastAsia="Amasis MT Pro" w:hAnsi="Amasis MT Pro" w:cs="Amasis MT Pro"/>
          <w:sz w:val="18"/>
          <w:szCs w:val="18"/>
        </w:rPr>
        <w:lastRenderedPageBreak/>
        <w:t xml:space="preserve">According to a study, this was caused by activator activity during the activation process, where the short soaking time resulted in activation only occurring on the carbon surface </w:t>
      </w:r>
      <w:r w:rsidR="006F27A6">
        <w:rPr>
          <w:rFonts w:ascii="Amasis MT Pro" w:eastAsia="Amasis MT Pro" w:hAnsi="Amasis MT Pro" w:cs="Amasis MT Pro"/>
          <w:sz w:val="18"/>
          <w:szCs w:val="18"/>
        </w:rPr>
        <w:fldChar w:fldCharType="begin" w:fldLock="1"/>
      </w:r>
      <w:r w:rsidR="006F27A6">
        <w:rPr>
          <w:rFonts w:ascii="Amasis MT Pro" w:eastAsia="Amasis MT Pro" w:hAnsi="Amasis MT Pro" w:cs="Amasis MT Pro"/>
          <w:sz w:val="18"/>
          <w:szCs w:val="18"/>
        </w:rPr>
        <w:instrText>ADDIN CSL_CITATION {"citationItems":[{"id":"ITEM-1","itemData":{"DOI":"10.1142/S1793292020501064","ISSN":"17932920","abstract":"Biomass-based activated porous carbon (PC) with large porosity and high surface area has been considered as potential electrode material for supercapacitors. The spongy-like porous-activated carbon (SPAC) was prepared from millfeed by one-step carbonization/activation with KOH treatment. It shows three-dimensional (3D) spongy-like structure and high specific surface area (1535m2g-1). The SPAC electrode exhibits a high specific capacitance (237.9Fg-1 at a current density of 0.5Ag-1) and a superior cycle stability (the capacitance retention of 95% after 10000 cycles at 2Ag-1) in 2M KOH electrolyte, while the SPAC reveals a high specific capacitance of 157Fg-1 at 0.5Ag-1, good electrochemical stability with 93% capacitance retention after 5000 cycles in ionic liquids. Furthermore, the specific capacitance of SPAC//SPAC supercapacitor reaches 82.1Fg-1 at a current density of 0.5Ag-1 and achieves a high capacitance retention of 75% when the charging current increases to 10Ag-1 in 2M KOH electrolyte. The SPAC//SPAC supercapacitor possesses a high specific capacitance of 29.6Fg-1 at 0.5Ag-1 and a preeminent energy density of 27.8Whkg-1 (at a power density of 640Wkg-1) in ionic liquids. This paper provides a convenient approach to synthesize low-cost biomass-based carbon material for supercapacitor applications.","author":[{"dropping-particle":"","family":"Han","given":"Rong Rong","non-dropping-particle":"","parse-names":false,"suffix":""},{"dropping-particle":"","family":"Zhu","given":"Hao Yan","non-dropping-particle":"","parse-names":false,"suffix":""},{"dropping-particle":"","family":"Li","given":"Min Peng","non-dropping-particle":"","parse-names":false,"suffix":""},{"dropping-particle":"","family":"Yang","given":"Wen Tong","non-dropping-particle":"","parse-names":false,"suffix":""},{"dropping-particle":"","family":"Lu","given":"Chun","non-dropping-particle":"","parse-names":false,"suffix":""},{"dropping-particle":"","family":"Zhang","given":"Yu Shan","non-dropping-particle":"","parse-names":false,"suffix":""},{"dropping-particle":"","family":"Zhang","given":"Bin Mei","non-dropping-particle":"","parse-names":false,"suffix":""},{"dropping-particle":"","family":"Liang","given":"Xiao Rong","non-dropping-particle":"","parse-names":false,"suffix":""},{"dropping-particle":"","family":"Liu","given":"Mao Cheng","non-dropping-particle":"","parse-names":false,"suffix":""}],"container-title":"Nano","id":"ITEM-1","issue":"8","issued":{"date-parts":[["2020"]]},"title":"Efficient Preparation of Spongy-Like Porous-Activated Carbon from Waste Millfeed towards High Performance Supercapacitors","type":"article-journal","volume":"15"},"uris":["http://www.mendeley.com/documents/?uuid=d9e520b0-8895-4b65-a9ab-868750e1d8ff"]}],"mendeley":{"formattedCitation":"(Han et al., 2020)","plainTextFormattedCitation":"(Han et al., 2020)","previouslyFormattedCitation":"(Han et al., 2020)"},"properties":{"noteIndex":0},"schema":"https://github.com/citation-style-language/schema/raw/master/csl-citation.json"}</w:instrText>
      </w:r>
      <w:r w:rsidR="006F27A6">
        <w:rPr>
          <w:rFonts w:ascii="Amasis MT Pro" w:eastAsia="Amasis MT Pro" w:hAnsi="Amasis MT Pro" w:cs="Amasis MT Pro"/>
          <w:sz w:val="18"/>
          <w:szCs w:val="18"/>
        </w:rPr>
        <w:fldChar w:fldCharType="separate"/>
      </w:r>
      <w:r w:rsidR="006F27A6" w:rsidRPr="006F27A6">
        <w:rPr>
          <w:rFonts w:ascii="Amasis MT Pro" w:eastAsia="Amasis MT Pro" w:hAnsi="Amasis MT Pro" w:cs="Amasis MT Pro"/>
          <w:noProof/>
          <w:sz w:val="18"/>
          <w:szCs w:val="18"/>
        </w:rPr>
        <w:t>(Han et al., 2020)</w:t>
      </w:r>
      <w:r w:rsidR="006F27A6">
        <w:rPr>
          <w:rFonts w:ascii="Amasis MT Pro" w:eastAsia="Amasis MT Pro" w:hAnsi="Amasis MT Pro" w:cs="Amasis MT Pro"/>
          <w:sz w:val="18"/>
          <w:szCs w:val="18"/>
        </w:rPr>
        <w:fldChar w:fldCharType="end"/>
      </w:r>
      <w:r w:rsidRPr="006F27A6">
        <w:rPr>
          <w:rFonts w:ascii="Amasis MT Pro" w:eastAsia="Amasis MT Pro" w:hAnsi="Amasis MT Pro" w:cs="Amasis MT Pro"/>
          <w:sz w:val="18"/>
          <w:szCs w:val="18"/>
        </w:rPr>
        <w:t xml:space="preserve"> Other studies have shown that the surface of activated charcoal is still covered with non-carbon molecules that change its absorption. The ash produced when the carbon is physically activated is the origin of impurities between the carbon surfaces. Air is carbonized in the furnace, which ultimately leads to additional oxidation of minerals from the raw material, possibly contributing to the presence of ash. The ability of activated carbon to absorb will decrease due to high ash content</w:t>
      </w:r>
      <w:r w:rsidR="006F27A6">
        <w:rPr>
          <w:rFonts w:ascii="Amasis MT Pro" w:eastAsia="Amasis MT Pro" w:hAnsi="Amasis MT Pro" w:cs="Amasis MT Pro"/>
          <w:sz w:val="18"/>
          <w:szCs w:val="18"/>
        </w:rPr>
        <w:t xml:space="preserve"> </w:t>
      </w:r>
      <w:r w:rsidR="006F27A6">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{"citationItems":[{"id":"ITEM-1","itemData":{"DOI":"10.9734/jerr/2022/v23i10750","abstract":"Activated carbon was produced from powdered Raphia palm nut endocarp (REAC) using H3PO4 and CaCl2 as activators before carbonization, and the responses studied to investigate its suitability for solid adsorption refrigeration applications. Temperature, resident time, concentration, and impregnation ratio, were the parameters used and ash content, carbon yield and surface area were the responses. The effect of preparation sequence was evaluated. The efficiency of the activated carbon on the adsorption of methanol was investigated an experimental rig. 100 g of sample was carbonized at 200, 400 and 600oC, and the carbonized samples were used for solid adsorption refrigeration to determine the optimum carbonization temperature. Carbonization times (30, 60, 90, and 120 minutes), activating agent concentrations (25, 50, 75 and 100%) and impregnation ratios (1:1, 1:2, 1:3, and 1:4 precursor to activating agents) at the optimum temperature were used to determine the optimum resident time, concentration and impregnation ratio. The results revealed that H3PO4 activated samples at optimum conditions of 500˚C temperature, 50% concentration, 60 minutes resident time and 4 ml/g impregnation ratio yielded better response with low percentage of ash content (2.25%), high carbon yield (73.63%) and large surface area (2857.51 m2/g) activated carbon were obtained at the optimum conditions. The adsorbing efficiencies of the carbons prepared through activation with H3PO4 achieved 0.084 and 14.5 of Coefficient of Performance (COP) and Specific Cooling Power (SCP) respectively. The results indicated that the carbon is activation before carbonization is well suited solid adsorption refrigeration applications.","author":[{"dropping-particle":"","family":"Ayoola","given":"Rasheed Bolanle","non-dropping-particle":"","parse-names":false,"suffix":""},{"dropping-particle":"","family":"Edeoja","given":"Alex Okibe","non-dropping-particle":"","parse-names":false,"suffix":""},{"dropping-particle":"","family":"Ibrahim","given":"Jacob Sunday","non-dropping-particle":"","parse-names":false,"suffix":""},{"dropping-particle":"","family":"Kwaghger","given":"Aondona Karl","non-dropping-particle":"","parse-names":false,"suffix":""}],"container-title":"JERR","id":"ITEM-1","issue":"10","issued":{"date-parts":[["2022"]]},"page":"24-47","title":"Evaluation of Activated Carbon from Raphia Palm Nut Endocarp as Adsorbent for Solid Adsorption Refrigeration","type":"article-journal","volume":"23"},"uris":["http://www.mendeley.com/documents/?uuid=c95b0d06-6003-4b29-bcbc-f71d279133c2"]},{"id":"ITEM-2","itemData":{"DOI":"10.15376/biores.11.2.3384-3396","ISSN":"19302126","abstract":"To prepare activated carbons with a high porosity and low ash content from pyrolyzed rice husk, the method of KOH or K2CO3 solution leaching after CO2 activation was investigated. The effects of KOH or K2CO3 concentration and leaching time on the yield, ash content, and textural properties of the activated carbon were studied, and the activated carbon prepared under the best conditions was characterized. The results showed that the best leaching time was 1 h for KOH and K2CO3, and the best concentrations were 1.0 and 4.0 M, respectively. The leaching process was greatly beneficial to the development of the pore structure. The specific surface area of the activated carbon prepared under the most favorable conditions was approximately 1100 m2/g, and the iodine values were greater than 1100 mg/g. As a result of the leaching process, the ash content of the sample was notably decreased from 63% to approximately 5%, and the porosity development was attributed to the reaction of the leaching reagents with silica.","author":[{"dropping-particle":"","family":"Li","given":"Ming","non-dropping-particle":"","parse-names":false,"suffix":""},{"dropping-particle":"","family":"Ma","given":"Shanwei","non-dropping-particle":"","parse-names":false,"suffix":""},{"dropping-particle":"","family":"Zhu","given":"Xifeng","non-dropping-particle":"","parse-names":false,"suffix":""}],"container-title":"BioResources","id":"ITEM-2","issue":"2","issued":{"date-parts":[["2016"]]},"page":"3384-3396","title":"Preparation of activated carbon from pyrolyzed rice husk by leaching out ash content after Co2 activation","type":"article-journal","volume":"11"},"uris":["http://www.mendeley.com/documents/?uuid=87b143a7-e5c0-4144-9be1-40d6e9b3c9c6"]}],"mendeley":{"formattedCitation":"(Ayoola et al., 2022; Li et al., 2016)","plainTextFormattedCitation":"(Ayoola et al., 2022; Li et al., 2016)","previouslyFormattedCitation":"(Ayoola et al., 2022; Li et al., 2016)"},"properties":{"noteIndex":0},"schema":"https://github.com/citation-style-language/schema/raw/master/csl-citation.json"}</w:instrText>
      </w:r>
      <w:r w:rsidR="006F27A6">
        <w:rPr>
          <w:rFonts w:ascii="Amasis MT Pro" w:eastAsia="Amasis MT Pro" w:hAnsi="Amasis MT Pro" w:cs="Amasis MT Pro"/>
          <w:sz w:val="18"/>
          <w:szCs w:val="18"/>
        </w:rPr>
        <w:fldChar w:fldCharType="separate"/>
      </w:r>
      <w:r w:rsidR="006F27A6" w:rsidRPr="006F27A6">
        <w:rPr>
          <w:rFonts w:ascii="Amasis MT Pro" w:eastAsia="Amasis MT Pro" w:hAnsi="Amasis MT Pro" w:cs="Amasis MT Pro"/>
          <w:noProof/>
          <w:sz w:val="18"/>
          <w:szCs w:val="18"/>
        </w:rPr>
        <w:t>(Ayoola et al., 2022; Li et al., 2016)</w:t>
      </w:r>
      <w:r w:rsidR="006F27A6">
        <w:rPr>
          <w:rFonts w:ascii="Amasis MT Pro" w:eastAsia="Amasis MT Pro" w:hAnsi="Amasis MT Pro" w:cs="Amasis MT Pro"/>
          <w:sz w:val="18"/>
          <w:szCs w:val="18"/>
        </w:rPr>
        <w:fldChar w:fldCharType="end"/>
      </w:r>
      <w:r w:rsidR="006F27A6">
        <w:rPr>
          <w:rFonts w:ascii="Amasis MT Pro" w:eastAsia="Amasis MT Pro" w:hAnsi="Amasis MT Pro" w:cs="Amasis MT Pro"/>
          <w:sz w:val="18"/>
          <w:szCs w:val="18"/>
        </w:rPr>
        <w:t>.</w:t>
      </w:r>
    </w:p>
    <w:p w14:paraId="5421A198" w14:textId="65E5106B" w:rsidR="00D0100D" w:rsidRPr="006F27A6" w:rsidRDefault="00D0100D" w:rsidP="00E921A1">
      <w:pPr>
        <w:spacing w:line="276" w:lineRule="auto"/>
        <w:ind w:firstLine="270"/>
        <w:jc w:val="both"/>
        <w:rPr>
          <w:rFonts w:ascii="Amasis MT Pro" w:eastAsia="Amasis MT Pro" w:hAnsi="Amasis MT Pro" w:cs="Amasis MT Pro"/>
          <w:sz w:val="18"/>
          <w:szCs w:val="18"/>
        </w:rPr>
      </w:pPr>
      <w:r w:rsidRPr="006F27A6">
        <w:rPr>
          <w:rFonts w:ascii="Amasis MT Pro" w:eastAsia="Amasis MT Pro" w:hAnsi="Amasis MT Pro" w:cs="Amasis MT Pro"/>
          <w:sz w:val="18"/>
          <w:szCs w:val="18"/>
        </w:rPr>
        <w:t xml:space="preserve">In Figure 6d with 30 hours of immersion time, it can be seen that the activation process with NaOH has an effect on the carbon of the palm fronds. In this figure it can be seen that 30 hours of immersion gives a small pore shape and a carbon form with a large surface area. From Figure 6e, with the carbon immersion time of 36 hours in NaOH solution, it can be observed that large and homogeneous pores are formed. The carbon surface image is almost similar to the carbon image at 30 h immersion. However, there is decay on the carbon edge due to too long soaking time. </w:t>
      </w:r>
      <w:r w:rsidR="00173CDD" w:rsidRPr="006F27A6">
        <w:rPr>
          <w:rFonts w:ascii="Amasis MT Pro" w:eastAsia="Amasis MT Pro" w:hAnsi="Amasis MT Pro" w:cs="Amasis MT Pro"/>
          <w:sz w:val="18"/>
          <w:szCs w:val="18"/>
        </w:rPr>
        <w:t xml:space="preserve">The other research </w:t>
      </w:r>
      <w:r w:rsidRPr="006F27A6">
        <w:rPr>
          <w:rFonts w:ascii="Amasis MT Pro" w:eastAsia="Amasis MT Pro" w:hAnsi="Amasis MT Pro" w:cs="Amasis MT Pro"/>
          <w:sz w:val="18"/>
          <w:szCs w:val="18"/>
        </w:rPr>
        <w:t>confirmed that the activation time affects the absorption surface area of activated carbon. If the activation time is too long, it is likely that the carbon has reacted completely, conversely, if the activation time is too short, the carbon may not have reached its optimum condition</w:t>
      </w:r>
      <w:r w:rsidR="006F27A6">
        <w:rPr>
          <w:rFonts w:ascii="Amasis MT Pro" w:eastAsia="Amasis MT Pro" w:hAnsi="Amasis MT Pro" w:cs="Amasis MT Pro"/>
          <w:sz w:val="18"/>
          <w:szCs w:val="18"/>
        </w:rPr>
        <w:t xml:space="preserve"> </w:t>
      </w:r>
      <w:r w:rsidR="006F27A6">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{"citationItems":[{"id":"ITEM-1","itemData":{"DOI":"10.15282/jmes.7.2014.7.0105","ISSN":"22318380","abstract":"Activated carbons are regularly used for dye wastewater treatment. They can be produced from various organic materials which have a high level of carbon content. In this study, Pinang frond based activated carbon (PFAC) was produced by using a physical activation process to study the effect of different activation times in the range of 1-7 hours. The optimum PFAC sample was found with an activation time of 3 hours, which gives the highest BET surface area and pore volume of 958.23 m2/g and 0.5469 mL/g, respectively. This sample shows well-developed pore structure with a high fixed carbon content of 79.74%. The removal of 87.6% of Remazol Brilliant Blue R (RBBR) was achieved for a sample with initial RBBR concentration of 50 mg/L, and 40.8% was achieved with 500 mg/L. The results indicated that the PFAC is very effective for RBBR adsorption from aqueous solution.","author":[{"dropping-particle":"","family":"Ahmad","given":"M. A.","non-dropping-particle":"","parse-names":false,"suffix":""},{"dropping-particle":"","family":"Herawan","given":"S. G.","non-dropping-particle":"","parse-names":false,"suffix":""},{"dropping-particle":"","family":"Yusof","given":"A. A.","non-dropping-particle":"","parse-names":false,"suffix":""}],"container-title":"J. Mech. Eng. Sci.","id":"ITEM-1","issue":"1","issued":{"date-parts":[["2014"]]},"page":"1085-1093","title":"Effect of activation time on the Pinang frond based activated carbon for Remazol Brilliant Blue R removal","type":"article-journal","volume":"7"},"uris":["http://www.mendeley.com/documents/?uuid=5a5228f3-e42c-47d7-9fc1-4cea97e4c797"]}],"mendeley":{"formattedCitation":"(Ahmad et al., 2014)","plainTextFormattedCitation":"(Ahmad et al., 2014)","previouslyFormattedCitation":"(Ahmad et al., 2014)"},"properties":{"noteIndex":0},"schema":"https://github.com/citation-style-language/schema/raw/master/csl-citation.json"}</w:instrText>
      </w:r>
      <w:r w:rsidR="006F27A6">
        <w:rPr>
          <w:rFonts w:ascii="Amasis MT Pro" w:eastAsia="Amasis MT Pro" w:hAnsi="Amasis MT Pro" w:cs="Amasis MT Pro"/>
          <w:sz w:val="18"/>
          <w:szCs w:val="18"/>
        </w:rPr>
        <w:fldChar w:fldCharType="separate"/>
      </w:r>
      <w:r w:rsidR="006F27A6" w:rsidRPr="006F27A6">
        <w:rPr>
          <w:rFonts w:ascii="Amasis MT Pro" w:eastAsia="Amasis MT Pro" w:hAnsi="Amasis MT Pro" w:cs="Amasis MT Pro"/>
          <w:noProof/>
          <w:sz w:val="18"/>
          <w:szCs w:val="18"/>
        </w:rPr>
        <w:t>(Ahmad et al., 2014)</w:t>
      </w:r>
      <w:r w:rsidR="006F27A6">
        <w:rPr>
          <w:rFonts w:ascii="Amasis MT Pro" w:eastAsia="Amasis MT Pro" w:hAnsi="Amasis MT Pro" w:cs="Amasis MT Pro"/>
          <w:sz w:val="18"/>
          <w:szCs w:val="18"/>
        </w:rPr>
        <w:fldChar w:fldCharType="end"/>
      </w:r>
      <w:r w:rsidR="006F27A6">
        <w:rPr>
          <w:rFonts w:ascii="Amasis MT Pro" w:eastAsia="Amasis MT Pro" w:hAnsi="Amasis MT Pro" w:cs="Amasis MT Pro"/>
          <w:sz w:val="18"/>
          <w:szCs w:val="18"/>
        </w:rPr>
        <w:t>.</w:t>
      </w:r>
    </w:p>
    <w:p w14:paraId="432C6CAF" w14:textId="52DAE5D2" w:rsidR="00E921A1" w:rsidRDefault="00E921A1" w:rsidP="00E921A1">
      <w:pPr>
        <w:spacing w:line="276" w:lineRule="auto"/>
        <w:ind w:firstLine="270"/>
        <w:jc w:val="both"/>
        <w:rPr>
          <w:rFonts w:ascii="Amasis MT Pro" w:eastAsia="Amasis MT Pro" w:hAnsi="Amasis MT Pro" w:cs="Amasis MT Pro"/>
          <w:sz w:val="18"/>
          <w:szCs w:val="18"/>
        </w:rPr>
      </w:pPr>
      <w:r>
        <w:rPr>
          <w:rFonts w:ascii="Amasis MT Pro" w:eastAsia="Amasis MT Pro" w:hAnsi="Amasis MT Pro" w:cs="Amasis MT Pro"/>
          <w:sz w:val="18"/>
          <w:szCs w:val="18"/>
        </w:rPr>
        <w:t xml:space="preserve">From the five SEM test samples, it can be seen that the length of NaOH immersion with variations of 12, 18, 24, 30, and 36 hours affects the morphology of activated carbon OPF. The best morphology is found in activated carbon with 30 hours of NaOH immersion. Visible carbon surface that has many pores and a large carbon surface area. While the lowest morphology obtained on activated carbon samples is owned by samples with a 12-hour NaOH immersion where the pores formed are not perfect, and there is decay at the edges of the carbon. Pores formed are the same size and homogeneous. The edges of the carbon are also not damaged due to the 1 M NaOH activator, which makes the pores closed by impurities </w:t>
      </w:r>
      <w:r w:rsidR="00584DCF">
        <w:rPr>
          <w:rFonts w:ascii="Amasis MT Pro" w:eastAsia="Amasis MT Pro" w:hAnsi="Amasis MT Pro" w:cs="Amasis MT Pro"/>
          <w:sz w:val="18"/>
          <w:szCs w:val="18"/>
        </w:rPr>
        <w:fldChar w:fldCharType="begin" w:fldLock="1"/>
      </w:r>
      <w:r w:rsidR="00584DCF">
        <w:rPr>
          <w:rFonts w:ascii="Amasis MT Pro" w:eastAsia="Amasis MT Pro" w:hAnsi="Amasis MT Pro" w:cs="Amasis MT Pro"/>
          <w:sz w:val="18"/>
          <w:szCs w:val="18"/>
        </w:rPr>
        <w:instrText>ADDIN CSL_CITATION {"citationItems":[{"id":"ITEM-1","itemData":{"author":[{"dropping-particle":"","family":"Evelina","given":"Luluk Surya","non-dropping-particle":"","parse-names":false,"suffix":""},{"dropping-particle":"","family":"Faryunia","given":"Irfana D.","non-dropping-particle":"","parse-names":false,"suffix":""},{"dropping-particle":"","family":"Sampurno","given":"Joko","non-dropping-particle":"","parse-names":false,"suffix":""}],"container-title":"Prisma Fisika","id":"ITEM-1","issue":"1","issued":{"date-parts":[["2018"]]},"page":"39-43","title":"Aplikasi Metode Fraktal untuk Karakterisasi Struktur Mikroskopik Karbon Aktif Limbah Tandan Sawit Teraktivasi NaOH","type":"article-journal","volume":"6"},"uris":["http://www.mendeley.com/documents/?uuid=1368d668-dfb5-4d70-8912-d0dfd472a093"]}],"mendeley":{"formattedCitation":"(Evelina et al., 2018)","plainTextFormattedCitation":"(Evelina et al., 2018)","previouslyFormattedCitation":"(Evelina et al., 2018)"},"properties":{"noteIndex":0},"schema":"https://github.com/citation-style-language/schema/raw/master/csl-citation.json"}</w:instrText>
      </w:r>
      <w:r w:rsidR="00584DCF">
        <w:rPr>
          <w:rFonts w:ascii="Amasis MT Pro" w:eastAsia="Amasis MT Pro" w:hAnsi="Amasis MT Pro" w:cs="Amasis MT Pro"/>
          <w:sz w:val="18"/>
          <w:szCs w:val="18"/>
        </w:rPr>
        <w:fldChar w:fldCharType="separate"/>
      </w:r>
      <w:r w:rsidR="00584DCF" w:rsidRPr="00584DCF">
        <w:rPr>
          <w:rFonts w:ascii="Amasis MT Pro" w:eastAsia="Amasis MT Pro" w:hAnsi="Amasis MT Pro" w:cs="Amasis MT Pro"/>
          <w:noProof/>
          <w:sz w:val="18"/>
          <w:szCs w:val="18"/>
        </w:rPr>
        <w:t>(Evelina et al., 2018)</w:t>
      </w:r>
      <w:r w:rsidR="00584DCF">
        <w:rPr>
          <w:rFonts w:ascii="Amasis MT Pro" w:eastAsia="Amasis MT Pro" w:hAnsi="Amasis MT Pro" w:cs="Amasis MT Pro"/>
          <w:sz w:val="18"/>
          <w:szCs w:val="18"/>
        </w:rPr>
        <w:fldChar w:fldCharType="end"/>
      </w:r>
      <w:r w:rsidR="00584DCF">
        <w:rPr>
          <w:rFonts w:ascii="Amasis MT Pro" w:eastAsia="Amasis MT Pro" w:hAnsi="Amasis MT Pro" w:cs="Amasis MT Pro"/>
          <w:sz w:val="18"/>
          <w:szCs w:val="18"/>
        </w:rPr>
        <w:t>.</w:t>
      </w:r>
    </w:p>
    <w:p w14:paraId="7C9AB92E" w14:textId="0EBAEA15" w:rsidR="00312AE8" w:rsidRDefault="00E921A1" w:rsidP="00F20863">
      <w:pPr>
        <w:spacing w:line="276" w:lineRule="auto"/>
        <w:ind w:firstLine="270"/>
        <w:jc w:val="both"/>
        <w:rPr>
          <w:rFonts w:ascii="Amasis MT Pro" w:eastAsia="Amasis MT Pro" w:hAnsi="Amasis MT Pro" w:cs="Amasis MT Pro"/>
          <w:sz w:val="18"/>
          <w:szCs w:val="18"/>
        </w:rPr>
      </w:pPr>
      <w:r>
        <w:rPr>
          <w:rFonts w:ascii="Amasis MT Pro" w:eastAsia="Amasis MT Pro" w:hAnsi="Amasis MT Pro" w:cs="Amasis MT Pro"/>
          <w:sz w:val="18"/>
          <w:szCs w:val="18"/>
        </w:rPr>
        <w:t>The SEM-EDX test results of soaking time variations show that the amount of carbon content increases after activation. The highest carbon element was obtained in the 30-hour immersion variation with a carbon content of 97.60%. Activated carbon in OPF increases after activation because the activation process aims to increase the adsorption power of activated carbon by removing hydro</w:t>
      </w:r>
      <w:r w:rsidRPr="00B6202C">
        <w:rPr>
          <w:rFonts w:ascii="Amasis MT Pro" w:eastAsia="Amasis MT Pro" w:hAnsi="Amasis MT Pro" w:cs="Amasis MT Pro"/>
          <w:sz w:val="18"/>
          <w:szCs w:val="18"/>
        </w:rPr>
        <w:t xml:space="preserve">gen, water, and gases on the active surface and resulting in physical changes </w:t>
      </w:r>
      <w:r w:rsidR="006F27A6">
        <w:rPr>
          <w:rFonts w:ascii="Amasis MT Pro" w:eastAsia="Amasis MT Pro" w:hAnsi="Amasis MT Pro" w:cs="Amasis MT Pro"/>
          <w:sz w:val="18"/>
          <w:szCs w:val="18"/>
        </w:rPr>
        <w:fldChar w:fldCharType="begin" w:fldLock="1"/>
      </w:r>
      <w:r w:rsidR="00DD755E">
        <w:rPr>
          <w:rFonts w:ascii="Amasis MT Pro" w:eastAsia="Amasis MT Pro" w:hAnsi="Amasis MT Pro" w:cs="Amasis MT Pro"/>
          <w:sz w:val="18"/>
          <w:szCs w:val="18"/>
        </w:rPr>
        <w:instrText>ADDIN CSL_CITATION {"citationItems":[{"id":"ITEM-1","itemData":{"DOI":"10.17222/mit.2020.068","ISSN":"15803414","abstract":"A new type of activated carbon was produced from oil-palm fiber using steam activation. Scanning electron microscopy (SEM) was performed on the surface of oil-palm-fiber activated carbon (OPF-AC). The spectra of OPF-AC was investigated with Fourier- transform infrared (FTIR) spectroscopy. The effects of the temperature, adsorbent dose, adsorption time and pH on the adsorption properties of methylene blue on OPF-AC were discussed. The Langmuir adsorption model and Freundlich adsorption model were used to find the adsorption equilibrium isotherm. Adsorption kinetics were employed to explain the adsorption process and predict the adsorption efficiency. The Van’t Hoff equation was used to assess the impact exerted by the adsorption temperature on the adsorbing process. According to the results, the data of the adsorption equilibrium of OPF-AC fit well the Langmuir adsorption model and the kinetics data can be gathered into a pseudo-second-order kinetic model. The adsorption behavior of methylene blue on OPF-AC was endothermic and spontaneous. The total pore volume and BET surface area of OPF-AC reached 0.7809 cm3/g and 1018.84 m2/g, respectively. The maximum adsorption capacity of OPF-AC was 862.07 mg/g at 323 K. Accordingly, the gratifying adsorption of OPF-AC endows it with a promising prospect in the application field of agricultural adsorbents.","author":[{"dropping-particle":"","family":"Wang","given":"Yuqi","non-dropping-particle":"","parse-names":false,"suffix":""},{"dropping-particle":"","family":"Pan","given":"Jian","non-dropping-particle":"","parse-names":false,"suffix":""},{"dropping-particle":"","family":"Li","given":"Yanhui","non-dropping-particle":"","parse-names":false,"suffix":""},{"dropping-particle":"","family":"Zhang","given":"Pengfei","non-dropping-particle":"","parse-names":false,"suffix":""},{"dropping-particle":"","family":"Zhang","given":"Xiaoping","non-dropping-particle":"","parse-names":false,"suffix":""},{"dropping-particle":"","family":"Li","given":"Meixiu","non-dropping-particle":"","parse-names":false,"suffix":""},{"dropping-particle":"","family":"Zheng","given":"Heng","non-dropping-particle":"","parse-names":false,"suffix":""},{"dropping-particle":"","family":"Sun","given":"Yong","non-dropping-particle":"","parse-names":false,"suffix":""},{"dropping-particle":"","family":"Wang","given":"Huimin","non-dropping-particle":"","parse-names":false,"suffix":""},{"dropping-particle":"","family":"Du","given":"Qiuju","non-dropping-particle":"","parse-names":false,"suffix":""}],"container-title":"Mater. Tehnol.","id":"ITEM-1","issue":"3","issued":{"date-parts":[["2021"]]},"page":"449-457","title":"Preparation and Characterization of Activated Carbon from Oil-palm Fiber and Its Evaluation for Methylene Blue Adsorption","type":"article-journal","volume":"55"},"uris":["http://www.mendeley.com/documents/?uuid=8f4d8a2b-391c-4437-ba2b-dc808947d1fb"]}],"mendeley":{"formattedCitation":"(Y. Wang et al., 2021)","plainTextFormattedCitation":"(Y. Wang et al., 2021)","previouslyFormattedCitation":"(Y. Wang et al., 2021)"},"properties":{"noteIndex":0},"schema":"https://github.com/citation-style-language/schema/raw/master/csl-citation.json"}</w:instrText>
      </w:r>
      <w:r w:rsidR="006F27A6">
        <w:rPr>
          <w:rFonts w:ascii="Amasis MT Pro" w:eastAsia="Amasis MT Pro" w:hAnsi="Amasis MT Pro" w:cs="Amasis MT Pro"/>
          <w:sz w:val="18"/>
          <w:szCs w:val="18"/>
        </w:rPr>
        <w:fldChar w:fldCharType="separate"/>
      </w:r>
      <w:r w:rsidR="00DD755E" w:rsidRPr="00DD755E">
        <w:rPr>
          <w:rFonts w:ascii="Amasis MT Pro" w:eastAsia="Amasis MT Pro" w:hAnsi="Amasis MT Pro" w:cs="Amasis MT Pro"/>
          <w:noProof/>
          <w:sz w:val="18"/>
          <w:szCs w:val="18"/>
        </w:rPr>
        <w:t>(Y. Wang et al., 2021)</w:t>
      </w:r>
      <w:r w:rsidR="006F27A6">
        <w:rPr>
          <w:rFonts w:ascii="Amasis MT Pro" w:eastAsia="Amasis MT Pro" w:hAnsi="Amasis MT Pro" w:cs="Amasis MT Pro"/>
          <w:sz w:val="18"/>
          <w:szCs w:val="18"/>
        </w:rPr>
        <w:fldChar w:fldCharType="end"/>
      </w:r>
      <w:r w:rsidR="006F27A6">
        <w:rPr>
          <w:rFonts w:ascii="Amasis MT Pro" w:eastAsia="Amasis MT Pro" w:hAnsi="Amasis MT Pro" w:cs="Amasis MT Pro"/>
          <w:sz w:val="18"/>
          <w:szCs w:val="18"/>
        </w:rPr>
        <w:t>.</w:t>
      </w:r>
    </w:p>
    <w:p w14:paraId="309467D8" w14:textId="061B6CD4" w:rsidR="001932B4" w:rsidRPr="00764708" w:rsidRDefault="00E65D41">
      <w:pPr>
        <w:numPr>
          <w:ilvl w:val="1"/>
          <w:numId w:val="3"/>
        </w:numPr>
        <w:spacing w:before="240" w:after="200"/>
        <w:ind w:left="270" w:hanging="270"/>
        <w:jc w:val="both"/>
        <w:rPr>
          <w:rFonts w:ascii="Amasis MT Pro" w:eastAsia="Amasis MT Pro" w:hAnsi="Amasis MT Pro" w:cs="Amasis MT Pro"/>
          <w:i/>
          <w:iCs/>
          <w:sz w:val="18"/>
          <w:szCs w:val="18"/>
        </w:rPr>
      </w:pPr>
      <w:r w:rsidRPr="00764708">
        <w:rPr>
          <w:rFonts w:ascii="Amasis MT Pro" w:eastAsia="Amasis MT Pro" w:hAnsi="Amasis MT Pro" w:cs="Amasis MT Pro"/>
          <w:i/>
          <w:iCs/>
          <w:sz w:val="18"/>
          <w:szCs w:val="18"/>
        </w:rPr>
        <w:t>Analysis Measurement Bio-battery POWER</w:t>
      </w:r>
      <w:r w:rsidR="00032709" w:rsidRPr="00764708">
        <w:rPr>
          <w:rFonts w:ascii="Amasis MT Pro" w:eastAsia="Amasis MT Pro" w:hAnsi="Amasis MT Pro" w:cs="Amasis MT Pro"/>
          <w:i/>
          <w:iCs/>
          <w:sz w:val="18"/>
          <w:szCs w:val="18"/>
        </w:rPr>
        <w:t xml:space="preserve"> </w:t>
      </w:r>
      <w:r w:rsidRPr="00764708">
        <w:rPr>
          <w:rFonts w:ascii="Amasis MT Pro" w:eastAsia="Amasis MT Pro" w:hAnsi="Amasis MT Pro" w:cs="Amasis MT Pro"/>
          <w:i/>
          <w:iCs/>
          <w:sz w:val="18"/>
          <w:szCs w:val="18"/>
        </w:rPr>
        <w:t>Voltage Activation Concentration and Immersion Time</w:t>
      </w:r>
    </w:p>
    <w:p w14:paraId="4860A4A8" w14:textId="42B9CBB6" w:rsidR="001932B4" w:rsidRDefault="00E65D41">
      <w:pPr>
        <w:widowControl w:val="0"/>
        <w:spacing w:line="276" w:lineRule="auto"/>
        <w:ind w:firstLine="450"/>
        <w:jc w:val="both"/>
        <w:rPr>
          <w:rFonts w:ascii="Amasis MT Pro" w:eastAsia="Amasis MT Pro" w:hAnsi="Amasis MT Pro" w:cs="Amasis MT Pro"/>
          <w:sz w:val="18"/>
          <w:szCs w:val="18"/>
        </w:rPr>
      </w:pPr>
      <w:r>
        <w:rPr>
          <w:rFonts w:ascii="Amasis MT Pro" w:eastAsia="Amasis MT Pro" w:hAnsi="Amasis MT Pro" w:cs="Amasis MT Pro"/>
          <w:sz w:val="18"/>
          <w:szCs w:val="18"/>
        </w:rPr>
        <w:t xml:space="preserve">A concentration of 1 M, which is 0.653 V, followed by 0.5 M with a voltage of 0.410 V. As the concentration increases from 1.5 M to 2.5 M, the voltage gradually decreases, reaching its lowest value of 0.055 V at a concentration of 2.5 M. Therefore, it can </w:t>
      </w:r>
      <w:r>
        <w:rPr>
          <w:rFonts w:ascii="Amasis MT Pro" w:eastAsia="Amasis MT Pro" w:hAnsi="Amasis MT Pro" w:cs="Amasis MT Pro"/>
          <w:sz w:val="18"/>
          <w:szCs w:val="18"/>
        </w:rPr>
        <w:t>be observed that the amount of stress produced is directly proportional to the surface area of the activated carbon used in manufacturing POWER biobattery electrodes. This is because the surface area of the activated carbon, which serves as the electrode’s</w:t>
      </w:r>
      <w:r>
        <w:rPr>
          <w:rFonts w:ascii="Amasis MT Pro" w:eastAsia="Amasis MT Pro" w:hAnsi="Amasis MT Pro" w:cs="Amasis MT Pro"/>
          <w:sz w:val="18"/>
          <w:szCs w:val="18"/>
        </w:rPr>
        <w:t xml:space="preserve"> base material, significantly increases the voltage output. The potential difference that occurs induces an attraction </w:t>
      </w:r>
      <w:r>
        <w:rPr>
          <w:rFonts w:ascii="Amasis MT Pro" w:eastAsia="Amasis MT Pro" w:hAnsi="Amasis MT Pro" w:cs="Amasis MT Pro"/>
          <w:sz w:val="18"/>
          <w:szCs w:val="18"/>
        </w:rPr>
        <w:lastRenderedPageBreak/>
        <w:t xml:space="preserve">between opposite charges, causing ions in the electrolyte to diffuse through the separator and enter the pores of the oppositely charged </w:t>
      </w:r>
      <w:r>
        <w:rPr>
          <w:rFonts w:ascii="Amasis MT Pro" w:eastAsia="Amasis MT Pro" w:hAnsi="Amasis MT Pro" w:cs="Amasis MT Pro"/>
          <w:sz w:val="18"/>
          <w:szCs w:val="18"/>
        </w:rPr>
        <w:t xml:space="preserve">electrode. As a result, the energy stored in the electrode is influenced by the specific surface area of the activated carbon </w:t>
      </w:r>
      <w:r w:rsidR="00584DCF">
        <w:rPr>
          <w:rFonts w:ascii="Amasis MT Pro" w:eastAsia="Amasis MT Pro" w:hAnsi="Amasis MT Pro" w:cs="Amasis MT Pro"/>
          <w:sz w:val="18"/>
          <w:szCs w:val="18"/>
        </w:rPr>
        <w:fldChar w:fldCharType="begin" w:fldLock="1"/>
      </w:r>
      <w:r w:rsidR="00584DCF">
        <w:rPr>
          <w:rFonts w:ascii="Amasis MT Pro" w:eastAsia="Amasis MT Pro" w:hAnsi="Amasis MT Pro" w:cs="Amasis MT Pro"/>
          <w:sz w:val="18"/>
          <w:szCs w:val="18"/>
        </w:rPr>
        <w:instrText>ADDIN CSL_CITATION {"citationItems":[{"id":"ITEM-1","itemData":{"DOI":"10.1016/j.fuel.2020.118796","ISSN":"00162361","abstract":"Affordable and clean energy is one of the major sustainable development goals that can transform our world. Currently, researchers are focusing on cheap carbon electrode materials to develop energy storage devices, including high energy density supercapacitors and Li-ion batteries. In this review article, the prime focus has been given on different types of natural carbon sources used for synthesis of graphene and carbon products/derivatives towards the fabrication of supercapacitors with high electrochemical performance. The review also contains the recent status of the synthetic methods of such type of materials and their subsequent application as electrodes in supercapacitors along with the technological aspects of the supercapacitors made out of those natural resources. The main outlook of the review article is to understand the importance of these natural resources for using as precursors in large-scale synthesis of various carbon products/derivatives in an economic way. This is the first review article describing all possible directions related to such typical natural resources and application of their carbon derivatives/products for better electrochemical properties. The article will be very helpful for future research work in the field of carbon electrode materials derived from coal, graphite, and biomass and their gainful utilization in supercapacitor energy storage devices.","author":[{"dropping-particle":"","family":"Saikia","given":"Binoy K.","non-dropping-particle":"","parse-names":false,"suffix":""},{"dropping-particle":"","family":"Benoy","given":"Santhi Maria","non-dropping-particle":"","parse-names":false,"suffix":""},{"dropping-particle":"","family":"Bora","given":"Mousumi","non-dropping-particle":"","parse-names":false,"suffix":""},{"dropping-particle":"","family":"Tamuly","given":"Joyshil","non-dropping-particle":"","parse-names":false,"suffix":""},{"dropping-particle":"","family":"Pandey","given":"Mayank","non-dropping-particle":"","parse-names":false,"suffix":""},{"dropping-particle":"","family":"Bhattacharya","given":"Dhurbajyoti","non-dropping-particle":"","parse-names":false,"suffix":""}],"container-title":"Fuel Process. Technol.","id":"ITEM-1","issue":"April","issued":{"date-parts":[["2020"]]},"page":"118796","publisher":"Elsevier","title":"A brief review on supercapacitor energy storage devices and utilization of natural carbon resources as their electrode materials","type":"article-journal","volume":"282"},"uris":["http://www.mendeley.com/documents/?uuid=d409f062-d326-46b5-ba33-7335e99dbdad"]}],"mendeley":{"formattedCitation":"(Saikia et al., 2020)","plainTextFormattedCitation":"(Saikia et al., 2020)","previouslyFormattedCitation":"(Saikia et al., 2020)"},"properties":{"noteIndex":0},"schema":"https://github.com/citation-style-language/schema/raw/master/csl-citation.json"}</w:instrText>
      </w:r>
      <w:r w:rsidR="00584DCF">
        <w:rPr>
          <w:rFonts w:ascii="Amasis MT Pro" w:eastAsia="Amasis MT Pro" w:hAnsi="Amasis MT Pro" w:cs="Amasis MT Pro"/>
          <w:sz w:val="18"/>
          <w:szCs w:val="18"/>
        </w:rPr>
        <w:fldChar w:fldCharType="separate"/>
      </w:r>
      <w:r w:rsidR="00584DCF" w:rsidRPr="00584DCF">
        <w:rPr>
          <w:rFonts w:ascii="Amasis MT Pro" w:eastAsia="Amasis MT Pro" w:hAnsi="Amasis MT Pro" w:cs="Amasis MT Pro"/>
          <w:noProof/>
          <w:sz w:val="18"/>
          <w:szCs w:val="18"/>
        </w:rPr>
        <w:t>(Saikia et al., 2020)</w:t>
      </w:r>
      <w:r w:rsidR="00584DCF">
        <w:rPr>
          <w:rFonts w:ascii="Amasis MT Pro" w:eastAsia="Amasis MT Pro" w:hAnsi="Amasis MT Pro" w:cs="Amasis MT Pro"/>
          <w:sz w:val="18"/>
          <w:szCs w:val="18"/>
        </w:rPr>
        <w:fldChar w:fldCharType="end"/>
      </w:r>
      <w:r w:rsidR="00584DCF">
        <w:rPr>
          <w:rFonts w:ascii="Amasis MT Pro" w:eastAsia="Amasis MT Pro" w:hAnsi="Amasis MT Pro" w:cs="Amasis MT Pro"/>
          <w:sz w:val="18"/>
          <w:szCs w:val="18"/>
        </w:rPr>
        <w:t>.</w:t>
      </w:r>
    </w:p>
    <w:p w14:paraId="3E999D0B" w14:textId="77777777" w:rsidR="001932B4" w:rsidRDefault="001932B4">
      <w:pPr>
        <w:widowControl w:val="0"/>
        <w:tabs>
          <w:tab w:val="left" w:pos="409"/>
        </w:tabs>
        <w:jc w:val="both"/>
        <w:rPr>
          <w:rFonts w:ascii="Amasis MT Pro" w:eastAsia="Amasis MT Pro" w:hAnsi="Amasis MT Pro" w:cs="Amasis MT Pro"/>
          <w:sz w:val="18"/>
          <w:szCs w:val="18"/>
        </w:rPr>
      </w:pPr>
    </w:p>
    <w:p w14:paraId="262A8AEF" w14:textId="3678671C" w:rsidR="001932B4" w:rsidRDefault="00F4746A">
      <w:pPr>
        <w:widowControl w:val="0"/>
        <w:tabs>
          <w:tab w:val="left" w:pos="409"/>
        </w:tabs>
        <w:jc w:val="center"/>
        <w:rPr>
          <w:rFonts w:ascii="Amasis MT Pro" w:eastAsia="Amasis MT Pro" w:hAnsi="Amasis MT Pro" w:cs="Amasis MT Pro"/>
          <w:sz w:val="18"/>
          <w:szCs w:val="18"/>
        </w:rPr>
      </w:pPr>
      <w:r w:rsidRPr="00F4746A">
        <w:rPr>
          <w:rFonts w:ascii="Amasis MT Pro" w:eastAsia="Amasis MT Pro" w:hAnsi="Amasis MT Pro" w:cs="Amasis MT Pro"/>
          <w:noProof/>
          <w:sz w:val="18"/>
          <w:szCs w:val="18"/>
          <w:lang w:val="en-US" w:eastAsia="ja-JP"/>
        </w:rPr>
        <w:drawing>
          <wp:inline distT="0" distB="0" distL="0" distR="0" wp14:anchorId="4418798F" wp14:editId="1B6F2791">
            <wp:extent cx="2971800" cy="2197735"/>
            <wp:effectExtent l="0" t="0" r="0" b="0"/>
            <wp:docPr id="8244135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413568" name=""/>
                    <pic:cNvPicPr/>
                  </pic:nvPicPr>
                  <pic:blipFill>
                    <a:blip r:embed="rId30"/>
                    <a:stretch>
                      <a:fillRect/>
                    </a:stretch>
                  </pic:blipFill>
                  <pic:spPr>
                    <a:xfrm>
                      <a:off x="0" y="0"/>
                      <a:ext cx="2971800" cy="2197735"/>
                    </a:xfrm>
                    <a:prstGeom prst="rect">
                      <a:avLst/>
                    </a:prstGeom>
                  </pic:spPr>
                </pic:pic>
              </a:graphicData>
            </a:graphic>
          </wp:inline>
        </w:drawing>
      </w:r>
    </w:p>
    <w:p w14:paraId="4920C7CB" w14:textId="77777777" w:rsidR="001932B4" w:rsidRPr="00F20863" w:rsidRDefault="00E65D41">
      <w:pPr>
        <w:widowControl w:val="0"/>
        <w:tabs>
          <w:tab w:val="left" w:pos="284"/>
        </w:tabs>
        <w:jc w:val="center"/>
        <w:rPr>
          <w:rFonts w:ascii="Amasis MT Pro" w:eastAsia="Amasis MT Pro" w:hAnsi="Amasis MT Pro" w:cs="Amasis MT Pro"/>
          <w:bCs/>
          <w:sz w:val="16"/>
          <w:szCs w:val="16"/>
        </w:rPr>
      </w:pPr>
      <w:r>
        <w:rPr>
          <w:rFonts w:ascii="Amasis MT Pro" w:eastAsia="Amasis MT Pro" w:hAnsi="Amasis MT Pro" w:cs="Amasis MT Pro"/>
          <w:b/>
          <w:sz w:val="16"/>
          <w:szCs w:val="16"/>
        </w:rPr>
        <w:t xml:space="preserve">Figure 7 </w:t>
      </w:r>
      <w:r w:rsidRPr="00F20863">
        <w:rPr>
          <w:rFonts w:ascii="Amasis MT Pro" w:eastAsia="Amasis MT Pro" w:hAnsi="Amasis MT Pro" w:cs="Amasis MT Pro"/>
          <w:bCs/>
          <w:sz w:val="16"/>
          <w:szCs w:val="16"/>
        </w:rPr>
        <w:t>Graph of the effect of variations in concentration on surface area and electrode voltage.</w:t>
      </w:r>
    </w:p>
    <w:p w14:paraId="099D8FD7" w14:textId="77777777" w:rsidR="001932B4" w:rsidRDefault="001932B4">
      <w:pPr>
        <w:widowControl w:val="0"/>
        <w:tabs>
          <w:tab w:val="left" w:pos="284"/>
        </w:tabs>
        <w:jc w:val="center"/>
        <w:rPr>
          <w:rFonts w:ascii="Amasis MT Pro" w:eastAsia="Amasis MT Pro" w:hAnsi="Amasis MT Pro" w:cs="Amasis MT Pro"/>
          <w:color w:val="F79646"/>
          <w:sz w:val="18"/>
          <w:szCs w:val="18"/>
        </w:rPr>
      </w:pPr>
    </w:p>
    <w:p w14:paraId="2A41E54C" w14:textId="486E3AA8" w:rsidR="00584DCF" w:rsidRDefault="00E65D41">
      <w:pPr>
        <w:widowControl w:val="0"/>
        <w:tabs>
          <w:tab w:val="left" w:pos="284"/>
        </w:tabs>
        <w:jc w:val="both"/>
        <w:rPr>
          <w:rFonts w:ascii="Amasis MT Pro" w:eastAsia="Amasis MT Pro" w:hAnsi="Amasis MT Pro" w:cs="Amasis MT Pro"/>
          <w:sz w:val="18"/>
          <w:szCs w:val="18"/>
        </w:rPr>
      </w:pPr>
      <w:r>
        <w:rPr>
          <w:rFonts w:ascii="Amasis MT Pro" w:eastAsia="Amasis MT Pro" w:hAnsi="Amasis MT Pro" w:cs="Amasis MT Pro"/>
          <w:color w:val="F79646"/>
          <w:sz w:val="18"/>
          <w:szCs w:val="18"/>
        </w:rPr>
        <w:tab/>
      </w:r>
      <w:r>
        <w:rPr>
          <w:rFonts w:ascii="Amasis MT Pro" w:eastAsia="Amasis MT Pro" w:hAnsi="Amasis MT Pro" w:cs="Amasis MT Pro"/>
          <w:sz w:val="18"/>
          <w:szCs w:val="18"/>
        </w:rPr>
        <w:t>In Figure 7, it can be observed and known that increasing the concentration, which serves as</w:t>
      </w:r>
      <w:r>
        <w:rPr>
          <w:rFonts w:ascii="Amasis MT Pro" w:eastAsia="Amasis MT Pro" w:hAnsi="Amasis MT Pro" w:cs="Amasis MT Pro"/>
          <w:sz w:val="18"/>
          <w:szCs w:val="18"/>
        </w:rPr>
        <w:t xml:space="preserve"> a chemical activator, can affect the surface area and the resulting stress. It is evident that the surface area of activated carbon is directly proportional to the resulting voltage value. Therefore, a greater surface area of activated carbon leads to a h</w:t>
      </w:r>
      <w:r>
        <w:rPr>
          <w:rFonts w:ascii="Amasis MT Pro" w:eastAsia="Amasis MT Pro" w:hAnsi="Amasis MT Pro" w:cs="Amasis MT Pro"/>
          <w:sz w:val="18"/>
          <w:szCs w:val="18"/>
        </w:rPr>
        <w:t>igher voltage produced by the bio battery, whereas a lower surface area of activated carbon results in lower stress generated. Thus, it can be concluded that the high and low biobattery voltage is influenced by the surface area of activated carbon. This fi</w:t>
      </w:r>
      <w:r>
        <w:rPr>
          <w:rFonts w:ascii="Amasis MT Pro" w:eastAsia="Amasis MT Pro" w:hAnsi="Amasis MT Pro" w:cs="Amasis MT Pro"/>
          <w:sz w:val="18"/>
          <w:szCs w:val="18"/>
        </w:rPr>
        <w:t>nding aligns with the research, which demonstrates that the energy generated by the electrodes is affected by the surface area of activated carbon</w:t>
      </w:r>
      <w:r w:rsidR="00714630">
        <w:rPr>
          <w:rFonts w:ascii="Amasis MT Pro" w:eastAsia="Amasis MT Pro" w:hAnsi="Amasis MT Pro" w:cs="Amasis MT Pro"/>
          <w:sz w:val="18"/>
          <w:szCs w:val="18"/>
        </w:rPr>
        <w:t xml:space="preserve"> </w:t>
      </w:r>
      <w:r w:rsidR="00584DCF">
        <w:rPr>
          <w:rFonts w:ascii="Amasis MT Pro" w:eastAsia="Amasis MT Pro" w:hAnsi="Amasis MT Pro" w:cs="Amasis MT Pro"/>
          <w:sz w:val="18"/>
          <w:szCs w:val="18"/>
        </w:rPr>
        <w:fldChar w:fldCharType="begin" w:fldLock="1"/>
      </w:r>
      <w:r w:rsidR="00584DCF">
        <w:rPr>
          <w:rFonts w:ascii="Amasis MT Pro" w:eastAsia="Amasis MT Pro" w:hAnsi="Amasis MT Pro" w:cs="Amasis MT Pro"/>
          <w:sz w:val="18"/>
          <w:szCs w:val="18"/>
        </w:rPr>
        <w:instrText>ADDIN CSL_CITATION {"citationItems":[{"id":"ITEM-1","itemData":{"DOI":"10.1016/j.jpowsour.2014.03.143","ISSN":"03787753","abstract":"Cow dung is one of the most abundant wastes generated on earth and has been traditionally used as fertilizer and fuel in most of the developing countries. In this study activated carbon is synthesized from cow dung by a modified chemical activation method, where partially carbonized cow dung is treated with KOH in different ratio. The synthesized activated carbon possesses irregular surface morphology with high surface area in the range of 1500-2000 m 2 g-1 with proper amount of micropore and mesopore volume. In particular, we demonstrate that the surface morphology and porosity parameters change with increase in KOH ratio. These activated carbons are tested as electrode material in two-electrode symmetric supercapacitor system in non-aqueous electrolyte and found to exhibit high specific capacitance with excellent retention of it at high current density and for long term operation. In particular, the activated carbon synthesized at 2:1 ratio of KOH and the pre-carbonized char shows the best performance with specific capacitance of 124 F g-1 at 0.1 A g-1 and retains up to 117 F g-1 at 1.0 A g-1 current density. The performance is attributed to high surface area along with optimum amount of micropore and mesopore volume. © 2014 Elsevier B.V. All rights reserved.","author":[{"dropping-particle":"","family":"Bhattacharjya","given":"Dhrubajyoti","non-dropping-particle":"","parse-names":false,"suffix":""},{"dropping-particle":"","family":"Yu","given":"Jong Sung","non-dropping-particle":"","parse-names":false,"suffix":""}],"container-title":"J. Power Sources","id":"ITEM-1","issued":{"date-parts":[["2014"]]},"page":"224-231","publisher":"Elsevier B.V","title":"Activated carbon made from cow dung as electrode material for electrochemical double layer capacitor","type":"article-journal","volume":"262"},"uris":["http://www.mendeley.com/documents/?uuid=0d615f10-e61a-4da8-9682-5897177602df"]}],"mendeley":{"formattedCitation":"(Bhattacharjya &amp; Yu, 2014)","plainTextFormattedCitation":"(Bhattacharjya &amp; Yu, 2014)","previouslyFormattedCitation":"(Bhattacharjya &amp; Yu, 2014)"},"properties":{"noteIndex":0},"schema":"https://github.com/citation-style-language/schema/raw/master/csl-citation.json"}</w:instrText>
      </w:r>
      <w:r w:rsidR="00584DCF">
        <w:rPr>
          <w:rFonts w:ascii="Amasis MT Pro" w:eastAsia="Amasis MT Pro" w:hAnsi="Amasis MT Pro" w:cs="Amasis MT Pro"/>
          <w:sz w:val="18"/>
          <w:szCs w:val="18"/>
        </w:rPr>
        <w:fldChar w:fldCharType="separate"/>
      </w:r>
      <w:r w:rsidR="00584DCF" w:rsidRPr="00584DCF">
        <w:rPr>
          <w:rFonts w:ascii="Amasis MT Pro" w:eastAsia="Amasis MT Pro" w:hAnsi="Amasis MT Pro" w:cs="Amasis MT Pro"/>
          <w:noProof/>
          <w:sz w:val="18"/>
          <w:szCs w:val="18"/>
        </w:rPr>
        <w:t>(Bhattacharjya &amp; Yu, 2014)</w:t>
      </w:r>
      <w:r w:rsidR="00584DCF">
        <w:rPr>
          <w:rFonts w:ascii="Amasis MT Pro" w:eastAsia="Amasis MT Pro" w:hAnsi="Amasis MT Pro" w:cs="Amasis MT Pro"/>
          <w:sz w:val="18"/>
          <w:szCs w:val="18"/>
        </w:rPr>
        <w:fldChar w:fldCharType="end"/>
      </w:r>
    </w:p>
    <w:p w14:paraId="3573ADBE" w14:textId="2373BE94" w:rsidR="001932B4" w:rsidRDefault="00E65D41">
      <w:pPr>
        <w:widowControl w:val="0"/>
        <w:tabs>
          <w:tab w:val="left" w:pos="284"/>
        </w:tabs>
        <w:jc w:val="both"/>
        <w:rPr>
          <w:rFonts w:ascii="Amasis MT Pro" w:eastAsia="Amasis MT Pro" w:hAnsi="Amasis MT Pro" w:cs="Amasis MT Pro"/>
          <w:sz w:val="18"/>
          <w:szCs w:val="18"/>
        </w:rPr>
      </w:pPr>
      <w:r>
        <w:rPr>
          <w:rFonts w:ascii="Amasis MT Pro" w:eastAsia="Amasis MT Pro" w:hAnsi="Amasis MT Pro" w:cs="Amasis MT Pro"/>
          <w:sz w:val="18"/>
          <w:szCs w:val="18"/>
        </w:rPr>
        <w:tab/>
        <w:t>The results of the POWER bio-battery</w:t>
      </w:r>
      <w:r>
        <w:rPr>
          <w:rFonts w:ascii="Amasis MT Pro" w:eastAsia="Amasis MT Pro" w:hAnsi="Amasis MT Pro" w:cs="Amasis MT Pro"/>
          <w:sz w:val="18"/>
          <w:szCs w:val="18"/>
        </w:rPr>
        <w:t xml:space="preserve"> voltage test, which contains data on the voltage obtained from bio-batteries with electrodes made from activated carbon derived from palm oil fronds, with variations in NaOH soaking time. The highest voltage of 0.902 </w:t>
      </w:r>
      <w:r w:rsidR="00F20863">
        <w:rPr>
          <w:rFonts w:ascii="Amasis MT Pro" w:eastAsia="Amasis MT Pro" w:hAnsi="Amasis MT Pro" w:cs="Amasis MT Pro"/>
          <w:sz w:val="18"/>
          <w:szCs w:val="18"/>
        </w:rPr>
        <w:t>V</w:t>
      </w:r>
      <w:r>
        <w:rPr>
          <w:rFonts w:ascii="Amasis MT Pro" w:eastAsia="Amasis MT Pro" w:hAnsi="Amasis MT Pro" w:cs="Amasis MT Pro"/>
          <w:sz w:val="18"/>
          <w:szCs w:val="18"/>
        </w:rPr>
        <w:t xml:space="preserve"> was obtained by immersing NaOH for 3</w:t>
      </w:r>
      <w:r>
        <w:rPr>
          <w:rFonts w:ascii="Amasis MT Pro" w:eastAsia="Amasis MT Pro" w:hAnsi="Amasis MT Pro" w:cs="Amasis MT Pro"/>
          <w:sz w:val="18"/>
          <w:szCs w:val="18"/>
        </w:rPr>
        <w:t>0 hours, while the lowest voltage was produced by biobatteries with carbon soaked for 12 hours in the activator solution.</w:t>
      </w:r>
    </w:p>
    <w:p w14:paraId="31DD1C94" w14:textId="77777777" w:rsidR="001932B4" w:rsidRDefault="001932B4">
      <w:pPr>
        <w:widowControl w:val="0"/>
        <w:tabs>
          <w:tab w:val="left" w:pos="284"/>
        </w:tabs>
        <w:jc w:val="both"/>
        <w:rPr>
          <w:rFonts w:ascii="Amasis MT Pro" w:eastAsia="Amasis MT Pro" w:hAnsi="Amasis MT Pro" w:cs="Amasis MT Pro"/>
          <w:sz w:val="18"/>
          <w:szCs w:val="18"/>
        </w:rPr>
      </w:pPr>
    </w:p>
    <w:p w14:paraId="0A9E2958" w14:textId="29B2AC71" w:rsidR="001932B4" w:rsidRDefault="007E4764">
      <w:pPr>
        <w:widowControl w:val="0"/>
        <w:tabs>
          <w:tab w:val="left" w:pos="284"/>
        </w:tabs>
        <w:jc w:val="center"/>
        <w:rPr>
          <w:rFonts w:ascii="Amasis MT Pro" w:eastAsia="Amasis MT Pro" w:hAnsi="Amasis MT Pro" w:cs="Amasis MT Pro"/>
          <w:sz w:val="18"/>
          <w:szCs w:val="18"/>
        </w:rPr>
      </w:pPr>
      <w:r w:rsidRPr="007E4764">
        <w:rPr>
          <w:rFonts w:ascii="Amasis MT Pro" w:eastAsia="Amasis MT Pro" w:hAnsi="Amasis MT Pro" w:cs="Amasis MT Pro"/>
          <w:noProof/>
          <w:sz w:val="18"/>
          <w:szCs w:val="18"/>
          <w:lang w:val="en-US" w:eastAsia="ja-JP"/>
        </w:rPr>
        <w:drawing>
          <wp:inline distT="0" distB="0" distL="0" distR="0" wp14:anchorId="468E421E" wp14:editId="7173282F">
            <wp:extent cx="2971800" cy="2212975"/>
            <wp:effectExtent l="0" t="0" r="0" b="0"/>
            <wp:docPr id="1185467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67003" name=""/>
                    <pic:cNvPicPr/>
                  </pic:nvPicPr>
                  <pic:blipFill>
                    <a:blip r:embed="rId31"/>
                    <a:stretch>
                      <a:fillRect/>
                    </a:stretch>
                  </pic:blipFill>
                  <pic:spPr>
                    <a:xfrm>
                      <a:off x="0" y="0"/>
                      <a:ext cx="2971800" cy="2212975"/>
                    </a:xfrm>
                    <a:prstGeom prst="rect">
                      <a:avLst/>
                    </a:prstGeom>
                  </pic:spPr>
                </pic:pic>
              </a:graphicData>
            </a:graphic>
          </wp:inline>
        </w:drawing>
      </w:r>
    </w:p>
    <w:p w14:paraId="70A4C4B2" w14:textId="77777777" w:rsidR="001932B4" w:rsidRPr="00F20863" w:rsidRDefault="00E65D41">
      <w:pPr>
        <w:widowControl w:val="0"/>
        <w:tabs>
          <w:tab w:val="left" w:pos="284"/>
        </w:tabs>
        <w:jc w:val="center"/>
        <w:rPr>
          <w:rFonts w:ascii="Amasis MT Pro" w:eastAsia="Amasis MT Pro" w:hAnsi="Amasis MT Pro" w:cs="Amasis MT Pro"/>
          <w:bCs/>
          <w:i/>
          <w:iCs/>
          <w:sz w:val="16"/>
          <w:szCs w:val="16"/>
        </w:rPr>
      </w:pPr>
      <w:r>
        <w:rPr>
          <w:rFonts w:ascii="Amasis MT Pro" w:eastAsia="Amasis MT Pro" w:hAnsi="Amasis MT Pro" w:cs="Amasis MT Pro"/>
          <w:b/>
          <w:sz w:val="16"/>
          <w:szCs w:val="16"/>
        </w:rPr>
        <w:t xml:space="preserve">Figure 8 </w:t>
      </w:r>
      <w:r w:rsidRPr="00F20863">
        <w:rPr>
          <w:rFonts w:ascii="Amasis MT Pro" w:eastAsia="Amasis MT Pro" w:hAnsi="Amasis MT Pro" w:cs="Amasis MT Pro"/>
          <w:bCs/>
          <w:sz w:val="16"/>
          <w:szCs w:val="16"/>
        </w:rPr>
        <w:t>Graph of the effect of immersion time on the surface area and electrode voltage.</w:t>
      </w:r>
    </w:p>
    <w:p w14:paraId="7C1AD58D" w14:textId="77777777" w:rsidR="001932B4" w:rsidRDefault="001932B4">
      <w:pPr>
        <w:widowControl w:val="0"/>
        <w:tabs>
          <w:tab w:val="left" w:pos="284"/>
        </w:tabs>
        <w:jc w:val="center"/>
        <w:rPr>
          <w:rFonts w:ascii="Amasis MT Pro" w:eastAsia="Amasis MT Pro" w:hAnsi="Amasis MT Pro" w:cs="Amasis MT Pro"/>
          <w:sz w:val="18"/>
          <w:szCs w:val="18"/>
        </w:rPr>
      </w:pPr>
    </w:p>
    <w:p w14:paraId="2C7F69DA" w14:textId="7FD57DB4" w:rsidR="001932B4" w:rsidRDefault="00E65D41">
      <w:pPr>
        <w:widowControl w:val="0"/>
        <w:tabs>
          <w:tab w:val="left" w:pos="284"/>
        </w:tabs>
        <w:jc w:val="both"/>
        <w:rPr>
          <w:rFonts w:ascii="Amasis MT Pro" w:eastAsia="Amasis MT Pro" w:hAnsi="Amasis MT Pro" w:cs="Amasis MT Pro"/>
          <w:sz w:val="18"/>
          <w:szCs w:val="18"/>
        </w:rPr>
      </w:pPr>
      <w:r>
        <w:rPr>
          <w:rFonts w:ascii="Amasis MT Pro" w:eastAsia="Amasis MT Pro" w:hAnsi="Amasis MT Pro" w:cs="Amasis MT Pro"/>
          <w:sz w:val="18"/>
          <w:szCs w:val="18"/>
        </w:rPr>
        <w:tab/>
      </w:r>
      <w:r>
        <w:rPr>
          <w:rFonts w:ascii="Amasis MT Pro" w:eastAsia="Amasis MT Pro" w:hAnsi="Amasis MT Pro" w:cs="Amasis MT Pro"/>
          <w:sz w:val="18"/>
          <w:szCs w:val="18"/>
        </w:rPr>
        <w:t xml:space="preserve">The high and low voltage of the biobattery is influenced by the surface area of the carbon. This finding is consistent with research that demonstrates the impact of the surface area of activated </w:t>
      </w:r>
      <w:r>
        <w:rPr>
          <w:rFonts w:ascii="Amasis MT Pro" w:eastAsia="Amasis MT Pro" w:hAnsi="Amasis MT Pro" w:cs="Amasis MT Pro"/>
          <w:sz w:val="18"/>
          <w:szCs w:val="18"/>
        </w:rPr>
        <w:lastRenderedPageBreak/>
        <w:t xml:space="preserve">carbon on the energy generated by the electrodes </w:t>
      </w:r>
      <w:r w:rsidR="00584DCF">
        <w:rPr>
          <w:rFonts w:ascii="Amasis MT Pro" w:eastAsia="Amasis MT Pro" w:hAnsi="Amasis MT Pro" w:cs="Amasis MT Pro"/>
          <w:sz w:val="18"/>
          <w:szCs w:val="18"/>
        </w:rPr>
        <w:fldChar w:fldCharType="begin" w:fldLock="1"/>
      </w:r>
      <w:r w:rsidR="0089296E">
        <w:rPr>
          <w:rFonts w:ascii="Amasis MT Pro" w:eastAsia="Amasis MT Pro" w:hAnsi="Amasis MT Pro" w:cs="Amasis MT Pro"/>
          <w:sz w:val="18"/>
          <w:szCs w:val="18"/>
        </w:rPr>
        <w:instrText>ADDIN CSL_CITATION {"citationItems":[{"id":"ITEM-1","itemData":{"DOI":"10.1039/c3ra46037a","ISSN":"20462069","abstract":"Activated carbon based on biochar is an attractive material for energy storage in terms of its high specific capacitance and low cost. The activated carbon samples were based on big bluestem biochar, which is the waste from a thermochemical process optimized for bio-oil production. Sodium bicarbonate, sodium hydroxide and potassium hydroxide were used as reagents to obtain the activated carbon samples. The surface area and pore structure of the activated carbon, characterized by the N2 adsorption-desorption method, were firmly in conjunction with those of the reagents. The high specific surface area (2490 m2 g-1) of the activated carbon was achieved by the activation of potassium hydroxide. Scanning electron microscopy and Raman spectroscopy were used to test the microstructure and crystallographic orientation of the carbon samples. Concerning the G band (1580 cm-1) and the ratio of this with the D band (1338 cm-1), which was 0.55, the Raman spectrum indicated that the potassium hydroxide activated carbon sample contained sp2 carbon. The 2D (2680 cm-1) band showed that this activated carbon has similar properties to multilayer graphene. The cyclic voltammetry, galvanostatic charge-discharge and electrochemical impedance spectroscopy were measured after the activated carbon was assembled into supercapacitors. The potassium hydroxide activated carbon sample presented a high specific capacitance of 283 F g-1, and a relatively low inner resistance of 2 ohm. © 2014 The Royal Society of Chemistry.","author":[{"dropping-particle":"","family":"Jin","given":"Hong","non-dropping-particle":"","parse-names":false,"suffix":""},{"dropping-particle":"","family":"Wang","given":"Xiaomin","non-dropping-particle":"","parse-names":false,"suffix":""},{"dropping-particle":"","family":"Gu","given":"Zhengrong","non-dropping-particle":"","parse-names":false,"suffix":""},{"dropping-particle":"","family":"Hoefelmeyer","given":"James D.","non-dropping-particle":"","parse-names":false,"suffix":""},{"dropping-particle":"","family":"Muthukumarappan","given":"K.","non-dropping-particle":"","parse-names":false,"suffix":""},{"dropping-particle":"","family":"Julson","given":"James","non-dropping-particle":"","parse-names":false,"suffix":""}],"container-title":"RSC Adv.","id":"ITEM-1","issue":"27","issued":{"date-parts":[["2014"]]},"page":"14136-14142","title":"Graphitized activated carbon based on big bluestem as an electrode for supercapacitors","type":"article-journal","volume":"4"},"uris":["http://www.mendeley.com/documents/?uuid=2603cea3-0ae7-4617-91bc-041f0276c9f5"]}],"mendeley":{"formattedCitation":"(Jin et al., 2014)","plainTextFormattedCitation":"(Jin et al., 2014)","previouslyFormattedCitation":"(Jin et al., 2014)"},"properties":{"noteIndex":0},"schema":"https://github.com/citation-style-language/schema/raw/master/csl-citation.json"}</w:instrText>
      </w:r>
      <w:r w:rsidR="00584DCF">
        <w:rPr>
          <w:rFonts w:ascii="Amasis MT Pro" w:eastAsia="Amasis MT Pro" w:hAnsi="Amasis MT Pro" w:cs="Amasis MT Pro"/>
          <w:sz w:val="18"/>
          <w:szCs w:val="18"/>
        </w:rPr>
        <w:fldChar w:fldCharType="separate"/>
      </w:r>
      <w:r w:rsidR="00584DCF" w:rsidRPr="00584DCF">
        <w:rPr>
          <w:rFonts w:ascii="Amasis MT Pro" w:eastAsia="Amasis MT Pro" w:hAnsi="Amasis MT Pro" w:cs="Amasis MT Pro"/>
          <w:noProof/>
          <w:sz w:val="18"/>
          <w:szCs w:val="18"/>
        </w:rPr>
        <w:t>(Jin et al., 2014)</w:t>
      </w:r>
      <w:r w:rsidR="00584DCF">
        <w:rPr>
          <w:rFonts w:ascii="Amasis MT Pro" w:eastAsia="Amasis MT Pro" w:hAnsi="Amasis MT Pro" w:cs="Amasis MT Pro"/>
          <w:sz w:val="18"/>
          <w:szCs w:val="18"/>
        </w:rPr>
        <w:fldChar w:fldCharType="end"/>
      </w:r>
      <w:r>
        <w:rPr>
          <w:rFonts w:ascii="Amasis MT Pro" w:eastAsia="Amasis MT Pro" w:hAnsi="Amasis MT Pro" w:cs="Amasis MT Pro"/>
          <w:sz w:val="18"/>
          <w:szCs w:val="18"/>
        </w:rPr>
        <w:t>. In Figure 8, it is evident that the immersion time affects the surface area and t</w:t>
      </w:r>
      <w:r>
        <w:rPr>
          <w:rFonts w:ascii="Amasis MT Pro" w:eastAsia="Amasis MT Pro" w:hAnsi="Amasis MT Pro" w:cs="Amasis MT Pro"/>
          <w:sz w:val="18"/>
          <w:szCs w:val="18"/>
        </w:rPr>
        <w:t>he resulting stress. The surface area of activated carbon can be observed to be directly proportional to the generated voltage value. A higher carbon surface area leads to a higher voltage generated by the biobattery. Conversely, a lower surface area of ac</w:t>
      </w:r>
      <w:r>
        <w:rPr>
          <w:rFonts w:ascii="Amasis MT Pro" w:eastAsia="Amasis MT Pro" w:hAnsi="Amasis MT Pro" w:cs="Amasis MT Pro"/>
          <w:sz w:val="18"/>
          <w:szCs w:val="18"/>
        </w:rPr>
        <w:t>tivated carbon generates lower stress.</w:t>
      </w:r>
    </w:p>
    <w:p w14:paraId="2F0C8BC4" w14:textId="77777777" w:rsidR="001932B4" w:rsidRDefault="001932B4">
      <w:pPr>
        <w:widowControl w:val="0"/>
        <w:tabs>
          <w:tab w:val="left" w:pos="284"/>
        </w:tabs>
        <w:jc w:val="both"/>
        <w:rPr>
          <w:rFonts w:ascii="Amasis MT Pro" w:eastAsia="Amasis MT Pro" w:hAnsi="Amasis MT Pro" w:cs="Amasis MT Pro"/>
          <w:sz w:val="18"/>
          <w:szCs w:val="18"/>
        </w:rPr>
      </w:pPr>
    </w:p>
    <w:p w14:paraId="22E6971D" w14:textId="1D03E0CF" w:rsidR="001932B4" w:rsidRPr="00F4746A" w:rsidRDefault="00E65D41" w:rsidP="00F4746A">
      <w:pPr>
        <w:widowControl w:val="0"/>
        <w:numPr>
          <w:ilvl w:val="1"/>
          <w:numId w:val="3"/>
        </w:numPr>
        <w:tabs>
          <w:tab w:val="left" w:pos="409"/>
        </w:tabs>
        <w:spacing w:after="240"/>
        <w:jc w:val="both"/>
        <w:rPr>
          <w:rFonts w:ascii="Amasis MT Pro" w:eastAsia="Amasis MT Pro" w:hAnsi="Amasis MT Pro" w:cs="Amasis MT Pro"/>
          <w:sz w:val="18"/>
          <w:szCs w:val="18"/>
        </w:rPr>
      </w:pPr>
      <w:r>
        <w:rPr>
          <w:rFonts w:ascii="Amasis MT Pro" w:eastAsia="Amasis MT Pro" w:hAnsi="Amasis MT Pro" w:cs="Amasis MT Pro"/>
          <w:i/>
          <w:sz w:val="18"/>
          <w:szCs w:val="18"/>
        </w:rPr>
        <w:t>Bio Battery POWER Mechanism</w:t>
      </w:r>
    </w:p>
    <w:p w14:paraId="034003DD" w14:textId="77777777" w:rsidR="001932B4" w:rsidRDefault="00E65D41">
      <w:pPr>
        <w:widowControl w:val="0"/>
        <w:tabs>
          <w:tab w:val="left" w:pos="409"/>
        </w:tabs>
        <w:jc w:val="both"/>
        <w:rPr>
          <w:rFonts w:ascii="Amasis MT Pro" w:eastAsia="Amasis MT Pro" w:hAnsi="Amasis MT Pro" w:cs="Amasis MT Pro"/>
          <w:sz w:val="18"/>
          <w:szCs w:val="18"/>
          <w:highlight w:val="green"/>
        </w:rPr>
      </w:pPr>
      <w:r>
        <w:rPr>
          <w:rFonts w:ascii="Amasis MT Pro" w:eastAsia="Amasis MT Pro" w:hAnsi="Amasis MT Pro" w:cs="Amasis MT Pro"/>
          <w:sz w:val="18"/>
          <w:szCs w:val="18"/>
        </w:rPr>
        <w:tab/>
        <w:t>The schematic of the Biobattery in Figure 9 illustrates the movement of electrons to generate electricity. The carbon electrodes in biobatteries do not produce electricity or react with o</w:t>
      </w:r>
      <w:r>
        <w:rPr>
          <w:rFonts w:ascii="Amasis MT Pro" w:eastAsia="Amasis MT Pro" w:hAnsi="Amasis MT Pro" w:cs="Amasis MT Pro"/>
          <w:sz w:val="18"/>
          <w:szCs w:val="18"/>
        </w:rPr>
        <w:t>ther elements. However, the carbon electrodes are inert and serve as a means of storing battery power. Sodium chloride (NaCl) is added to the electrode used to create a potential difference, with the electrode acting as the cathode. This potential differen</w:t>
      </w:r>
      <w:r>
        <w:rPr>
          <w:rFonts w:ascii="Amasis MT Pro" w:eastAsia="Amasis MT Pro" w:hAnsi="Amasis MT Pro" w:cs="Amasis MT Pro"/>
          <w:sz w:val="18"/>
          <w:szCs w:val="18"/>
        </w:rPr>
        <w:t>ce causes the movement of electrons from a high potential to a low potential. The following is the reaction that occurs in the POWER biobattery to produce an electric current.</w:t>
      </w:r>
      <w:r>
        <w:rPr>
          <w:rFonts w:ascii="Amasis MT Pro" w:eastAsia="Amasis MT Pro" w:hAnsi="Amasis MT Pro" w:cs="Amasis MT Pro"/>
          <w:sz w:val="18"/>
          <w:szCs w:val="18"/>
        </w:rPr>
        <w:tab/>
      </w:r>
    </w:p>
    <w:p w14:paraId="49E0DDF9" w14:textId="77777777" w:rsidR="001932B4" w:rsidRDefault="00E65D41">
      <w:pPr>
        <w:widowControl w:val="0"/>
        <w:jc w:val="center"/>
        <w:rPr>
          <w:rFonts w:ascii="Amasis MT Pro" w:eastAsia="Amasis MT Pro" w:hAnsi="Amasis MT Pro" w:cs="Amasis MT Pro"/>
          <w:sz w:val="18"/>
          <w:szCs w:val="18"/>
          <w:highlight w:val="green"/>
        </w:rPr>
      </w:pPr>
      <w:r>
        <w:rPr>
          <w:rFonts w:ascii="Amasis MT Pro" w:eastAsia="Amasis MT Pro" w:hAnsi="Amasis MT Pro" w:cs="Amasis MT Pro"/>
          <w:noProof/>
          <w:sz w:val="18"/>
          <w:szCs w:val="18"/>
          <w:lang w:val="en-US" w:eastAsia="ja-JP"/>
        </w:rPr>
        <w:drawing>
          <wp:inline distT="0" distB="0" distL="0" distR="0" wp14:anchorId="2BA52F5E" wp14:editId="7B1706A8">
            <wp:extent cx="2916518" cy="1828800"/>
            <wp:effectExtent l="0" t="0" r="0" b="0"/>
            <wp:docPr id="13"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2"/>
                    <a:srcRect/>
                    <a:stretch>
                      <a:fillRect/>
                    </a:stretch>
                  </pic:blipFill>
                  <pic:spPr>
                    <a:xfrm>
                      <a:off x="0" y="0"/>
                      <a:ext cx="2916518" cy="1828800"/>
                    </a:xfrm>
                    <a:prstGeom prst="rect">
                      <a:avLst/>
                    </a:prstGeom>
                    <a:ln/>
                  </pic:spPr>
                </pic:pic>
              </a:graphicData>
            </a:graphic>
          </wp:inline>
        </w:drawing>
      </w:r>
    </w:p>
    <w:p w14:paraId="52B06523" w14:textId="33B2E512" w:rsidR="001932B4" w:rsidRDefault="00E65D41">
      <w:pPr>
        <w:widowControl w:val="0"/>
        <w:tabs>
          <w:tab w:val="left" w:pos="409"/>
        </w:tabs>
        <w:ind w:left="360"/>
        <w:jc w:val="center"/>
        <w:rPr>
          <w:rFonts w:ascii="Amasis MT Pro" w:eastAsia="Amasis MT Pro" w:hAnsi="Amasis MT Pro" w:cs="Amasis MT Pro"/>
          <w:b/>
          <w:i/>
          <w:sz w:val="16"/>
          <w:szCs w:val="16"/>
        </w:rPr>
      </w:pPr>
      <w:r>
        <w:rPr>
          <w:rFonts w:ascii="Amasis MT Pro" w:eastAsia="Amasis MT Pro" w:hAnsi="Amasis MT Pro" w:cs="Amasis MT Pro"/>
          <w:b/>
          <w:sz w:val="16"/>
          <w:szCs w:val="16"/>
        </w:rPr>
        <w:t xml:space="preserve">Figure 9 </w:t>
      </w:r>
      <w:r w:rsidRPr="00F20863">
        <w:rPr>
          <w:rFonts w:ascii="Amasis MT Pro" w:eastAsia="Amasis MT Pro" w:hAnsi="Amasis MT Pro" w:cs="Amasis MT Pro"/>
          <w:bCs/>
          <w:iCs/>
          <w:sz w:val="16"/>
          <w:szCs w:val="16"/>
        </w:rPr>
        <w:t>Bio Battery POWER Mechanism</w:t>
      </w:r>
    </w:p>
    <w:p w14:paraId="5424CBBA" w14:textId="77777777" w:rsidR="001932B4" w:rsidRDefault="001932B4">
      <w:pPr>
        <w:widowControl w:val="0"/>
        <w:tabs>
          <w:tab w:val="left" w:pos="409"/>
        </w:tabs>
        <w:jc w:val="center"/>
        <w:rPr>
          <w:rFonts w:ascii="Amasis MT Pro" w:eastAsia="Amasis MT Pro" w:hAnsi="Amasis MT Pro" w:cs="Amasis MT Pro"/>
          <w:sz w:val="18"/>
          <w:szCs w:val="18"/>
        </w:rPr>
      </w:pPr>
    </w:p>
    <w:tbl>
      <w:tblPr>
        <w:tblStyle w:val="a5"/>
        <w:tblW w:w="4140" w:type="dxa"/>
        <w:jc w:val="center"/>
        <w:tblBorders>
          <w:top w:val="nil"/>
          <w:left w:val="nil"/>
          <w:bottom w:val="nil"/>
          <w:right w:val="nil"/>
          <w:insideH w:val="nil"/>
          <w:insideV w:val="nil"/>
        </w:tblBorders>
        <w:tblLayout w:type="fixed"/>
        <w:tblLook w:val="0400" w:firstRow="0" w:lastRow="0" w:firstColumn="0" w:lastColumn="0" w:noHBand="0" w:noVBand="1"/>
      </w:tblPr>
      <w:tblGrid>
        <w:gridCol w:w="4140"/>
      </w:tblGrid>
      <w:tr w:rsidR="001932B4" w14:paraId="3470A232" w14:textId="77777777">
        <w:trPr>
          <w:jc w:val="center"/>
        </w:trPr>
        <w:tc>
          <w:tcPr>
            <w:tcW w:w="4140" w:type="dxa"/>
          </w:tcPr>
          <w:p w14:paraId="22A87A82" w14:textId="77777777" w:rsidR="001932B4" w:rsidRDefault="00E65D41">
            <w:pPr>
              <w:spacing w:line="360" w:lineRule="auto"/>
              <w:ind w:right="-201"/>
              <w:jc w:val="center"/>
              <w:rPr>
                <w:rFonts w:ascii="Amasis MT Pro" w:eastAsia="Amasis MT Pro" w:hAnsi="Amasis MT Pro" w:cs="Amasis MT Pro"/>
                <w:sz w:val="18"/>
                <w:szCs w:val="18"/>
              </w:rPr>
            </w:pPr>
            <w:r>
              <w:rPr>
                <w:rFonts w:ascii="Amasis MT Pro" w:eastAsia="Amasis MT Pro" w:hAnsi="Amasis MT Pro" w:cs="Amasis MT Pro"/>
                <w:sz w:val="18"/>
                <w:szCs w:val="18"/>
              </w:rPr>
              <w:t xml:space="preserve">Electrolyte: </w:t>
            </w:r>
            <m:oMath>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K</m:t>
                  </m:r>
                </m:e>
                <m:sub>
                  <m:r>
                    <w:rPr>
                      <w:rFonts w:ascii="Cambria Math" w:eastAsia="Cambria Math" w:hAnsi="Cambria Math" w:cs="Cambria Math"/>
                      <w:sz w:val="18"/>
                      <w:szCs w:val="18"/>
                    </w:rPr>
                    <m:t>2</m:t>
                  </m:r>
                </m:sub>
              </m:sSub>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CO</m:t>
                  </m:r>
                </m:e>
                <m:sub>
                  <m:r>
                    <w:rPr>
                      <w:rFonts w:ascii="Cambria Math" w:eastAsia="Cambria Math" w:hAnsi="Cambria Math" w:cs="Cambria Math"/>
                      <w:sz w:val="18"/>
                      <w:szCs w:val="18"/>
                    </w:rPr>
                    <m:t>3</m:t>
                  </m:r>
                </m:sub>
              </m:sSub>
              <m:r>
                <w:rPr>
                  <w:rFonts w:ascii="Cambria Math" w:eastAsia="Cambria Math" w:hAnsi="Cambria Math" w:cs="Cambria Math"/>
                  <w:sz w:val="18"/>
                  <w:szCs w:val="18"/>
                </w:rPr>
                <m:t xml:space="preserve">→ </m:t>
              </m:r>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2</m:t>
                  </m:r>
                  <m:r>
                    <w:rPr>
                      <w:rFonts w:ascii="Cambria Math" w:eastAsia="Cambria Math" w:hAnsi="Cambria Math" w:cs="Cambria Math"/>
                      <w:sz w:val="18"/>
                      <w:szCs w:val="18"/>
                    </w:rPr>
                    <m:t>K</m:t>
                  </m:r>
                </m:e>
                <m:sup>
                  <m:r>
                    <w:rPr>
                      <w:rFonts w:ascii="Cambria Math" w:eastAsia="Cambria Math" w:hAnsi="Cambria Math" w:cs="Cambria Math"/>
                      <w:sz w:val="18"/>
                      <w:szCs w:val="18"/>
                    </w:rPr>
                    <m:t>+</m:t>
                  </m:r>
                </m:sup>
              </m:sSup>
              <m:r>
                <w:rPr>
                  <w:rFonts w:ascii="Cambria Math" w:eastAsia="Cambria Math" w:hAnsi="Cambria Math" w:cs="Cambria Math"/>
                  <w:sz w:val="18"/>
                  <w:szCs w:val="18"/>
                </w:rPr>
                <m:t xml:space="preserve">+ </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CO</m:t>
                  </m:r>
                </m:e>
                <m:sub>
                  <m:r>
                    <w:rPr>
                      <w:rFonts w:ascii="Cambria Math" w:eastAsia="Cambria Math" w:hAnsi="Cambria Math" w:cs="Cambria Math"/>
                      <w:sz w:val="18"/>
                      <w:szCs w:val="18"/>
                    </w:rPr>
                    <m:t>3</m:t>
                  </m:r>
                </m:sub>
                <m:sup>
                  <m:r>
                    <w:rPr>
                      <w:rFonts w:ascii="Cambria Math" w:eastAsia="Cambria Math" w:hAnsi="Cambria Math" w:cs="Cambria Math"/>
                      <w:sz w:val="18"/>
                      <w:szCs w:val="18"/>
                    </w:rPr>
                    <m:t>2-</m:t>
                  </m:r>
                </m:sup>
              </m:sSubSup>
            </m:oMath>
          </w:p>
        </w:tc>
      </w:tr>
      <w:tr w:rsidR="001932B4" w14:paraId="286D6355" w14:textId="77777777">
        <w:trPr>
          <w:jc w:val="center"/>
        </w:trPr>
        <w:tc>
          <w:tcPr>
            <w:tcW w:w="4140" w:type="dxa"/>
          </w:tcPr>
          <w:p w14:paraId="600B3141" w14:textId="77777777" w:rsidR="001932B4" w:rsidRDefault="00E65D41">
            <w:pPr>
              <w:spacing w:line="360" w:lineRule="auto"/>
              <w:ind w:right="-201"/>
              <w:jc w:val="center"/>
              <w:rPr>
                <w:rFonts w:ascii="Amasis MT Pro" w:eastAsia="Amasis MT Pro" w:hAnsi="Amasis MT Pro" w:cs="Amasis MT Pro"/>
                <w:sz w:val="18"/>
                <w:szCs w:val="18"/>
              </w:rPr>
            </w:pPr>
            <w:r>
              <w:rPr>
                <w:rFonts w:ascii="Amasis MT Pro" w:eastAsia="Amasis MT Pro" w:hAnsi="Amasis MT Pro" w:cs="Amasis MT Pro"/>
                <w:sz w:val="18"/>
                <w:szCs w:val="18"/>
              </w:rPr>
              <w:t xml:space="preserve">Cathode: </w:t>
            </w:r>
            <m:oMath>
              <m:r>
                <w:rPr>
                  <w:rFonts w:ascii="Cambria Math" w:eastAsia="Cambria Math" w:hAnsi="Cambria Math" w:cs="Cambria Math"/>
                  <w:sz w:val="18"/>
                  <w:szCs w:val="18"/>
                </w:rPr>
                <m:t>2</m:t>
              </m:r>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Sub>
              <m:r>
                <w:rPr>
                  <w:rFonts w:ascii="Cambria Math" w:eastAsia="Cambria Math" w:hAnsi="Cambria Math" w:cs="Cambria Math"/>
                  <w:sz w:val="18"/>
                  <w:szCs w:val="18"/>
                </w:rPr>
                <m:t>O</m:t>
              </m:r>
              <m:r>
                <w:rPr>
                  <w:rFonts w:ascii="Cambria Math" w:eastAsia="Cambria Math" w:hAnsi="Cambria Math" w:cs="Cambria Math"/>
                  <w:sz w:val="18"/>
                  <w:szCs w:val="18"/>
                </w:rPr>
                <m:t>+</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2</m:t>
                  </m:r>
                  <m:r>
                    <w:rPr>
                      <w:rFonts w:ascii="Cambria Math" w:eastAsia="Cambria Math" w:hAnsi="Cambria Math" w:cs="Cambria Math"/>
                      <w:sz w:val="18"/>
                      <w:szCs w:val="18"/>
                    </w:rPr>
                    <m:t>e</m:t>
                  </m:r>
                </m:e>
                <m:sub/>
                <m:sup>
                  <m:r>
                    <w:rPr>
                      <w:rFonts w:ascii="Cambria Math" w:eastAsia="Cambria Math" w:hAnsi="Cambria Math" w:cs="Cambria Math"/>
                      <w:sz w:val="18"/>
                      <w:szCs w:val="18"/>
                    </w:rPr>
                    <m:t>-</m:t>
                  </m:r>
                </m:sup>
              </m:sSubSup>
              <m:r>
                <w:rPr>
                  <w:rFonts w:ascii="Cambria Math" w:eastAsia="Cambria Math" w:hAnsi="Cambria Math" w:cs="Cambria Math"/>
                  <w:sz w:val="18"/>
                  <w:szCs w:val="18"/>
                </w:rPr>
                <m:t>→</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up/>
              </m:sSubSup>
              <m:r>
                <w:rPr>
                  <w:rFonts w:ascii="Cambria Math" w:eastAsia="Cambria Math" w:hAnsi="Cambria Math" w:cs="Cambria Math"/>
                  <w:sz w:val="18"/>
                  <w:szCs w:val="18"/>
                </w:rPr>
                <m:t>+</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2</m:t>
                  </m:r>
                  <m:r>
                    <w:rPr>
                      <w:rFonts w:ascii="Cambria Math" w:eastAsia="Cambria Math" w:hAnsi="Cambria Math" w:cs="Cambria Math"/>
                      <w:sz w:val="18"/>
                      <w:szCs w:val="18"/>
                    </w:rPr>
                    <m:t>OH</m:t>
                  </m:r>
                </m:e>
                <m:sub/>
                <m:sup>
                  <m:r>
                    <w:rPr>
                      <w:rFonts w:ascii="Cambria Math" w:eastAsia="Cambria Math" w:hAnsi="Cambria Math" w:cs="Cambria Math"/>
                      <w:sz w:val="18"/>
                      <w:szCs w:val="18"/>
                    </w:rPr>
                    <m:t>_</m:t>
                  </m:r>
                </m:sup>
              </m:sSubSup>
            </m:oMath>
          </w:p>
        </w:tc>
      </w:tr>
      <w:tr w:rsidR="001932B4" w14:paraId="174DDB98" w14:textId="77777777">
        <w:trPr>
          <w:jc w:val="center"/>
        </w:trPr>
        <w:tc>
          <w:tcPr>
            <w:tcW w:w="4140" w:type="dxa"/>
          </w:tcPr>
          <w:p w14:paraId="078869C2" w14:textId="77777777" w:rsidR="001932B4" w:rsidRDefault="00E65D41">
            <w:pPr>
              <w:spacing w:line="360" w:lineRule="auto"/>
              <w:ind w:right="-201"/>
              <w:jc w:val="center"/>
              <w:rPr>
                <w:rFonts w:ascii="Amasis MT Pro" w:eastAsia="Amasis MT Pro" w:hAnsi="Amasis MT Pro" w:cs="Amasis MT Pro"/>
                <w:sz w:val="18"/>
                <w:szCs w:val="18"/>
              </w:rPr>
            </w:pPr>
            <w:r>
              <w:rPr>
                <w:rFonts w:ascii="Amasis MT Pro" w:eastAsia="Amasis MT Pro" w:hAnsi="Amasis MT Pro" w:cs="Amasis MT Pro"/>
                <w:sz w:val="18"/>
                <w:szCs w:val="18"/>
              </w:rPr>
              <w:t xml:space="preserve">Anode: </w:t>
            </w:r>
            <m:oMath>
              <m:r>
                <w:rPr>
                  <w:rFonts w:ascii="Cambria Math" w:eastAsia="Cambria Math" w:hAnsi="Cambria Math" w:cs="Cambria Math"/>
                  <w:sz w:val="18"/>
                  <w:szCs w:val="18"/>
                </w:rPr>
                <m:t>2</m:t>
              </m:r>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Sub>
              <m:r>
                <w:rPr>
                  <w:rFonts w:ascii="Cambria Math" w:eastAsia="Cambria Math" w:hAnsi="Cambria Math" w:cs="Cambria Math"/>
                  <w:sz w:val="18"/>
                  <w:szCs w:val="18"/>
                </w:rPr>
                <m:t>O</m:t>
              </m:r>
              <m:r>
                <w:rPr>
                  <w:rFonts w:ascii="Cambria Math" w:eastAsia="Cambria Math" w:hAnsi="Cambria Math" w:cs="Cambria Math"/>
                  <w:sz w:val="18"/>
                  <w:szCs w:val="18"/>
                </w:rPr>
                <m:t xml:space="preserve">→ </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4</m:t>
                  </m:r>
                  <m:r>
                    <w:rPr>
                      <w:rFonts w:ascii="Cambria Math" w:eastAsia="Cambria Math" w:hAnsi="Cambria Math" w:cs="Cambria Math"/>
                      <w:sz w:val="18"/>
                      <w:szCs w:val="18"/>
                    </w:rPr>
                    <m:t>H</m:t>
                  </m:r>
                </m:e>
                <m:sub/>
                <m:sup>
                  <m:r>
                    <w:rPr>
                      <w:rFonts w:ascii="Cambria Math" w:eastAsia="Cambria Math" w:hAnsi="Cambria Math" w:cs="Cambria Math"/>
                      <w:sz w:val="18"/>
                      <w:szCs w:val="18"/>
                    </w:rPr>
                    <m:t>+</m:t>
                  </m:r>
                </m:sup>
              </m:sSubSup>
              <m:r>
                <w:rPr>
                  <w:rFonts w:ascii="Cambria Math" w:eastAsia="Cambria Math" w:hAnsi="Cambria Math" w:cs="Cambria Math"/>
                  <w:sz w:val="18"/>
                  <w:szCs w:val="18"/>
                </w:rPr>
                <m:t xml:space="preserve">+ </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O</m:t>
                  </m:r>
                </m:e>
                <m:sub>
                  <m:r>
                    <w:rPr>
                      <w:rFonts w:ascii="Cambria Math" w:eastAsia="Cambria Math" w:hAnsi="Cambria Math" w:cs="Cambria Math"/>
                      <w:sz w:val="18"/>
                      <w:szCs w:val="18"/>
                    </w:rPr>
                    <m:t>2</m:t>
                  </m:r>
                </m:sub>
                <m:sup/>
              </m:sSubSup>
              <m:r>
                <w:rPr>
                  <w:rFonts w:ascii="Cambria Math" w:eastAsia="Cambria Math" w:hAnsi="Cambria Math" w:cs="Cambria Math"/>
                  <w:sz w:val="18"/>
                  <w:szCs w:val="18"/>
                </w:rPr>
                <m:t>+</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4</m:t>
                  </m:r>
                  <m:r>
                    <w:rPr>
                      <w:rFonts w:ascii="Cambria Math" w:eastAsia="Cambria Math" w:hAnsi="Cambria Math" w:cs="Cambria Math"/>
                      <w:sz w:val="18"/>
                      <w:szCs w:val="18"/>
                    </w:rPr>
                    <m:t>e</m:t>
                  </m:r>
                </m:e>
                <m:sub/>
                <m:sup>
                  <m:r>
                    <w:rPr>
                      <w:rFonts w:ascii="Cambria Math" w:eastAsia="Cambria Math" w:hAnsi="Cambria Math" w:cs="Cambria Math"/>
                      <w:sz w:val="18"/>
                      <w:szCs w:val="18"/>
                    </w:rPr>
                    <m:t>-</m:t>
                  </m:r>
                </m:sup>
              </m:sSubSup>
            </m:oMath>
          </w:p>
        </w:tc>
      </w:tr>
      <w:tr w:rsidR="001932B4" w14:paraId="6A215EDD" w14:textId="77777777">
        <w:trPr>
          <w:jc w:val="center"/>
        </w:trPr>
        <w:tc>
          <w:tcPr>
            <w:tcW w:w="4140" w:type="dxa"/>
          </w:tcPr>
          <w:p w14:paraId="20EE1ED4" w14:textId="77777777" w:rsidR="001932B4" w:rsidRDefault="00E65D41">
            <w:pPr>
              <w:spacing w:line="360" w:lineRule="auto"/>
              <w:ind w:right="-201"/>
              <w:jc w:val="center"/>
              <w:rPr>
                <w:rFonts w:ascii="Amasis MT Pro" w:eastAsia="Amasis MT Pro" w:hAnsi="Amasis MT Pro" w:cs="Amasis MT Pro"/>
                <w:i/>
                <w:sz w:val="18"/>
                <w:szCs w:val="18"/>
              </w:rPr>
            </w:pPr>
            <w:r>
              <w:rPr>
                <w:rFonts w:ascii="Amasis MT Pro" w:eastAsia="Amasis MT Pro" w:hAnsi="Amasis MT Pro" w:cs="Amasis MT Pro"/>
                <w:sz w:val="18"/>
                <w:szCs w:val="18"/>
              </w:rPr>
              <w:t>Reaction: 6</w:t>
            </w:r>
            <m:oMath>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Sub>
              <m:r>
                <w:rPr>
                  <w:rFonts w:ascii="Cambria Math" w:eastAsia="Cambria Math" w:hAnsi="Cambria Math" w:cs="Cambria Math"/>
                  <w:sz w:val="18"/>
                  <w:szCs w:val="18"/>
                </w:rPr>
                <m:t>O</m:t>
              </m:r>
              <m:r>
                <w:rPr>
                  <w:rFonts w:ascii="Cambria Math" w:eastAsia="Cambria Math" w:hAnsi="Cambria Math" w:cs="Cambria Math"/>
                  <w:sz w:val="18"/>
                  <w:szCs w:val="18"/>
                </w:rPr>
                <m:t xml:space="preserve">→ </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4</m:t>
                  </m:r>
                  <m:r>
                    <w:rPr>
                      <w:rFonts w:ascii="Cambria Math" w:eastAsia="Cambria Math" w:hAnsi="Cambria Math" w:cs="Cambria Math"/>
                      <w:sz w:val="18"/>
                      <w:szCs w:val="18"/>
                    </w:rPr>
                    <m:t>OH</m:t>
                  </m:r>
                </m:e>
                <m:sub/>
                <m:sup>
                  <m:r>
                    <w:rPr>
                      <w:rFonts w:ascii="Cambria Math" w:eastAsia="Cambria Math" w:hAnsi="Cambria Math" w:cs="Cambria Math"/>
                      <w:sz w:val="18"/>
                      <w:szCs w:val="18"/>
                    </w:rPr>
                    <m:t>_</m:t>
                  </m:r>
                </m:sup>
              </m:sSubSup>
              <m:r>
                <w:rPr>
                  <w:rFonts w:ascii="Cambria Math" w:eastAsia="Cambria Math" w:hAnsi="Cambria Math" w:cs="Cambria Math"/>
                  <w:sz w:val="18"/>
                  <w:szCs w:val="18"/>
                </w:rPr>
                <m:t>+2</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up/>
              </m:sSubSup>
              <m:r>
                <w:rPr>
                  <w:rFonts w:ascii="Cambria Math" w:eastAsia="Cambria Math" w:hAnsi="Cambria Math" w:cs="Cambria Math"/>
                  <w:sz w:val="18"/>
                  <w:szCs w:val="18"/>
                </w:rPr>
                <m:t>+</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4</m:t>
                  </m:r>
                  <m:r>
                    <w:rPr>
                      <w:rFonts w:ascii="Cambria Math" w:eastAsia="Cambria Math" w:hAnsi="Cambria Math" w:cs="Cambria Math"/>
                      <w:sz w:val="18"/>
                      <w:szCs w:val="18"/>
                    </w:rPr>
                    <m:t>H</m:t>
                  </m:r>
                </m:e>
                <m:sub/>
                <m:sup>
                  <m:r>
                    <w:rPr>
                      <w:rFonts w:ascii="Cambria Math" w:eastAsia="Cambria Math" w:hAnsi="Cambria Math" w:cs="Cambria Math"/>
                      <w:sz w:val="18"/>
                      <w:szCs w:val="18"/>
                    </w:rPr>
                    <m:t>+</m:t>
                  </m:r>
                </m:sup>
              </m:sSubSup>
              <m:r>
                <w:rPr>
                  <w:rFonts w:ascii="Cambria Math" w:eastAsia="Cambria Math" w:hAnsi="Cambria Math" w:cs="Cambria Math"/>
                  <w:sz w:val="18"/>
                  <w:szCs w:val="18"/>
                </w:rPr>
                <m:t xml:space="preserve">+ </m:t>
              </m:r>
              <m:sSubSup>
                <m:sSubSupPr>
                  <m:ctrlPr>
                    <w:rPr>
                      <w:rFonts w:ascii="Cambria Math" w:eastAsia="Cambria Math" w:hAnsi="Cambria Math" w:cs="Cambria Math"/>
                      <w:sz w:val="18"/>
                      <w:szCs w:val="18"/>
                    </w:rPr>
                  </m:ctrlPr>
                </m:sSubSupPr>
                <m:e>
                  <m:r>
                    <w:rPr>
                      <w:rFonts w:ascii="Cambria Math" w:eastAsia="Cambria Math" w:hAnsi="Cambria Math" w:cs="Cambria Math"/>
                      <w:sz w:val="18"/>
                      <w:szCs w:val="18"/>
                    </w:rPr>
                    <m:t>O</m:t>
                  </m:r>
                </m:e>
                <m:sub>
                  <m:r>
                    <w:rPr>
                      <w:rFonts w:ascii="Cambria Math" w:eastAsia="Cambria Math" w:hAnsi="Cambria Math" w:cs="Cambria Math"/>
                      <w:sz w:val="18"/>
                      <w:szCs w:val="18"/>
                    </w:rPr>
                    <m:t>2</m:t>
                  </m:r>
                </m:sub>
                <m:sup/>
              </m:sSubSup>
            </m:oMath>
          </w:p>
        </w:tc>
      </w:tr>
    </w:tbl>
    <w:p w14:paraId="1D4138CD" w14:textId="77777777" w:rsidR="001932B4" w:rsidRDefault="001932B4">
      <w:pPr>
        <w:widowControl w:val="0"/>
        <w:tabs>
          <w:tab w:val="left" w:pos="284"/>
        </w:tabs>
        <w:jc w:val="both"/>
        <w:rPr>
          <w:rFonts w:ascii="Amasis MT Pro" w:eastAsia="Amasis MT Pro" w:hAnsi="Amasis MT Pro" w:cs="Amasis MT Pro"/>
          <w:sz w:val="18"/>
          <w:szCs w:val="18"/>
        </w:rPr>
      </w:pPr>
    </w:p>
    <w:p w14:paraId="6A2CD541" w14:textId="77777777" w:rsidR="001932B4" w:rsidRDefault="00E65D41">
      <w:pPr>
        <w:spacing w:after="200"/>
        <w:ind w:firstLine="270"/>
        <w:jc w:val="both"/>
        <w:rPr>
          <w:rFonts w:ascii="Amasis MT Pro" w:eastAsia="Amasis MT Pro" w:hAnsi="Amasis MT Pro" w:cs="Amasis MT Pro"/>
          <w:sz w:val="18"/>
          <w:szCs w:val="18"/>
        </w:rPr>
      </w:pPr>
      <w:r>
        <w:rPr>
          <w:rFonts w:ascii="Amasis MT Pro" w:eastAsia="Amasis MT Pro" w:hAnsi="Amasis MT Pro" w:cs="Amasis MT Pro"/>
          <w:sz w:val="18"/>
          <w:szCs w:val="18"/>
        </w:rPr>
        <w:t>The carbon electrode that acts as an anode will degrade the cathode with the solid electrolyte PVA-K2CO3. The electrolysis reaction that occurs in the</w:t>
      </w:r>
      <w:r>
        <w:rPr>
          <w:rFonts w:ascii="Amasis MT Pro" w:eastAsia="Amasis MT Pro" w:hAnsi="Amasis MT Pro" w:cs="Amasis MT Pro"/>
          <w:sz w:val="18"/>
          <w:szCs w:val="18"/>
        </w:rPr>
        <w:t xml:space="preserve"> battery is the breakdown of the K2CO3 electrolyte to produce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2</m:t>
            </m:r>
            <m:r>
              <w:rPr>
                <w:rFonts w:ascii="Cambria Math" w:eastAsia="Cambria Math" w:hAnsi="Cambria Math" w:cs="Cambria Math"/>
                <w:sz w:val="18"/>
                <w:szCs w:val="18"/>
              </w:rPr>
              <m:t>K</m:t>
            </m:r>
          </m:e>
          <m:sup>
            <m:r>
              <w:rPr>
                <w:rFonts w:ascii="Cambria Math" w:eastAsia="Cambria Math" w:hAnsi="Cambria Math" w:cs="Cambria Math"/>
                <w:sz w:val="18"/>
                <w:szCs w:val="18"/>
              </w:rPr>
              <m:t>+</m:t>
            </m:r>
          </m:sup>
        </m:sSup>
      </m:oMath>
      <w:r>
        <w:rPr>
          <w:rFonts w:ascii="Amasis MT Pro" w:eastAsia="Amasis MT Pro" w:hAnsi="Amasis MT Pro" w:cs="Amasis MT Pro"/>
          <w:sz w:val="18"/>
          <w:szCs w:val="18"/>
        </w:rPr>
        <w:t xml:space="preserve"> and </w:t>
      </w:r>
      <m:oMath>
        <m:sSubSup>
          <m:sSubSupPr>
            <m:ctrlPr>
              <w:rPr>
                <w:rFonts w:ascii="Cambria Math" w:eastAsia="Cambria Math" w:hAnsi="Cambria Math" w:cs="Cambria Math"/>
                <w:sz w:val="18"/>
                <w:szCs w:val="18"/>
                <w:vertAlign w:val="superscript"/>
              </w:rPr>
            </m:ctrlPr>
          </m:sSubSupPr>
          <m:e>
            <m:r>
              <w:rPr>
                <w:rFonts w:ascii="Cambria Math" w:eastAsia="Cambria Math" w:hAnsi="Cambria Math" w:cs="Cambria Math"/>
                <w:sz w:val="18"/>
                <w:szCs w:val="18"/>
                <w:vertAlign w:val="superscript"/>
              </w:rPr>
              <m:t>CO</m:t>
            </m:r>
          </m:e>
          <m:sub>
            <m:r>
              <w:rPr>
                <w:rFonts w:ascii="Cambria Math" w:eastAsia="Cambria Math" w:hAnsi="Cambria Math" w:cs="Cambria Math"/>
                <w:sz w:val="18"/>
                <w:szCs w:val="18"/>
                <w:vertAlign w:val="superscript"/>
              </w:rPr>
              <m:t>3</m:t>
            </m:r>
          </m:sub>
          <m:sup>
            <m:r>
              <w:rPr>
                <w:rFonts w:ascii="Cambria Math" w:eastAsia="Cambria Math" w:hAnsi="Cambria Math" w:cs="Cambria Math"/>
                <w:sz w:val="18"/>
                <w:szCs w:val="18"/>
                <w:vertAlign w:val="superscript"/>
              </w:rPr>
              <m:t>2-</m:t>
            </m:r>
          </m:sup>
        </m:sSubSup>
      </m:oMath>
      <w:r>
        <w:rPr>
          <w:rFonts w:ascii="Amasis MT Pro" w:eastAsia="Amasis MT Pro" w:hAnsi="Amasis MT Pro" w:cs="Amasis MT Pro"/>
          <w:sz w:val="18"/>
          <w:szCs w:val="18"/>
        </w:rPr>
        <w:t xml:space="preserve">. Ions. The reaction that occurs at the cathode is seen from the + ions in the electrolyte, namely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K</m:t>
            </m:r>
          </m:e>
          <m:sup>
            <m:r>
              <w:rPr>
                <w:rFonts w:ascii="Cambria Math" w:eastAsia="Cambria Math" w:hAnsi="Cambria Math" w:cs="Cambria Math"/>
                <w:sz w:val="18"/>
                <w:szCs w:val="18"/>
              </w:rPr>
              <m:t>+</m:t>
            </m:r>
          </m:sup>
        </m:sSup>
      </m:oMath>
      <w:r>
        <w:rPr>
          <w:rFonts w:ascii="Amasis MT Pro" w:eastAsia="Amasis MT Pro" w:hAnsi="Amasis MT Pro" w:cs="Amasis MT Pro"/>
          <w:sz w:val="18"/>
          <w:szCs w:val="18"/>
        </w:rPr>
        <w:t xml:space="preserve"> cations. However,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K</m:t>
            </m:r>
          </m:e>
          <m:sup>
            <m:r>
              <w:rPr>
                <w:rFonts w:ascii="Cambria Math" w:eastAsia="Cambria Math" w:hAnsi="Cambria Math" w:cs="Cambria Math"/>
                <w:sz w:val="18"/>
                <w:szCs w:val="18"/>
              </w:rPr>
              <m:t>+</m:t>
            </m:r>
          </m:sup>
        </m:sSup>
      </m:oMath>
      <w:r>
        <w:rPr>
          <w:rFonts w:ascii="Amasis MT Pro" w:eastAsia="Amasis MT Pro" w:hAnsi="Amasis MT Pro" w:cs="Amasis MT Pro"/>
          <w:sz w:val="18"/>
          <w:szCs w:val="18"/>
        </w:rPr>
        <w:t xml:space="preserve"> ions cannot react; therefore, what reacts at the cath</w:t>
      </w:r>
      <w:r>
        <w:rPr>
          <w:rFonts w:ascii="Amasis MT Pro" w:eastAsia="Amasis MT Pro" w:hAnsi="Amasis MT Pro" w:cs="Amasis MT Pro"/>
          <w:sz w:val="18"/>
          <w:szCs w:val="18"/>
        </w:rPr>
        <w:t>ode is water. While the reaction that occurs at the anode is seen from the electrode used. The electrode used in this reaction is carbon. The carbon that acts as an electrode is inert, so it does not react. Therefore, the compounds that react at the cathod</w:t>
      </w:r>
      <w:r>
        <w:rPr>
          <w:rFonts w:ascii="Amasis MT Pro" w:eastAsia="Amasis MT Pro" w:hAnsi="Amasis MT Pro" w:cs="Amasis MT Pro"/>
          <w:sz w:val="18"/>
          <w:szCs w:val="18"/>
        </w:rPr>
        <w:t>e are water molecules (</w:t>
      </w:r>
      <m:oMath>
        <m:sSub>
          <m:sSubPr>
            <m:ctrlPr>
              <w:rPr>
                <w:rFonts w:ascii="Cambria Math" w:eastAsia="Cambria Math" w:hAnsi="Cambria Math" w:cs="Cambria Math"/>
                <w:sz w:val="18"/>
                <w:szCs w:val="18"/>
              </w:rPr>
            </m:ctrlPr>
          </m:sSubPr>
          <m:e>
            <m:r>
              <w:rPr>
                <w:rFonts w:ascii="Cambria Math" w:eastAsia="Cambria Math" w:hAnsi="Cambria Math" w:cs="Cambria Math"/>
                <w:sz w:val="18"/>
                <w:szCs w:val="18"/>
              </w:rPr>
              <m:t>H</m:t>
            </m:r>
          </m:e>
          <m:sub>
            <m:r>
              <w:rPr>
                <w:rFonts w:ascii="Cambria Math" w:eastAsia="Cambria Math" w:hAnsi="Cambria Math" w:cs="Cambria Math"/>
                <w:sz w:val="18"/>
                <w:szCs w:val="18"/>
              </w:rPr>
              <m:t>2</m:t>
            </m:r>
          </m:sub>
        </m:sSub>
        <m:r>
          <w:rPr>
            <w:rFonts w:ascii="Cambria Math" w:eastAsia="Cambria Math" w:hAnsi="Cambria Math" w:cs="Cambria Math"/>
            <w:sz w:val="18"/>
            <w:szCs w:val="18"/>
          </w:rPr>
          <m:t>O</m:t>
        </m:r>
      </m:oMath>
      <w:r>
        <w:rPr>
          <w:rFonts w:ascii="Amasis MT Pro" w:eastAsia="Amasis MT Pro" w:hAnsi="Amasis MT Pro" w:cs="Amasis MT Pro"/>
          <w:sz w:val="18"/>
          <w:szCs w:val="18"/>
        </w:rPr>
        <w:t>). If this reaction continues, the anode will completely degrade in the electrolyte, and the battery will run out of power.</w:t>
      </w:r>
    </w:p>
    <w:p w14:paraId="54FE1513" w14:textId="77777777" w:rsidR="001932B4" w:rsidRDefault="00E65D41">
      <w:pPr>
        <w:numPr>
          <w:ilvl w:val="0"/>
          <w:numId w:val="2"/>
        </w:numPr>
        <w:pBdr>
          <w:top w:val="nil"/>
          <w:left w:val="nil"/>
          <w:bottom w:val="nil"/>
          <w:right w:val="nil"/>
          <w:between w:val="nil"/>
        </w:pBdr>
        <w:spacing w:before="360" w:after="120"/>
        <w:jc w:val="both"/>
        <w:rPr>
          <w:rFonts w:ascii="Amasis MT Pro" w:eastAsia="Amasis MT Pro" w:hAnsi="Amasis MT Pro" w:cs="Amasis MT Pro"/>
          <w:b/>
          <w:color w:val="000000"/>
          <w:sz w:val="18"/>
          <w:szCs w:val="18"/>
        </w:rPr>
      </w:pPr>
      <w:r>
        <w:rPr>
          <w:rFonts w:ascii="Amasis MT Pro" w:eastAsia="Amasis MT Pro" w:hAnsi="Amasis MT Pro" w:cs="Amasis MT Pro"/>
          <w:b/>
          <w:color w:val="000000"/>
          <w:sz w:val="18"/>
          <w:szCs w:val="18"/>
        </w:rPr>
        <w:t>Conclusion</w:t>
      </w:r>
    </w:p>
    <w:p w14:paraId="327B5A69" w14:textId="457C832F" w:rsidR="001932B4" w:rsidRDefault="00E65D41">
      <w:pPr>
        <w:pBdr>
          <w:top w:val="nil"/>
          <w:left w:val="nil"/>
          <w:bottom w:val="nil"/>
          <w:right w:val="nil"/>
          <w:between w:val="nil"/>
        </w:pBdr>
        <w:ind w:firstLine="360"/>
        <w:jc w:val="both"/>
        <w:rPr>
          <w:rFonts w:ascii="Amasis MT Pro" w:eastAsia="Amasis MT Pro" w:hAnsi="Amasis MT Pro" w:cs="Amasis MT Pro"/>
          <w:color w:val="000000"/>
          <w:sz w:val="18"/>
          <w:szCs w:val="18"/>
        </w:rPr>
      </w:pPr>
      <w:r>
        <w:rPr>
          <w:rFonts w:ascii="Amasis MT Pro" w:eastAsia="Amasis MT Pro" w:hAnsi="Amasis MT Pro" w:cs="Amasis MT Pro"/>
          <w:color w:val="000000"/>
          <w:sz w:val="18"/>
          <w:szCs w:val="18"/>
        </w:rPr>
        <w:t xml:space="preserve">Based on the Scanning Electron Microscope (SEM) test, the manufacture of activated carbon made from </w:t>
      </w:r>
      <w:r>
        <w:rPr>
          <w:rFonts w:ascii="Amasis MT Pro" w:eastAsia="Amasis MT Pro" w:hAnsi="Amasis MT Pro" w:cs="Amasis MT Pro"/>
          <w:sz w:val="18"/>
          <w:szCs w:val="18"/>
        </w:rPr>
        <w:t>OPF</w:t>
      </w:r>
      <w:r>
        <w:rPr>
          <w:rFonts w:ascii="Amasis MT Pro" w:eastAsia="Amasis MT Pro" w:hAnsi="Amasis MT Pro" w:cs="Amasis MT Pro"/>
          <w:color w:val="000000"/>
          <w:sz w:val="18"/>
          <w:szCs w:val="18"/>
        </w:rPr>
        <w:t xml:space="preserve"> with a concentration of 1 M and a soaking time of 30 hours produces a carbon appearance that has many pores and contains carbon elements as much as 99.05% and 97.60%. Based on the Brunauer Emmett Teller (BET) test, the variation of 1M concentration and 30</w:t>
      </w:r>
      <w:r>
        <w:rPr>
          <w:rFonts w:ascii="Amasis MT Pro" w:eastAsia="Amasis MT Pro" w:hAnsi="Amasis MT Pro" w:cs="Amasis MT Pro"/>
          <w:color w:val="000000"/>
          <w:sz w:val="18"/>
          <w:szCs w:val="18"/>
        </w:rPr>
        <w:t xml:space="preserve"> hours of immersion resulted in a carbon surface area of 336,493 and 396,808 </w:t>
      </w:r>
      <m:oMath>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m</m:t>
            </m:r>
          </m:e>
          <m:sup>
            <m:r>
              <w:rPr>
                <w:rFonts w:ascii="Cambria Math" w:eastAsia="Cambria Math" w:hAnsi="Cambria Math" w:cs="Cambria Math"/>
                <w:sz w:val="18"/>
                <w:szCs w:val="18"/>
              </w:rPr>
              <m:t>2</m:t>
            </m:r>
          </m:sup>
        </m:sSup>
        <m:sSup>
          <m:sSupPr>
            <m:ctrlPr>
              <w:rPr>
                <w:rFonts w:ascii="Cambria Math" w:eastAsia="Cambria Math" w:hAnsi="Cambria Math" w:cs="Cambria Math"/>
                <w:sz w:val="18"/>
                <w:szCs w:val="18"/>
              </w:rPr>
            </m:ctrlPr>
          </m:sSupPr>
          <m:e>
            <m:r>
              <w:rPr>
                <w:rFonts w:ascii="Cambria Math" w:eastAsia="Cambria Math" w:hAnsi="Cambria Math" w:cs="Cambria Math"/>
                <w:sz w:val="18"/>
                <w:szCs w:val="18"/>
              </w:rPr>
              <m:t>g</m:t>
            </m:r>
          </m:e>
          <m:sup>
            <m:r>
              <w:rPr>
                <w:rFonts w:ascii="Cambria Math" w:eastAsia="Cambria Math" w:hAnsi="Cambria Math" w:cs="Cambria Math"/>
                <w:sz w:val="18"/>
                <w:szCs w:val="18"/>
              </w:rPr>
              <m:t>-</m:t>
            </m:r>
            <m:r>
              <w:rPr>
                <w:rFonts w:ascii="Cambria Math" w:eastAsia="Cambria Math" w:hAnsi="Cambria Math" w:cs="Cambria Math"/>
                <w:sz w:val="18"/>
                <w:szCs w:val="18"/>
              </w:rPr>
              <m:t>1</m:t>
            </m:r>
          </m:sup>
        </m:sSup>
      </m:oMath>
      <w:r>
        <w:rPr>
          <w:rFonts w:ascii="Amasis MT Pro" w:eastAsia="Amasis MT Pro" w:hAnsi="Amasis MT Pro" w:cs="Amasis MT Pro"/>
          <w:color w:val="000000"/>
          <w:sz w:val="18"/>
          <w:szCs w:val="18"/>
        </w:rPr>
        <w:t xml:space="preserve">. Based on the pore volume and adsorption power, </w:t>
      </w:r>
      <w:r>
        <w:rPr>
          <w:rFonts w:ascii="Amasis MT Pro" w:eastAsia="Amasis MT Pro" w:hAnsi="Amasis MT Pro" w:cs="Amasis MT Pro"/>
          <w:sz w:val="18"/>
          <w:szCs w:val="18"/>
        </w:rPr>
        <w:t>OPF</w:t>
      </w:r>
      <w:r>
        <w:rPr>
          <w:rFonts w:ascii="Amasis MT Pro" w:eastAsia="Amasis MT Pro" w:hAnsi="Amasis MT Pro" w:cs="Amasis MT Pro"/>
          <w:color w:val="000000"/>
          <w:sz w:val="18"/>
          <w:szCs w:val="18"/>
        </w:rPr>
        <w:t xml:space="preserve"> activated carbon is included in the micropore and </w:t>
      </w:r>
      <w:r>
        <w:rPr>
          <w:rFonts w:ascii="Amasis MT Pro" w:eastAsia="Amasis MT Pro" w:hAnsi="Amasis MT Pro" w:cs="Amasis MT Pro"/>
          <w:color w:val="000000"/>
          <w:sz w:val="18"/>
          <w:szCs w:val="18"/>
        </w:rPr>
        <w:lastRenderedPageBreak/>
        <w:t>mesopore groups. Based on the electrical voltage test of the POWER bi</w:t>
      </w:r>
      <w:r>
        <w:rPr>
          <w:rFonts w:ascii="Amasis MT Pro" w:eastAsia="Amasis MT Pro" w:hAnsi="Amasis MT Pro" w:cs="Amasis MT Pro"/>
          <w:color w:val="000000"/>
          <w:sz w:val="18"/>
          <w:szCs w:val="18"/>
        </w:rPr>
        <w:t xml:space="preserve">obattery with electrodes made from </w:t>
      </w:r>
      <w:r>
        <w:rPr>
          <w:rFonts w:ascii="Amasis MT Pro" w:eastAsia="Amasis MT Pro" w:hAnsi="Amasis MT Pro" w:cs="Amasis MT Pro"/>
          <w:sz w:val="18"/>
          <w:szCs w:val="18"/>
        </w:rPr>
        <w:t>OPF</w:t>
      </w:r>
      <w:r>
        <w:rPr>
          <w:rFonts w:ascii="Amasis MT Pro" w:eastAsia="Amasis MT Pro" w:hAnsi="Amasis MT Pro" w:cs="Amasis MT Pro"/>
          <w:color w:val="000000"/>
          <w:sz w:val="18"/>
          <w:szCs w:val="18"/>
        </w:rPr>
        <w:t xml:space="preserve"> carbon, it is known that the highest voltage produced is 0.653 </w:t>
      </w:r>
      <w:r w:rsidR="00F20863">
        <w:rPr>
          <w:rFonts w:ascii="Amasis MT Pro" w:eastAsia="Amasis MT Pro" w:hAnsi="Amasis MT Pro" w:cs="Amasis MT Pro"/>
          <w:sz w:val="18"/>
          <w:szCs w:val="18"/>
        </w:rPr>
        <w:t>V</w:t>
      </w:r>
      <w:r>
        <w:rPr>
          <w:rFonts w:ascii="Amasis MT Pro" w:eastAsia="Amasis MT Pro" w:hAnsi="Amasis MT Pro" w:cs="Amasis MT Pro"/>
          <w:color w:val="000000"/>
          <w:sz w:val="18"/>
          <w:szCs w:val="18"/>
        </w:rPr>
        <w:t xml:space="preserve"> with a variation of 1 M and 0.902 </w:t>
      </w:r>
      <w:r w:rsidR="00F20863">
        <w:rPr>
          <w:rFonts w:ascii="Amasis MT Pro" w:eastAsia="Amasis MT Pro" w:hAnsi="Amasis MT Pro" w:cs="Amasis MT Pro"/>
          <w:sz w:val="18"/>
          <w:szCs w:val="18"/>
        </w:rPr>
        <w:t>V</w:t>
      </w:r>
      <w:r>
        <w:rPr>
          <w:rFonts w:ascii="Amasis MT Pro" w:eastAsia="Amasis MT Pro" w:hAnsi="Amasis MT Pro" w:cs="Amasis MT Pro"/>
          <w:color w:val="000000"/>
          <w:sz w:val="18"/>
          <w:szCs w:val="18"/>
        </w:rPr>
        <w:t xml:space="preserve"> with a variation of 30 hours NaOH immersion.</w:t>
      </w:r>
    </w:p>
    <w:p w14:paraId="7A3E47F9" w14:textId="77777777" w:rsidR="00476E39" w:rsidRDefault="00476E39">
      <w:pPr>
        <w:pBdr>
          <w:top w:val="nil"/>
          <w:left w:val="nil"/>
          <w:bottom w:val="nil"/>
          <w:right w:val="nil"/>
          <w:between w:val="nil"/>
        </w:pBdr>
        <w:ind w:firstLine="360"/>
        <w:jc w:val="both"/>
        <w:rPr>
          <w:rFonts w:ascii="Amasis MT Pro" w:eastAsia="Amasis MT Pro" w:hAnsi="Amasis MT Pro" w:cs="Amasis MT Pro"/>
          <w:color w:val="000000"/>
          <w:sz w:val="18"/>
          <w:szCs w:val="18"/>
        </w:rPr>
      </w:pPr>
    </w:p>
    <w:p w14:paraId="42096EAB" w14:textId="7EE77CD8" w:rsidR="004A561B" w:rsidRDefault="004A561B" w:rsidP="00975B2A">
      <w:pPr>
        <w:pStyle w:val="icsmheading1"/>
        <w:spacing w:before="0" w:after="120"/>
        <w:ind w:left="288" w:hanging="288"/>
        <w:jc w:val="both"/>
        <w:rPr>
          <w:rFonts w:ascii="Amasis MT Pro" w:hAnsi="Amasis MT Pro"/>
          <w:sz w:val="18"/>
          <w:szCs w:val="18"/>
          <w:lang w:val="en-US"/>
        </w:rPr>
      </w:pPr>
      <w:r w:rsidRPr="00F51FD2">
        <w:rPr>
          <w:rFonts w:ascii="Amasis MT Pro" w:hAnsi="Amasis MT Pro"/>
          <w:sz w:val="18"/>
          <w:szCs w:val="18"/>
          <w:lang w:val="en-US"/>
        </w:rPr>
        <w:t>Acknowledgments</w:t>
      </w:r>
    </w:p>
    <w:p w14:paraId="450D385E" w14:textId="12C5BAF4" w:rsidR="004A561B" w:rsidRPr="00D42102" w:rsidRDefault="00D42102" w:rsidP="00D42102">
      <w:pPr>
        <w:pStyle w:val="icsmheading1"/>
        <w:spacing w:before="0" w:after="120"/>
        <w:jc w:val="both"/>
        <w:rPr>
          <w:rFonts w:ascii="Amasis MT Pro" w:hAnsi="Amasis MT Pro"/>
          <w:b w:val="0"/>
          <w:bCs/>
          <w:sz w:val="18"/>
          <w:szCs w:val="18"/>
          <w:lang w:val="en-US"/>
        </w:rPr>
      </w:pPr>
      <w:r w:rsidRPr="00D42102">
        <w:rPr>
          <w:rFonts w:ascii="Amasis MT Pro" w:hAnsi="Amasis MT Pro"/>
          <w:b w:val="0"/>
          <w:bCs/>
          <w:sz w:val="18"/>
          <w:szCs w:val="18"/>
          <w:lang w:val="en-US"/>
        </w:rPr>
        <w:t>Thank you for</w:t>
      </w:r>
      <w:r w:rsidR="00975B2A">
        <w:rPr>
          <w:rFonts w:ascii="Amasis MT Pro" w:hAnsi="Amasis MT Pro"/>
          <w:b w:val="0"/>
          <w:bCs/>
          <w:sz w:val="18"/>
          <w:szCs w:val="18"/>
          <w:lang w:val="en-US"/>
        </w:rPr>
        <w:t xml:space="preserve"> the</w:t>
      </w:r>
      <w:r w:rsidRPr="00D42102">
        <w:rPr>
          <w:rFonts w:ascii="Amasis MT Pro" w:hAnsi="Amasis MT Pro"/>
          <w:b w:val="0"/>
          <w:bCs/>
          <w:sz w:val="18"/>
          <w:szCs w:val="18"/>
          <w:lang w:val="en-US"/>
        </w:rPr>
        <w:t xml:space="preserve"> </w:t>
      </w:r>
      <w:r w:rsidR="00975B2A">
        <w:rPr>
          <w:rFonts w:ascii="Amasis MT Pro" w:hAnsi="Amasis MT Pro"/>
          <w:b w:val="0"/>
          <w:bCs/>
          <w:sz w:val="18"/>
          <w:szCs w:val="18"/>
          <w:lang w:val="en-US"/>
        </w:rPr>
        <w:t>support from Integrated Laboratory Kalimantan Institute of Technology and scientific recommendation from Dr. Widi Astuti, BRIN Indonesia.</w:t>
      </w:r>
    </w:p>
    <w:p w14:paraId="3E13E733" w14:textId="32127B9E" w:rsidR="004A561B" w:rsidRPr="00975B2A" w:rsidRDefault="004A561B" w:rsidP="004A561B">
      <w:pPr>
        <w:pStyle w:val="icsmheading1"/>
        <w:spacing w:before="120"/>
        <w:jc w:val="both"/>
        <w:rPr>
          <w:rFonts w:ascii="Amasis MT Pro" w:hAnsi="Amasis MT Pro"/>
          <w:b w:val="0"/>
          <w:color w:val="000000" w:themeColor="text1"/>
          <w:sz w:val="18"/>
          <w:szCs w:val="18"/>
          <w:lang w:val="en-US"/>
        </w:rPr>
      </w:pPr>
      <w:r w:rsidRPr="00975B2A">
        <w:rPr>
          <w:rFonts w:ascii="Amasis MT Pro" w:hAnsi="Amasis MT Pro"/>
          <w:sz w:val="18"/>
          <w:lang w:val="en-US"/>
        </w:rPr>
        <w:t>Author Contributions</w:t>
      </w:r>
      <w:r w:rsidRPr="00975B2A">
        <w:rPr>
          <w:rFonts w:ascii="Amasis MT Pro" w:hAnsi="Amasis MT Pro"/>
          <w:b w:val="0"/>
          <w:sz w:val="18"/>
          <w:lang w:val="en-US"/>
        </w:rPr>
        <w:t xml:space="preserve">: </w:t>
      </w:r>
      <w:r w:rsidR="001565D8" w:rsidRPr="00975B2A">
        <w:rPr>
          <w:rFonts w:ascii="Amasis MT Pro" w:hAnsi="Amasis MT Pro"/>
          <w:b w:val="0"/>
          <w:sz w:val="18"/>
          <w:lang w:val="en-US"/>
        </w:rPr>
        <w:t>Muhammad Ilham Akbar, Natasya Zahirah</w:t>
      </w:r>
      <w:r w:rsidR="001565D8" w:rsidRPr="00975B2A">
        <w:rPr>
          <w:rFonts w:ascii="Amasis MT Pro" w:hAnsi="Amasis MT Pro"/>
          <w:b w:val="0"/>
          <w:color w:val="000000" w:themeColor="text1"/>
          <w:sz w:val="18"/>
          <w:lang w:val="en-US"/>
        </w:rPr>
        <w:t>;</w:t>
      </w:r>
      <w:r w:rsidRPr="00975B2A">
        <w:rPr>
          <w:rFonts w:ascii="Amasis MT Pro" w:hAnsi="Amasis MT Pro"/>
          <w:b w:val="0"/>
          <w:color w:val="000000" w:themeColor="text1"/>
          <w:sz w:val="18"/>
          <w:lang w:val="en-US"/>
        </w:rPr>
        <w:t xml:space="preserve"> Conceptualization, methodology, formal analysis, writing—original draft, </w:t>
      </w:r>
      <w:r w:rsidR="001565D8" w:rsidRPr="00975B2A">
        <w:rPr>
          <w:rFonts w:ascii="Amasis MT Pro" w:hAnsi="Amasis MT Pro"/>
          <w:b w:val="0"/>
          <w:color w:val="000000" w:themeColor="text1"/>
          <w:sz w:val="18"/>
          <w:lang w:val="en-US"/>
        </w:rPr>
        <w:t>Yogi Mirza Pangestu Utomo, Risnawati</w:t>
      </w:r>
      <w:r w:rsidRPr="00975B2A">
        <w:rPr>
          <w:rFonts w:ascii="Amasis MT Pro" w:hAnsi="Amasis MT Pro"/>
          <w:b w:val="0"/>
          <w:color w:val="000000" w:themeColor="text1"/>
          <w:sz w:val="18"/>
          <w:lang w:val="en-US"/>
        </w:rPr>
        <w:t xml:space="preserve">; supervision, resources, project administration, </w:t>
      </w:r>
      <w:r w:rsidR="001565D8" w:rsidRPr="00975B2A">
        <w:rPr>
          <w:rFonts w:ascii="Amasis MT Pro" w:hAnsi="Amasis MT Pro"/>
          <w:b w:val="0"/>
          <w:color w:val="000000" w:themeColor="text1"/>
          <w:sz w:val="18"/>
          <w:lang w:val="en-US"/>
        </w:rPr>
        <w:t>Fikan Mubarok Rohimsyah</w:t>
      </w:r>
      <w:r w:rsidRPr="00975B2A">
        <w:rPr>
          <w:rFonts w:ascii="Amasis MT Pro" w:hAnsi="Amasis MT Pro"/>
          <w:b w:val="0"/>
          <w:color w:val="000000" w:themeColor="text1"/>
          <w:sz w:val="18"/>
          <w:lang w:val="en-US"/>
        </w:rPr>
        <w:t>; writing—review and editing, project administration, validation,</w:t>
      </w:r>
      <w:r w:rsidR="001565D8" w:rsidRPr="00975B2A">
        <w:rPr>
          <w:rFonts w:ascii="Amasis MT Pro" w:hAnsi="Amasis MT Pro"/>
          <w:b w:val="0"/>
          <w:color w:val="000000" w:themeColor="text1"/>
          <w:sz w:val="18"/>
          <w:lang w:val="en-US"/>
        </w:rPr>
        <w:t xml:space="preserve"> Yunita Triana</w:t>
      </w:r>
      <w:r w:rsidRPr="00975B2A">
        <w:rPr>
          <w:rFonts w:ascii="Amasis MT Pro" w:hAnsi="Amasis MT Pro"/>
          <w:b w:val="0"/>
          <w:color w:val="000000" w:themeColor="text1"/>
          <w:sz w:val="18"/>
          <w:lang w:val="en-US"/>
        </w:rPr>
        <w:t xml:space="preserve">; writing—review and editing, project </w:t>
      </w:r>
      <w:r w:rsidRPr="00975B2A">
        <w:rPr>
          <w:rFonts w:ascii="Amasis MT Pro" w:hAnsi="Amasis MT Pro"/>
          <w:b w:val="0"/>
          <w:color w:val="000000" w:themeColor="text1"/>
          <w:sz w:val="18"/>
          <w:szCs w:val="18"/>
          <w:lang w:val="en-US"/>
        </w:rPr>
        <w:t>administration, validation. All authors have read and agreed to the published version of the manuscript.</w:t>
      </w:r>
    </w:p>
    <w:p w14:paraId="5F73589C" w14:textId="3BEE0AC2" w:rsidR="00476E39" w:rsidRPr="00975B2A" w:rsidRDefault="004A561B" w:rsidP="004A561B">
      <w:pPr>
        <w:pBdr>
          <w:top w:val="nil"/>
          <w:left w:val="nil"/>
          <w:bottom w:val="nil"/>
          <w:right w:val="nil"/>
          <w:between w:val="nil"/>
        </w:pBdr>
        <w:jc w:val="both"/>
        <w:rPr>
          <w:rFonts w:ascii="Amasis MT Pro" w:eastAsia="Amasis MT Pro" w:hAnsi="Amasis MT Pro" w:cs="Amasis MT Pro"/>
          <w:color w:val="000000"/>
        </w:rPr>
      </w:pPr>
      <w:r w:rsidRPr="00975B2A">
        <w:rPr>
          <w:rFonts w:ascii="Amasis MT Pro" w:hAnsi="Amasis MT Pro"/>
          <w:color w:val="000000" w:themeColor="text1"/>
          <w:sz w:val="18"/>
          <w:szCs w:val="18"/>
          <w:lang w:val="en-US"/>
        </w:rPr>
        <w:t>The authors declare no conflict of interest</w:t>
      </w:r>
      <w:r w:rsidR="00975B2A">
        <w:rPr>
          <w:rFonts w:ascii="Amasis MT Pro" w:hAnsi="Amasis MT Pro"/>
          <w:color w:val="000000" w:themeColor="text1"/>
          <w:sz w:val="18"/>
          <w:szCs w:val="18"/>
          <w:lang w:val="en-US"/>
        </w:rPr>
        <w:t>.</w:t>
      </w:r>
    </w:p>
    <w:p w14:paraId="7258CC4C" w14:textId="7B87283C" w:rsidR="001932B4" w:rsidRDefault="00E65D41" w:rsidP="00DD755E">
      <w:pPr>
        <w:pBdr>
          <w:top w:val="nil"/>
          <w:left w:val="nil"/>
          <w:bottom w:val="nil"/>
          <w:right w:val="nil"/>
          <w:between w:val="nil"/>
        </w:pBdr>
        <w:spacing w:before="240"/>
        <w:jc w:val="both"/>
        <w:rPr>
          <w:rFonts w:ascii="Amasis MT Pro" w:eastAsia="Amasis MT Pro" w:hAnsi="Amasis MT Pro" w:cs="Amasis MT Pro"/>
          <w:b/>
          <w:color w:val="000000"/>
          <w:sz w:val="18"/>
          <w:szCs w:val="18"/>
        </w:rPr>
      </w:pPr>
      <w:r>
        <w:rPr>
          <w:rFonts w:ascii="Amasis MT Pro" w:eastAsia="Amasis MT Pro" w:hAnsi="Amasis MT Pro" w:cs="Amasis MT Pro"/>
          <w:b/>
          <w:color w:val="000000"/>
          <w:sz w:val="18"/>
          <w:szCs w:val="18"/>
        </w:rPr>
        <w:t xml:space="preserve">References </w:t>
      </w:r>
    </w:p>
    <w:p w14:paraId="0A35BD3A" w14:textId="3FAF10DF" w:rsidR="00DD755E" w:rsidRPr="00DD755E" w:rsidRDefault="006F27A6" w:rsidP="004A561B">
      <w:pPr>
        <w:widowControl w:val="0"/>
        <w:autoSpaceDE w:val="0"/>
        <w:autoSpaceDN w:val="0"/>
        <w:adjustRightInd w:val="0"/>
        <w:ind w:left="480" w:hanging="480"/>
        <w:jc w:val="both"/>
        <w:rPr>
          <w:rFonts w:ascii="Amasis MT Pro" w:hAnsi="Amasis MT Pro"/>
          <w:noProof/>
          <w:sz w:val="18"/>
          <w:szCs w:val="24"/>
        </w:rPr>
      </w:pPr>
      <w:r>
        <w:rPr>
          <w:rFonts w:ascii="Amasis MT Pro" w:eastAsia="Amasis MT Pro" w:hAnsi="Amasis MT Pro" w:cs="Amasis MT Pro"/>
          <w:b/>
          <w:color w:val="000000"/>
          <w:sz w:val="18"/>
          <w:szCs w:val="18"/>
        </w:rPr>
        <w:fldChar w:fldCharType="begin" w:fldLock="1"/>
      </w:r>
      <w:r>
        <w:rPr>
          <w:rFonts w:ascii="Amasis MT Pro" w:eastAsia="Amasis MT Pro" w:hAnsi="Amasis MT Pro" w:cs="Amasis MT Pro"/>
          <w:b/>
          <w:color w:val="000000"/>
          <w:sz w:val="18"/>
          <w:szCs w:val="18"/>
        </w:rPr>
        <w:instrText xml:space="preserve">ADDIN Mendeley Bibliography CSL_BIBLIOGRAPHY </w:instrText>
      </w:r>
      <w:r>
        <w:rPr>
          <w:rFonts w:ascii="Amasis MT Pro" w:eastAsia="Amasis MT Pro" w:hAnsi="Amasis MT Pro" w:cs="Amasis MT Pro"/>
          <w:b/>
          <w:color w:val="000000"/>
          <w:sz w:val="18"/>
          <w:szCs w:val="18"/>
        </w:rPr>
        <w:fldChar w:fldCharType="separate"/>
      </w:r>
      <w:r w:rsidR="00DD755E" w:rsidRPr="00DD755E">
        <w:rPr>
          <w:rFonts w:ascii="Amasis MT Pro" w:hAnsi="Amasis MT Pro"/>
          <w:noProof/>
          <w:sz w:val="18"/>
          <w:szCs w:val="24"/>
        </w:rPr>
        <w:t xml:space="preserve">Ahmad, M. A., Herawan, S. G., &amp; Yusof, A. A. (2014). Effect of activation time on the Pinang frond based activated carbon for Remazol Brilliant Blue R removal. </w:t>
      </w:r>
      <w:r w:rsidR="00DD755E" w:rsidRPr="00DD755E">
        <w:rPr>
          <w:rFonts w:ascii="Amasis MT Pro" w:hAnsi="Amasis MT Pro"/>
          <w:i/>
          <w:iCs/>
          <w:noProof/>
          <w:sz w:val="18"/>
          <w:szCs w:val="24"/>
        </w:rPr>
        <w:t>J. Mech. Eng. Sci.</w:t>
      </w:r>
      <w:r w:rsidR="00DD755E" w:rsidRPr="00DD755E">
        <w:rPr>
          <w:rFonts w:ascii="Amasis MT Pro" w:hAnsi="Amasis MT Pro"/>
          <w:noProof/>
          <w:sz w:val="18"/>
          <w:szCs w:val="24"/>
        </w:rPr>
        <w:t xml:space="preserve">, </w:t>
      </w:r>
      <w:r w:rsidR="00DD755E" w:rsidRPr="00DD755E">
        <w:rPr>
          <w:rFonts w:ascii="Amasis MT Pro" w:hAnsi="Amasis MT Pro"/>
          <w:i/>
          <w:iCs/>
          <w:noProof/>
          <w:sz w:val="18"/>
          <w:szCs w:val="24"/>
        </w:rPr>
        <w:t>7</w:t>
      </w:r>
      <w:r w:rsidR="00DD755E" w:rsidRPr="00DD755E">
        <w:rPr>
          <w:rFonts w:ascii="Amasis MT Pro" w:hAnsi="Amasis MT Pro"/>
          <w:noProof/>
          <w:sz w:val="18"/>
          <w:szCs w:val="24"/>
        </w:rPr>
        <w:t>(1), 1085–1093. https://doi.org/10.15282/jmes.7.2014.7.0105</w:t>
      </w:r>
    </w:p>
    <w:p w14:paraId="4AA90920"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Ameen, M., Zamri, N. M., May, S. T., Azizan, M. T., Aqsha, A., Sabzoi, N., &amp; Sher, F. (2022). Effect of acid catalysts on hydrothermal carbonization of Malaysian oil palm residues (leaves, fronds, and shells) for hydrochar production. </w:t>
      </w:r>
      <w:r w:rsidRPr="00DD755E">
        <w:rPr>
          <w:rFonts w:ascii="Amasis MT Pro" w:hAnsi="Amasis MT Pro"/>
          <w:i/>
          <w:iCs/>
          <w:noProof/>
          <w:sz w:val="18"/>
          <w:szCs w:val="24"/>
        </w:rPr>
        <w:t>Biomass Convers. Biorefin.</w:t>
      </w:r>
      <w:r w:rsidRPr="00DD755E">
        <w:rPr>
          <w:rFonts w:ascii="Amasis MT Pro" w:hAnsi="Amasis MT Pro"/>
          <w:noProof/>
          <w:sz w:val="18"/>
          <w:szCs w:val="24"/>
        </w:rPr>
        <w:t xml:space="preserve">, </w:t>
      </w:r>
      <w:r w:rsidRPr="00DD755E">
        <w:rPr>
          <w:rFonts w:ascii="Amasis MT Pro" w:hAnsi="Amasis MT Pro"/>
          <w:i/>
          <w:iCs/>
          <w:noProof/>
          <w:sz w:val="18"/>
          <w:szCs w:val="24"/>
        </w:rPr>
        <w:t>12</w:t>
      </w:r>
      <w:r w:rsidRPr="00DD755E">
        <w:rPr>
          <w:rFonts w:ascii="Amasis MT Pro" w:hAnsi="Amasis MT Pro"/>
          <w:noProof/>
          <w:sz w:val="18"/>
          <w:szCs w:val="24"/>
        </w:rPr>
        <w:t>(1), 103–114. https://doi.org/10.1007/s13399-020-01201-2</w:t>
      </w:r>
    </w:p>
    <w:p w14:paraId="51CFED29"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Ayoola, R. B., Edeoja, A. O., Ibrahim, J. S., &amp; Kwaghger, A. K. (2022). Evaluation of Activated Carbon from Raphia Palm Nut Endocarp as Adsorbent for Solid Adsorption Refrigeration. </w:t>
      </w:r>
      <w:r w:rsidRPr="00DD755E">
        <w:rPr>
          <w:rFonts w:ascii="Amasis MT Pro" w:hAnsi="Amasis MT Pro"/>
          <w:i/>
          <w:iCs/>
          <w:noProof/>
          <w:sz w:val="18"/>
          <w:szCs w:val="24"/>
        </w:rPr>
        <w:t>JERR</w:t>
      </w:r>
      <w:r w:rsidRPr="00DD755E">
        <w:rPr>
          <w:rFonts w:ascii="Amasis MT Pro" w:hAnsi="Amasis MT Pro"/>
          <w:noProof/>
          <w:sz w:val="18"/>
          <w:szCs w:val="24"/>
        </w:rPr>
        <w:t xml:space="preserve">, </w:t>
      </w:r>
      <w:r w:rsidRPr="00DD755E">
        <w:rPr>
          <w:rFonts w:ascii="Amasis MT Pro" w:hAnsi="Amasis MT Pro"/>
          <w:i/>
          <w:iCs/>
          <w:noProof/>
          <w:sz w:val="18"/>
          <w:szCs w:val="24"/>
        </w:rPr>
        <w:t>23</w:t>
      </w:r>
      <w:r w:rsidRPr="00DD755E">
        <w:rPr>
          <w:rFonts w:ascii="Amasis MT Pro" w:hAnsi="Amasis MT Pro"/>
          <w:noProof/>
          <w:sz w:val="18"/>
          <w:szCs w:val="24"/>
        </w:rPr>
        <w:t>(10), 24–47. https://doi.org/10.9734/jerr/2022/v23i10750</w:t>
      </w:r>
    </w:p>
    <w:p w14:paraId="30CA243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Azmi, I. S., Azizan, A., &amp; Mohd Salleh, R. (2018). Pretreatment of Oil Palm Frond (OPF) with Ionic Liquid. </w:t>
      </w:r>
      <w:r w:rsidRPr="00DD755E">
        <w:rPr>
          <w:rFonts w:ascii="Amasis MT Pro" w:hAnsi="Amasis MT Pro"/>
          <w:i/>
          <w:iCs/>
          <w:noProof/>
          <w:sz w:val="18"/>
          <w:szCs w:val="24"/>
        </w:rPr>
        <w:t>IOP Conf. Ser.: Mater. Sci. Eng.</w:t>
      </w:r>
      <w:r w:rsidRPr="00DD755E">
        <w:rPr>
          <w:rFonts w:ascii="Amasis MT Pro" w:hAnsi="Amasis MT Pro"/>
          <w:noProof/>
          <w:sz w:val="18"/>
          <w:szCs w:val="24"/>
        </w:rPr>
        <w:t xml:space="preserve">, </w:t>
      </w:r>
      <w:r w:rsidRPr="00DD755E">
        <w:rPr>
          <w:rFonts w:ascii="Amasis MT Pro" w:hAnsi="Amasis MT Pro"/>
          <w:i/>
          <w:iCs/>
          <w:noProof/>
          <w:sz w:val="18"/>
          <w:szCs w:val="24"/>
        </w:rPr>
        <w:t>358</w:t>
      </w:r>
      <w:r w:rsidRPr="00DD755E">
        <w:rPr>
          <w:rFonts w:ascii="Amasis MT Pro" w:hAnsi="Amasis MT Pro"/>
          <w:noProof/>
          <w:sz w:val="18"/>
          <w:szCs w:val="24"/>
        </w:rPr>
        <w:t>(1). https://doi.org/10.1088/1757-899X/358/1/012071</w:t>
      </w:r>
    </w:p>
    <w:p w14:paraId="55DD635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Bhattacharjya, D., &amp; Yu, J. S. (2014). Activated carbon made from cow dung as electrode material for electrochemical double layer capacitor. </w:t>
      </w:r>
      <w:r w:rsidRPr="00DD755E">
        <w:rPr>
          <w:rFonts w:ascii="Amasis MT Pro" w:hAnsi="Amasis MT Pro"/>
          <w:i/>
          <w:iCs/>
          <w:noProof/>
          <w:sz w:val="18"/>
          <w:szCs w:val="24"/>
        </w:rPr>
        <w:t>J. Power Sources</w:t>
      </w:r>
      <w:r w:rsidRPr="00DD755E">
        <w:rPr>
          <w:rFonts w:ascii="Amasis MT Pro" w:hAnsi="Amasis MT Pro"/>
          <w:noProof/>
          <w:sz w:val="18"/>
          <w:szCs w:val="24"/>
        </w:rPr>
        <w:t xml:space="preserve">, </w:t>
      </w:r>
      <w:r w:rsidRPr="00DD755E">
        <w:rPr>
          <w:rFonts w:ascii="Amasis MT Pro" w:hAnsi="Amasis MT Pro"/>
          <w:i/>
          <w:iCs/>
          <w:noProof/>
          <w:sz w:val="18"/>
          <w:szCs w:val="24"/>
        </w:rPr>
        <w:t>262</w:t>
      </w:r>
      <w:r w:rsidRPr="00DD755E">
        <w:rPr>
          <w:rFonts w:ascii="Amasis MT Pro" w:hAnsi="Amasis MT Pro"/>
          <w:noProof/>
          <w:sz w:val="18"/>
          <w:szCs w:val="24"/>
        </w:rPr>
        <w:t>, 224–231. https://doi.org/10.1016/j.jpowsour.2014.03.143</w:t>
      </w:r>
    </w:p>
    <w:p w14:paraId="293A0F3A"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Borghei, S. A., Zare, M. H., Ahmadi, M., Sadeghi, M. H., Marjani, A., Shirazian, S., &amp; Ghadiri, M. (2021). Synthesis of multi-application activated carbon from oak seeds by KOH activation for methylene blue adsorption and electrochemical supercapacitor electrode. </w:t>
      </w:r>
      <w:r w:rsidRPr="00DD755E">
        <w:rPr>
          <w:rFonts w:ascii="Amasis MT Pro" w:hAnsi="Amasis MT Pro"/>
          <w:i/>
          <w:iCs/>
          <w:noProof/>
          <w:sz w:val="18"/>
          <w:szCs w:val="24"/>
        </w:rPr>
        <w:t>Arabian J. Chem.</w:t>
      </w:r>
      <w:r w:rsidRPr="00DD755E">
        <w:rPr>
          <w:rFonts w:ascii="Amasis MT Pro" w:hAnsi="Amasis MT Pro"/>
          <w:noProof/>
          <w:sz w:val="18"/>
          <w:szCs w:val="24"/>
        </w:rPr>
        <w:t xml:space="preserve">, </w:t>
      </w:r>
      <w:r w:rsidRPr="00DD755E">
        <w:rPr>
          <w:rFonts w:ascii="Amasis MT Pro" w:hAnsi="Amasis MT Pro"/>
          <w:i/>
          <w:iCs/>
          <w:noProof/>
          <w:sz w:val="18"/>
          <w:szCs w:val="24"/>
        </w:rPr>
        <w:t>14</w:t>
      </w:r>
      <w:r w:rsidRPr="00DD755E">
        <w:rPr>
          <w:rFonts w:ascii="Amasis MT Pro" w:hAnsi="Amasis MT Pro"/>
          <w:noProof/>
          <w:sz w:val="18"/>
          <w:szCs w:val="24"/>
        </w:rPr>
        <w:t>(2), 102958. https://doi.org/10.1016/j.arabjc.2020.102958</w:t>
      </w:r>
    </w:p>
    <w:p w14:paraId="3366E423"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Cazetta, A. L., Vargas, A. M. M., Nogami, E. M., Kunita, M. H., Guilherme, M. R., Martins, A. C., Silva, T. L., Moraes, J. C. G., &amp; Almeida, V. C. (2011). NaOH-activated carbon of high surface area produced from coconut shell: Kinetics and equilibrium studies from the methylene blue adsorption. </w:t>
      </w:r>
      <w:r w:rsidRPr="00DD755E">
        <w:rPr>
          <w:rFonts w:ascii="Amasis MT Pro" w:hAnsi="Amasis MT Pro"/>
          <w:i/>
          <w:iCs/>
          <w:noProof/>
          <w:sz w:val="18"/>
          <w:szCs w:val="24"/>
        </w:rPr>
        <w:t>Chem. Eng. J.</w:t>
      </w:r>
      <w:r w:rsidRPr="00DD755E">
        <w:rPr>
          <w:rFonts w:ascii="Amasis MT Pro" w:hAnsi="Amasis MT Pro"/>
          <w:noProof/>
          <w:sz w:val="18"/>
          <w:szCs w:val="24"/>
        </w:rPr>
        <w:t xml:space="preserve">, </w:t>
      </w:r>
      <w:r w:rsidRPr="00DD755E">
        <w:rPr>
          <w:rFonts w:ascii="Amasis MT Pro" w:hAnsi="Amasis MT Pro"/>
          <w:i/>
          <w:iCs/>
          <w:noProof/>
          <w:sz w:val="18"/>
          <w:szCs w:val="24"/>
        </w:rPr>
        <w:t>174</w:t>
      </w:r>
      <w:r w:rsidRPr="00DD755E">
        <w:rPr>
          <w:rFonts w:ascii="Amasis MT Pro" w:hAnsi="Amasis MT Pro"/>
          <w:noProof/>
          <w:sz w:val="18"/>
          <w:szCs w:val="24"/>
        </w:rPr>
        <w:t>(1), 117–125. https://doi.org/10.1016/j.cej.2011.08.058</w:t>
      </w:r>
    </w:p>
    <w:p w14:paraId="0D4AD1C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Duku, M. H., Gu, S., &amp; Hagan, E. Ben. (2011). A comprehensive review of biomass resources and biofuels potential in Ghana. </w:t>
      </w:r>
      <w:r w:rsidRPr="00DD755E">
        <w:rPr>
          <w:rFonts w:ascii="Amasis MT Pro" w:hAnsi="Amasis MT Pro"/>
          <w:i/>
          <w:iCs/>
          <w:noProof/>
          <w:sz w:val="18"/>
          <w:szCs w:val="24"/>
        </w:rPr>
        <w:t>Renewable Sustainable Energy Rev.</w:t>
      </w:r>
      <w:r w:rsidRPr="00DD755E">
        <w:rPr>
          <w:rFonts w:ascii="Amasis MT Pro" w:hAnsi="Amasis MT Pro"/>
          <w:noProof/>
          <w:sz w:val="18"/>
          <w:szCs w:val="24"/>
        </w:rPr>
        <w:t xml:space="preserve">, </w:t>
      </w:r>
      <w:r w:rsidRPr="00DD755E">
        <w:rPr>
          <w:rFonts w:ascii="Amasis MT Pro" w:hAnsi="Amasis MT Pro"/>
          <w:i/>
          <w:iCs/>
          <w:noProof/>
          <w:sz w:val="18"/>
          <w:szCs w:val="24"/>
        </w:rPr>
        <w:t>15</w:t>
      </w:r>
      <w:r w:rsidRPr="00DD755E">
        <w:rPr>
          <w:rFonts w:ascii="Amasis MT Pro" w:hAnsi="Amasis MT Pro"/>
          <w:noProof/>
          <w:sz w:val="18"/>
          <w:szCs w:val="24"/>
        </w:rPr>
        <w:t>(1), 404–415. https://doi.org/10.1016/j.rser.2010.09.033</w:t>
      </w:r>
    </w:p>
    <w:p w14:paraId="0A5FA36E"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Evelina, L. S., Faryunia, I. D., &amp; Sampurno, J. (2018). Aplikasi Metode Fraktal untuk Karakterisasi Struktur Mikroskopik Karbon Aktif Limbah Tandan Sawit Teraktivasi NaOH. </w:t>
      </w:r>
      <w:r w:rsidRPr="00DD755E">
        <w:rPr>
          <w:rFonts w:ascii="Amasis MT Pro" w:hAnsi="Amasis MT Pro"/>
          <w:i/>
          <w:iCs/>
          <w:noProof/>
          <w:sz w:val="18"/>
          <w:szCs w:val="24"/>
        </w:rPr>
        <w:t>Prisma Fisika</w:t>
      </w:r>
      <w:r w:rsidRPr="00DD755E">
        <w:rPr>
          <w:rFonts w:ascii="Amasis MT Pro" w:hAnsi="Amasis MT Pro"/>
          <w:noProof/>
          <w:sz w:val="18"/>
          <w:szCs w:val="24"/>
        </w:rPr>
        <w:t xml:space="preserve">, </w:t>
      </w:r>
      <w:r w:rsidRPr="00DD755E">
        <w:rPr>
          <w:rFonts w:ascii="Amasis MT Pro" w:hAnsi="Amasis MT Pro"/>
          <w:i/>
          <w:iCs/>
          <w:noProof/>
          <w:sz w:val="18"/>
          <w:szCs w:val="24"/>
        </w:rPr>
        <w:t>6</w:t>
      </w:r>
      <w:r w:rsidRPr="00DD755E">
        <w:rPr>
          <w:rFonts w:ascii="Amasis MT Pro" w:hAnsi="Amasis MT Pro"/>
          <w:noProof/>
          <w:sz w:val="18"/>
          <w:szCs w:val="24"/>
        </w:rPr>
        <w:t>(1), 39–43.</w:t>
      </w:r>
    </w:p>
    <w:p w14:paraId="120D7367"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lastRenderedPageBreak/>
        <w:t xml:space="preserve">Fatih Demirbas, M., Balat, M., &amp; Balat, H. (2011). Biowastes-to-biofuels. </w:t>
      </w:r>
      <w:r w:rsidRPr="00DD755E">
        <w:rPr>
          <w:rFonts w:ascii="Amasis MT Pro" w:hAnsi="Amasis MT Pro"/>
          <w:i/>
          <w:iCs/>
          <w:noProof/>
          <w:sz w:val="18"/>
          <w:szCs w:val="24"/>
        </w:rPr>
        <w:t>Energy Convers. Manage.</w:t>
      </w:r>
      <w:r w:rsidRPr="00DD755E">
        <w:rPr>
          <w:rFonts w:ascii="Amasis MT Pro" w:hAnsi="Amasis MT Pro"/>
          <w:noProof/>
          <w:sz w:val="18"/>
          <w:szCs w:val="24"/>
        </w:rPr>
        <w:t xml:space="preserve">, </w:t>
      </w:r>
      <w:r w:rsidRPr="00DD755E">
        <w:rPr>
          <w:rFonts w:ascii="Amasis MT Pro" w:hAnsi="Amasis MT Pro"/>
          <w:i/>
          <w:iCs/>
          <w:noProof/>
          <w:sz w:val="18"/>
          <w:szCs w:val="24"/>
        </w:rPr>
        <w:t>52</w:t>
      </w:r>
      <w:r w:rsidRPr="00DD755E">
        <w:rPr>
          <w:rFonts w:ascii="Amasis MT Pro" w:hAnsi="Amasis MT Pro"/>
          <w:noProof/>
          <w:sz w:val="18"/>
          <w:szCs w:val="24"/>
        </w:rPr>
        <w:t>(4), 1815–1828. https://doi.org/10.1016/j.enconman.2010.10.041</w:t>
      </w:r>
    </w:p>
    <w:p w14:paraId="2910F1FD"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González-García, P. (2018). Activated carbon from lignocellulosics precursors: A review of the synthesis methods, characterization techniques and applications. </w:t>
      </w:r>
      <w:r w:rsidRPr="00DD755E">
        <w:rPr>
          <w:rFonts w:ascii="Amasis MT Pro" w:hAnsi="Amasis MT Pro"/>
          <w:i/>
          <w:iCs/>
          <w:noProof/>
          <w:sz w:val="18"/>
          <w:szCs w:val="24"/>
        </w:rPr>
        <w:t>Renewable Sustainable Energy Rev.</w:t>
      </w:r>
      <w:r w:rsidRPr="00DD755E">
        <w:rPr>
          <w:rFonts w:ascii="Amasis MT Pro" w:hAnsi="Amasis MT Pro"/>
          <w:noProof/>
          <w:sz w:val="18"/>
          <w:szCs w:val="24"/>
        </w:rPr>
        <w:t xml:space="preserve">, </w:t>
      </w:r>
      <w:r w:rsidRPr="00DD755E">
        <w:rPr>
          <w:rFonts w:ascii="Amasis MT Pro" w:hAnsi="Amasis MT Pro"/>
          <w:i/>
          <w:iCs/>
          <w:noProof/>
          <w:sz w:val="18"/>
          <w:szCs w:val="24"/>
        </w:rPr>
        <w:t>82</w:t>
      </w:r>
      <w:r w:rsidRPr="00DD755E">
        <w:rPr>
          <w:rFonts w:ascii="Amasis MT Pro" w:hAnsi="Amasis MT Pro"/>
          <w:noProof/>
          <w:sz w:val="18"/>
          <w:szCs w:val="24"/>
        </w:rPr>
        <w:t>(August 2017), 1393–1414. https://doi.org/10.1016/j.rser.2017.04.117</w:t>
      </w:r>
    </w:p>
    <w:p w14:paraId="0A2039E6"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Guney, M. S., &amp; Tepe, Y. (2017). Classification and assessment of energy storage systems. </w:t>
      </w:r>
      <w:r w:rsidRPr="00DD755E">
        <w:rPr>
          <w:rFonts w:ascii="Amasis MT Pro" w:hAnsi="Amasis MT Pro"/>
          <w:i/>
          <w:iCs/>
          <w:noProof/>
          <w:sz w:val="18"/>
          <w:szCs w:val="24"/>
        </w:rPr>
        <w:t>Renewable Sustainable Energy Rev.</w:t>
      </w:r>
      <w:r w:rsidRPr="00DD755E">
        <w:rPr>
          <w:rFonts w:ascii="Amasis MT Pro" w:hAnsi="Amasis MT Pro"/>
          <w:noProof/>
          <w:sz w:val="18"/>
          <w:szCs w:val="24"/>
        </w:rPr>
        <w:t xml:space="preserve">, </w:t>
      </w:r>
      <w:r w:rsidRPr="00DD755E">
        <w:rPr>
          <w:rFonts w:ascii="Amasis MT Pro" w:hAnsi="Amasis MT Pro"/>
          <w:i/>
          <w:iCs/>
          <w:noProof/>
          <w:sz w:val="18"/>
          <w:szCs w:val="24"/>
        </w:rPr>
        <w:t>75</w:t>
      </w:r>
      <w:r w:rsidRPr="00DD755E">
        <w:rPr>
          <w:rFonts w:ascii="Amasis MT Pro" w:hAnsi="Amasis MT Pro"/>
          <w:noProof/>
          <w:sz w:val="18"/>
          <w:szCs w:val="24"/>
        </w:rPr>
        <w:t>(November), 1187–1197. https://doi.org/10.1016/j.rser.2016.11.102</w:t>
      </w:r>
    </w:p>
    <w:p w14:paraId="1159EED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Haghighi Mood, S., Hossein Golfeshan, A., Tabatabaei, M., Salehi Jouzani, G., Najafi, G. H., Gholami, M., &amp; Ardjmand, M. (2013). Lignocellulosic biomass to bioethanol, a comprehensive review with a focus on pretreatment. </w:t>
      </w:r>
      <w:r w:rsidRPr="00DD755E">
        <w:rPr>
          <w:rFonts w:ascii="Amasis MT Pro" w:hAnsi="Amasis MT Pro"/>
          <w:i/>
          <w:iCs/>
          <w:noProof/>
          <w:sz w:val="18"/>
          <w:szCs w:val="24"/>
        </w:rPr>
        <w:t>Renewable Sustainable Energy Rev.</w:t>
      </w:r>
      <w:r w:rsidRPr="00DD755E">
        <w:rPr>
          <w:rFonts w:ascii="Amasis MT Pro" w:hAnsi="Amasis MT Pro"/>
          <w:noProof/>
          <w:sz w:val="18"/>
          <w:szCs w:val="24"/>
        </w:rPr>
        <w:t xml:space="preserve">, </w:t>
      </w:r>
      <w:r w:rsidRPr="00DD755E">
        <w:rPr>
          <w:rFonts w:ascii="Amasis MT Pro" w:hAnsi="Amasis MT Pro"/>
          <w:i/>
          <w:iCs/>
          <w:noProof/>
          <w:sz w:val="18"/>
          <w:szCs w:val="24"/>
        </w:rPr>
        <w:t>27</w:t>
      </w:r>
      <w:r w:rsidRPr="00DD755E">
        <w:rPr>
          <w:rFonts w:ascii="Amasis MT Pro" w:hAnsi="Amasis MT Pro"/>
          <w:noProof/>
          <w:sz w:val="18"/>
          <w:szCs w:val="24"/>
        </w:rPr>
        <w:t>, 77–93. https://doi.org/10.1016/j.rser.2013.06.033</w:t>
      </w:r>
    </w:p>
    <w:p w14:paraId="422D8AF9"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Han, R. R., Zhu, H. Y., Li, M. P., Yang, W. T., Lu, C., Zhang, Y. S., Zhang, B. M., Liang, X. R., &amp; Liu, M. C. (2020). Efficient Preparation of Spongy-Like Porous-Activated Carbon from Waste Millfeed towards High Performance Supercapacitors. </w:t>
      </w:r>
      <w:r w:rsidRPr="00DD755E">
        <w:rPr>
          <w:rFonts w:ascii="Amasis MT Pro" w:hAnsi="Amasis MT Pro"/>
          <w:i/>
          <w:iCs/>
          <w:noProof/>
          <w:sz w:val="18"/>
          <w:szCs w:val="24"/>
        </w:rPr>
        <w:t>Nano</w:t>
      </w:r>
      <w:r w:rsidRPr="00DD755E">
        <w:rPr>
          <w:rFonts w:ascii="Amasis MT Pro" w:hAnsi="Amasis MT Pro"/>
          <w:noProof/>
          <w:sz w:val="18"/>
          <w:szCs w:val="24"/>
        </w:rPr>
        <w:t xml:space="preserve">, </w:t>
      </w:r>
      <w:r w:rsidRPr="00DD755E">
        <w:rPr>
          <w:rFonts w:ascii="Amasis MT Pro" w:hAnsi="Amasis MT Pro"/>
          <w:i/>
          <w:iCs/>
          <w:noProof/>
          <w:sz w:val="18"/>
          <w:szCs w:val="24"/>
        </w:rPr>
        <w:t>15</w:t>
      </w:r>
      <w:r w:rsidRPr="00DD755E">
        <w:rPr>
          <w:rFonts w:ascii="Amasis MT Pro" w:hAnsi="Amasis MT Pro"/>
          <w:noProof/>
          <w:sz w:val="18"/>
          <w:szCs w:val="24"/>
        </w:rPr>
        <w:t>(8). https://doi.org/10.1142/S1793292020501064</w:t>
      </w:r>
    </w:p>
    <w:p w14:paraId="68394181"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Hii, S. W., Chin, B. L. F., Yiin, C. L., Majing, F. R. S., Jawad, Z. A., Lim, H. Y., Yusup, S., Acda, M. N., Unrean, P., &amp; Rianawati, E. (2021). Thermogravimetric kinetic analysis of in-situ catalytic pyrolysis of palm oil wastes with the presence of palm oil wastes ash catalyst. </w:t>
      </w:r>
      <w:r w:rsidRPr="00DD755E">
        <w:rPr>
          <w:rFonts w:ascii="Amasis MT Pro" w:hAnsi="Amasis MT Pro"/>
          <w:i/>
          <w:iCs/>
          <w:noProof/>
          <w:sz w:val="18"/>
          <w:szCs w:val="24"/>
        </w:rPr>
        <w:t>IOP Conf. Ser.: Mater. Sci. Eng.</w:t>
      </w:r>
      <w:r w:rsidRPr="00DD755E">
        <w:rPr>
          <w:rFonts w:ascii="Amasis MT Pro" w:hAnsi="Amasis MT Pro"/>
          <w:noProof/>
          <w:sz w:val="18"/>
          <w:szCs w:val="24"/>
        </w:rPr>
        <w:t xml:space="preserve">, </w:t>
      </w:r>
      <w:r w:rsidRPr="00DD755E">
        <w:rPr>
          <w:rFonts w:ascii="Amasis MT Pro" w:hAnsi="Amasis MT Pro"/>
          <w:i/>
          <w:iCs/>
          <w:noProof/>
          <w:sz w:val="18"/>
          <w:szCs w:val="24"/>
        </w:rPr>
        <w:t>1195</w:t>
      </w:r>
      <w:r w:rsidRPr="00DD755E">
        <w:rPr>
          <w:rFonts w:ascii="Amasis MT Pro" w:hAnsi="Amasis MT Pro"/>
          <w:noProof/>
          <w:sz w:val="18"/>
          <w:szCs w:val="24"/>
        </w:rPr>
        <w:t>(1), 012010. https://doi.org/10.1088/1757-899x/1195/1/012010</w:t>
      </w:r>
    </w:p>
    <w:p w14:paraId="7792E3E7"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Hoekstra, A. (2019). The Underestimated Potential of Battery Electric Vehicles to Reduce Emissions. </w:t>
      </w:r>
      <w:r w:rsidRPr="00DD755E">
        <w:rPr>
          <w:rFonts w:ascii="Amasis MT Pro" w:hAnsi="Amasis MT Pro"/>
          <w:i/>
          <w:iCs/>
          <w:noProof/>
          <w:sz w:val="18"/>
          <w:szCs w:val="24"/>
        </w:rPr>
        <w:t>Joule</w:t>
      </w:r>
      <w:r w:rsidRPr="00DD755E">
        <w:rPr>
          <w:rFonts w:ascii="Amasis MT Pro" w:hAnsi="Amasis MT Pro"/>
          <w:noProof/>
          <w:sz w:val="18"/>
          <w:szCs w:val="24"/>
        </w:rPr>
        <w:t xml:space="preserve">, </w:t>
      </w:r>
      <w:r w:rsidRPr="00DD755E">
        <w:rPr>
          <w:rFonts w:ascii="Amasis MT Pro" w:hAnsi="Amasis MT Pro"/>
          <w:i/>
          <w:iCs/>
          <w:noProof/>
          <w:sz w:val="18"/>
          <w:szCs w:val="24"/>
        </w:rPr>
        <w:t>3</w:t>
      </w:r>
      <w:r w:rsidRPr="00DD755E">
        <w:rPr>
          <w:rFonts w:ascii="Amasis MT Pro" w:hAnsi="Amasis MT Pro"/>
          <w:noProof/>
          <w:sz w:val="18"/>
          <w:szCs w:val="24"/>
        </w:rPr>
        <w:t>(6), 1412–1414. https://doi.org/10.1016/j.joule.2019.06.002</w:t>
      </w:r>
    </w:p>
    <w:p w14:paraId="593E004A"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Jeong, C. Y., Dodla, S. K., &amp; Wang, J. J. (2016). Fundamental and molecular composition characteristics of biochars produced from sugarcane and rice crop residues and by-products. </w:t>
      </w:r>
      <w:r w:rsidRPr="00DD755E">
        <w:rPr>
          <w:rFonts w:ascii="Amasis MT Pro" w:hAnsi="Amasis MT Pro"/>
          <w:i/>
          <w:iCs/>
          <w:noProof/>
          <w:sz w:val="18"/>
          <w:szCs w:val="24"/>
        </w:rPr>
        <w:t>Chemosphere</w:t>
      </w:r>
      <w:r w:rsidRPr="00DD755E">
        <w:rPr>
          <w:rFonts w:ascii="Amasis MT Pro" w:hAnsi="Amasis MT Pro"/>
          <w:noProof/>
          <w:sz w:val="18"/>
          <w:szCs w:val="24"/>
        </w:rPr>
        <w:t xml:space="preserve">, </w:t>
      </w:r>
      <w:r w:rsidRPr="00DD755E">
        <w:rPr>
          <w:rFonts w:ascii="Amasis MT Pro" w:hAnsi="Amasis MT Pro"/>
          <w:i/>
          <w:iCs/>
          <w:noProof/>
          <w:sz w:val="18"/>
          <w:szCs w:val="24"/>
        </w:rPr>
        <w:t>142</w:t>
      </w:r>
      <w:r w:rsidRPr="00DD755E">
        <w:rPr>
          <w:rFonts w:ascii="Amasis MT Pro" w:hAnsi="Amasis MT Pro"/>
          <w:noProof/>
          <w:sz w:val="18"/>
          <w:szCs w:val="24"/>
        </w:rPr>
        <w:t>, 4–13. https://doi.org/10.1016/j.chemosphere.2015.05.084</w:t>
      </w:r>
    </w:p>
    <w:p w14:paraId="3A9DFBF6"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Jin, H., Wang, X., Gu, Z., Hoefelmeyer, J. D., Muthukumarappan, K., &amp; Julson, J. (2014). Graphitized activated carbon based on big bluestem as an electrode for supercapacitors. </w:t>
      </w:r>
      <w:r w:rsidRPr="00DD755E">
        <w:rPr>
          <w:rFonts w:ascii="Amasis MT Pro" w:hAnsi="Amasis MT Pro"/>
          <w:i/>
          <w:iCs/>
          <w:noProof/>
          <w:sz w:val="18"/>
          <w:szCs w:val="24"/>
        </w:rPr>
        <w:t>RSC Adv.</w:t>
      </w:r>
      <w:r w:rsidRPr="00DD755E">
        <w:rPr>
          <w:rFonts w:ascii="Amasis MT Pro" w:hAnsi="Amasis MT Pro"/>
          <w:noProof/>
          <w:sz w:val="18"/>
          <w:szCs w:val="24"/>
        </w:rPr>
        <w:t xml:space="preserve">, </w:t>
      </w:r>
      <w:r w:rsidRPr="00DD755E">
        <w:rPr>
          <w:rFonts w:ascii="Amasis MT Pro" w:hAnsi="Amasis MT Pro"/>
          <w:i/>
          <w:iCs/>
          <w:noProof/>
          <w:sz w:val="18"/>
          <w:szCs w:val="24"/>
        </w:rPr>
        <w:t>4</w:t>
      </w:r>
      <w:r w:rsidRPr="00DD755E">
        <w:rPr>
          <w:rFonts w:ascii="Amasis MT Pro" w:hAnsi="Amasis MT Pro"/>
          <w:noProof/>
          <w:sz w:val="18"/>
          <w:szCs w:val="24"/>
        </w:rPr>
        <w:t>(27), 14136–14142. https://doi.org/10.1039/c3ra46037a</w:t>
      </w:r>
    </w:p>
    <w:p w14:paraId="59D7E77B"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Khairiah, Siregar, S. M., Siregar, J., Nasution, L. A., &amp; Daulay, A. H. (2018). The Electrical properties of nanomaterials derived from durian skin waste by using a various types of electrodes for bio-battery application. </w:t>
      </w:r>
      <w:r w:rsidRPr="00DD755E">
        <w:rPr>
          <w:rFonts w:ascii="Amasis MT Pro" w:hAnsi="Amasis MT Pro"/>
          <w:i/>
          <w:iCs/>
          <w:noProof/>
          <w:sz w:val="18"/>
          <w:szCs w:val="24"/>
        </w:rPr>
        <w:t>J. Phys.: Conf. Ser.</w:t>
      </w:r>
      <w:r w:rsidRPr="00DD755E">
        <w:rPr>
          <w:rFonts w:ascii="Amasis MT Pro" w:hAnsi="Amasis MT Pro"/>
          <w:noProof/>
          <w:sz w:val="18"/>
          <w:szCs w:val="24"/>
        </w:rPr>
        <w:t xml:space="preserve">, </w:t>
      </w:r>
      <w:r w:rsidRPr="00DD755E">
        <w:rPr>
          <w:rFonts w:ascii="Amasis MT Pro" w:hAnsi="Amasis MT Pro"/>
          <w:i/>
          <w:iCs/>
          <w:noProof/>
          <w:sz w:val="18"/>
          <w:szCs w:val="24"/>
        </w:rPr>
        <w:t>1120</w:t>
      </w:r>
      <w:r w:rsidRPr="00DD755E">
        <w:rPr>
          <w:rFonts w:ascii="Amasis MT Pro" w:hAnsi="Amasis MT Pro"/>
          <w:noProof/>
          <w:sz w:val="18"/>
          <w:szCs w:val="24"/>
        </w:rPr>
        <w:t>(1). https://doi.org/10.1088/1742-6596/1120/1/012085</w:t>
      </w:r>
    </w:p>
    <w:p w14:paraId="4AD82EBA"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Kozina, A., Radica, G., &amp; Nižetić, S. (2020). Analysis of methods towards reduction of harmful pollutants from diesel engines. </w:t>
      </w:r>
      <w:r w:rsidRPr="00DD755E">
        <w:rPr>
          <w:rFonts w:ascii="Amasis MT Pro" w:hAnsi="Amasis MT Pro"/>
          <w:i/>
          <w:iCs/>
          <w:noProof/>
          <w:sz w:val="18"/>
          <w:szCs w:val="24"/>
        </w:rPr>
        <w:t>J. Cleaner Prod.</w:t>
      </w:r>
      <w:r w:rsidRPr="00DD755E">
        <w:rPr>
          <w:rFonts w:ascii="Amasis MT Pro" w:hAnsi="Amasis MT Pro"/>
          <w:noProof/>
          <w:sz w:val="18"/>
          <w:szCs w:val="24"/>
        </w:rPr>
        <w:t xml:space="preserve">, </w:t>
      </w:r>
      <w:r w:rsidRPr="00DD755E">
        <w:rPr>
          <w:rFonts w:ascii="Amasis MT Pro" w:hAnsi="Amasis MT Pro"/>
          <w:i/>
          <w:iCs/>
          <w:noProof/>
          <w:sz w:val="18"/>
          <w:szCs w:val="24"/>
        </w:rPr>
        <w:t>262</w:t>
      </w:r>
      <w:r w:rsidRPr="00DD755E">
        <w:rPr>
          <w:rFonts w:ascii="Amasis MT Pro" w:hAnsi="Amasis MT Pro"/>
          <w:noProof/>
          <w:sz w:val="18"/>
          <w:szCs w:val="24"/>
        </w:rPr>
        <w:t>. https://doi.org/10.1016/j.jclepro.2020.121105</w:t>
      </w:r>
    </w:p>
    <w:p w14:paraId="628575A0"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Li, M., Ma, S., &amp; Zhu, X. (2016). Preparation of activated carbon from pyrolyzed rice husk by leaching out ash content after Co2 activation. </w:t>
      </w:r>
      <w:r w:rsidRPr="00DD755E">
        <w:rPr>
          <w:rFonts w:ascii="Amasis MT Pro" w:hAnsi="Amasis MT Pro"/>
          <w:i/>
          <w:iCs/>
          <w:noProof/>
          <w:sz w:val="18"/>
          <w:szCs w:val="24"/>
        </w:rPr>
        <w:t>BioResources</w:t>
      </w:r>
      <w:r w:rsidRPr="00DD755E">
        <w:rPr>
          <w:rFonts w:ascii="Amasis MT Pro" w:hAnsi="Amasis MT Pro"/>
          <w:noProof/>
          <w:sz w:val="18"/>
          <w:szCs w:val="24"/>
        </w:rPr>
        <w:t xml:space="preserve">, </w:t>
      </w:r>
      <w:r w:rsidRPr="00DD755E">
        <w:rPr>
          <w:rFonts w:ascii="Amasis MT Pro" w:hAnsi="Amasis MT Pro"/>
          <w:i/>
          <w:iCs/>
          <w:noProof/>
          <w:sz w:val="18"/>
          <w:szCs w:val="24"/>
        </w:rPr>
        <w:t>11</w:t>
      </w:r>
      <w:r w:rsidRPr="00DD755E">
        <w:rPr>
          <w:rFonts w:ascii="Amasis MT Pro" w:hAnsi="Amasis MT Pro"/>
          <w:noProof/>
          <w:sz w:val="18"/>
          <w:szCs w:val="24"/>
        </w:rPr>
        <w:t>(2), 3384–3396. https://doi.org/10.15376/biores.11.2.3384-3396</w:t>
      </w:r>
    </w:p>
    <w:p w14:paraId="34FE7615"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Lubwama, M., Yiga, V. A., &amp; Lubwama, H. N. (2022). Effects and interactions of the agricultural waste residues and binder type on physical properties and calorific values of carbonized briquettes. </w:t>
      </w:r>
      <w:r w:rsidRPr="00DD755E">
        <w:rPr>
          <w:rFonts w:ascii="Amasis MT Pro" w:hAnsi="Amasis MT Pro"/>
          <w:i/>
          <w:iCs/>
          <w:noProof/>
          <w:sz w:val="18"/>
          <w:szCs w:val="24"/>
        </w:rPr>
        <w:t>Biomass Convers. Biorefin.</w:t>
      </w:r>
      <w:r w:rsidRPr="00DD755E">
        <w:rPr>
          <w:rFonts w:ascii="Amasis MT Pro" w:hAnsi="Amasis MT Pro"/>
          <w:noProof/>
          <w:sz w:val="18"/>
          <w:szCs w:val="24"/>
        </w:rPr>
        <w:t xml:space="preserve">, </w:t>
      </w:r>
      <w:r w:rsidRPr="00DD755E">
        <w:rPr>
          <w:rFonts w:ascii="Amasis MT Pro" w:hAnsi="Amasis MT Pro"/>
          <w:i/>
          <w:iCs/>
          <w:noProof/>
          <w:sz w:val="18"/>
          <w:szCs w:val="24"/>
        </w:rPr>
        <w:t>12</w:t>
      </w:r>
      <w:r w:rsidRPr="00DD755E">
        <w:rPr>
          <w:rFonts w:ascii="Amasis MT Pro" w:hAnsi="Amasis MT Pro"/>
          <w:noProof/>
          <w:sz w:val="18"/>
          <w:szCs w:val="24"/>
        </w:rPr>
        <w:t>(11), 4979–4999. https://doi.org/10.1007/s13399-020-01001-8</w:t>
      </w:r>
    </w:p>
    <w:p w14:paraId="2104E03E"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Martín-González, M. A., González-Díaz, O., Susial, P., Araña, J., Herrera-Melián, J. A., Doña-Rodríguez, J. M., &amp; Pérez-Peña, J. (2014). Reuse of Phoenix canariensis palm frond mulch as biosorbent and as precursor of activated carbons for the adsorption of Imazalil in aqueous phase. </w:t>
      </w:r>
      <w:r w:rsidRPr="00DD755E">
        <w:rPr>
          <w:rFonts w:ascii="Amasis MT Pro" w:hAnsi="Amasis MT Pro"/>
          <w:i/>
          <w:iCs/>
          <w:noProof/>
          <w:sz w:val="18"/>
          <w:szCs w:val="24"/>
        </w:rPr>
        <w:t>Chem. Eng. J.</w:t>
      </w:r>
      <w:r w:rsidRPr="00DD755E">
        <w:rPr>
          <w:rFonts w:ascii="Amasis MT Pro" w:hAnsi="Amasis MT Pro"/>
          <w:noProof/>
          <w:sz w:val="18"/>
          <w:szCs w:val="24"/>
        </w:rPr>
        <w:t xml:space="preserve">, </w:t>
      </w:r>
      <w:r w:rsidRPr="00DD755E">
        <w:rPr>
          <w:rFonts w:ascii="Amasis MT Pro" w:hAnsi="Amasis MT Pro"/>
          <w:i/>
          <w:iCs/>
          <w:noProof/>
          <w:sz w:val="18"/>
          <w:szCs w:val="24"/>
        </w:rPr>
        <w:t>245</w:t>
      </w:r>
      <w:r w:rsidRPr="00DD755E">
        <w:rPr>
          <w:rFonts w:ascii="Amasis MT Pro" w:hAnsi="Amasis MT Pro"/>
          <w:noProof/>
          <w:sz w:val="18"/>
          <w:szCs w:val="24"/>
        </w:rPr>
        <w:t>, 348–358. https://doi.org/10.1016/j.cej.2014.02.050</w:t>
      </w:r>
    </w:p>
    <w:p w14:paraId="531B717B"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Martins, A. C., Pezoti, O., Cazetta, A. L., Bedin, K. C., Yamazaki, </w:t>
      </w:r>
      <w:r w:rsidRPr="00DD755E">
        <w:rPr>
          <w:rFonts w:ascii="Amasis MT Pro" w:hAnsi="Amasis MT Pro"/>
          <w:noProof/>
          <w:sz w:val="18"/>
          <w:szCs w:val="24"/>
        </w:rPr>
        <w:lastRenderedPageBreak/>
        <w:t xml:space="preserve">D. A. S., Bandoch, G. F. G., Asefa, T., Visentainer, J. V., &amp; Almeida, V. C. (2015). Removal of tetracycline by NaOH-activated carbon produced from macadamia nut shells: Kinetic and equilibrium studies. </w:t>
      </w:r>
      <w:r w:rsidRPr="00DD755E">
        <w:rPr>
          <w:rFonts w:ascii="Amasis MT Pro" w:hAnsi="Amasis MT Pro"/>
          <w:i/>
          <w:iCs/>
          <w:noProof/>
          <w:sz w:val="18"/>
          <w:szCs w:val="24"/>
        </w:rPr>
        <w:t>Chem. Eng. J.</w:t>
      </w:r>
      <w:r w:rsidRPr="00DD755E">
        <w:rPr>
          <w:rFonts w:ascii="Amasis MT Pro" w:hAnsi="Amasis MT Pro"/>
          <w:noProof/>
          <w:sz w:val="18"/>
          <w:szCs w:val="24"/>
        </w:rPr>
        <w:t xml:space="preserve">, </w:t>
      </w:r>
      <w:r w:rsidRPr="00DD755E">
        <w:rPr>
          <w:rFonts w:ascii="Amasis MT Pro" w:hAnsi="Amasis MT Pro"/>
          <w:i/>
          <w:iCs/>
          <w:noProof/>
          <w:sz w:val="18"/>
          <w:szCs w:val="24"/>
        </w:rPr>
        <w:t>260</w:t>
      </w:r>
      <w:r w:rsidRPr="00DD755E">
        <w:rPr>
          <w:rFonts w:ascii="Amasis MT Pro" w:hAnsi="Amasis MT Pro"/>
          <w:noProof/>
          <w:sz w:val="18"/>
          <w:szCs w:val="24"/>
        </w:rPr>
        <w:t>, 291–299. https://doi.org/10.1016/j.cej.2014.09.017</w:t>
      </w:r>
    </w:p>
    <w:p w14:paraId="5EDD560C"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Maulina, S., &amp; Anwari, F. N. (2018). Utilization of oil palm fronds in producing activated carbon using Na2CO3 as an activator. </w:t>
      </w:r>
      <w:r w:rsidRPr="00DD755E">
        <w:rPr>
          <w:rFonts w:ascii="Amasis MT Pro" w:hAnsi="Amasis MT Pro"/>
          <w:i/>
          <w:iCs/>
          <w:noProof/>
          <w:sz w:val="18"/>
          <w:szCs w:val="24"/>
        </w:rPr>
        <w:t>IOP Conf. Ser.: Mater. Sci. Eng.</w:t>
      </w:r>
      <w:r w:rsidRPr="00DD755E">
        <w:rPr>
          <w:rFonts w:ascii="Amasis MT Pro" w:hAnsi="Amasis MT Pro"/>
          <w:noProof/>
          <w:sz w:val="18"/>
          <w:szCs w:val="24"/>
        </w:rPr>
        <w:t xml:space="preserve">, </w:t>
      </w:r>
      <w:r w:rsidRPr="00DD755E">
        <w:rPr>
          <w:rFonts w:ascii="Amasis MT Pro" w:hAnsi="Amasis MT Pro"/>
          <w:i/>
          <w:iCs/>
          <w:noProof/>
          <w:sz w:val="18"/>
          <w:szCs w:val="24"/>
        </w:rPr>
        <w:t>309</w:t>
      </w:r>
      <w:r w:rsidRPr="00DD755E">
        <w:rPr>
          <w:rFonts w:ascii="Amasis MT Pro" w:hAnsi="Amasis MT Pro"/>
          <w:noProof/>
          <w:sz w:val="18"/>
          <w:szCs w:val="24"/>
        </w:rPr>
        <w:t>(1), 0–8. https://doi.org/10.1088/1757-899X/309/1/012087</w:t>
      </w:r>
    </w:p>
    <w:p w14:paraId="6C3AE672"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Muttakin, M., Mitra, S., Thu, K., Ito, K., &amp; Saha, B. B. (2018). Theoretical framework to evaluate minimum desorption temperature for IUPAC classified adsorption isotherms. </w:t>
      </w:r>
      <w:r w:rsidRPr="00DD755E">
        <w:rPr>
          <w:rFonts w:ascii="Amasis MT Pro" w:hAnsi="Amasis MT Pro"/>
          <w:i/>
          <w:iCs/>
          <w:noProof/>
          <w:sz w:val="18"/>
          <w:szCs w:val="24"/>
        </w:rPr>
        <w:t>Int. J. Heat Mass Transfer</w:t>
      </w:r>
      <w:r w:rsidRPr="00DD755E">
        <w:rPr>
          <w:rFonts w:ascii="Amasis MT Pro" w:hAnsi="Amasis MT Pro"/>
          <w:noProof/>
          <w:sz w:val="18"/>
          <w:szCs w:val="24"/>
        </w:rPr>
        <w:t xml:space="preserve">, </w:t>
      </w:r>
      <w:r w:rsidRPr="00DD755E">
        <w:rPr>
          <w:rFonts w:ascii="Amasis MT Pro" w:hAnsi="Amasis MT Pro"/>
          <w:i/>
          <w:iCs/>
          <w:noProof/>
          <w:sz w:val="18"/>
          <w:szCs w:val="24"/>
        </w:rPr>
        <w:t>122</w:t>
      </w:r>
      <w:r w:rsidRPr="00DD755E">
        <w:rPr>
          <w:rFonts w:ascii="Amasis MT Pro" w:hAnsi="Amasis MT Pro"/>
          <w:noProof/>
          <w:sz w:val="18"/>
          <w:szCs w:val="24"/>
        </w:rPr>
        <w:t>, 795–805. https://doi.org/10.1016/j.ijheatmasstransfer.2018.01.107</w:t>
      </w:r>
    </w:p>
    <w:p w14:paraId="2AA78652"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Nizamuddin, S., Baloch, H. A., Griffin, G. J., Mubarak, N. M., Bhutto, A. W., Abro, R., Mazari, S. A., &amp; Ali, B. S. (2017). An overview of effect of process parameters on hydrothermal carbonization of biomass. </w:t>
      </w:r>
      <w:r w:rsidRPr="00DD755E">
        <w:rPr>
          <w:rFonts w:ascii="Amasis MT Pro" w:hAnsi="Amasis MT Pro"/>
          <w:i/>
          <w:iCs/>
          <w:noProof/>
          <w:sz w:val="18"/>
          <w:szCs w:val="24"/>
        </w:rPr>
        <w:t>Renewable Sustainable Energy Rev.</w:t>
      </w:r>
      <w:r w:rsidRPr="00DD755E">
        <w:rPr>
          <w:rFonts w:ascii="Amasis MT Pro" w:hAnsi="Amasis MT Pro"/>
          <w:noProof/>
          <w:sz w:val="18"/>
          <w:szCs w:val="24"/>
        </w:rPr>
        <w:t xml:space="preserve">, </w:t>
      </w:r>
      <w:r w:rsidRPr="00DD755E">
        <w:rPr>
          <w:rFonts w:ascii="Amasis MT Pro" w:hAnsi="Amasis MT Pro"/>
          <w:i/>
          <w:iCs/>
          <w:noProof/>
          <w:sz w:val="18"/>
          <w:szCs w:val="24"/>
        </w:rPr>
        <w:t>73</w:t>
      </w:r>
      <w:r w:rsidRPr="00DD755E">
        <w:rPr>
          <w:rFonts w:ascii="Amasis MT Pro" w:hAnsi="Amasis MT Pro"/>
          <w:noProof/>
          <w:sz w:val="18"/>
          <w:szCs w:val="24"/>
        </w:rPr>
        <w:t>(December 2015), 1289–1299. https://doi.org/10.1016/j.rser.2016.12.122</w:t>
      </w:r>
    </w:p>
    <w:p w14:paraId="77D8C8A2"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Okahisa, Y., Furukawa, Y., Ishimoto, K., Narita, C., Intharapichai, K., &amp; Ohara, H. (2018). Comparison of cellulose nanofiber properties produced from different parts of the oil palm tree. </w:t>
      </w:r>
      <w:r w:rsidRPr="00DD755E">
        <w:rPr>
          <w:rFonts w:ascii="Amasis MT Pro" w:hAnsi="Amasis MT Pro"/>
          <w:i/>
          <w:iCs/>
          <w:noProof/>
          <w:sz w:val="18"/>
          <w:szCs w:val="24"/>
        </w:rPr>
        <w:t>Carbohydr. Polym.</w:t>
      </w:r>
      <w:r w:rsidRPr="00DD755E">
        <w:rPr>
          <w:rFonts w:ascii="Amasis MT Pro" w:hAnsi="Amasis MT Pro"/>
          <w:noProof/>
          <w:sz w:val="18"/>
          <w:szCs w:val="24"/>
        </w:rPr>
        <w:t xml:space="preserve">, </w:t>
      </w:r>
      <w:r w:rsidRPr="00DD755E">
        <w:rPr>
          <w:rFonts w:ascii="Amasis MT Pro" w:hAnsi="Amasis MT Pro"/>
          <w:i/>
          <w:iCs/>
          <w:noProof/>
          <w:sz w:val="18"/>
          <w:szCs w:val="24"/>
        </w:rPr>
        <w:t>198</w:t>
      </w:r>
      <w:r w:rsidRPr="00DD755E">
        <w:rPr>
          <w:rFonts w:ascii="Amasis MT Pro" w:hAnsi="Amasis MT Pro"/>
          <w:noProof/>
          <w:sz w:val="18"/>
          <w:szCs w:val="24"/>
        </w:rPr>
        <w:t>, 313–319. https://doi.org/10.1016/j.carbpol.2018.06.089</w:t>
      </w:r>
    </w:p>
    <w:p w14:paraId="5295EEAE"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Paananen, H., &amp; Pakkanen, T. T. (2020). Kraft lignin reaction with paraformaldehyde. </w:t>
      </w:r>
      <w:r w:rsidRPr="00DD755E">
        <w:rPr>
          <w:rFonts w:ascii="Amasis MT Pro" w:hAnsi="Amasis MT Pro"/>
          <w:i/>
          <w:iCs/>
          <w:noProof/>
          <w:sz w:val="18"/>
          <w:szCs w:val="24"/>
        </w:rPr>
        <w:t>Holzforschung</w:t>
      </w:r>
      <w:r w:rsidRPr="00DD755E">
        <w:rPr>
          <w:rFonts w:ascii="Amasis MT Pro" w:hAnsi="Amasis MT Pro"/>
          <w:noProof/>
          <w:sz w:val="18"/>
          <w:szCs w:val="24"/>
        </w:rPr>
        <w:t xml:space="preserve">, </w:t>
      </w:r>
      <w:r w:rsidRPr="00DD755E">
        <w:rPr>
          <w:rFonts w:ascii="Amasis MT Pro" w:hAnsi="Amasis MT Pro"/>
          <w:i/>
          <w:iCs/>
          <w:noProof/>
          <w:sz w:val="18"/>
          <w:szCs w:val="24"/>
        </w:rPr>
        <w:t>74</w:t>
      </w:r>
      <w:r w:rsidRPr="00DD755E">
        <w:rPr>
          <w:rFonts w:ascii="Amasis MT Pro" w:hAnsi="Amasis MT Pro"/>
          <w:noProof/>
          <w:sz w:val="18"/>
          <w:szCs w:val="24"/>
        </w:rPr>
        <w:t>(7), 663–672. https://doi.org/10.1515/hf-2019-0147</w:t>
      </w:r>
    </w:p>
    <w:p w14:paraId="5CF25E8E"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Riyadi, R., Masyithah, Z., Hutagalung, A., &amp; Haryanto, B. (2021). The effect of temperature and reaction time on lignin content of Imperata Cylindrica. </w:t>
      </w:r>
      <w:r w:rsidRPr="00DD755E">
        <w:rPr>
          <w:rFonts w:ascii="Amasis MT Pro" w:hAnsi="Amasis MT Pro"/>
          <w:i/>
          <w:iCs/>
          <w:noProof/>
          <w:sz w:val="18"/>
          <w:szCs w:val="24"/>
        </w:rPr>
        <w:t>AIP Conf. Proc.</w:t>
      </w:r>
      <w:r w:rsidRPr="00DD755E">
        <w:rPr>
          <w:rFonts w:ascii="Amasis MT Pro" w:hAnsi="Amasis MT Pro"/>
          <w:noProof/>
          <w:sz w:val="18"/>
          <w:szCs w:val="24"/>
        </w:rPr>
        <w:t xml:space="preserve">, </w:t>
      </w:r>
      <w:r w:rsidRPr="00DD755E">
        <w:rPr>
          <w:rFonts w:ascii="Amasis MT Pro" w:hAnsi="Amasis MT Pro"/>
          <w:i/>
          <w:iCs/>
          <w:noProof/>
          <w:sz w:val="18"/>
          <w:szCs w:val="24"/>
        </w:rPr>
        <w:t>2342</w:t>
      </w:r>
      <w:r w:rsidRPr="00DD755E">
        <w:rPr>
          <w:rFonts w:ascii="Amasis MT Pro" w:hAnsi="Amasis MT Pro"/>
          <w:noProof/>
          <w:sz w:val="18"/>
          <w:szCs w:val="24"/>
        </w:rPr>
        <w:t>(April). https://doi.org/10.1063/5.0045368</w:t>
      </w:r>
    </w:p>
    <w:p w14:paraId="59224327"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Sahlabji, T., El-Nemr, M. A., Nemr, A. El, Ragab, S., Alghamdi, M. M., El-Zahhar, A. A., Idris, A. M., &amp; Said, T. O. (2022). High surface area microporous activated carbon from Pisum sativum peels for hexavalent chromium removal from aquatic environment. </w:t>
      </w:r>
      <w:r w:rsidRPr="00DD755E">
        <w:rPr>
          <w:rFonts w:ascii="Amasis MT Pro" w:hAnsi="Amasis MT Pro"/>
          <w:i/>
          <w:iCs/>
          <w:noProof/>
          <w:sz w:val="18"/>
          <w:szCs w:val="24"/>
        </w:rPr>
        <w:t>Toxin Rev.</w:t>
      </w:r>
      <w:r w:rsidRPr="00DD755E">
        <w:rPr>
          <w:rFonts w:ascii="Amasis MT Pro" w:hAnsi="Amasis MT Pro"/>
          <w:noProof/>
          <w:sz w:val="18"/>
          <w:szCs w:val="24"/>
        </w:rPr>
        <w:t xml:space="preserve">, </w:t>
      </w:r>
      <w:r w:rsidRPr="00DD755E">
        <w:rPr>
          <w:rFonts w:ascii="Amasis MT Pro" w:hAnsi="Amasis MT Pro"/>
          <w:i/>
          <w:iCs/>
          <w:noProof/>
          <w:sz w:val="18"/>
          <w:szCs w:val="24"/>
        </w:rPr>
        <w:t>41</w:t>
      </w:r>
      <w:r w:rsidRPr="00DD755E">
        <w:rPr>
          <w:rFonts w:ascii="Amasis MT Pro" w:hAnsi="Amasis MT Pro"/>
          <w:noProof/>
          <w:sz w:val="18"/>
          <w:szCs w:val="24"/>
        </w:rPr>
        <w:t>(2), 639–649. https://doi.org/10.1080/15569543.2021.1908361</w:t>
      </w:r>
    </w:p>
    <w:p w14:paraId="127719A5"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Saikia, B. K., Benoy, S. M., Bora, M., Tamuly, J., Pandey, M., &amp; Bhattacharya, D. (2020). A brief review on supercapacitor energy storage devices and utilization of natural carbon resources as their electrode materials. </w:t>
      </w:r>
      <w:r w:rsidRPr="00DD755E">
        <w:rPr>
          <w:rFonts w:ascii="Amasis MT Pro" w:hAnsi="Amasis MT Pro"/>
          <w:i/>
          <w:iCs/>
          <w:noProof/>
          <w:sz w:val="18"/>
          <w:szCs w:val="24"/>
        </w:rPr>
        <w:t>Fuel Process. Technol.</w:t>
      </w:r>
      <w:r w:rsidRPr="00DD755E">
        <w:rPr>
          <w:rFonts w:ascii="Amasis MT Pro" w:hAnsi="Amasis MT Pro"/>
          <w:noProof/>
          <w:sz w:val="18"/>
          <w:szCs w:val="24"/>
        </w:rPr>
        <w:t xml:space="preserve">, </w:t>
      </w:r>
      <w:r w:rsidRPr="00DD755E">
        <w:rPr>
          <w:rFonts w:ascii="Amasis MT Pro" w:hAnsi="Amasis MT Pro"/>
          <w:i/>
          <w:iCs/>
          <w:noProof/>
          <w:sz w:val="18"/>
          <w:szCs w:val="24"/>
        </w:rPr>
        <w:t>282</w:t>
      </w:r>
      <w:r w:rsidRPr="00DD755E">
        <w:rPr>
          <w:rFonts w:ascii="Amasis MT Pro" w:hAnsi="Amasis MT Pro"/>
          <w:noProof/>
          <w:sz w:val="18"/>
          <w:szCs w:val="24"/>
        </w:rPr>
        <w:t>(April), 118796. https://doi.org/10.1016/j.fuel.2020.118796</w:t>
      </w:r>
    </w:p>
    <w:p w14:paraId="7E1F86A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Shoaib, M., &amp; Al-Swaidan, H. M. (2015). Optimization and characterization of sliced activated carbon prepared from date palm tree fronds by physical activation. </w:t>
      </w:r>
      <w:r w:rsidRPr="00DD755E">
        <w:rPr>
          <w:rFonts w:ascii="Amasis MT Pro" w:hAnsi="Amasis MT Pro"/>
          <w:i/>
          <w:iCs/>
          <w:noProof/>
          <w:sz w:val="18"/>
          <w:szCs w:val="24"/>
        </w:rPr>
        <w:t>Biomass and Bioenergy</w:t>
      </w:r>
      <w:r w:rsidRPr="00DD755E">
        <w:rPr>
          <w:rFonts w:ascii="Amasis MT Pro" w:hAnsi="Amasis MT Pro"/>
          <w:noProof/>
          <w:sz w:val="18"/>
          <w:szCs w:val="24"/>
        </w:rPr>
        <w:t xml:space="preserve">, </w:t>
      </w:r>
      <w:r w:rsidRPr="00DD755E">
        <w:rPr>
          <w:rFonts w:ascii="Amasis MT Pro" w:hAnsi="Amasis MT Pro"/>
          <w:i/>
          <w:iCs/>
          <w:noProof/>
          <w:sz w:val="18"/>
          <w:szCs w:val="24"/>
        </w:rPr>
        <w:t>73</w:t>
      </w:r>
      <w:r w:rsidRPr="00DD755E">
        <w:rPr>
          <w:rFonts w:ascii="Amasis MT Pro" w:hAnsi="Amasis MT Pro"/>
          <w:noProof/>
          <w:sz w:val="18"/>
          <w:szCs w:val="24"/>
        </w:rPr>
        <w:t>, 124–134. https://doi.org/10.1016/j.biombioe.2014.12.016</w:t>
      </w:r>
    </w:p>
    <w:p w14:paraId="1A7EED2D"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Shulga, Y. M., Kabachkov, E. N., Korepanov, V. I., Khodos, I. I., Kovalev, D. Y., Melezhik, A. V., Tkachev, A. G., &amp; Gutsev, G. L. (2021). The concentration of c(Sp3) atoms and properties of an activated carbon with over 3000 m2/g bet surface area. </w:t>
      </w:r>
      <w:r w:rsidRPr="00DD755E">
        <w:rPr>
          <w:rFonts w:ascii="Amasis MT Pro" w:hAnsi="Amasis MT Pro"/>
          <w:i/>
          <w:iCs/>
          <w:noProof/>
          <w:sz w:val="18"/>
          <w:szCs w:val="24"/>
        </w:rPr>
        <w:t>Nanomaterials</w:t>
      </w:r>
      <w:r w:rsidRPr="00DD755E">
        <w:rPr>
          <w:rFonts w:ascii="Amasis MT Pro" w:hAnsi="Amasis MT Pro"/>
          <w:noProof/>
          <w:sz w:val="18"/>
          <w:szCs w:val="24"/>
        </w:rPr>
        <w:t xml:space="preserve">, </w:t>
      </w:r>
      <w:r w:rsidRPr="00DD755E">
        <w:rPr>
          <w:rFonts w:ascii="Amasis MT Pro" w:hAnsi="Amasis MT Pro"/>
          <w:i/>
          <w:iCs/>
          <w:noProof/>
          <w:sz w:val="18"/>
          <w:szCs w:val="24"/>
        </w:rPr>
        <w:t>11</w:t>
      </w:r>
      <w:r w:rsidRPr="00DD755E">
        <w:rPr>
          <w:rFonts w:ascii="Amasis MT Pro" w:hAnsi="Amasis MT Pro"/>
          <w:noProof/>
          <w:sz w:val="18"/>
          <w:szCs w:val="24"/>
        </w:rPr>
        <w:t>(5), 1–16. https://doi.org/10.3390/nano11051324</w:t>
      </w:r>
    </w:p>
    <w:p w14:paraId="125D85BB"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Siddiqui, U. Z. (2013). the Future of Energy Bio Battery. </w:t>
      </w:r>
      <w:r w:rsidRPr="00DD755E">
        <w:rPr>
          <w:rFonts w:ascii="Amasis MT Pro" w:hAnsi="Amasis MT Pro"/>
          <w:i/>
          <w:iCs/>
          <w:noProof/>
          <w:sz w:val="18"/>
          <w:szCs w:val="24"/>
        </w:rPr>
        <w:t>Int. J. Pure Appl. Res. Eng. Technol.</w:t>
      </w:r>
      <w:r w:rsidRPr="00DD755E">
        <w:rPr>
          <w:rFonts w:ascii="Amasis MT Pro" w:hAnsi="Amasis MT Pro"/>
          <w:noProof/>
          <w:sz w:val="18"/>
          <w:szCs w:val="24"/>
        </w:rPr>
        <w:t xml:space="preserve">, </w:t>
      </w:r>
      <w:r w:rsidRPr="00DD755E">
        <w:rPr>
          <w:rFonts w:ascii="Amasis MT Pro" w:hAnsi="Amasis MT Pro"/>
          <w:i/>
          <w:iCs/>
          <w:noProof/>
          <w:sz w:val="18"/>
          <w:szCs w:val="24"/>
        </w:rPr>
        <w:t>02</w:t>
      </w:r>
      <w:r w:rsidRPr="00DD755E">
        <w:rPr>
          <w:rFonts w:ascii="Amasis MT Pro" w:hAnsi="Amasis MT Pro"/>
          <w:noProof/>
          <w:sz w:val="18"/>
          <w:szCs w:val="24"/>
        </w:rPr>
        <w:t>(11), 99–111. https://doi.org/10.15623/ijret.2013.0211017</w:t>
      </w:r>
    </w:p>
    <w:p w14:paraId="28E01B1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Sudirjo, E., Buisman, C. J. N., &amp; Strik, D. P. B. T. B. (2019). Marine sediment mixed with activated carbon allows electricity production and storage from internal and external energy sources: A new rechargeable bio-battery with bi-directional electron transfer properties. </w:t>
      </w:r>
      <w:r w:rsidRPr="00DD755E">
        <w:rPr>
          <w:rFonts w:ascii="Amasis MT Pro" w:hAnsi="Amasis MT Pro"/>
          <w:i/>
          <w:iCs/>
          <w:noProof/>
          <w:sz w:val="18"/>
          <w:szCs w:val="24"/>
        </w:rPr>
        <w:t>Frontiers in Microbiology</w:t>
      </w:r>
      <w:r w:rsidRPr="00DD755E">
        <w:rPr>
          <w:rFonts w:ascii="Amasis MT Pro" w:hAnsi="Amasis MT Pro"/>
          <w:noProof/>
          <w:sz w:val="18"/>
          <w:szCs w:val="24"/>
        </w:rPr>
        <w:t xml:space="preserve">, </w:t>
      </w:r>
      <w:r w:rsidRPr="00DD755E">
        <w:rPr>
          <w:rFonts w:ascii="Amasis MT Pro" w:hAnsi="Amasis MT Pro"/>
          <w:i/>
          <w:iCs/>
          <w:noProof/>
          <w:sz w:val="18"/>
          <w:szCs w:val="24"/>
        </w:rPr>
        <w:t>10</w:t>
      </w:r>
      <w:r w:rsidRPr="00DD755E">
        <w:rPr>
          <w:rFonts w:ascii="Amasis MT Pro" w:hAnsi="Amasis MT Pro"/>
          <w:noProof/>
          <w:sz w:val="18"/>
          <w:szCs w:val="24"/>
        </w:rPr>
        <w:t>(MAY). https://doi.org/10.3389/fmicb.2019.00934</w:t>
      </w:r>
    </w:p>
    <w:p w14:paraId="387D32FA"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Szymanska-Chargot, M., Chylinska, M., Gdula, K., Koziol, A., &amp; Zdunek, A. (2017). Isolation and characterization of cellulose from different fruit and vegetable pomaces. </w:t>
      </w:r>
      <w:r w:rsidRPr="00DD755E">
        <w:rPr>
          <w:rFonts w:ascii="Amasis MT Pro" w:hAnsi="Amasis MT Pro"/>
          <w:i/>
          <w:iCs/>
          <w:noProof/>
          <w:sz w:val="18"/>
          <w:szCs w:val="24"/>
        </w:rPr>
        <w:t>Polymers</w:t>
      </w:r>
      <w:r w:rsidRPr="00DD755E">
        <w:rPr>
          <w:rFonts w:ascii="Amasis MT Pro" w:hAnsi="Amasis MT Pro"/>
          <w:noProof/>
          <w:sz w:val="18"/>
          <w:szCs w:val="24"/>
        </w:rPr>
        <w:t xml:space="preserve">, </w:t>
      </w:r>
      <w:r w:rsidRPr="00DD755E">
        <w:rPr>
          <w:rFonts w:ascii="Amasis MT Pro" w:hAnsi="Amasis MT Pro"/>
          <w:i/>
          <w:iCs/>
          <w:noProof/>
          <w:sz w:val="18"/>
          <w:szCs w:val="24"/>
        </w:rPr>
        <w:t>9</w:t>
      </w:r>
      <w:r w:rsidRPr="00DD755E">
        <w:rPr>
          <w:rFonts w:ascii="Amasis MT Pro" w:hAnsi="Amasis MT Pro"/>
          <w:noProof/>
          <w:sz w:val="18"/>
          <w:szCs w:val="24"/>
        </w:rPr>
        <w:t>(10). https://doi.org/10.3390/polym9100495</w:t>
      </w:r>
    </w:p>
    <w:p w14:paraId="36197BE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lastRenderedPageBreak/>
        <w:t xml:space="preserve">Wang, X., Gaustad, G., Babbitt, C. W., Bailey, C., Ganter, M. J., &amp; Landi, B. J. (2014). Economic and environmental characterization of an evolving Li-ion battery waste stream. </w:t>
      </w:r>
      <w:r w:rsidRPr="00DD755E">
        <w:rPr>
          <w:rFonts w:ascii="Amasis MT Pro" w:hAnsi="Amasis MT Pro"/>
          <w:i/>
          <w:iCs/>
          <w:noProof/>
          <w:sz w:val="18"/>
          <w:szCs w:val="24"/>
        </w:rPr>
        <w:t>J. Environ. Manage.</w:t>
      </w:r>
      <w:r w:rsidRPr="00DD755E">
        <w:rPr>
          <w:rFonts w:ascii="Amasis MT Pro" w:hAnsi="Amasis MT Pro"/>
          <w:noProof/>
          <w:sz w:val="18"/>
          <w:szCs w:val="24"/>
        </w:rPr>
        <w:t xml:space="preserve">, </w:t>
      </w:r>
      <w:r w:rsidRPr="00DD755E">
        <w:rPr>
          <w:rFonts w:ascii="Amasis MT Pro" w:hAnsi="Amasis MT Pro"/>
          <w:i/>
          <w:iCs/>
          <w:noProof/>
          <w:sz w:val="18"/>
          <w:szCs w:val="24"/>
        </w:rPr>
        <w:t>135</w:t>
      </w:r>
      <w:r w:rsidRPr="00DD755E">
        <w:rPr>
          <w:rFonts w:ascii="Amasis MT Pro" w:hAnsi="Amasis MT Pro"/>
          <w:noProof/>
          <w:sz w:val="18"/>
          <w:szCs w:val="24"/>
        </w:rPr>
        <w:t>, 126–134. https://doi.org/10.1016/j.jenvman.2014.01.021</w:t>
      </w:r>
    </w:p>
    <w:p w14:paraId="0AB454DF"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Wang, Y., Pan, J., Li, Y., Zhang, P., Zhang, X., Li, M., Zheng, H., Sun, Y., Wang, H., &amp; Du, Q. (2021). Preparation and Characterization of Activated Carbon from Oil-palm Fiber and Its Evaluation for Methylene Blue Adsorption. </w:t>
      </w:r>
      <w:r w:rsidRPr="00DD755E">
        <w:rPr>
          <w:rFonts w:ascii="Amasis MT Pro" w:hAnsi="Amasis MT Pro"/>
          <w:i/>
          <w:iCs/>
          <w:noProof/>
          <w:sz w:val="18"/>
          <w:szCs w:val="24"/>
        </w:rPr>
        <w:t>Mater. Tehnol.</w:t>
      </w:r>
      <w:r w:rsidRPr="00DD755E">
        <w:rPr>
          <w:rFonts w:ascii="Amasis MT Pro" w:hAnsi="Amasis MT Pro"/>
          <w:noProof/>
          <w:sz w:val="18"/>
          <w:szCs w:val="24"/>
        </w:rPr>
        <w:t xml:space="preserve">, </w:t>
      </w:r>
      <w:r w:rsidRPr="00DD755E">
        <w:rPr>
          <w:rFonts w:ascii="Amasis MT Pro" w:hAnsi="Amasis MT Pro"/>
          <w:i/>
          <w:iCs/>
          <w:noProof/>
          <w:sz w:val="18"/>
          <w:szCs w:val="24"/>
        </w:rPr>
        <w:t>55</w:t>
      </w:r>
      <w:r w:rsidRPr="00DD755E">
        <w:rPr>
          <w:rFonts w:ascii="Amasis MT Pro" w:hAnsi="Amasis MT Pro"/>
          <w:noProof/>
          <w:sz w:val="18"/>
          <w:szCs w:val="24"/>
        </w:rPr>
        <w:t>(3), 449–457. https://doi.org/10.17222/mit.2020.068</w:t>
      </w:r>
    </w:p>
    <w:p w14:paraId="4328A8B5"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szCs w:val="24"/>
        </w:rPr>
      </w:pPr>
      <w:r w:rsidRPr="00DD755E">
        <w:rPr>
          <w:rFonts w:ascii="Amasis MT Pro" w:hAnsi="Amasis MT Pro"/>
          <w:noProof/>
          <w:sz w:val="18"/>
          <w:szCs w:val="24"/>
        </w:rPr>
        <w:t xml:space="preserve">Zhou, M., Sharma, B. K., Liu, P., Ye, J., Xu, J., &amp; Jiang, J. C. (2018). Catalytic in Situ Hydrogenolysis of Lignin in Supercritical Ethanol: Effect of Phenol, Catalysts, and </w:t>
      </w:r>
      <w:r w:rsidRPr="00DD755E">
        <w:rPr>
          <w:rFonts w:ascii="Amasis MT Pro" w:hAnsi="Amasis MT Pro"/>
          <w:noProof/>
          <w:sz w:val="18"/>
          <w:szCs w:val="24"/>
        </w:rPr>
        <w:lastRenderedPageBreak/>
        <w:t xml:space="preserve">Reaction Temperature. </w:t>
      </w:r>
      <w:r w:rsidRPr="00DD755E">
        <w:rPr>
          <w:rFonts w:ascii="Amasis MT Pro" w:hAnsi="Amasis MT Pro"/>
          <w:i/>
          <w:iCs/>
          <w:noProof/>
          <w:sz w:val="18"/>
          <w:szCs w:val="24"/>
        </w:rPr>
        <w:t>ACS Sustainable Chem. Eng.</w:t>
      </w:r>
      <w:r w:rsidRPr="00DD755E">
        <w:rPr>
          <w:rFonts w:ascii="Amasis MT Pro" w:hAnsi="Amasis MT Pro"/>
          <w:noProof/>
          <w:sz w:val="18"/>
          <w:szCs w:val="24"/>
        </w:rPr>
        <w:t xml:space="preserve">, </w:t>
      </w:r>
      <w:r w:rsidRPr="00DD755E">
        <w:rPr>
          <w:rFonts w:ascii="Amasis MT Pro" w:hAnsi="Amasis MT Pro"/>
          <w:i/>
          <w:iCs/>
          <w:noProof/>
          <w:sz w:val="18"/>
          <w:szCs w:val="24"/>
        </w:rPr>
        <w:t>6</w:t>
      </w:r>
      <w:r w:rsidRPr="00DD755E">
        <w:rPr>
          <w:rFonts w:ascii="Amasis MT Pro" w:hAnsi="Amasis MT Pro"/>
          <w:noProof/>
          <w:sz w:val="18"/>
          <w:szCs w:val="24"/>
        </w:rPr>
        <w:t>(5), 6867–6875. https://doi.org/10.1021/acssuschemeng.8b00701</w:t>
      </w:r>
    </w:p>
    <w:p w14:paraId="09DCFC5A" w14:textId="77777777" w:rsidR="00DD755E" w:rsidRPr="00DD755E" w:rsidRDefault="00DD755E" w:rsidP="004A561B">
      <w:pPr>
        <w:widowControl w:val="0"/>
        <w:autoSpaceDE w:val="0"/>
        <w:autoSpaceDN w:val="0"/>
        <w:adjustRightInd w:val="0"/>
        <w:ind w:left="480" w:hanging="480"/>
        <w:jc w:val="both"/>
        <w:rPr>
          <w:rFonts w:ascii="Amasis MT Pro" w:hAnsi="Amasis MT Pro"/>
          <w:noProof/>
          <w:sz w:val="18"/>
        </w:rPr>
      </w:pPr>
      <w:r w:rsidRPr="00DD755E">
        <w:rPr>
          <w:rFonts w:ascii="Amasis MT Pro" w:hAnsi="Amasis MT Pro"/>
          <w:noProof/>
          <w:sz w:val="18"/>
          <w:szCs w:val="24"/>
        </w:rPr>
        <w:t xml:space="preserve">Zou, C., Zhao, Q., Zhang, G., &amp; Xiong, B. (2016). Energy revolution: From a fossil energy era to a new energy era. </w:t>
      </w:r>
      <w:r w:rsidRPr="00DD755E">
        <w:rPr>
          <w:rFonts w:ascii="Amasis MT Pro" w:hAnsi="Amasis MT Pro"/>
          <w:i/>
          <w:iCs/>
          <w:noProof/>
          <w:sz w:val="18"/>
          <w:szCs w:val="24"/>
        </w:rPr>
        <w:t>Nat. Gas Ind.</w:t>
      </w:r>
      <w:r w:rsidRPr="00DD755E">
        <w:rPr>
          <w:rFonts w:ascii="Amasis MT Pro" w:hAnsi="Amasis MT Pro"/>
          <w:noProof/>
          <w:sz w:val="18"/>
          <w:szCs w:val="24"/>
        </w:rPr>
        <w:t xml:space="preserve">, </w:t>
      </w:r>
      <w:r w:rsidRPr="00DD755E">
        <w:rPr>
          <w:rFonts w:ascii="Amasis MT Pro" w:hAnsi="Amasis MT Pro"/>
          <w:i/>
          <w:iCs/>
          <w:noProof/>
          <w:sz w:val="18"/>
          <w:szCs w:val="24"/>
        </w:rPr>
        <w:t>3</w:t>
      </w:r>
      <w:r w:rsidRPr="00DD755E">
        <w:rPr>
          <w:rFonts w:ascii="Amasis MT Pro" w:hAnsi="Amasis MT Pro"/>
          <w:noProof/>
          <w:sz w:val="18"/>
          <w:szCs w:val="24"/>
        </w:rPr>
        <w:t>(1), 1–11. https://doi.org/10.1016/j.ngib.2016.02.001</w:t>
      </w:r>
    </w:p>
    <w:p w14:paraId="6DB835D1" w14:textId="46FE78EE" w:rsidR="001932B4" w:rsidRDefault="006F27A6">
      <w:pPr>
        <w:pBdr>
          <w:top w:val="nil"/>
          <w:left w:val="nil"/>
          <w:bottom w:val="nil"/>
          <w:right w:val="nil"/>
          <w:between w:val="nil"/>
        </w:pBdr>
        <w:tabs>
          <w:tab w:val="left" w:pos="284"/>
        </w:tabs>
        <w:ind w:left="284" w:hanging="284"/>
        <w:rPr>
          <w:rFonts w:ascii="Amasis MT Pro" w:eastAsia="Amasis MT Pro" w:hAnsi="Amasis MT Pro" w:cs="Amasis MT Pro"/>
          <w:b/>
          <w:color w:val="000000"/>
          <w:sz w:val="18"/>
          <w:szCs w:val="18"/>
        </w:rPr>
      </w:pPr>
      <w:r>
        <w:rPr>
          <w:rFonts w:ascii="Amasis MT Pro" w:eastAsia="Amasis MT Pro" w:hAnsi="Amasis MT Pro" w:cs="Amasis MT Pro"/>
          <w:b/>
          <w:color w:val="000000"/>
          <w:sz w:val="18"/>
          <w:szCs w:val="18"/>
        </w:rPr>
        <w:fldChar w:fldCharType="end"/>
      </w:r>
    </w:p>
    <w:p w14:paraId="29EA2A6F" w14:textId="77777777" w:rsidR="00173CDD" w:rsidRPr="00173CDD" w:rsidRDefault="00173CDD" w:rsidP="00173CDD">
      <w:pPr>
        <w:pBdr>
          <w:top w:val="nil"/>
          <w:left w:val="nil"/>
          <w:bottom w:val="nil"/>
          <w:right w:val="nil"/>
          <w:between w:val="nil"/>
        </w:pBdr>
        <w:tabs>
          <w:tab w:val="left" w:pos="284"/>
        </w:tabs>
        <w:ind w:left="284" w:hanging="284"/>
        <w:jc w:val="both"/>
        <w:rPr>
          <w:rFonts w:ascii="Amasis MT Pro" w:eastAsia="Amasis MT Pro" w:hAnsi="Amasis MT Pro" w:cs="Amasis MT Pro"/>
          <w:b/>
          <w:bCs/>
          <w:color w:val="000000"/>
          <w:sz w:val="16"/>
          <w:szCs w:val="16"/>
          <w:lang w:val="en-US"/>
        </w:rPr>
      </w:pPr>
    </w:p>
    <w:p w14:paraId="593084D4" w14:textId="77777777" w:rsidR="00173CDD" w:rsidRPr="00173CDD" w:rsidRDefault="00173CDD" w:rsidP="00173CDD">
      <w:pPr>
        <w:pBdr>
          <w:top w:val="nil"/>
          <w:left w:val="nil"/>
          <w:bottom w:val="nil"/>
          <w:right w:val="nil"/>
          <w:between w:val="nil"/>
        </w:pBdr>
        <w:tabs>
          <w:tab w:val="left" w:pos="284"/>
        </w:tabs>
        <w:ind w:left="284" w:hanging="284"/>
        <w:jc w:val="both"/>
        <w:rPr>
          <w:rFonts w:ascii="Amasis MT Pro" w:eastAsia="Amasis MT Pro" w:hAnsi="Amasis MT Pro" w:cs="Amasis MT Pro"/>
          <w:b/>
          <w:bCs/>
          <w:color w:val="000000"/>
          <w:sz w:val="16"/>
          <w:szCs w:val="16"/>
          <w:lang w:val="en-US"/>
        </w:rPr>
      </w:pPr>
    </w:p>
    <w:p w14:paraId="7665B359" w14:textId="77777777" w:rsidR="00173CDD" w:rsidRPr="00173CDD" w:rsidRDefault="00173CDD" w:rsidP="00173CDD">
      <w:pPr>
        <w:pBdr>
          <w:top w:val="nil"/>
          <w:left w:val="nil"/>
          <w:bottom w:val="nil"/>
          <w:right w:val="nil"/>
          <w:between w:val="nil"/>
        </w:pBdr>
        <w:tabs>
          <w:tab w:val="left" w:pos="284"/>
        </w:tabs>
        <w:ind w:left="284" w:hanging="284"/>
        <w:jc w:val="both"/>
        <w:rPr>
          <w:rFonts w:ascii="Amasis MT Pro" w:eastAsia="Amasis MT Pro" w:hAnsi="Amasis MT Pro" w:cs="Amasis MT Pro"/>
          <w:b/>
          <w:bCs/>
          <w:color w:val="000000"/>
          <w:sz w:val="16"/>
          <w:szCs w:val="16"/>
          <w:lang w:val="en-US"/>
        </w:rPr>
      </w:pPr>
    </w:p>
    <w:p w14:paraId="4EF57E4C" w14:textId="77777777" w:rsidR="001932B4" w:rsidRDefault="001932B4">
      <w:pPr>
        <w:pBdr>
          <w:top w:val="nil"/>
          <w:left w:val="nil"/>
          <w:bottom w:val="nil"/>
          <w:right w:val="nil"/>
          <w:between w:val="nil"/>
        </w:pBdr>
        <w:tabs>
          <w:tab w:val="left" w:pos="284"/>
        </w:tabs>
        <w:ind w:left="284" w:hanging="284"/>
        <w:jc w:val="both"/>
        <w:rPr>
          <w:rFonts w:ascii="Amasis MT Pro" w:eastAsia="Amasis MT Pro" w:hAnsi="Amasis MT Pro" w:cs="Amasis MT Pro"/>
          <w:color w:val="000000"/>
          <w:sz w:val="16"/>
          <w:szCs w:val="16"/>
        </w:rPr>
      </w:pPr>
    </w:p>
    <w:p w14:paraId="3AFB0EB0" w14:textId="77777777" w:rsidR="001932B4" w:rsidRDefault="001932B4">
      <w:pPr>
        <w:widowControl w:val="0"/>
        <w:jc w:val="both"/>
        <w:rPr>
          <w:rFonts w:ascii="Amasis MT Pro" w:eastAsia="Amasis MT Pro" w:hAnsi="Amasis MT Pro" w:cs="Amasis MT Pro"/>
        </w:rPr>
      </w:pPr>
    </w:p>
    <w:p w14:paraId="4C6F510D" w14:textId="77777777" w:rsidR="001932B4" w:rsidRDefault="001932B4">
      <w:pPr>
        <w:jc w:val="both"/>
        <w:rPr>
          <w:rFonts w:ascii="Amasis MT Pro" w:eastAsia="Amasis MT Pro" w:hAnsi="Amasis MT Pro" w:cs="Amasis MT Pro"/>
        </w:rPr>
        <w:sectPr w:rsidR="001932B4">
          <w:type w:val="continuous"/>
          <w:pgSz w:w="11906" w:h="16838"/>
          <w:pgMar w:top="1138" w:right="913" w:bottom="1332" w:left="913" w:header="594" w:footer="580" w:gutter="0"/>
          <w:cols w:num="2" w:space="720" w:equalWidth="0">
            <w:col w:w="4841" w:space="397"/>
            <w:col w:w="4841" w:space="0"/>
          </w:cols>
          <w:titlePg/>
        </w:sectPr>
      </w:pPr>
    </w:p>
    <w:p w14:paraId="658534C4" w14:textId="77777777" w:rsidR="001932B4" w:rsidRDefault="001932B4">
      <w:pPr>
        <w:pBdr>
          <w:top w:val="nil"/>
          <w:left w:val="nil"/>
          <w:bottom w:val="nil"/>
          <w:right w:val="nil"/>
          <w:between w:val="nil"/>
        </w:pBdr>
        <w:tabs>
          <w:tab w:val="left" w:pos="426"/>
        </w:tabs>
        <w:ind w:left="426" w:hanging="426"/>
        <w:jc w:val="both"/>
        <w:rPr>
          <w:rFonts w:ascii="Amasis MT Pro" w:eastAsia="Amasis MT Pro" w:hAnsi="Amasis MT Pro" w:cs="Amasis MT Pro"/>
          <w:color w:val="000000"/>
          <w:sz w:val="16"/>
          <w:szCs w:val="16"/>
        </w:rPr>
        <w:sectPr w:rsidR="001932B4">
          <w:type w:val="continuous"/>
          <w:pgSz w:w="11906" w:h="16838"/>
          <w:pgMar w:top="1446" w:right="913" w:bottom="1627" w:left="913" w:header="720" w:footer="580" w:gutter="0"/>
          <w:cols w:space="720"/>
        </w:sectPr>
      </w:pPr>
    </w:p>
    <w:p w14:paraId="42462343" w14:textId="77777777" w:rsidR="001932B4" w:rsidRDefault="001932B4">
      <w:pPr>
        <w:pBdr>
          <w:top w:val="nil"/>
          <w:left w:val="nil"/>
          <w:bottom w:val="nil"/>
          <w:right w:val="nil"/>
          <w:between w:val="nil"/>
        </w:pBdr>
        <w:jc w:val="both"/>
        <w:rPr>
          <w:rFonts w:ascii="Amasis MT Pro" w:eastAsia="Amasis MT Pro" w:hAnsi="Amasis MT Pro" w:cs="Amasis MT Pro"/>
          <w:color w:val="000000"/>
        </w:rPr>
      </w:pPr>
    </w:p>
    <w:p w14:paraId="17C395F0" w14:textId="77777777" w:rsidR="001932B4" w:rsidRDefault="001932B4">
      <w:pPr>
        <w:pBdr>
          <w:top w:val="nil"/>
          <w:left w:val="nil"/>
          <w:bottom w:val="nil"/>
          <w:right w:val="nil"/>
          <w:between w:val="nil"/>
        </w:pBdr>
        <w:jc w:val="both"/>
        <w:rPr>
          <w:rFonts w:ascii="Amasis MT Pro" w:eastAsia="Amasis MT Pro" w:hAnsi="Amasis MT Pro" w:cs="Amasis MT Pro"/>
          <w:color w:val="000000"/>
        </w:rPr>
      </w:pPr>
    </w:p>
    <w:p w14:paraId="7F54EDA2" w14:textId="77777777" w:rsidR="001932B4" w:rsidRDefault="001932B4">
      <w:pPr>
        <w:pBdr>
          <w:top w:val="nil"/>
          <w:left w:val="nil"/>
          <w:bottom w:val="nil"/>
          <w:right w:val="nil"/>
          <w:between w:val="nil"/>
        </w:pBdr>
        <w:jc w:val="both"/>
        <w:rPr>
          <w:noProof/>
        </w:rPr>
      </w:pPr>
    </w:p>
    <w:p w14:paraId="6E397222" w14:textId="77777777" w:rsidR="009B3DA1" w:rsidRDefault="009B3DA1">
      <w:pPr>
        <w:pBdr>
          <w:top w:val="nil"/>
          <w:left w:val="nil"/>
          <w:bottom w:val="nil"/>
          <w:right w:val="nil"/>
          <w:between w:val="nil"/>
        </w:pBdr>
        <w:jc w:val="both"/>
        <w:rPr>
          <w:noProof/>
        </w:rPr>
      </w:pPr>
    </w:p>
    <w:p w14:paraId="1F30B9E0" w14:textId="77777777" w:rsidR="009B3DA1" w:rsidRDefault="009B3DA1">
      <w:pPr>
        <w:pBdr>
          <w:top w:val="nil"/>
          <w:left w:val="nil"/>
          <w:bottom w:val="nil"/>
          <w:right w:val="nil"/>
          <w:between w:val="nil"/>
        </w:pBdr>
        <w:jc w:val="both"/>
        <w:rPr>
          <w:noProof/>
        </w:rPr>
      </w:pPr>
    </w:p>
    <w:p w14:paraId="56F5C5D7" w14:textId="77777777" w:rsidR="009B3DA1" w:rsidRDefault="009B3DA1">
      <w:pPr>
        <w:pBdr>
          <w:top w:val="nil"/>
          <w:left w:val="nil"/>
          <w:bottom w:val="nil"/>
          <w:right w:val="nil"/>
          <w:between w:val="nil"/>
        </w:pBdr>
        <w:jc w:val="both"/>
        <w:rPr>
          <w:noProof/>
        </w:rPr>
      </w:pPr>
    </w:p>
    <w:p w14:paraId="5F7C0FB7" w14:textId="77777777" w:rsidR="009B3DA1" w:rsidRDefault="009B3DA1">
      <w:pPr>
        <w:pBdr>
          <w:top w:val="nil"/>
          <w:left w:val="nil"/>
          <w:bottom w:val="nil"/>
          <w:right w:val="nil"/>
          <w:between w:val="nil"/>
        </w:pBdr>
        <w:jc w:val="both"/>
        <w:rPr>
          <w:noProof/>
        </w:rPr>
      </w:pPr>
    </w:p>
    <w:p w14:paraId="34262A20" w14:textId="77777777" w:rsidR="009B3DA1" w:rsidRDefault="009B3DA1">
      <w:pPr>
        <w:pBdr>
          <w:top w:val="nil"/>
          <w:left w:val="nil"/>
          <w:bottom w:val="nil"/>
          <w:right w:val="nil"/>
          <w:between w:val="nil"/>
        </w:pBdr>
        <w:jc w:val="both"/>
        <w:rPr>
          <w:noProof/>
        </w:rPr>
      </w:pPr>
    </w:p>
    <w:p w14:paraId="02694424" w14:textId="77777777" w:rsidR="009B3DA1" w:rsidRDefault="009B3DA1">
      <w:pPr>
        <w:pBdr>
          <w:top w:val="nil"/>
          <w:left w:val="nil"/>
          <w:bottom w:val="nil"/>
          <w:right w:val="nil"/>
          <w:between w:val="nil"/>
        </w:pBdr>
        <w:jc w:val="both"/>
        <w:rPr>
          <w:noProof/>
        </w:rPr>
      </w:pPr>
    </w:p>
    <w:p w14:paraId="455BCE70" w14:textId="2475F6DB" w:rsidR="004A561B" w:rsidRDefault="004A561B">
      <w:pPr>
        <w:pBdr>
          <w:top w:val="nil"/>
          <w:left w:val="nil"/>
          <w:bottom w:val="nil"/>
          <w:right w:val="nil"/>
          <w:between w:val="nil"/>
        </w:pBdr>
        <w:jc w:val="both"/>
        <w:rPr>
          <w:rFonts w:ascii="Amasis MT Pro" w:eastAsia="Amasis MT Pro" w:hAnsi="Amasis MT Pro" w:cs="Amasis MT Pro"/>
          <w:color w:val="000000"/>
        </w:rPr>
        <w:sectPr w:rsidR="004A561B">
          <w:type w:val="continuous"/>
          <w:pgSz w:w="11906" w:h="16838"/>
          <w:pgMar w:top="1446" w:right="913" w:bottom="1627" w:left="913" w:header="720" w:footer="580" w:gutter="0"/>
          <w:cols w:space="720"/>
        </w:sectPr>
      </w:pPr>
    </w:p>
    <w:p w14:paraId="4E649C67" w14:textId="77777777" w:rsidR="001932B4" w:rsidRDefault="001932B4" w:rsidP="00F20863">
      <w:pPr>
        <w:pBdr>
          <w:top w:val="nil"/>
          <w:left w:val="nil"/>
          <w:bottom w:val="nil"/>
          <w:right w:val="nil"/>
          <w:between w:val="nil"/>
        </w:pBdr>
        <w:spacing w:after="240"/>
        <w:jc w:val="both"/>
        <w:rPr>
          <w:rFonts w:ascii="Amasis MT Pro" w:eastAsia="Amasis MT Pro" w:hAnsi="Amasis MT Pro" w:cs="Amasis MT Pro"/>
          <w:color w:val="000000"/>
        </w:rPr>
      </w:pPr>
    </w:p>
    <w:sectPr w:rsidR="001932B4">
      <w:type w:val="continuous"/>
      <w:pgSz w:w="11906" w:h="16838"/>
      <w:pgMar w:top="1446" w:right="913" w:bottom="1627" w:left="913" w:header="720" w:footer="58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B84ED6" w14:textId="77777777" w:rsidR="00E65D41" w:rsidRDefault="00E65D41">
      <w:r>
        <w:separator/>
      </w:r>
    </w:p>
  </w:endnote>
  <w:endnote w:type="continuationSeparator" w:id="0">
    <w:p w14:paraId="7114669B" w14:textId="77777777" w:rsidR="00E65D41" w:rsidRDefault="00E65D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masis MT Pro">
    <w:altName w:val="Times New Roman"/>
    <w:charset w:val="00"/>
    <w:family w:val="roman"/>
    <w:pitch w:val="variable"/>
    <w:sig w:usb0="A00000AF" w:usb1="4000205B" w:usb2="00000000" w:usb3="00000000" w:csb0="00000093" w:csb1="00000000"/>
  </w:font>
  <w:font w:name="Century Schoolbook">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ndara">
    <w:panose1 w:val="020E0502030303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6591E9" w14:textId="77777777" w:rsidR="001932B4" w:rsidRDefault="00E65D41">
    <w:pPr>
      <w:pBdr>
        <w:top w:val="nil"/>
        <w:left w:val="nil"/>
        <w:bottom w:val="nil"/>
        <w:right w:val="nil"/>
        <w:between w:val="nil"/>
      </w:pBdr>
      <w:tabs>
        <w:tab w:val="center" w:pos="4680"/>
        <w:tab w:val="right" w:pos="9360"/>
      </w:tabs>
      <w:jc w:val="center"/>
      <w:rPr>
        <w:rFonts w:ascii="Century Schoolbook" w:eastAsia="Century Schoolbook" w:hAnsi="Century Schoolbook" w:cs="Century Schoolbook"/>
        <w:color w:val="000000"/>
        <w:sz w:val="16"/>
        <w:szCs w:val="16"/>
      </w:rPr>
    </w:pPr>
    <w:r>
      <w:rPr>
        <w:rFonts w:ascii="Century Schoolbook" w:eastAsia="Century Schoolbook" w:hAnsi="Century Schoolbook" w:cs="Century Schoolbook"/>
        <w:color w:val="000000"/>
        <w:sz w:val="16"/>
        <w:szCs w:val="16"/>
      </w:rPr>
      <w:t>ISSN: 2252-4940/© xxx. The Author(s). Published by CBIORE</w:t>
    </w:r>
  </w:p>
  <w:p w14:paraId="509B59A8" w14:textId="77777777" w:rsidR="001932B4" w:rsidRDefault="001932B4">
    <w:pPr>
      <w:pBdr>
        <w:top w:val="nil"/>
        <w:left w:val="nil"/>
        <w:bottom w:val="nil"/>
        <w:right w:val="nil"/>
        <w:between w:val="nil"/>
      </w:pBdr>
      <w:tabs>
        <w:tab w:val="center" w:pos="4680"/>
        <w:tab w:val="right" w:pos="9360"/>
      </w:tabs>
      <w:jc w:val="center"/>
      <w:rPr>
        <w:rFonts w:ascii="Century Schoolbook" w:eastAsia="Century Schoolbook" w:hAnsi="Century Schoolbook" w:cs="Century Schoolbook"/>
        <w:color w:val="000000"/>
        <w:sz w:val="18"/>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B5AA00" w14:textId="5F15FBFC" w:rsidR="001932B4" w:rsidRDefault="001932B4">
    <w:pPr>
      <w:pBdr>
        <w:top w:val="nil"/>
        <w:left w:val="nil"/>
        <w:bottom w:val="nil"/>
        <w:right w:val="nil"/>
        <w:between w:val="nil"/>
      </w:pBdr>
      <w:tabs>
        <w:tab w:val="center" w:pos="4680"/>
        <w:tab w:val="right" w:pos="9360"/>
      </w:tabs>
      <w:jc w:val="center"/>
      <w:rPr>
        <w:rFonts w:ascii="Candara" w:eastAsia="Candara" w:hAnsi="Candara" w:cs="Candara"/>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B69F9" w14:textId="12E7BBA2" w:rsidR="001932B4" w:rsidRDefault="001932B4">
    <w:pPr>
      <w:pBdr>
        <w:top w:val="nil"/>
        <w:left w:val="nil"/>
        <w:bottom w:val="nil"/>
        <w:right w:val="nil"/>
        <w:between w:val="nil"/>
      </w:pBdr>
      <w:tabs>
        <w:tab w:val="center" w:pos="4680"/>
        <w:tab w:val="right" w:pos="9360"/>
      </w:tabs>
      <w:jc w:val="right"/>
      <w:rPr>
        <w:rFonts w:ascii="Candara" w:eastAsia="Candara" w:hAnsi="Candara" w:cs="Candara"/>
        <w:color w:val="000000"/>
        <w:sz w:val="14"/>
        <w:szCs w:val="1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E4361B" w14:textId="77777777" w:rsidR="00E65D41" w:rsidRDefault="00E65D41">
      <w:r>
        <w:separator/>
      </w:r>
    </w:p>
  </w:footnote>
  <w:footnote w:type="continuationSeparator" w:id="0">
    <w:p w14:paraId="177E928D" w14:textId="77777777" w:rsidR="00E65D41" w:rsidRDefault="00E65D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07DEC1" w14:textId="77777777" w:rsidR="001932B4" w:rsidRDefault="00E65D41">
    <w:pPr>
      <w:jc w:val="both"/>
      <w:rPr>
        <w:rFonts w:ascii="Calibri" w:eastAsia="Calibri" w:hAnsi="Calibri" w:cs="Calibri"/>
        <w:sz w:val="14"/>
        <w:szCs w:val="14"/>
      </w:rPr>
    </w:pPr>
    <w:r>
      <w:rPr>
        <w:rFonts w:ascii="Calibri" w:eastAsia="Calibri" w:hAnsi="Calibri" w:cs="Calibri"/>
        <w:i/>
        <w:sz w:val="14"/>
        <w:szCs w:val="14"/>
      </w:rPr>
      <w:t xml:space="preserve">Author 1 et al. </w:t>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r>
    <w:r>
      <w:rPr>
        <w:rFonts w:ascii="Calibri" w:eastAsia="Calibri" w:hAnsi="Calibri" w:cs="Calibri"/>
        <w:i/>
        <w:sz w:val="14"/>
        <w:szCs w:val="14"/>
      </w:rPr>
      <w:tab/>
      <w:t>Int. J. Renew. Energy Dev., x</w:t>
    </w:r>
    <w:r>
      <w:rPr>
        <w:rFonts w:ascii="Calibri" w:eastAsia="Calibri" w:hAnsi="Calibri" w:cs="Calibri"/>
        <w:sz w:val="14"/>
        <w:szCs w:val="14"/>
      </w:rPr>
      <w:t>x(xx), xx-xx</w:t>
    </w:r>
  </w:p>
  <w:p w14:paraId="5BF94CA2" w14:textId="77777777" w:rsidR="001932B4" w:rsidRDefault="00E65D41">
    <w:pPr>
      <w:pBdr>
        <w:top w:val="nil"/>
        <w:left w:val="nil"/>
        <w:bottom w:val="single" w:sz="4" w:space="1" w:color="D9D9D9"/>
        <w:right w:val="nil"/>
        <w:between w:val="nil"/>
      </w:pBdr>
      <w:tabs>
        <w:tab w:val="center" w:pos="4680"/>
        <w:tab w:val="right" w:pos="9360"/>
      </w:tabs>
      <w:rPr>
        <w:rFonts w:ascii="Century Schoolbook" w:eastAsia="Century Schoolbook" w:hAnsi="Century Schoolbook" w:cs="Century Schoolbook"/>
        <w:b/>
        <w:color w:val="000000"/>
        <w:sz w:val="18"/>
        <w:szCs w:val="18"/>
      </w:rPr>
    </w:pPr>
    <w:r>
      <w:rPr>
        <w:rFonts w:ascii="Century Schoolbook" w:eastAsia="Century Schoolbook" w:hAnsi="Century Schoolbook" w:cs="Century Schoolbook"/>
        <w:color w:val="000000"/>
        <w:sz w:val="18"/>
        <w:szCs w:val="18"/>
      </w:rPr>
      <w:t xml:space="preserve">xxx |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708D27" w14:textId="77777777" w:rsidR="001932B4" w:rsidRDefault="001932B4">
    <w:pPr>
      <w:widowControl w:val="0"/>
      <w:pBdr>
        <w:top w:val="nil"/>
        <w:left w:val="nil"/>
        <w:bottom w:val="nil"/>
        <w:right w:val="nil"/>
        <w:between w:val="nil"/>
      </w:pBdr>
      <w:spacing w:line="276" w:lineRule="auto"/>
      <w:rPr>
        <w:rFonts w:ascii="Amasis MT Pro" w:eastAsia="Amasis MT Pro" w:hAnsi="Amasis MT Pro" w:cs="Amasis MT Pro"/>
        <w:color w:val="000000"/>
      </w:rPr>
    </w:pPr>
  </w:p>
  <w:p w14:paraId="62B69AF8" w14:textId="77777777" w:rsidR="001932B4" w:rsidRDefault="001932B4">
    <w:pPr>
      <w:pBdr>
        <w:top w:val="nil"/>
        <w:left w:val="nil"/>
        <w:bottom w:val="nil"/>
        <w:right w:val="nil"/>
        <w:between w:val="nil"/>
      </w:pBdr>
      <w:tabs>
        <w:tab w:val="center" w:pos="4680"/>
        <w:tab w:val="right" w:pos="9360"/>
      </w:tabs>
      <w:jc w:val="center"/>
      <w:rPr>
        <w:rFonts w:ascii="Cambria" w:eastAsia="Cambria" w:hAnsi="Cambria" w:cs="Cambria"/>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254251" w14:textId="46966684" w:rsidR="001932B4" w:rsidRDefault="001932B4">
    <w:pPr>
      <w:pBdr>
        <w:top w:val="nil"/>
        <w:left w:val="nil"/>
        <w:bottom w:val="single" w:sz="4" w:space="1" w:color="D9D9D9"/>
        <w:right w:val="nil"/>
        <w:between w:val="nil"/>
      </w:pBdr>
      <w:tabs>
        <w:tab w:val="center" w:pos="4680"/>
        <w:tab w:val="right" w:pos="9360"/>
      </w:tabs>
      <w:spacing w:after="120"/>
      <w:jc w:val="right"/>
      <w:rPr>
        <w:rFonts w:ascii="Candara" w:eastAsia="Candara" w:hAnsi="Candara" w:cs="Candara"/>
        <w:b/>
        <w:color w:val="00000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4F3B73"/>
    <w:multiLevelType w:val="multilevel"/>
    <w:tmpl w:val="BEFC78B8"/>
    <w:lvl w:ilvl="0">
      <w:start w:val="3"/>
      <w:numFmt w:val="decimal"/>
      <w:lvlText w:val="%1"/>
      <w:lvlJc w:val="left"/>
      <w:pPr>
        <w:ind w:left="360" w:hanging="360"/>
      </w:pPr>
      <w:rPr>
        <w:i w:val="0"/>
      </w:rPr>
    </w:lvl>
    <w:lvl w:ilvl="1">
      <w:start w:val="3"/>
      <w:numFmt w:val="decimal"/>
      <w:lvlText w:val="%1.%2"/>
      <w:lvlJc w:val="left"/>
      <w:pPr>
        <w:ind w:left="360" w:hanging="360"/>
      </w:pPr>
      <w:rPr>
        <w:i/>
      </w:rPr>
    </w:lvl>
    <w:lvl w:ilvl="2">
      <w:start w:val="1"/>
      <w:numFmt w:val="decimal"/>
      <w:lvlText w:val="%1.%2.%3"/>
      <w:lvlJc w:val="left"/>
      <w:pPr>
        <w:ind w:left="720" w:hanging="720"/>
      </w:pPr>
      <w:rPr>
        <w:i w:val="0"/>
      </w:rPr>
    </w:lvl>
    <w:lvl w:ilvl="3">
      <w:start w:val="1"/>
      <w:numFmt w:val="decimal"/>
      <w:lvlText w:val="%1.%2.%3.%4"/>
      <w:lvlJc w:val="left"/>
      <w:pPr>
        <w:ind w:left="720" w:hanging="720"/>
      </w:pPr>
      <w:rPr>
        <w:i w:val="0"/>
      </w:rPr>
    </w:lvl>
    <w:lvl w:ilvl="4">
      <w:start w:val="1"/>
      <w:numFmt w:val="decimal"/>
      <w:lvlText w:val="%1.%2.%3.%4.%5"/>
      <w:lvlJc w:val="left"/>
      <w:pPr>
        <w:ind w:left="720" w:hanging="720"/>
      </w:pPr>
      <w:rPr>
        <w:i w:val="0"/>
      </w:rPr>
    </w:lvl>
    <w:lvl w:ilvl="5">
      <w:start w:val="1"/>
      <w:numFmt w:val="decimal"/>
      <w:lvlText w:val="%1.%2.%3.%4.%5.%6"/>
      <w:lvlJc w:val="left"/>
      <w:pPr>
        <w:ind w:left="1080" w:hanging="1080"/>
      </w:pPr>
      <w:rPr>
        <w:i w:val="0"/>
      </w:rPr>
    </w:lvl>
    <w:lvl w:ilvl="6">
      <w:start w:val="1"/>
      <w:numFmt w:val="decimal"/>
      <w:lvlText w:val="%1.%2.%3.%4.%5.%6.%7"/>
      <w:lvlJc w:val="left"/>
      <w:pPr>
        <w:ind w:left="1080" w:hanging="1080"/>
      </w:pPr>
      <w:rPr>
        <w:i w:val="0"/>
      </w:rPr>
    </w:lvl>
    <w:lvl w:ilvl="7">
      <w:start w:val="1"/>
      <w:numFmt w:val="decimal"/>
      <w:lvlText w:val="%1.%2.%3.%4.%5.%6.%7.%8"/>
      <w:lvlJc w:val="left"/>
      <w:pPr>
        <w:ind w:left="1440" w:hanging="1440"/>
      </w:pPr>
      <w:rPr>
        <w:i w:val="0"/>
      </w:rPr>
    </w:lvl>
    <w:lvl w:ilvl="8">
      <w:start w:val="1"/>
      <w:numFmt w:val="decimal"/>
      <w:lvlText w:val="%1.%2.%3.%4.%5.%6.%7.%8.%9"/>
      <w:lvlJc w:val="left"/>
      <w:pPr>
        <w:ind w:left="1440" w:hanging="1440"/>
      </w:pPr>
      <w:rPr>
        <w:i w:val="0"/>
      </w:rPr>
    </w:lvl>
  </w:abstractNum>
  <w:abstractNum w:abstractNumId="1">
    <w:nsid w:val="16794242"/>
    <w:multiLevelType w:val="multilevel"/>
    <w:tmpl w:val="269C89D8"/>
    <w:lvl w:ilvl="0">
      <w:start w:val="3"/>
      <w:numFmt w:val="decimal"/>
      <w:lvlText w:val="%1."/>
      <w:lvlJc w:val="left"/>
      <w:pPr>
        <w:ind w:left="360" w:hanging="360"/>
      </w:pPr>
      <w:rPr>
        <w:strike w:val="0"/>
        <w:u w:val="none"/>
      </w:rPr>
    </w:lvl>
    <w:lvl w:ilvl="1">
      <w:start w:val="1"/>
      <w:numFmt w:val="lowerLetter"/>
      <w:lvlText w:val="%2."/>
      <w:lvlJc w:val="left"/>
      <w:pPr>
        <w:ind w:left="1440" w:hanging="360"/>
      </w:pPr>
      <w:rPr>
        <w:strike w:val="0"/>
        <w:u w:val="none"/>
      </w:rPr>
    </w:lvl>
    <w:lvl w:ilvl="2">
      <w:start w:val="1"/>
      <w:numFmt w:val="lowerRoman"/>
      <w:lvlText w:val="%3."/>
      <w:lvlJc w:val="right"/>
      <w:pPr>
        <w:ind w:left="2160" w:hanging="360"/>
      </w:pPr>
      <w:rPr>
        <w:strike w:val="0"/>
        <w:u w:val="none"/>
      </w:rPr>
    </w:lvl>
    <w:lvl w:ilvl="3">
      <w:start w:val="1"/>
      <w:numFmt w:val="decimal"/>
      <w:lvlText w:val="%4."/>
      <w:lvlJc w:val="left"/>
      <w:pPr>
        <w:ind w:left="2880" w:hanging="360"/>
      </w:pPr>
      <w:rPr>
        <w:strike w:val="0"/>
        <w:u w:val="none"/>
      </w:rPr>
    </w:lvl>
    <w:lvl w:ilvl="4">
      <w:start w:val="1"/>
      <w:numFmt w:val="lowerLetter"/>
      <w:lvlText w:val="%5."/>
      <w:lvlJc w:val="left"/>
      <w:pPr>
        <w:ind w:left="3600" w:hanging="360"/>
      </w:pPr>
      <w:rPr>
        <w:strike w:val="0"/>
        <w:u w:val="none"/>
      </w:rPr>
    </w:lvl>
    <w:lvl w:ilvl="5">
      <w:start w:val="1"/>
      <w:numFmt w:val="lowerRoman"/>
      <w:lvlText w:val="%6."/>
      <w:lvlJc w:val="right"/>
      <w:pPr>
        <w:ind w:left="4320" w:hanging="360"/>
      </w:pPr>
      <w:rPr>
        <w:strike w:val="0"/>
        <w:u w:val="none"/>
      </w:rPr>
    </w:lvl>
    <w:lvl w:ilvl="6">
      <w:start w:val="1"/>
      <w:numFmt w:val="decimal"/>
      <w:lvlText w:val="%7."/>
      <w:lvlJc w:val="left"/>
      <w:pPr>
        <w:ind w:left="5040" w:hanging="360"/>
      </w:pPr>
      <w:rPr>
        <w:strike w:val="0"/>
        <w:u w:val="none"/>
      </w:rPr>
    </w:lvl>
    <w:lvl w:ilvl="7">
      <w:start w:val="1"/>
      <w:numFmt w:val="lowerLetter"/>
      <w:lvlText w:val="%8."/>
      <w:lvlJc w:val="left"/>
      <w:pPr>
        <w:ind w:left="5760" w:hanging="360"/>
      </w:pPr>
      <w:rPr>
        <w:strike w:val="0"/>
        <w:u w:val="none"/>
      </w:rPr>
    </w:lvl>
    <w:lvl w:ilvl="8">
      <w:start w:val="1"/>
      <w:numFmt w:val="lowerRoman"/>
      <w:lvlText w:val="%9."/>
      <w:lvlJc w:val="right"/>
      <w:pPr>
        <w:ind w:left="6480" w:hanging="360"/>
      </w:pPr>
      <w:rPr>
        <w:strike w:val="0"/>
        <w:u w:val="none"/>
      </w:rPr>
    </w:lvl>
  </w:abstractNum>
  <w:abstractNum w:abstractNumId="2">
    <w:nsid w:val="1BB17ADF"/>
    <w:multiLevelType w:val="multilevel"/>
    <w:tmpl w:val="305E08C8"/>
    <w:lvl w:ilvl="0">
      <w:start w:val="1"/>
      <w:numFmt w:val="decimal"/>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32B4"/>
    <w:rsid w:val="00032709"/>
    <w:rsid w:val="001004B6"/>
    <w:rsid w:val="001565D8"/>
    <w:rsid w:val="00173CDD"/>
    <w:rsid w:val="001932B4"/>
    <w:rsid w:val="001E5384"/>
    <w:rsid w:val="002452DB"/>
    <w:rsid w:val="002B26FD"/>
    <w:rsid w:val="002D4588"/>
    <w:rsid w:val="00312AE8"/>
    <w:rsid w:val="00350415"/>
    <w:rsid w:val="00366BEB"/>
    <w:rsid w:val="003B1004"/>
    <w:rsid w:val="003C08F8"/>
    <w:rsid w:val="003F39FF"/>
    <w:rsid w:val="00433441"/>
    <w:rsid w:val="004701A0"/>
    <w:rsid w:val="00476E39"/>
    <w:rsid w:val="004A561B"/>
    <w:rsid w:val="00543FA3"/>
    <w:rsid w:val="00584DCF"/>
    <w:rsid w:val="0060796F"/>
    <w:rsid w:val="006A7A4A"/>
    <w:rsid w:val="006C5682"/>
    <w:rsid w:val="006E2CB4"/>
    <w:rsid w:val="006F27A6"/>
    <w:rsid w:val="006F4306"/>
    <w:rsid w:val="00714630"/>
    <w:rsid w:val="00764708"/>
    <w:rsid w:val="007D5916"/>
    <w:rsid w:val="007E4764"/>
    <w:rsid w:val="00835B27"/>
    <w:rsid w:val="00844799"/>
    <w:rsid w:val="0089296E"/>
    <w:rsid w:val="0097085E"/>
    <w:rsid w:val="00975B2A"/>
    <w:rsid w:val="009B3DA1"/>
    <w:rsid w:val="009D1BB3"/>
    <w:rsid w:val="009D7DB6"/>
    <w:rsid w:val="009F444D"/>
    <w:rsid w:val="00A12200"/>
    <w:rsid w:val="00AB4944"/>
    <w:rsid w:val="00AB50AD"/>
    <w:rsid w:val="00AD4345"/>
    <w:rsid w:val="00AD6702"/>
    <w:rsid w:val="00AE5985"/>
    <w:rsid w:val="00B56111"/>
    <w:rsid w:val="00B6202C"/>
    <w:rsid w:val="00CA01A4"/>
    <w:rsid w:val="00CB7250"/>
    <w:rsid w:val="00CE441F"/>
    <w:rsid w:val="00D0100D"/>
    <w:rsid w:val="00D016E8"/>
    <w:rsid w:val="00D42102"/>
    <w:rsid w:val="00DC0C88"/>
    <w:rsid w:val="00DD755E"/>
    <w:rsid w:val="00DF0F06"/>
    <w:rsid w:val="00E65D41"/>
    <w:rsid w:val="00E921A1"/>
    <w:rsid w:val="00EB6830"/>
    <w:rsid w:val="00F20863"/>
    <w:rsid w:val="00F4746A"/>
    <w:rsid w:val="00F50DB1"/>
  </w:rsids>
  <m:mathPr>
    <m:mathFont m:val="Cambria Math"/>
    <m:brkBin m:val="before"/>
    <m:brkBinSub m:val="--"/>
    <m:smallFrac m:val="0"/>
    <m:dispDef/>
    <m:lMargin m:val="0"/>
    <m:rMargin m:val="0"/>
    <m:defJc m:val="centerGroup"/>
    <m:wrapIndent m:val="1440"/>
    <m:intLim m:val="subSup"/>
    <m:naryLim m:val="undOvr"/>
  </m:mathPr>
  <w:themeFontLang w:val="en-ID"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81E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 w:eastAsia="en-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spacing w:before="240" w:after="80"/>
      <w:jc w:val="center"/>
      <w:outlineLvl w:val="0"/>
    </w:pPr>
    <w:rPr>
      <w:smallCaps/>
    </w:rPr>
  </w:style>
  <w:style w:type="paragraph" w:styleId="Heading2">
    <w:name w:val="heading 2"/>
    <w:basedOn w:val="Normal"/>
    <w:next w:val="Normal"/>
    <w:uiPriority w:val="9"/>
    <w:semiHidden/>
    <w:unhideWhenUsed/>
    <w:qFormat/>
    <w:pPr>
      <w:keepNext/>
      <w:spacing w:before="120" w:after="60"/>
      <w:outlineLvl w:val="1"/>
    </w:pPr>
    <w:rPr>
      <w:i/>
    </w:rPr>
  </w:style>
  <w:style w:type="paragraph" w:styleId="Heading3">
    <w:name w:val="heading 3"/>
    <w:basedOn w:val="Normal"/>
    <w:next w:val="Normal"/>
    <w:uiPriority w:val="9"/>
    <w:semiHidden/>
    <w:unhideWhenUsed/>
    <w:qFormat/>
    <w:pPr>
      <w:keepNext/>
      <w:ind w:left="288"/>
      <w:outlineLvl w:val="2"/>
    </w:pPr>
    <w:rPr>
      <w:i/>
    </w:rPr>
  </w:style>
  <w:style w:type="paragraph" w:styleId="Heading4">
    <w:name w:val="heading 4"/>
    <w:basedOn w:val="Normal"/>
    <w:next w:val="Normal"/>
    <w:uiPriority w:val="9"/>
    <w:semiHidden/>
    <w:unhideWhenUsed/>
    <w:qFormat/>
    <w:pPr>
      <w:keepNext/>
      <w:spacing w:before="240" w:after="60"/>
      <w:ind w:left="1152" w:hanging="720"/>
      <w:outlineLvl w:val="3"/>
    </w:pPr>
    <w:rPr>
      <w:i/>
      <w:sz w:val="18"/>
      <w:szCs w:val="18"/>
    </w:rPr>
  </w:style>
  <w:style w:type="paragraph" w:styleId="Heading5">
    <w:name w:val="heading 5"/>
    <w:basedOn w:val="Normal"/>
    <w:next w:val="Normal"/>
    <w:uiPriority w:val="9"/>
    <w:semiHidden/>
    <w:unhideWhenUsed/>
    <w:qFormat/>
    <w:pPr>
      <w:spacing w:before="240" w:after="60"/>
      <w:ind w:left="1872" w:hanging="720"/>
      <w:outlineLvl w:val="4"/>
    </w:pPr>
    <w:rPr>
      <w:sz w:val="18"/>
      <w:szCs w:val="18"/>
    </w:rPr>
  </w:style>
  <w:style w:type="paragraph" w:styleId="Heading6">
    <w:name w:val="heading 6"/>
    <w:basedOn w:val="Normal"/>
    <w:next w:val="Normal"/>
    <w:uiPriority w:val="9"/>
    <w:semiHidden/>
    <w:unhideWhenUsed/>
    <w:qFormat/>
    <w:pPr>
      <w:spacing w:before="240" w:after="60"/>
      <w:ind w:left="2592" w:hanging="720"/>
      <w:outlineLvl w:val="5"/>
    </w:pPr>
    <w:rPr>
      <w:i/>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0" w:type="dxa"/>
        <w:left w:w="115" w:type="dxa"/>
        <w:bottom w:w="0" w:type="dxa"/>
        <w:right w:w="1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0" w:type="dxa"/>
        <w:left w:w="115" w:type="dxa"/>
        <w:bottom w:w="0" w:type="dxa"/>
        <w:right w:w="115" w:type="dxa"/>
      </w:tblCellMar>
    </w:tblPr>
  </w:style>
  <w:style w:type="table" w:customStyle="1" w:styleId="a3">
    <w:basedOn w:val="TableNormal"/>
    <w:tblPr>
      <w:tblStyleRowBandSize w:val="1"/>
      <w:tblStyleColBandSize w:val="1"/>
      <w:tblInd w:w="0" w:type="dxa"/>
      <w:tblCellMar>
        <w:top w:w="100" w:type="dxa"/>
        <w:left w:w="100" w:type="dxa"/>
        <w:bottom w:w="100" w:type="dxa"/>
        <w:right w:w="100" w:type="dxa"/>
      </w:tblCellMar>
    </w:tblPr>
  </w:style>
  <w:style w:type="table" w:customStyle="1" w:styleId="a4">
    <w:basedOn w:val="TableNormal"/>
    <w:tblPr>
      <w:tblStyleRowBandSize w:val="1"/>
      <w:tblStyleColBandSize w:val="1"/>
      <w:tblInd w:w="0" w:type="dxa"/>
      <w:tblCellMar>
        <w:top w:w="100" w:type="dxa"/>
        <w:left w:w="100" w:type="dxa"/>
        <w:bottom w:w="100" w:type="dxa"/>
        <w:right w:w="100" w:type="dxa"/>
      </w:tblCellMar>
    </w:tblPr>
  </w:style>
  <w:style w:type="table" w:customStyle="1" w:styleId="a5">
    <w:basedOn w:val="TableNormal"/>
    <w:pPr>
      <w:jc w:val="both"/>
    </w:pPr>
    <w:rPr>
      <w:rFonts w:ascii="Calibri" w:eastAsia="Calibri" w:hAnsi="Calibri" w:cs="Calibri"/>
      <w:sz w:val="22"/>
      <w:szCs w:val="22"/>
    </w:rPr>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15" w:type="dxa"/>
        <w:bottom w:w="0" w:type="dxa"/>
        <w:right w:w="115" w:type="dxa"/>
      </w:tblCellMar>
    </w:tblPr>
  </w:style>
  <w:style w:type="table" w:customStyle="1" w:styleId="a7">
    <w:basedOn w:val="TableNormal"/>
    <w:pPr>
      <w:jc w:val="both"/>
    </w:pPr>
    <w:rPr>
      <w:rFonts w:ascii="Calibri" w:eastAsia="Calibri" w:hAnsi="Calibri" w:cs="Calibri"/>
      <w:sz w:val="22"/>
      <w:szCs w:val="22"/>
    </w:rPr>
    <w:tblPr>
      <w:tblStyleRowBandSize w:val="1"/>
      <w:tblStyleColBandSize w:val="1"/>
      <w:tblInd w:w="0" w:type="dxa"/>
      <w:tblCellMar>
        <w:top w:w="0" w:type="dxa"/>
        <w:left w:w="108" w:type="dxa"/>
        <w:bottom w:w="0" w:type="dxa"/>
        <w:right w:w="108" w:type="dxa"/>
      </w:tblCellMar>
    </w:tblPr>
  </w:style>
  <w:style w:type="character" w:styleId="Hyperlink">
    <w:name w:val="Hyperlink"/>
    <w:basedOn w:val="DefaultParagraphFont"/>
    <w:uiPriority w:val="99"/>
    <w:unhideWhenUsed/>
    <w:rsid w:val="00AB4944"/>
    <w:rPr>
      <w:color w:val="0000FF" w:themeColor="hyperlink"/>
      <w:u w:val="single"/>
    </w:rPr>
  </w:style>
  <w:style w:type="character" w:customStyle="1" w:styleId="UnresolvedMention">
    <w:name w:val="Unresolved Mention"/>
    <w:basedOn w:val="DefaultParagraphFont"/>
    <w:uiPriority w:val="99"/>
    <w:semiHidden/>
    <w:unhideWhenUsed/>
    <w:rsid w:val="00AB4944"/>
    <w:rPr>
      <w:color w:val="605E5C"/>
      <w:shd w:val="clear" w:color="auto" w:fill="E1DFDD"/>
    </w:rPr>
  </w:style>
  <w:style w:type="paragraph" w:customStyle="1" w:styleId="icsmheading1">
    <w:name w:val="icsm_heading1"/>
    <w:basedOn w:val="Normal"/>
    <w:rsid w:val="004A561B"/>
    <w:pPr>
      <w:spacing w:before="480" w:after="240"/>
    </w:pPr>
    <w:rPr>
      <w:b/>
      <w:lang w:val="en-GB" w:eastAsia="en-US"/>
    </w:rPr>
  </w:style>
  <w:style w:type="paragraph" w:styleId="BalloonText">
    <w:name w:val="Balloon Text"/>
    <w:basedOn w:val="Normal"/>
    <w:link w:val="BalloonTextChar"/>
    <w:uiPriority w:val="99"/>
    <w:semiHidden/>
    <w:unhideWhenUsed/>
    <w:rsid w:val="006C5682"/>
    <w:rPr>
      <w:rFonts w:ascii="Tahoma" w:hAnsi="Tahoma" w:cs="Tahoma"/>
      <w:sz w:val="16"/>
      <w:szCs w:val="16"/>
    </w:rPr>
  </w:style>
  <w:style w:type="character" w:customStyle="1" w:styleId="BalloonTextChar">
    <w:name w:val="Balloon Text Char"/>
    <w:basedOn w:val="DefaultParagraphFont"/>
    <w:link w:val="BalloonText"/>
    <w:uiPriority w:val="99"/>
    <w:semiHidden/>
    <w:rsid w:val="006C568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 w:eastAsia="en-ID"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spacing w:before="240" w:after="80"/>
      <w:jc w:val="center"/>
      <w:outlineLvl w:val="0"/>
    </w:pPr>
    <w:rPr>
      <w:smallCaps/>
    </w:rPr>
  </w:style>
  <w:style w:type="paragraph" w:styleId="Heading2">
    <w:name w:val="heading 2"/>
    <w:basedOn w:val="Normal"/>
    <w:next w:val="Normal"/>
    <w:uiPriority w:val="9"/>
    <w:semiHidden/>
    <w:unhideWhenUsed/>
    <w:qFormat/>
    <w:pPr>
      <w:keepNext/>
      <w:spacing w:before="120" w:after="60"/>
      <w:outlineLvl w:val="1"/>
    </w:pPr>
    <w:rPr>
      <w:i/>
    </w:rPr>
  </w:style>
  <w:style w:type="paragraph" w:styleId="Heading3">
    <w:name w:val="heading 3"/>
    <w:basedOn w:val="Normal"/>
    <w:next w:val="Normal"/>
    <w:uiPriority w:val="9"/>
    <w:semiHidden/>
    <w:unhideWhenUsed/>
    <w:qFormat/>
    <w:pPr>
      <w:keepNext/>
      <w:ind w:left="288"/>
      <w:outlineLvl w:val="2"/>
    </w:pPr>
    <w:rPr>
      <w:i/>
    </w:rPr>
  </w:style>
  <w:style w:type="paragraph" w:styleId="Heading4">
    <w:name w:val="heading 4"/>
    <w:basedOn w:val="Normal"/>
    <w:next w:val="Normal"/>
    <w:uiPriority w:val="9"/>
    <w:semiHidden/>
    <w:unhideWhenUsed/>
    <w:qFormat/>
    <w:pPr>
      <w:keepNext/>
      <w:spacing w:before="240" w:after="60"/>
      <w:ind w:left="1152" w:hanging="720"/>
      <w:outlineLvl w:val="3"/>
    </w:pPr>
    <w:rPr>
      <w:i/>
      <w:sz w:val="18"/>
      <w:szCs w:val="18"/>
    </w:rPr>
  </w:style>
  <w:style w:type="paragraph" w:styleId="Heading5">
    <w:name w:val="heading 5"/>
    <w:basedOn w:val="Normal"/>
    <w:next w:val="Normal"/>
    <w:uiPriority w:val="9"/>
    <w:semiHidden/>
    <w:unhideWhenUsed/>
    <w:qFormat/>
    <w:pPr>
      <w:spacing w:before="240" w:after="60"/>
      <w:ind w:left="1872" w:hanging="720"/>
      <w:outlineLvl w:val="4"/>
    </w:pPr>
    <w:rPr>
      <w:sz w:val="18"/>
      <w:szCs w:val="18"/>
    </w:rPr>
  </w:style>
  <w:style w:type="paragraph" w:styleId="Heading6">
    <w:name w:val="heading 6"/>
    <w:basedOn w:val="Normal"/>
    <w:next w:val="Normal"/>
    <w:uiPriority w:val="9"/>
    <w:semiHidden/>
    <w:unhideWhenUsed/>
    <w:qFormat/>
    <w:pPr>
      <w:spacing w:before="240" w:after="60"/>
      <w:ind w:left="2592" w:hanging="720"/>
      <w:outlineLvl w:val="5"/>
    </w:pPr>
    <w:rPr>
      <w:i/>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0" w:type="dxa"/>
        <w:left w:w="115" w:type="dxa"/>
        <w:bottom w:w="0" w:type="dxa"/>
        <w:right w:w="1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0" w:type="dxa"/>
        <w:left w:w="115" w:type="dxa"/>
        <w:bottom w:w="0" w:type="dxa"/>
        <w:right w:w="115" w:type="dxa"/>
      </w:tblCellMar>
    </w:tblPr>
  </w:style>
  <w:style w:type="table" w:customStyle="1" w:styleId="a3">
    <w:basedOn w:val="TableNormal"/>
    <w:tblPr>
      <w:tblStyleRowBandSize w:val="1"/>
      <w:tblStyleColBandSize w:val="1"/>
      <w:tblInd w:w="0" w:type="dxa"/>
      <w:tblCellMar>
        <w:top w:w="100" w:type="dxa"/>
        <w:left w:w="100" w:type="dxa"/>
        <w:bottom w:w="100" w:type="dxa"/>
        <w:right w:w="100" w:type="dxa"/>
      </w:tblCellMar>
    </w:tblPr>
  </w:style>
  <w:style w:type="table" w:customStyle="1" w:styleId="a4">
    <w:basedOn w:val="TableNormal"/>
    <w:tblPr>
      <w:tblStyleRowBandSize w:val="1"/>
      <w:tblStyleColBandSize w:val="1"/>
      <w:tblInd w:w="0" w:type="dxa"/>
      <w:tblCellMar>
        <w:top w:w="100" w:type="dxa"/>
        <w:left w:w="100" w:type="dxa"/>
        <w:bottom w:w="100" w:type="dxa"/>
        <w:right w:w="100" w:type="dxa"/>
      </w:tblCellMar>
    </w:tblPr>
  </w:style>
  <w:style w:type="table" w:customStyle="1" w:styleId="a5">
    <w:basedOn w:val="TableNormal"/>
    <w:pPr>
      <w:jc w:val="both"/>
    </w:pPr>
    <w:rPr>
      <w:rFonts w:ascii="Calibri" w:eastAsia="Calibri" w:hAnsi="Calibri" w:cs="Calibri"/>
      <w:sz w:val="22"/>
      <w:szCs w:val="22"/>
    </w:rPr>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15" w:type="dxa"/>
        <w:bottom w:w="0" w:type="dxa"/>
        <w:right w:w="115" w:type="dxa"/>
      </w:tblCellMar>
    </w:tblPr>
  </w:style>
  <w:style w:type="table" w:customStyle="1" w:styleId="a7">
    <w:basedOn w:val="TableNormal"/>
    <w:pPr>
      <w:jc w:val="both"/>
    </w:pPr>
    <w:rPr>
      <w:rFonts w:ascii="Calibri" w:eastAsia="Calibri" w:hAnsi="Calibri" w:cs="Calibri"/>
      <w:sz w:val="22"/>
      <w:szCs w:val="22"/>
    </w:rPr>
    <w:tblPr>
      <w:tblStyleRowBandSize w:val="1"/>
      <w:tblStyleColBandSize w:val="1"/>
      <w:tblInd w:w="0" w:type="dxa"/>
      <w:tblCellMar>
        <w:top w:w="0" w:type="dxa"/>
        <w:left w:w="108" w:type="dxa"/>
        <w:bottom w:w="0" w:type="dxa"/>
        <w:right w:w="108" w:type="dxa"/>
      </w:tblCellMar>
    </w:tblPr>
  </w:style>
  <w:style w:type="character" w:styleId="Hyperlink">
    <w:name w:val="Hyperlink"/>
    <w:basedOn w:val="DefaultParagraphFont"/>
    <w:uiPriority w:val="99"/>
    <w:unhideWhenUsed/>
    <w:rsid w:val="00AB4944"/>
    <w:rPr>
      <w:color w:val="0000FF" w:themeColor="hyperlink"/>
      <w:u w:val="single"/>
    </w:rPr>
  </w:style>
  <w:style w:type="character" w:customStyle="1" w:styleId="UnresolvedMention">
    <w:name w:val="Unresolved Mention"/>
    <w:basedOn w:val="DefaultParagraphFont"/>
    <w:uiPriority w:val="99"/>
    <w:semiHidden/>
    <w:unhideWhenUsed/>
    <w:rsid w:val="00AB4944"/>
    <w:rPr>
      <w:color w:val="605E5C"/>
      <w:shd w:val="clear" w:color="auto" w:fill="E1DFDD"/>
    </w:rPr>
  </w:style>
  <w:style w:type="paragraph" w:customStyle="1" w:styleId="icsmheading1">
    <w:name w:val="icsm_heading1"/>
    <w:basedOn w:val="Normal"/>
    <w:rsid w:val="004A561B"/>
    <w:pPr>
      <w:spacing w:before="480" w:after="240"/>
    </w:pPr>
    <w:rPr>
      <w:b/>
      <w:lang w:val="en-GB" w:eastAsia="en-US"/>
    </w:rPr>
  </w:style>
  <w:style w:type="paragraph" w:styleId="BalloonText">
    <w:name w:val="Balloon Text"/>
    <w:basedOn w:val="Normal"/>
    <w:link w:val="BalloonTextChar"/>
    <w:uiPriority w:val="99"/>
    <w:semiHidden/>
    <w:unhideWhenUsed/>
    <w:rsid w:val="006C5682"/>
    <w:rPr>
      <w:rFonts w:ascii="Tahoma" w:hAnsi="Tahoma" w:cs="Tahoma"/>
      <w:sz w:val="16"/>
      <w:szCs w:val="16"/>
    </w:rPr>
  </w:style>
  <w:style w:type="character" w:customStyle="1" w:styleId="BalloonTextChar">
    <w:name w:val="Balloon Text Char"/>
    <w:basedOn w:val="DefaultParagraphFont"/>
    <w:link w:val="BalloonText"/>
    <w:uiPriority w:val="99"/>
    <w:semiHidden/>
    <w:rsid w:val="006C568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9742532">
      <w:bodyDiv w:val="1"/>
      <w:marLeft w:val="0"/>
      <w:marRight w:val="0"/>
      <w:marTop w:val="0"/>
      <w:marBottom w:val="0"/>
      <w:divBdr>
        <w:top w:val="none" w:sz="0" w:space="0" w:color="auto"/>
        <w:left w:val="none" w:sz="0" w:space="0" w:color="auto"/>
        <w:bottom w:val="none" w:sz="0" w:space="0" w:color="auto"/>
        <w:right w:val="none" w:sz="0" w:space="0" w:color="auto"/>
      </w:divBdr>
    </w:div>
    <w:div w:id="827211851">
      <w:bodyDiv w:val="1"/>
      <w:marLeft w:val="0"/>
      <w:marRight w:val="0"/>
      <w:marTop w:val="0"/>
      <w:marBottom w:val="0"/>
      <w:divBdr>
        <w:top w:val="none" w:sz="0" w:space="0" w:color="auto"/>
        <w:left w:val="none" w:sz="0" w:space="0" w:color="auto"/>
        <w:bottom w:val="none" w:sz="0" w:space="0" w:color="auto"/>
        <w:right w:val="none" w:sz="0" w:space="0" w:color="auto"/>
      </w:divBdr>
    </w:div>
    <w:div w:id="1037119355">
      <w:bodyDiv w:val="1"/>
      <w:marLeft w:val="0"/>
      <w:marRight w:val="0"/>
      <w:marTop w:val="0"/>
      <w:marBottom w:val="0"/>
      <w:divBdr>
        <w:top w:val="none" w:sz="0" w:space="0" w:color="auto"/>
        <w:left w:val="none" w:sz="0" w:space="0" w:color="auto"/>
        <w:bottom w:val="none" w:sz="0" w:space="0" w:color="auto"/>
        <w:right w:val="none" w:sz="0" w:space="0" w:color="auto"/>
      </w:divBdr>
    </w:div>
    <w:div w:id="1120683274">
      <w:bodyDiv w:val="1"/>
      <w:marLeft w:val="0"/>
      <w:marRight w:val="0"/>
      <w:marTop w:val="0"/>
      <w:marBottom w:val="0"/>
      <w:divBdr>
        <w:top w:val="none" w:sz="0" w:space="0" w:color="auto"/>
        <w:left w:val="none" w:sz="0" w:space="0" w:color="auto"/>
        <w:bottom w:val="none" w:sz="0" w:space="0" w:color="auto"/>
        <w:right w:val="none" w:sz="0" w:space="0" w:color="auto"/>
      </w:divBdr>
      <w:divsChild>
        <w:div w:id="1020012717">
          <w:marLeft w:val="0"/>
          <w:marRight w:val="0"/>
          <w:marTop w:val="0"/>
          <w:marBottom w:val="0"/>
          <w:divBdr>
            <w:top w:val="single" w:sz="2" w:space="0" w:color="E5E7EB"/>
            <w:left w:val="single" w:sz="2" w:space="0" w:color="E5E7EB"/>
            <w:bottom w:val="single" w:sz="2" w:space="0" w:color="E5E7EB"/>
            <w:right w:val="single" w:sz="2" w:space="0" w:color="E5E7EB"/>
          </w:divBdr>
        </w:div>
        <w:div w:id="16443151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29712384">
      <w:bodyDiv w:val="1"/>
      <w:marLeft w:val="0"/>
      <w:marRight w:val="0"/>
      <w:marTop w:val="0"/>
      <w:marBottom w:val="0"/>
      <w:divBdr>
        <w:top w:val="none" w:sz="0" w:space="0" w:color="auto"/>
        <w:left w:val="none" w:sz="0" w:space="0" w:color="auto"/>
        <w:bottom w:val="none" w:sz="0" w:space="0" w:color="auto"/>
        <w:right w:val="none" w:sz="0" w:space="0" w:color="auto"/>
      </w:divBdr>
    </w:div>
    <w:div w:id="21137423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jpg"/><Relationship Id="rId26"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image" Target="media/image6.jp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jpg"/><Relationship Id="rId25" Type="http://schemas.openxmlformats.org/officeDocument/2006/relationships/image" Target="media/image10.jp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jpg"/><Relationship Id="rId20" Type="http://schemas.openxmlformats.org/officeDocument/2006/relationships/image" Target="media/image5.jpg"/><Relationship Id="rId29"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g"/><Relationship Id="rId32"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8.jpg"/><Relationship Id="rId28" Type="http://schemas.openxmlformats.org/officeDocument/2006/relationships/image" Target="media/image13.jpeg"/><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hyperlink" Target="mailto:nita@lecturer.itk.ac.id" TargetMode="External"/><Relationship Id="rId14" Type="http://schemas.openxmlformats.org/officeDocument/2006/relationships/header" Target="header3.xml"/><Relationship Id="rId22" Type="http://schemas.openxmlformats.org/officeDocument/2006/relationships/image" Target="media/image7.jpg"/><Relationship Id="rId27" Type="http://schemas.openxmlformats.org/officeDocument/2006/relationships/image" Target="media/image12.jpg"/><Relationship Id="rId30"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44C747-02A6-45AB-9B4E-DB3DBBD41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8</Pages>
  <Words>23136</Words>
  <Characters>131878</Characters>
  <Application>Microsoft Office Word</Application>
  <DocSecurity>0</DocSecurity>
  <Lines>1098</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ismail - [2010]</cp:lastModifiedBy>
  <cp:revision>16</cp:revision>
  <cp:lastPrinted>2023-08-31T05:43:00Z</cp:lastPrinted>
  <dcterms:created xsi:type="dcterms:W3CDTF">2023-07-08T15:36:00Z</dcterms:created>
  <dcterms:modified xsi:type="dcterms:W3CDTF">2023-09-01T04:25:00Z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538d46597d954c20d6ded7812c62969fadbbd35c60504528924ef016165a230f</vt:lpwstr>
  </property>
  <property fmtid="{D5CDD505-2E9C-101B-9397-08002B2CF9AE}" pid="3" name="Mendeley Document_1">
    <vt:lpwstr>True</vt:lpwstr>
  </property>
  <property fmtid="{D5CDD505-2E9C-101B-9397-08002B2CF9AE}" pid="4" name="Mendeley Unique User Id_1">
    <vt:lpwstr>8a079bb1-d58c-3b57-bec4-0fcc0ffa8e55</vt:lpwstr>
  </property>
  <property fmtid="{D5CDD505-2E9C-101B-9397-08002B2CF9AE}" pid="5" name="Mendeley Citation Style_1">
    <vt:lpwstr>http://www.zotero.org/styles/apa</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12th edition - Harvard</vt:lpwstr>
  </property>
  <property fmtid="{D5CDD505-2E9C-101B-9397-08002B2CF9AE}" pid="18" name="Mendeley Recent Style Id 6_1">
    <vt:lpwstr>http://www.zotero.org/styles/ieee</vt:lpwstr>
  </property>
  <property fmtid="{D5CDD505-2E9C-101B-9397-08002B2CF9AE}" pid="19" name="Mendeley Recent Style Name 6_1">
    <vt:lpwstr>IEEE</vt:lpwstr>
  </property>
  <property fmtid="{D5CDD505-2E9C-101B-9397-08002B2CF9AE}" pid="20" name="Mendeley Recent Style Id 7_1">
    <vt:lpwstr>http://www.zotero.org/styles/modern-humanities-research-association</vt:lpwstr>
  </property>
  <property fmtid="{D5CDD505-2E9C-101B-9397-08002B2CF9AE}" pid="21" name="Mendeley Recent Style Name 7_1">
    <vt:lpwstr>Modern Humanities Research Association 3rd edition (note with bibliography)</vt:lpwstr>
  </property>
  <property fmtid="{D5CDD505-2E9C-101B-9397-08002B2CF9AE}" pid="22" name="Mendeley Recent Style Id 8_1">
    <vt:lpwstr>http://www.zotero.org/styles/modern-language-association</vt:lpwstr>
  </property>
  <property fmtid="{D5CDD505-2E9C-101B-9397-08002B2CF9AE}" pid="23" name="Mendeley Recent Style Name 8_1">
    <vt:lpwstr>Modern Language Association 9th edition</vt:lpwstr>
  </property>
  <property fmtid="{D5CDD505-2E9C-101B-9397-08002B2CF9AE}" pid="24" name="Mendeley Recent Style Id 9_1">
    <vt:lpwstr>http://www.zotero.org/styles/nature</vt:lpwstr>
  </property>
  <property fmtid="{D5CDD505-2E9C-101B-9397-08002B2CF9AE}" pid="25" name="Mendeley Recent Style Name 9_1">
    <vt:lpwstr>Nature</vt:lpwstr>
  </property>
</Properties>
</file>