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911" w:type="dxa"/>
        <w:tblInd w:w="-1283" w:type="dxa"/>
        <w:tblBorders>
          <w:top w:val="single" w:sz="4" w:space="0" w:color="9CC3E5"/>
          <w:left w:val="single" w:sz="4" w:space="0" w:color="9CC3E5"/>
          <w:bottom w:val="single" w:sz="4" w:space="0" w:color="9CC3E5"/>
          <w:right w:val="single" w:sz="4" w:space="0" w:color="9CC3E5"/>
          <w:insideH w:val="single" w:sz="4" w:space="0" w:color="9CC3E5"/>
          <w:insideV w:val="single" w:sz="4" w:space="0" w:color="9CC3E5"/>
        </w:tblBorders>
        <w:tblLayout w:type="fixed"/>
        <w:tblLook w:val="04A0" w:firstRow="1" w:lastRow="0" w:firstColumn="1" w:lastColumn="0" w:noHBand="0" w:noVBand="1"/>
      </w:tblPr>
      <w:tblGrid>
        <w:gridCol w:w="1740"/>
        <w:gridCol w:w="54"/>
        <w:gridCol w:w="2477"/>
        <w:gridCol w:w="2258"/>
        <w:gridCol w:w="2484"/>
        <w:gridCol w:w="2898"/>
      </w:tblGrid>
      <w:tr w:rsidR="00BE4684" w:rsidRPr="008D567A" w14:paraId="56F50213" w14:textId="77777777" w:rsidTr="006C2BC1">
        <w:trPr>
          <w:trHeight w:val="508"/>
        </w:trPr>
        <w:tc>
          <w:tcPr>
            <w:tcW w:w="1740" w:type="dxa"/>
            <w:shd w:val="clear" w:color="auto" w:fill="B4C6E7"/>
            <w:vAlign w:val="center"/>
          </w:tcPr>
          <w:p w14:paraId="0D2CB296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171" w:type="dxa"/>
            <w:gridSpan w:val="5"/>
            <w:shd w:val="clear" w:color="auto" w:fill="B4C6E7"/>
            <w:vAlign w:val="center"/>
          </w:tcPr>
          <w:p w14:paraId="06CBE3F6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  <w:color w:val="000000"/>
              </w:rPr>
            </w:pPr>
            <w:r w:rsidRPr="008D567A">
              <w:rPr>
                <w:rFonts w:asciiTheme="majorBidi" w:hAnsiTheme="majorBidi" w:cstheme="majorBidi"/>
                <w:color w:val="000000"/>
              </w:rPr>
              <w:t>Table 2. Summary of the newer modalities in the treatment of IPF</w:t>
            </w:r>
          </w:p>
        </w:tc>
      </w:tr>
      <w:tr w:rsidR="00BE4684" w:rsidRPr="008D567A" w14:paraId="6E1A8072" w14:textId="77777777" w:rsidTr="006C2BC1">
        <w:trPr>
          <w:trHeight w:val="480"/>
        </w:trPr>
        <w:tc>
          <w:tcPr>
            <w:tcW w:w="1794" w:type="dxa"/>
            <w:gridSpan w:val="2"/>
            <w:vAlign w:val="center"/>
          </w:tcPr>
          <w:p w14:paraId="105D651A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bookmarkStart w:id="0" w:name="_heading=h.gjdgxs" w:colFirst="0" w:colLast="0"/>
            <w:bookmarkEnd w:id="0"/>
            <w:r w:rsidRPr="008D567A">
              <w:rPr>
                <w:rFonts w:asciiTheme="majorBidi" w:hAnsiTheme="majorBidi" w:cstheme="majorBidi"/>
              </w:rPr>
              <w:t>Name</w:t>
            </w:r>
          </w:p>
        </w:tc>
        <w:tc>
          <w:tcPr>
            <w:tcW w:w="2477" w:type="dxa"/>
            <w:vAlign w:val="center"/>
          </w:tcPr>
          <w:p w14:paraId="69FC53E2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  <w:b/>
              </w:rPr>
            </w:pPr>
            <w:r w:rsidRPr="008D567A">
              <w:rPr>
                <w:rFonts w:asciiTheme="majorBidi" w:hAnsiTheme="majorBidi" w:cstheme="majorBidi"/>
                <w:b/>
              </w:rPr>
              <w:t>Mechanism of action</w:t>
            </w:r>
          </w:p>
        </w:tc>
        <w:tc>
          <w:tcPr>
            <w:tcW w:w="2258" w:type="dxa"/>
            <w:vAlign w:val="center"/>
          </w:tcPr>
          <w:p w14:paraId="102B0336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  <w:b/>
              </w:rPr>
            </w:pPr>
            <w:r w:rsidRPr="008D567A">
              <w:rPr>
                <w:rFonts w:asciiTheme="majorBidi" w:hAnsiTheme="majorBidi" w:cstheme="majorBidi"/>
                <w:b/>
              </w:rPr>
              <w:t>Clinical trial</w:t>
            </w:r>
          </w:p>
        </w:tc>
        <w:tc>
          <w:tcPr>
            <w:tcW w:w="2484" w:type="dxa"/>
            <w:vAlign w:val="center"/>
          </w:tcPr>
          <w:p w14:paraId="5D26D6A1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  <w:b/>
              </w:rPr>
            </w:pPr>
            <w:r w:rsidRPr="008D567A">
              <w:rPr>
                <w:rFonts w:asciiTheme="majorBidi" w:hAnsiTheme="majorBidi" w:cstheme="majorBidi"/>
                <w:b/>
              </w:rPr>
              <w:t>Effects</w:t>
            </w:r>
          </w:p>
        </w:tc>
        <w:tc>
          <w:tcPr>
            <w:tcW w:w="2898" w:type="dxa"/>
            <w:vAlign w:val="center"/>
          </w:tcPr>
          <w:p w14:paraId="3604B82E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  <w:b/>
              </w:rPr>
            </w:pPr>
            <w:r w:rsidRPr="008D567A">
              <w:rPr>
                <w:rFonts w:asciiTheme="majorBidi" w:hAnsiTheme="majorBidi" w:cstheme="majorBidi"/>
                <w:b/>
              </w:rPr>
              <w:t>Side effects</w:t>
            </w:r>
          </w:p>
        </w:tc>
      </w:tr>
      <w:tr w:rsidR="00BE4684" w:rsidRPr="008D567A" w14:paraId="2843899A" w14:textId="77777777" w:rsidTr="006C2BC1">
        <w:trPr>
          <w:trHeight w:val="508"/>
        </w:trPr>
        <w:tc>
          <w:tcPr>
            <w:tcW w:w="1794" w:type="dxa"/>
            <w:gridSpan w:val="2"/>
            <w:vAlign w:val="center"/>
          </w:tcPr>
          <w:p w14:paraId="09BE770D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Pirfenidone</w:t>
            </w:r>
          </w:p>
        </w:tc>
        <w:tc>
          <w:tcPr>
            <w:tcW w:w="2477" w:type="dxa"/>
            <w:vAlign w:val="center"/>
          </w:tcPr>
          <w:p w14:paraId="6AE9D4E8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TGF-</w:t>
            </w:r>
            <w:r w:rsidRPr="008D567A">
              <w:rPr>
                <w:rFonts w:ascii="Cambria Math" w:eastAsia="Cambria Math" w:hAnsi="Cambria Math" w:cs="Cambria Math"/>
              </w:rPr>
              <w:t>𝛃</w:t>
            </w:r>
            <w:r w:rsidRPr="008D567A">
              <w:rPr>
                <w:rFonts w:asciiTheme="majorBidi" w:hAnsiTheme="majorBidi" w:cstheme="majorBidi"/>
              </w:rPr>
              <w:t xml:space="preserve"> and fibronectin  inhibitor</w:t>
            </w:r>
          </w:p>
        </w:tc>
        <w:tc>
          <w:tcPr>
            <w:tcW w:w="2258" w:type="dxa"/>
            <w:vAlign w:val="center"/>
          </w:tcPr>
          <w:p w14:paraId="2799C869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CAPACITY/ASCEND</w:t>
            </w:r>
          </w:p>
        </w:tc>
        <w:tc>
          <w:tcPr>
            <w:tcW w:w="2484" w:type="dxa"/>
            <w:vAlign w:val="center"/>
          </w:tcPr>
          <w:p w14:paraId="51AA2EFF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Anti-fibrinolytic and anti-inflammatory, reduction in all-cause mortality.</w:t>
            </w:r>
          </w:p>
        </w:tc>
        <w:tc>
          <w:tcPr>
            <w:tcW w:w="2898" w:type="dxa"/>
            <w:vAlign w:val="center"/>
          </w:tcPr>
          <w:p w14:paraId="08D9D816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Photosensitivity, nausea, skin rash, gastrointestinal upset and anorexia. Serious adverse effects: abnormal liver function, dizziness, facial paralysis, hepatocellular tumor.</w:t>
            </w:r>
          </w:p>
        </w:tc>
      </w:tr>
      <w:tr w:rsidR="00BE4684" w:rsidRPr="008D567A" w14:paraId="68C11A0B" w14:textId="77777777" w:rsidTr="006C2BC1">
        <w:trPr>
          <w:trHeight w:val="480"/>
        </w:trPr>
        <w:tc>
          <w:tcPr>
            <w:tcW w:w="1794" w:type="dxa"/>
            <w:gridSpan w:val="2"/>
            <w:vAlign w:val="center"/>
          </w:tcPr>
          <w:p w14:paraId="4202A8F8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8D567A">
              <w:rPr>
                <w:rFonts w:asciiTheme="majorBidi" w:hAnsiTheme="majorBidi" w:cstheme="majorBidi"/>
              </w:rPr>
              <w:t>Nintedanib</w:t>
            </w:r>
            <w:proofErr w:type="spellEnd"/>
          </w:p>
        </w:tc>
        <w:tc>
          <w:tcPr>
            <w:tcW w:w="2477" w:type="dxa"/>
            <w:vAlign w:val="center"/>
          </w:tcPr>
          <w:p w14:paraId="7B190BA1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Tyrosine kinase inhibitors</w:t>
            </w:r>
          </w:p>
          <w:p w14:paraId="0AE02204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258" w:type="dxa"/>
            <w:vAlign w:val="center"/>
          </w:tcPr>
          <w:p w14:paraId="5385B71D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INPULSIS/INSTAGE</w:t>
            </w:r>
          </w:p>
        </w:tc>
        <w:tc>
          <w:tcPr>
            <w:tcW w:w="2484" w:type="dxa"/>
            <w:vAlign w:val="center"/>
          </w:tcPr>
          <w:p w14:paraId="4BCEAE33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Reducing FVC decline and all-cause mortality.</w:t>
            </w:r>
          </w:p>
        </w:tc>
        <w:tc>
          <w:tcPr>
            <w:tcW w:w="2898" w:type="dxa"/>
            <w:vAlign w:val="center"/>
          </w:tcPr>
          <w:p w14:paraId="52FDAC20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Diarrhea, nausea, nasopharyngitis, cough, and vomiting.</w:t>
            </w:r>
          </w:p>
        </w:tc>
      </w:tr>
      <w:tr w:rsidR="00BE4684" w:rsidRPr="008D567A" w14:paraId="6FACAD93" w14:textId="77777777" w:rsidTr="006C2BC1">
        <w:trPr>
          <w:trHeight w:val="508"/>
        </w:trPr>
        <w:tc>
          <w:tcPr>
            <w:tcW w:w="1794" w:type="dxa"/>
            <w:gridSpan w:val="2"/>
            <w:vAlign w:val="center"/>
          </w:tcPr>
          <w:p w14:paraId="531110B4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8D567A">
              <w:rPr>
                <w:rFonts w:asciiTheme="majorBidi" w:hAnsiTheme="majorBidi" w:cstheme="majorBidi"/>
              </w:rPr>
              <w:t>Saracatinib</w:t>
            </w:r>
            <w:proofErr w:type="spellEnd"/>
          </w:p>
        </w:tc>
        <w:tc>
          <w:tcPr>
            <w:tcW w:w="2477" w:type="dxa"/>
            <w:vAlign w:val="center"/>
          </w:tcPr>
          <w:p w14:paraId="50BABB22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8D567A">
              <w:rPr>
                <w:rFonts w:asciiTheme="majorBidi" w:hAnsiTheme="majorBidi" w:cstheme="majorBidi"/>
              </w:rPr>
              <w:t>Src</w:t>
            </w:r>
            <w:proofErr w:type="spellEnd"/>
            <w:r w:rsidRPr="008D567A">
              <w:rPr>
                <w:rFonts w:asciiTheme="majorBidi" w:hAnsiTheme="majorBidi" w:cstheme="majorBidi"/>
              </w:rPr>
              <w:t xml:space="preserve"> kinase inhibitor</w:t>
            </w:r>
          </w:p>
        </w:tc>
        <w:tc>
          <w:tcPr>
            <w:tcW w:w="2258" w:type="dxa"/>
            <w:vAlign w:val="center"/>
          </w:tcPr>
          <w:p w14:paraId="26A9D6DA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STOP-IPF</w:t>
            </w:r>
          </w:p>
        </w:tc>
        <w:tc>
          <w:tcPr>
            <w:tcW w:w="2484" w:type="dxa"/>
            <w:vAlign w:val="center"/>
          </w:tcPr>
          <w:p w14:paraId="5CA43851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Better effect in reducing FVC decline than PFD and NDB.</w:t>
            </w:r>
          </w:p>
        </w:tc>
        <w:tc>
          <w:tcPr>
            <w:tcW w:w="2898" w:type="dxa"/>
            <w:vAlign w:val="center"/>
          </w:tcPr>
          <w:p w14:paraId="23117470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Gastrointestinal discomfort.</w:t>
            </w:r>
          </w:p>
        </w:tc>
      </w:tr>
      <w:tr w:rsidR="00BE4684" w:rsidRPr="008D567A" w14:paraId="19C5FF5E" w14:textId="77777777" w:rsidTr="006C2BC1">
        <w:trPr>
          <w:trHeight w:val="480"/>
        </w:trPr>
        <w:tc>
          <w:tcPr>
            <w:tcW w:w="1794" w:type="dxa"/>
            <w:gridSpan w:val="2"/>
            <w:vAlign w:val="center"/>
          </w:tcPr>
          <w:p w14:paraId="4E8BC5C8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8D567A">
              <w:rPr>
                <w:rFonts w:asciiTheme="majorBidi" w:hAnsiTheme="majorBidi" w:cstheme="majorBidi"/>
              </w:rPr>
              <w:t>Pamrevlumab</w:t>
            </w:r>
            <w:proofErr w:type="spellEnd"/>
          </w:p>
        </w:tc>
        <w:tc>
          <w:tcPr>
            <w:tcW w:w="2477" w:type="dxa"/>
            <w:vAlign w:val="center"/>
          </w:tcPr>
          <w:p w14:paraId="632F5A5A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CTGF inhibitor</w:t>
            </w:r>
          </w:p>
        </w:tc>
        <w:tc>
          <w:tcPr>
            <w:tcW w:w="2258" w:type="dxa"/>
            <w:vAlign w:val="center"/>
          </w:tcPr>
          <w:p w14:paraId="2AAA2097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ZEPHYRUS I, II</w:t>
            </w:r>
          </w:p>
        </w:tc>
        <w:tc>
          <w:tcPr>
            <w:tcW w:w="2484" w:type="dxa"/>
            <w:vAlign w:val="center"/>
          </w:tcPr>
          <w:p w14:paraId="5BB0F7ED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Decrease in FVC decline, improvement in progression free survival.</w:t>
            </w:r>
          </w:p>
        </w:tc>
        <w:tc>
          <w:tcPr>
            <w:tcW w:w="2898" w:type="dxa"/>
            <w:vAlign w:val="center"/>
          </w:tcPr>
          <w:p w14:paraId="2F242C58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Headache, cough, breathlessness, URTI, bronchitis.</w:t>
            </w:r>
          </w:p>
        </w:tc>
      </w:tr>
      <w:tr w:rsidR="00BE4684" w:rsidRPr="008D567A" w14:paraId="34771C0C" w14:textId="77777777" w:rsidTr="006C2BC1">
        <w:trPr>
          <w:trHeight w:val="508"/>
        </w:trPr>
        <w:tc>
          <w:tcPr>
            <w:tcW w:w="1794" w:type="dxa"/>
            <w:gridSpan w:val="2"/>
            <w:vAlign w:val="center"/>
          </w:tcPr>
          <w:p w14:paraId="5BE272FE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Pentraxin-2</w:t>
            </w:r>
          </w:p>
        </w:tc>
        <w:tc>
          <w:tcPr>
            <w:tcW w:w="2477" w:type="dxa"/>
            <w:vAlign w:val="center"/>
          </w:tcPr>
          <w:p w14:paraId="19625CCF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Recombinant human pentraxin-2, has an activity on monocyte differentiation</w:t>
            </w:r>
          </w:p>
        </w:tc>
        <w:tc>
          <w:tcPr>
            <w:tcW w:w="2258" w:type="dxa"/>
            <w:vAlign w:val="center"/>
          </w:tcPr>
          <w:p w14:paraId="6D8F1F34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STARSCAPE-OLE</w:t>
            </w:r>
          </w:p>
        </w:tc>
        <w:tc>
          <w:tcPr>
            <w:tcW w:w="2484" w:type="dxa"/>
            <w:vAlign w:val="center"/>
          </w:tcPr>
          <w:p w14:paraId="26ACFBF6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Owing of futility, stopped.</w:t>
            </w:r>
          </w:p>
        </w:tc>
        <w:tc>
          <w:tcPr>
            <w:tcW w:w="2898" w:type="dxa"/>
            <w:vAlign w:val="center"/>
          </w:tcPr>
          <w:p w14:paraId="554ADFC3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 xml:space="preserve">Cough, </w:t>
            </w:r>
            <w:proofErr w:type="spellStart"/>
            <w:r w:rsidRPr="008D567A">
              <w:rPr>
                <w:rFonts w:asciiTheme="majorBidi" w:hAnsiTheme="majorBidi" w:cstheme="majorBidi"/>
              </w:rPr>
              <w:t>nasopharyingitis</w:t>
            </w:r>
            <w:proofErr w:type="spellEnd"/>
            <w:r w:rsidRPr="008D567A">
              <w:rPr>
                <w:rFonts w:asciiTheme="majorBidi" w:hAnsiTheme="majorBidi" w:cstheme="majorBidi"/>
              </w:rPr>
              <w:t>, fatigue.</w:t>
            </w:r>
          </w:p>
        </w:tc>
      </w:tr>
      <w:tr w:rsidR="00BE4684" w:rsidRPr="008D567A" w14:paraId="565B5371" w14:textId="77777777" w:rsidTr="006C2BC1">
        <w:trPr>
          <w:trHeight w:val="508"/>
        </w:trPr>
        <w:tc>
          <w:tcPr>
            <w:tcW w:w="1794" w:type="dxa"/>
            <w:gridSpan w:val="2"/>
            <w:vAlign w:val="center"/>
          </w:tcPr>
          <w:p w14:paraId="587BDAE4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BI 1015550</w:t>
            </w:r>
          </w:p>
        </w:tc>
        <w:tc>
          <w:tcPr>
            <w:tcW w:w="2477" w:type="dxa"/>
            <w:vAlign w:val="center"/>
          </w:tcPr>
          <w:p w14:paraId="22893133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phosphodiesterase 4B (PDE4B) inhibitor</w:t>
            </w:r>
          </w:p>
        </w:tc>
        <w:tc>
          <w:tcPr>
            <w:tcW w:w="2258" w:type="dxa"/>
            <w:vAlign w:val="center"/>
          </w:tcPr>
          <w:p w14:paraId="0431393D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PRAISE</w:t>
            </w:r>
          </w:p>
        </w:tc>
        <w:tc>
          <w:tcPr>
            <w:tcW w:w="2484" w:type="dxa"/>
            <w:vAlign w:val="center"/>
          </w:tcPr>
          <w:p w14:paraId="6F6D861D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Reduction in FVC decline with/without antifibrotic therapy.</w:t>
            </w:r>
          </w:p>
        </w:tc>
        <w:tc>
          <w:tcPr>
            <w:tcW w:w="2898" w:type="dxa"/>
            <w:vAlign w:val="center"/>
          </w:tcPr>
          <w:p w14:paraId="57BF0623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Mild diarrhea.</w:t>
            </w:r>
          </w:p>
        </w:tc>
      </w:tr>
      <w:tr w:rsidR="00BE4684" w:rsidRPr="008D567A" w14:paraId="45C766AE" w14:textId="77777777" w:rsidTr="006C2BC1">
        <w:trPr>
          <w:trHeight w:val="480"/>
        </w:trPr>
        <w:tc>
          <w:tcPr>
            <w:tcW w:w="1794" w:type="dxa"/>
            <w:gridSpan w:val="2"/>
            <w:vAlign w:val="center"/>
          </w:tcPr>
          <w:p w14:paraId="089CF104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8D567A">
              <w:rPr>
                <w:rFonts w:asciiTheme="majorBidi" w:hAnsiTheme="majorBidi" w:cstheme="majorBidi"/>
              </w:rPr>
              <w:t>Ziritaxestat</w:t>
            </w:r>
            <w:proofErr w:type="spellEnd"/>
          </w:p>
        </w:tc>
        <w:tc>
          <w:tcPr>
            <w:tcW w:w="2477" w:type="dxa"/>
            <w:vAlign w:val="center"/>
          </w:tcPr>
          <w:p w14:paraId="07D6ED90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 xml:space="preserve">selective </w:t>
            </w:r>
            <w:proofErr w:type="spellStart"/>
            <w:r w:rsidRPr="008D567A">
              <w:rPr>
                <w:rFonts w:asciiTheme="majorBidi" w:hAnsiTheme="majorBidi" w:cstheme="majorBidi"/>
              </w:rPr>
              <w:t>autotaxin</w:t>
            </w:r>
            <w:proofErr w:type="spellEnd"/>
            <w:r w:rsidRPr="008D567A">
              <w:rPr>
                <w:rFonts w:asciiTheme="majorBidi" w:hAnsiTheme="majorBidi" w:cstheme="majorBidi"/>
              </w:rPr>
              <w:t xml:space="preserve"> inhibitor</w:t>
            </w:r>
          </w:p>
        </w:tc>
        <w:tc>
          <w:tcPr>
            <w:tcW w:w="2258" w:type="dxa"/>
            <w:vAlign w:val="center"/>
          </w:tcPr>
          <w:p w14:paraId="5B646F40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ISABELA 1, 2</w:t>
            </w:r>
          </w:p>
        </w:tc>
        <w:tc>
          <w:tcPr>
            <w:tcW w:w="2484" w:type="dxa"/>
            <w:vAlign w:val="center"/>
          </w:tcPr>
          <w:p w14:paraId="370CBE18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Annual rate in FVC decline, but stopped due to concerning safety.</w:t>
            </w:r>
          </w:p>
        </w:tc>
        <w:tc>
          <w:tcPr>
            <w:tcW w:w="2898" w:type="dxa"/>
            <w:vAlign w:val="center"/>
          </w:tcPr>
          <w:p w14:paraId="7EE5825F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Lower respiratory tract infections.</w:t>
            </w:r>
          </w:p>
        </w:tc>
      </w:tr>
      <w:tr w:rsidR="00BE4684" w:rsidRPr="008D567A" w14:paraId="07699608" w14:textId="77777777" w:rsidTr="006C2BC1">
        <w:trPr>
          <w:trHeight w:val="508"/>
        </w:trPr>
        <w:tc>
          <w:tcPr>
            <w:tcW w:w="1794" w:type="dxa"/>
            <w:gridSpan w:val="2"/>
            <w:vAlign w:val="center"/>
          </w:tcPr>
          <w:p w14:paraId="0DBAF7E8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PBI-4050</w:t>
            </w:r>
          </w:p>
        </w:tc>
        <w:tc>
          <w:tcPr>
            <w:tcW w:w="2477" w:type="dxa"/>
            <w:vAlign w:val="center"/>
          </w:tcPr>
          <w:p w14:paraId="58C538D3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interacting with GPR40 and GPR84 (activation and suppression respectively)</w:t>
            </w:r>
          </w:p>
        </w:tc>
        <w:tc>
          <w:tcPr>
            <w:tcW w:w="2258" w:type="dxa"/>
            <w:vAlign w:val="center"/>
          </w:tcPr>
          <w:p w14:paraId="2121E3AD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NCT02538536</w:t>
            </w:r>
          </w:p>
          <w:p w14:paraId="2C282257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484" w:type="dxa"/>
            <w:vAlign w:val="center"/>
          </w:tcPr>
          <w:p w14:paraId="1ABA29D1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Reduced histological lesions presented as change in lung architecture, thickness of the alveolar wall and fibrosis.</w:t>
            </w:r>
          </w:p>
        </w:tc>
        <w:tc>
          <w:tcPr>
            <w:tcW w:w="2898" w:type="dxa"/>
            <w:vAlign w:val="center"/>
          </w:tcPr>
          <w:p w14:paraId="72E2F1F7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Mild diarrhea, headache and nausea.</w:t>
            </w:r>
          </w:p>
        </w:tc>
      </w:tr>
      <w:tr w:rsidR="00BE4684" w:rsidRPr="008D567A" w14:paraId="6B970D24" w14:textId="77777777" w:rsidTr="006C2BC1">
        <w:trPr>
          <w:trHeight w:val="480"/>
        </w:trPr>
        <w:tc>
          <w:tcPr>
            <w:tcW w:w="1794" w:type="dxa"/>
            <w:gridSpan w:val="2"/>
            <w:vAlign w:val="center"/>
          </w:tcPr>
          <w:p w14:paraId="78AD69C6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Bexotegrast</w:t>
            </w:r>
          </w:p>
        </w:tc>
        <w:tc>
          <w:tcPr>
            <w:tcW w:w="2477" w:type="dxa"/>
            <w:vAlign w:val="center"/>
          </w:tcPr>
          <w:p w14:paraId="2FBFCBF7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inhibitor of integrins v6 and v1</w:t>
            </w:r>
          </w:p>
        </w:tc>
        <w:tc>
          <w:tcPr>
            <w:tcW w:w="2258" w:type="dxa"/>
            <w:vAlign w:val="center"/>
          </w:tcPr>
          <w:p w14:paraId="6C008018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INTEGRIS-IPF</w:t>
            </w:r>
          </w:p>
        </w:tc>
        <w:tc>
          <w:tcPr>
            <w:tcW w:w="2484" w:type="dxa"/>
            <w:vAlign w:val="center"/>
          </w:tcPr>
          <w:p w14:paraId="6A3F0FDA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Excellent safety profile Less progress was supported by exploratory analysis.</w:t>
            </w:r>
          </w:p>
        </w:tc>
        <w:tc>
          <w:tcPr>
            <w:tcW w:w="2898" w:type="dxa"/>
            <w:vAlign w:val="center"/>
          </w:tcPr>
          <w:p w14:paraId="10501735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Mild diarrhea.</w:t>
            </w:r>
          </w:p>
        </w:tc>
      </w:tr>
      <w:tr w:rsidR="00BE4684" w:rsidRPr="008D567A" w14:paraId="53A42486" w14:textId="77777777" w:rsidTr="006C2BC1">
        <w:trPr>
          <w:trHeight w:val="508"/>
        </w:trPr>
        <w:tc>
          <w:tcPr>
            <w:tcW w:w="1794" w:type="dxa"/>
            <w:gridSpan w:val="2"/>
            <w:vAlign w:val="center"/>
          </w:tcPr>
          <w:p w14:paraId="1CE00375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BMS-986020/ BMS-986278</w:t>
            </w:r>
          </w:p>
        </w:tc>
        <w:tc>
          <w:tcPr>
            <w:tcW w:w="2477" w:type="dxa"/>
            <w:vAlign w:val="center"/>
          </w:tcPr>
          <w:p w14:paraId="58F17033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LPA1 antagonists</w:t>
            </w:r>
          </w:p>
        </w:tc>
        <w:tc>
          <w:tcPr>
            <w:tcW w:w="2258" w:type="dxa"/>
            <w:vAlign w:val="center"/>
          </w:tcPr>
          <w:p w14:paraId="416A466B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NCT04308681</w:t>
            </w:r>
          </w:p>
        </w:tc>
        <w:tc>
          <w:tcPr>
            <w:tcW w:w="2484" w:type="dxa"/>
            <w:vAlign w:val="center"/>
          </w:tcPr>
          <w:p w14:paraId="251C544F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Change in percent predicted (</w:t>
            </w:r>
            <w:proofErr w:type="spellStart"/>
            <w:r w:rsidRPr="008D567A">
              <w:rPr>
                <w:rFonts w:asciiTheme="majorBidi" w:hAnsiTheme="majorBidi" w:cstheme="majorBidi"/>
              </w:rPr>
              <w:t>ppFVC</w:t>
            </w:r>
            <w:proofErr w:type="spellEnd"/>
            <w:r w:rsidRPr="008D567A">
              <w:rPr>
                <w:rFonts w:asciiTheme="majorBidi" w:hAnsiTheme="majorBidi" w:cstheme="majorBidi"/>
              </w:rPr>
              <w:t>).</w:t>
            </w:r>
          </w:p>
        </w:tc>
        <w:tc>
          <w:tcPr>
            <w:tcW w:w="2898" w:type="dxa"/>
            <w:vAlign w:val="center"/>
          </w:tcPr>
          <w:p w14:paraId="4ADB2195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Hepatobiliary toxicity in BMS-986020.</w:t>
            </w:r>
          </w:p>
        </w:tc>
      </w:tr>
      <w:tr w:rsidR="00BE4684" w:rsidRPr="008D567A" w14:paraId="53A42D2E" w14:textId="77777777" w:rsidTr="006C2BC1">
        <w:trPr>
          <w:trHeight w:val="480"/>
        </w:trPr>
        <w:tc>
          <w:tcPr>
            <w:tcW w:w="1794" w:type="dxa"/>
            <w:gridSpan w:val="2"/>
            <w:vAlign w:val="center"/>
          </w:tcPr>
          <w:p w14:paraId="5B1A08E3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TD 139</w:t>
            </w:r>
          </w:p>
        </w:tc>
        <w:tc>
          <w:tcPr>
            <w:tcW w:w="2477" w:type="dxa"/>
            <w:vAlign w:val="center"/>
          </w:tcPr>
          <w:p w14:paraId="10D3CF00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Gal-3 inhibitor</w:t>
            </w:r>
          </w:p>
        </w:tc>
        <w:tc>
          <w:tcPr>
            <w:tcW w:w="2258" w:type="dxa"/>
            <w:vAlign w:val="center"/>
          </w:tcPr>
          <w:p w14:paraId="28B8E102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NCT02257177</w:t>
            </w:r>
          </w:p>
        </w:tc>
        <w:tc>
          <w:tcPr>
            <w:tcW w:w="2484" w:type="dxa"/>
            <w:vAlign w:val="center"/>
          </w:tcPr>
          <w:p w14:paraId="579CD16F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Slower decline in FVC.</w:t>
            </w:r>
          </w:p>
        </w:tc>
        <w:tc>
          <w:tcPr>
            <w:tcW w:w="2898" w:type="dxa"/>
            <w:vAlign w:val="center"/>
          </w:tcPr>
          <w:p w14:paraId="361B62A5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Taste disturbance and cough.</w:t>
            </w:r>
          </w:p>
        </w:tc>
      </w:tr>
      <w:tr w:rsidR="00BE4684" w:rsidRPr="008D567A" w14:paraId="0C4FFF8B" w14:textId="77777777" w:rsidTr="006C2BC1">
        <w:trPr>
          <w:trHeight w:val="508"/>
        </w:trPr>
        <w:tc>
          <w:tcPr>
            <w:tcW w:w="1794" w:type="dxa"/>
            <w:gridSpan w:val="2"/>
            <w:vAlign w:val="center"/>
          </w:tcPr>
          <w:p w14:paraId="5C66245C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8D567A">
              <w:rPr>
                <w:rFonts w:asciiTheme="majorBidi" w:hAnsiTheme="majorBidi" w:cstheme="majorBidi"/>
              </w:rPr>
              <w:lastRenderedPageBreak/>
              <w:t>Dasatinib</w:t>
            </w:r>
            <w:proofErr w:type="spellEnd"/>
            <w:r w:rsidRPr="008D567A">
              <w:rPr>
                <w:rFonts w:asciiTheme="majorBidi" w:hAnsiTheme="majorBidi" w:cstheme="majorBidi"/>
              </w:rPr>
              <w:t xml:space="preserve"> (D) and Quercetin (Q)</w:t>
            </w:r>
          </w:p>
        </w:tc>
        <w:tc>
          <w:tcPr>
            <w:tcW w:w="2477" w:type="dxa"/>
            <w:vAlign w:val="center"/>
          </w:tcPr>
          <w:p w14:paraId="558DD7C7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Senescent cell anti-apoptotic pathways (SCAPs) inhibitors</w:t>
            </w:r>
          </w:p>
        </w:tc>
        <w:tc>
          <w:tcPr>
            <w:tcW w:w="2258" w:type="dxa"/>
            <w:vAlign w:val="center"/>
          </w:tcPr>
          <w:p w14:paraId="3D9BDEE2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NCT02874989</w:t>
            </w:r>
          </w:p>
        </w:tc>
        <w:tc>
          <w:tcPr>
            <w:tcW w:w="2484" w:type="dxa"/>
            <w:vAlign w:val="center"/>
          </w:tcPr>
          <w:p w14:paraId="1FC26C08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Improved lung function and exercise capacity.</w:t>
            </w:r>
          </w:p>
        </w:tc>
        <w:tc>
          <w:tcPr>
            <w:tcW w:w="2898" w:type="dxa"/>
            <w:vAlign w:val="center"/>
          </w:tcPr>
          <w:p w14:paraId="00B71FEA" w14:textId="77777777" w:rsidR="00BE4684" w:rsidRPr="008D567A" w:rsidRDefault="00BE4684" w:rsidP="006C2BC1">
            <w:pPr>
              <w:jc w:val="center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Nausea, weakness, headache, sleep disturbance, and sepsis in patients with chronic cholelithiasis.</w:t>
            </w:r>
          </w:p>
        </w:tc>
      </w:tr>
    </w:tbl>
    <w:p w14:paraId="6E8D2C52" w14:textId="77777777" w:rsidR="00BE4684" w:rsidRPr="008D567A" w:rsidRDefault="00BE4684" w:rsidP="00BE4684">
      <w:pPr>
        <w:rPr>
          <w:rFonts w:asciiTheme="majorBidi" w:hAnsiTheme="majorBidi" w:cstheme="majorBidi"/>
          <w:i/>
          <w:color w:val="333333"/>
          <w:sz w:val="20"/>
          <w:szCs w:val="20"/>
        </w:rPr>
      </w:pPr>
      <w:r w:rsidRPr="008D567A">
        <w:rPr>
          <w:rFonts w:asciiTheme="majorBidi" w:hAnsiTheme="majorBidi" w:cstheme="majorBidi"/>
          <w:i/>
          <w:color w:val="333333"/>
          <w:sz w:val="20"/>
          <w:szCs w:val="20"/>
        </w:rPr>
        <w:t>TGF-</w:t>
      </w:r>
      <w:r w:rsidRPr="008D567A">
        <w:rPr>
          <w:rFonts w:ascii="Cambria Math" w:eastAsia="Cambria Math" w:hAnsi="Cambria Math" w:cs="Cambria Math"/>
          <w:i/>
          <w:color w:val="333333"/>
          <w:sz w:val="20"/>
          <w:szCs w:val="20"/>
        </w:rPr>
        <w:t>𝛃</w:t>
      </w:r>
      <w:r w:rsidRPr="008D567A">
        <w:rPr>
          <w:rFonts w:asciiTheme="majorBidi" w:hAnsiTheme="majorBidi" w:cstheme="majorBidi"/>
          <w:i/>
          <w:color w:val="333333"/>
          <w:sz w:val="20"/>
          <w:szCs w:val="20"/>
        </w:rPr>
        <w:t>; Transforming Growth Factor-beta, CTGF inhibitor; Connective Tissue Growth Factor inhibitor, GPR40; G-protein-coupled receptor 40, GPR84; G-protein-coupled receptor 84, LPA1 antagonists; Lysophosphatidic Acid 1 Antagonists.</w:t>
      </w:r>
    </w:p>
    <w:p w14:paraId="6E8BF3BB" w14:textId="77777777" w:rsidR="00F73730" w:rsidRDefault="00F73730">
      <w:bookmarkStart w:id="1" w:name="_GoBack"/>
      <w:bookmarkEnd w:id="1"/>
    </w:p>
    <w:sectPr w:rsidR="00F737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684"/>
    <w:rsid w:val="00BE4684"/>
    <w:rsid w:val="00F7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A031F"/>
  <w15:chartTrackingRefBased/>
  <w15:docId w15:val="{AF3E387C-7DB6-46BC-8001-D53455067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684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mohammed.diaa1800e@kmc.uobaghdad.edu.iq</dc:creator>
  <cp:keywords/>
  <dc:description/>
  <cp:lastModifiedBy>mohammed.diaa1800e@kmc.uobaghdad.edu.iq</cp:lastModifiedBy>
  <cp:revision>1</cp:revision>
  <dcterms:created xsi:type="dcterms:W3CDTF">2023-07-09T21:44:00Z</dcterms:created>
  <dcterms:modified xsi:type="dcterms:W3CDTF">2023-07-09T21:45:00Z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2a60c889-2ebf-4c3d-9555-82d11dc01991</vt:lpwstr>
  </property>
</Properties>
</file>