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B5E1C" w14:textId="77777777" w:rsidR="00FD7AAB" w:rsidRPr="007258AD" w:rsidRDefault="00684A1E" w:rsidP="007258AD">
      <w:pPr>
        <w:pStyle w:val="BodyA"/>
        <w:spacing w:line="360" w:lineRule="auto"/>
        <w:rPr>
          <w:rFonts w:cs="Calibri"/>
          <w:u w:val="single"/>
          <w:lang w:val="en-GB"/>
        </w:rPr>
      </w:pPr>
      <w:r w:rsidRPr="007258AD">
        <w:rPr>
          <w:rFonts w:cs="Calibri"/>
          <w:u w:val="single"/>
          <w:lang w:val="en-GB"/>
        </w:rPr>
        <w:t xml:space="preserve">Title: </w:t>
      </w:r>
    </w:p>
    <w:p w14:paraId="28C65322" w14:textId="414F3412" w:rsidR="00FD7AAB" w:rsidRPr="007258AD" w:rsidRDefault="00684A1E" w:rsidP="007258AD">
      <w:pPr>
        <w:pStyle w:val="BodyA"/>
        <w:spacing w:line="360" w:lineRule="auto"/>
        <w:rPr>
          <w:rFonts w:cs="Calibri"/>
          <w:lang w:val="en-GB"/>
        </w:rPr>
      </w:pPr>
      <w:r w:rsidRPr="007258AD">
        <w:rPr>
          <w:rFonts w:cs="Calibri"/>
          <w:lang w:val="en-GB"/>
        </w:rPr>
        <w:t>Polyethylene glycol hypersensitivity, patient outcomes in a seven year retrospective study</w:t>
      </w:r>
      <w:r w:rsidR="00F57CFA" w:rsidRPr="007258AD">
        <w:rPr>
          <w:rFonts w:cs="Calibri"/>
          <w:lang w:val="en-GB"/>
        </w:rPr>
        <w:t>.</w:t>
      </w:r>
    </w:p>
    <w:p w14:paraId="64C74A2F" w14:textId="51657245" w:rsidR="00F86035" w:rsidRPr="007258AD" w:rsidRDefault="00F86035" w:rsidP="007258AD">
      <w:pPr>
        <w:pStyle w:val="BodyA"/>
        <w:spacing w:line="360" w:lineRule="auto"/>
        <w:rPr>
          <w:rFonts w:cs="Calibri"/>
          <w:u w:val="single"/>
          <w:lang w:val="en-GB"/>
        </w:rPr>
      </w:pPr>
      <w:r w:rsidRPr="007258AD">
        <w:rPr>
          <w:rFonts w:cs="Calibri"/>
          <w:u w:val="single"/>
          <w:lang w:val="en-GB"/>
        </w:rPr>
        <w:t>Short title:</w:t>
      </w:r>
    </w:p>
    <w:p w14:paraId="7B3C4F34" w14:textId="2A741FD1" w:rsidR="00F86035" w:rsidRPr="007258AD" w:rsidRDefault="00F86035" w:rsidP="007258AD">
      <w:pPr>
        <w:pStyle w:val="BodyA"/>
        <w:spacing w:line="360" w:lineRule="auto"/>
        <w:rPr>
          <w:rFonts w:cs="Calibri"/>
          <w:u w:val="single"/>
          <w:lang w:val="en-GB"/>
        </w:rPr>
      </w:pPr>
      <w:r w:rsidRPr="007258AD">
        <w:rPr>
          <w:rFonts w:cs="Calibri"/>
          <w:lang w:val="en-GB"/>
        </w:rPr>
        <w:t>PEG hypersensitivity: insights and outcomes.</w:t>
      </w:r>
    </w:p>
    <w:p w14:paraId="5B6FF599" w14:textId="40284AB8" w:rsidR="00FD7AAB" w:rsidRPr="007258AD" w:rsidRDefault="00684A1E" w:rsidP="007258AD">
      <w:pPr>
        <w:pStyle w:val="BodyA"/>
        <w:spacing w:line="360" w:lineRule="auto"/>
        <w:rPr>
          <w:rFonts w:cs="Calibri"/>
          <w:u w:val="single"/>
          <w:lang w:val="en-GB"/>
        </w:rPr>
      </w:pPr>
      <w:r w:rsidRPr="007258AD">
        <w:rPr>
          <w:rFonts w:cs="Calibri"/>
          <w:u w:val="single"/>
          <w:lang w:val="en-GB"/>
        </w:rPr>
        <w:t>Authors:</w:t>
      </w:r>
    </w:p>
    <w:p w14:paraId="712DDBE6" w14:textId="099B7C44" w:rsidR="00FD7AAB" w:rsidRPr="007258AD" w:rsidRDefault="00684A1E" w:rsidP="007258AD">
      <w:pPr>
        <w:pStyle w:val="BodyA"/>
        <w:spacing w:line="360" w:lineRule="auto"/>
        <w:rPr>
          <w:rFonts w:cs="Calibri"/>
          <w:vertAlign w:val="superscript"/>
          <w:lang w:val="en-GB"/>
        </w:rPr>
      </w:pPr>
      <w:bookmarkStart w:id="0" w:name="_Hlk157002568"/>
      <w:r w:rsidRPr="007258AD">
        <w:rPr>
          <w:rFonts w:cs="Calibri"/>
          <w:lang w:val="en-GB"/>
        </w:rPr>
        <w:t>Oyindamola Stephanie Kayode</w:t>
      </w:r>
      <w:r w:rsidR="007A26F8" w:rsidRPr="007258AD">
        <w:rPr>
          <w:rFonts w:cs="Calibri"/>
          <w:lang w:val="en-GB"/>
        </w:rPr>
        <w:t xml:space="preserve"> MD</w:t>
      </w:r>
      <w:r w:rsidRPr="007258AD">
        <w:rPr>
          <w:rFonts w:cs="Calibri"/>
          <w:vertAlign w:val="superscript"/>
          <w:lang w:val="en-GB"/>
        </w:rPr>
        <w:t>1</w:t>
      </w:r>
      <w:r w:rsidRPr="007258AD">
        <w:rPr>
          <w:rFonts w:cs="Calibri"/>
          <w:lang w:val="en-GB"/>
        </w:rPr>
        <w:t xml:space="preserve">, </w:t>
      </w:r>
      <w:proofErr w:type="spellStart"/>
      <w:r w:rsidRPr="007258AD">
        <w:rPr>
          <w:rFonts w:cs="Calibri"/>
          <w:lang w:val="en-GB"/>
        </w:rPr>
        <w:t>Alla</w:t>
      </w:r>
      <w:proofErr w:type="spellEnd"/>
      <w:r w:rsidRPr="007258AD">
        <w:rPr>
          <w:rFonts w:cs="Calibri"/>
          <w:lang w:val="en-GB"/>
        </w:rPr>
        <w:t xml:space="preserve"> </w:t>
      </w:r>
      <w:proofErr w:type="spellStart"/>
      <w:r w:rsidRPr="007258AD">
        <w:rPr>
          <w:rFonts w:cs="Calibri"/>
          <w:lang w:val="en-GB"/>
        </w:rPr>
        <w:t>Nakonechna</w:t>
      </w:r>
      <w:proofErr w:type="spellEnd"/>
      <w:r w:rsidR="007A26F8" w:rsidRPr="007258AD">
        <w:rPr>
          <w:rFonts w:cs="Calibri"/>
          <w:lang w:val="en-GB"/>
        </w:rPr>
        <w:t xml:space="preserve"> MD, PhD</w:t>
      </w:r>
      <w:r w:rsidRPr="007258AD">
        <w:rPr>
          <w:rFonts w:cs="Calibri"/>
          <w:vertAlign w:val="superscript"/>
          <w:lang w:val="en-GB"/>
        </w:rPr>
        <w:t>2,3</w:t>
      </w:r>
      <w:r w:rsidRPr="007258AD">
        <w:rPr>
          <w:rFonts w:cs="Calibri"/>
          <w:lang w:val="en-GB"/>
        </w:rPr>
        <w:t xml:space="preserve">, Leonard </w:t>
      </w:r>
      <w:proofErr w:type="spellStart"/>
      <w:r w:rsidRPr="007258AD">
        <w:rPr>
          <w:rFonts w:cs="Calibri"/>
          <w:lang w:val="en-GB"/>
        </w:rPr>
        <w:t>Quok</w:t>
      </w:r>
      <w:proofErr w:type="spellEnd"/>
      <w:r w:rsidRPr="007258AD">
        <w:rPr>
          <w:rFonts w:cs="Calibri"/>
          <w:lang w:val="en-GB"/>
        </w:rPr>
        <w:t xml:space="preserve"> Chean Siew</w:t>
      </w:r>
      <w:r w:rsidR="007A26F8" w:rsidRPr="007258AD">
        <w:rPr>
          <w:rFonts w:cs="Calibri"/>
          <w:lang w:val="en-GB"/>
        </w:rPr>
        <w:t xml:space="preserve"> MD, PhD</w:t>
      </w:r>
      <w:r w:rsidRPr="007258AD">
        <w:rPr>
          <w:rFonts w:cs="Calibri"/>
          <w:vertAlign w:val="superscript"/>
          <w:lang w:val="en-GB"/>
        </w:rPr>
        <w:t>1, 4</w:t>
      </w:r>
      <w:r w:rsidRPr="007258AD">
        <w:rPr>
          <w:rFonts w:cs="Calibri"/>
          <w:lang w:val="en-GB"/>
        </w:rPr>
        <w:t>, Magdalena Dziadzio</w:t>
      </w:r>
      <w:r w:rsidR="007A26F8" w:rsidRPr="007258AD">
        <w:rPr>
          <w:rFonts w:cs="Calibri"/>
          <w:lang w:val="en-GB"/>
        </w:rPr>
        <w:t xml:space="preserve"> MD</w:t>
      </w:r>
      <w:r w:rsidRPr="007258AD">
        <w:rPr>
          <w:rFonts w:cs="Calibri"/>
          <w:vertAlign w:val="superscript"/>
          <w:lang w:val="en-GB"/>
        </w:rPr>
        <w:t>5,6,</w:t>
      </w:r>
      <w:r w:rsidRPr="007258AD">
        <w:rPr>
          <w:rFonts w:cs="Calibri"/>
          <w:lang w:val="en-GB"/>
        </w:rPr>
        <w:t>, Lucinda Kennard</w:t>
      </w:r>
      <w:r w:rsidR="007A26F8" w:rsidRPr="007258AD">
        <w:rPr>
          <w:rFonts w:cs="Calibri"/>
          <w:lang w:val="en-GB"/>
        </w:rPr>
        <w:t xml:space="preserve"> MD, MPhil</w:t>
      </w:r>
      <w:r w:rsidRPr="007258AD">
        <w:rPr>
          <w:rFonts w:cs="Calibri"/>
          <w:vertAlign w:val="superscript"/>
          <w:lang w:val="en-GB"/>
        </w:rPr>
        <w:t>1</w:t>
      </w:r>
      <w:r w:rsidRPr="007258AD">
        <w:rPr>
          <w:rFonts w:cs="Calibri"/>
          <w:lang w:val="en-GB"/>
        </w:rPr>
        <w:t>, Krzysztof Rutkowski</w:t>
      </w:r>
      <w:r w:rsidR="007A26F8" w:rsidRPr="007258AD">
        <w:rPr>
          <w:rFonts w:cs="Calibri"/>
          <w:lang w:val="en-GB"/>
        </w:rPr>
        <w:t xml:space="preserve"> MD</w:t>
      </w:r>
      <w:r w:rsidRPr="007258AD">
        <w:rPr>
          <w:rFonts w:cs="Calibri"/>
          <w:vertAlign w:val="superscript"/>
          <w:lang w:val="en-GB"/>
        </w:rPr>
        <w:t>1</w:t>
      </w:r>
      <w:r w:rsidRPr="007258AD">
        <w:rPr>
          <w:rFonts w:cs="Calibri"/>
          <w:lang w:val="en-GB"/>
        </w:rPr>
        <w:t>, Rita Mirakian</w:t>
      </w:r>
      <w:r w:rsidR="007A26F8" w:rsidRPr="007258AD">
        <w:rPr>
          <w:rFonts w:cs="Calibri"/>
          <w:lang w:val="en-GB"/>
        </w:rPr>
        <w:t xml:space="preserve"> MD</w:t>
      </w:r>
      <w:r w:rsidRPr="007258AD">
        <w:rPr>
          <w:rFonts w:cs="Calibri"/>
          <w:vertAlign w:val="superscript"/>
          <w:lang w:val="en-GB"/>
        </w:rPr>
        <w:t xml:space="preserve"> 7</w:t>
      </w:r>
      <w:r w:rsidRPr="007258AD">
        <w:rPr>
          <w:rFonts w:cs="Calibri"/>
          <w:lang w:val="en-GB"/>
        </w:rPr>
        <w:t>, Annette Wagner</w:t>
      </w:r>
      <w:r w:rsidR="007A26F8" w:rsidRPr="007258AD">
        <w:rPr>
          <w:rFonts w:cs="Calibri"/>
          <w:lang w:val="en-GB"/>
        </w:rPr>
        <w:t xml:space="preserve"> MD</w:t>
      </w:r>
      <w:r w:rsidRPr="007258AD">
        <w:rPr>
          <w:rFonts w:cs="Calibri"/>
          <w:vertAlign w:val="superscript"/>
          <w:lang w:val="en-GB"/>
        </w:rPr>
        <w:t>1</w:t>
      </w:r>
    </w:p>
    <w:bookmarkEnd w:id="0"/>
    <w:p w14:paraId="075A0749" w14:textId="77777777" w:rsidR="00FD7AAB" w:rsidRPr="007258AD" w:rsidRDefault="00684A1E" w:rsidP="007258AD">
      <w:pPr>
        <w:pStyle w:val="ListParagraph"/>
        <w:numPr>
          <w:ilvl w:val="0"/>
          <w:numId w:val="2"/>
        </w:numPr>
        <w:spacing w:line="360" w:lineRule="auto"/>
        <w:rPr>
          <w:rFonts w:cs="Calibri"/>
          <w:lang w:val="en-GB"/>
        </w:rPr>
      </w:pPr>
      <w:r w:rsidRPr="007258AD">
        <w:rPr>
          <w:rFonts w:cs="Calibri"/>
          <w:lang w:val="en-GB"/>
        </w:rPr>
        <w:t>Department of Adult Allergy, Guy’s and St Thomas’ NHS Foundation Trust, Guy’s Hospital, London, UK</w:t>
      </w:r>
    </w:p>
    <w:p w14:paraId="23D63165" w14:textId="77777777" w:rsidR="00FD7AAB" w:rsidRPr="007258AD" w:rsidRDefault="00684A1E" w:rsidP="007258AD">
      <w:pPr>
        <w:pStyle w:val="ListParagraph"/>
        <w:numPr>
          <w:ilvl w:val="0"/>
          <w:numId w:val="2"/>
        </w:numPr>
        <w:spacing w:line="360" w:lineRule="auto"/>
        <w:rPr>
          <w:rFonts w:cs="Calibri"/>
          <w:lang w:val="en-GB"/>
        </w:rPr>
      </w:pPr>
      <w:r w:rsidRPr="007258AD">
        <w:rPr>
          <w:rFonts w:cs="Calibri"/>
          <w:lang w:val="en-GB"/>
        </w:rPr>
        <w:t>University of Liverpool, Liverpool, UK</w:t>
      </w:r>
    </w:p>
    <w:p w14:paraId="6B31BA2B" w14:textId="77777777" w:rsidR="00FD7AAB" w:rsidRPr="007258AD" w:rsidRDefault="00684A1E" w:rsidP="007258AD">
      <w:pPr>
        <w:pStyle w:val="ListParagraph"/>
        <w:numPr>
          <w:ilvl w:val="0"/>
          <w:numId w:val="2"/>
        </w:numPr>
        <w:spacing w:line="360" w:lineRule="auto"/>
        <w:rPr>
          <w:rFonts w:cs="Calibri"/>
          <w:lang w:val="en-GB"/>
        </w:rPr>
      </w:pPr>
      <w:r w:rsidRPr="007258AD">
        <w:rPr>
          <w:rFonts w:cs="Calibri"/>
          <w:lang w:val="en-GB"/>
        </w:rPr>
        <w:t>Allergy and Immunology Department, Hull University Hospitals, NHS Foundation Trust, Hull, UK</w:t>
      </w:r>
    </w:p>
    <w:p w14:paraId="6DBFF296" w14:textId="77777777" w:rsidR="00FD7AAB" w:rsidRPr="007258AD" w:rsidRDefault="00684A1E" w:rsidP="007258AD">
      <w:pPr>
        <w:pStyle w:val="ListParagraph"/>
        <w:numPr>
          <w:ilvl w:val="0"/>
          <w:numId w:val="2"/>
        </w:numPr>
        <w:spacing w:line="360" w:lineRule="auto"/>
        <w:rPr>
          <w:rFonts w:cs="Calibri"/>
          <w:lang w:val="en-GB"/>
        </w:rPr>
      </w:pPr>
      <w:r w:rsidRPr="007258AD">
        <w:rPr>
          <w:rFonts w:cs="Calibri"/>
          <w:lang w:val="en-GB"/>
        </w:rPr>
        <w:t>Peter Gorer Department of Immunobiology, Guy’s Hospital, King’s College London, London, UK</w:t>
      </w:r>
    </w:p>
    <w:p w14:paraId="77CA6524" w14:textId="77777777" w:rsidR="00FD7AAB" w:rsidRPr="007258AD" w:rsidRDefault="00684A1E" w:rsidP="007258AD">
      <w:pPr>
        <w:pStyle w:val="ListParagraph"/>
        <w:numPr>
          <w:ilvl w:val="0"/>
          <w:numId w:val="2"/>
        </w:numPr>
        <w:spacing w:line="360" w:lineRule="auto"/>
        <w:rPr>
          <w:rFonts w:cs="Calibri"/>
          <w:lang w:val="en-GB"/>
        </w:rPr>
      </w:pPr>
      <w:r w:rsidRPr="007258AD">
        <w:rPr>
          <w:rFonts w:cs="Calibri"/>
          <w:lang w:val="en-GB"/>
        </w:rPr>
        <w:t>Specialist Allergy and Clinical Immunology, Royal National ENT and Eastman Dental Hospitals, UCLH NHS Foundation Trust, London, UK</w:t>
      </w:r>
    </w:p>
    <w:p w14:paraId="2A9711A3" w14:textId="76F97F72" w:rsidR="00FD7AAB" w:rsidRPr="007258AD" w:rsidRDefault="00684A1E" w:rsidP="007258AD">
      <w:pPr>
        <w:pStyle w:val="ListParagraph"/>
        <w:numPr>
          <w:ilvl w:val="0"/>
          <w:numId w:val="2"/>
        </w:numPr>
        <w:spacing w:line="360" w:lineRule="auto"/>
        <w:rPr>
          <w:rFonts w:cs="Calibri"/>
          <w:lang w:val="en-GB"/>
        </w:rPr>
      </w:pPr>
      <w:r w:rsidRPr="007258AD">
        <w:rPr>
          <w:rFonts w:cs="Calibri"/>
          <w:lang w:val="en-GB"/>
        </w:rPr>
        <w:t>UCL Ear Institute, UCL, London, UK</w:t>
      </w:r>
    </w:p>
    <w:p w14:paraId="008C61ED" w14:textId="77777777" w:rsidR="00FD7AAB" w:rsidRPr="007258AD" w:rsidRDefault="00684A1E" w:rsidP="007258AD">
      <w:pPr>
        <w:pStyle w:val="ListParagraph"/>
        <w:numPr>
          <w:ilvl w:val="0"/>
          <w:numId w:val="2"/>
        </w:numPr>
        <w:spacing w:line="360" w:lineRule="auto"/>
        <w:rPr>
          <w:rFonts w:cs="Calibri"/>
          <w:lang w:val="en-GB"/>
        </w:rPr>
      </w:pPr>
      <w:r w:rsidRPr="007258AD">
        <w:rPr>
          <w:rFonts w:cs="Calibri"/>
          <w:lang w:val="en-GB"/>
        </w:rPr>
        <w:t>Department of Allergy, Addenbrooke’s Hospital, Cambridge University Hospitals NHS Foundation Trust, Hills Rd, Cambridge, UK</w:t>
      </w:r>
    </w:p>
    <w:p w14:paraId="24956E0E" w14:textId="77777777" w:rsidR="00FD7AAB" w:rsidRPr="007258AD" w:rsidRDefault="00FD7AAB" w:rsidP="007258AD">
      <w:pPr>
        <w:pStyle w:val="ListParagraph"/>
        <w:spacing w:line="360" w:lineRule="auto"/>
        <w:rPr>
          <w:rFonts w:cs="Calibri"/>
          <w:lang w:val="en-GB"/>
        </w:rPr>
      </w:pPr>
    </w:p>
    <w:p w14:paraId="13ABE854" w14:textId="77777777" w:rsidR="00FD7AAB" w:rsidRPr="007258AD" w:rsidRDefault="00684A1E" w:rsidP="007258AD">
      <w:pPr>
        <w:pStyle w:val="BodyA"/>
        <w:spacing w:line="360" w:lineRule="auto"/>
        <w:rPr>
          <w:rFonts w:cs="Calibri"/>
          <w:u w:val="single"/>
          <w:lang w:val="en-GB"/>
        </w:rPr>
      </w:pPr>
      <w:r w:rsidRPr="007258AD">
        <w:rPr>
          <w:rFonts w:cs="Calibri"/>
          <w:u w:val="single"/>
          <w:lang w:val="en-GB"/>
        </w:rPr>
        <w:t>Corresponding author:</w:t>
      </w:r>
    </w:p>
    <w:p w14:paraId="44FCAA4E" w14:textId="77777777" w:rsidR="00FD7AAB" w:rsidRPr="007258AD" w:rsidRDefault="00684A1E" w:rsidP="007258AD">
      <w:pPr>
        <w:pStyle w:val="BodyA"/>
        <w:spacing w:line="360" w:lineRule="auto"/>
        <w:rPr>
          <w:rFonts w:cs="Calibri"/>
          <w:lang w:val="en-GB"/>
        </w:rPr>
      </w:pPr>
      <w:r w:rsidRPr="007258AD">
        <w:rPr>
          <w:rFonts w:cs="Calibri"/>
          <w:lang w:val="en-GB"/>
        </w:rPr>
        <w:t>Dr OS Kayode</w:t>
      </w:r>
    </w:p>
    <w:p w14:paraId="2C1E54FB" w14:textId="77777777" w:rsidR="00FD7AAB" w:rsidRPr="007258AD" w:rsidRDefault="00684A1E" w:rsidP="007258AD">
      <w:pPr>
        <w:pStyle w:val="BodyA"/>
        <w:spacing w:line="360" w:lineRule="auto"/>
        <w:rPr>
          <w:rFonts w:cs="Calibri"/>
          <w:lang w:val="en-GB"/>
        </w:rPr>
      </w:pPr>
      <w:r w:rsidRPr="007258AD">
        <w:rPr>
          <w:rFonts w:cs="Calibri"/>
          <w:lang w:val="en-GB"/>
        </w:rPr>
        <w:t>Department of Adult Allergy</w:t>
      </w:r>
    </w:p>
    <w:p w14:paraId="22AEECDD" w14:textId="77777777" w:rsidR="00FD7AAB" w:rsidRPr="007258AD" w:rsidRDefault="00684A1E" w:rsidP="007258AD">
      <w:pPr>
        <w:pStyle w:val="BodyA"/>
        <w:spacing w:line="360" w:lineRule="auto"/>
        <w:rPr>
          <w:rFonts w:cs="Calibri"/>
          <w:lang w:val="en-GB"/>
        </w:rPr>
      </w:pPr>
      <w:r w:rsidRPr="007258AD">
        <w:rPr>
          <w:rFonts w:cs="Calibri"/>
          <w:lang w:val="en-GB"/>
        </w:rPr>
        <w:t>Guy</w:t>
      </w:r>
      <w:r w:rsidRPr="007258AD">
        <w:rPr>
          <w:rFonts w:cs="Calibri"/>
          <w:rtl/>
          <w:lang w:val="en-GB"/>
        </w:rPr>
        <w:t>’</w:t>
      </w:r>
      <w:r w:rsidRPr="007258AD">
        <w:rPr>
          <w:rFonts w:cs="Calibri"/>
          <w:lang w:val="en-GB"/>
        </w:rPr>
        <w:t>s Hospital</w:t>
      </w:r>
    </w:p>
    <w:p w14:paraId="2BC19F4C" w14:textId="77777777" w:rsidR="00FD7AAB" w:rsidRPr="007258AD" w:rsidRDefault="00684A1E" w:rsidP="007258AD">
      <w:pPr>
        <w:pStyle w:val="BodyA"/>
        <w:spacing w:line="360" w:lineRule="auto"/>
        <w:rPr>
          <w:rFonts w:cs="Calibri"/>
          <w:lang w:val="en-GB"/>
        </w:rPr>
      </w:pPr>
      <w:r w:rsidRPr="007258AD">
        <w:rPr>
          <w:rFonts w:cs="Calibri"/>
          <w:lang w:val="en-GB"/>
        </w:rPr>
        <w:t>Great Maze Pond</w:t>
      </w:r>
    </w:p>
    <w:p w14:paraId="3E08E540" w14:textId="59396966" w:rsidR="00FD7AAB" w:rsidRPr="007258AD" w:rsidRDefault="00684A1E" w:rsidP="007258AD">
      <w:pPr>
        <w:pStyle w:val="BodyA"/>
        <w:spacing w:line="360" w:lineRule="auto"/>
        <w:rPr>
          <w:rFonts w:cs="Calibri"/>
          <w:lang w:val="en-GB"/>
        </w:rPr>
      </w:pPr>
      <w:r w:rsidRPr="007258AD">
        <w:rPr>
          <w:rFonts w:cs="Calibri"/>
          <w:lang w:val="en-GB"/>
        </w:rPr>
        <w:t>London</w:t>
      </w:r>
      <w:r w:rsidR="00BE53E8" w:rsidRPr="007258AD">
        <w:rPr>
          <w:rFonts w:cs="Calibri"/>
          <w:lang w:val="en-GB"/>
        </w:rPr>
        <w:t>, United Kingdom</w:t>
      </w:r>
    </w:p>
    <w:p w14:paraId="764F9C64" w14:textId="77777777" w:rsidR="00FD7AAB" w:rsidRPr="007258AD" w:rsidRDefault="00684A1E" w:rsidP="007258AD">
      <w:pPr>
        <w:pStyle w:val="BodyA"/>
        <w:spacing w:line="360" w:lineRule="auto"/>
        <w:rPr>
          <w:rFonts w:cs="Calibri"/>
          <w:lang w:val="en-GB"/>
        </w:rPr>
      </w:pPr>
      <w:r w:rsidRPr="007258AD">
        <w:rPr>
          <w:rFonts w:cs="Calibri"/>
          <w:lang w:val="en-GB"/>
        </w:rPr>
        <w:lastRenderedPageBreak/>
        <w:t>SE1 9RT</w:t>
      </w:r>
    </w:p>
    <w:p w14:paraId="672FA7DB" w14:textId="77777777" w:rsidR="00FD7AAB" w:rsidRPr="007258AD" w:rsidRDefault="00684A1E" w:rsidP="007258AD">
      <w:pPr>
        <w:pStyle w:val="BodyA"/>
        <w:spacing w:line="360" w:lineRule="auto"/>
        <w:rPr>
          <w:rStyle w:val="None"/>
          <w:rFonts w:cs="Calibri"/>
          <w:lang w:val="en-GB"/>
        </w:rPr>
      </w:pPr>
      <w:r w:rsidRPr="007258AD">
        <w:rPr>
          <w:rFonts w:cs="Calibri"/>
          <w:lang w:val="en-GB"/>
        </w:rPr>
        <w:t>Email:</w:t>
      </w:r>
      <w:r w:rsidRPr="007407D3">
        <w:rPr>
          <w:rFonts w:cs="Calibri"/>
          <w:lang w:val="en-GB"/>
        </w:rPr>
        <w:t xml:space="preserve"> </w:t>
      </w:r>
      <w:hyperlink r:id="rId7" w:history="1">
        <w:r w:rsidRPr="007407D3">
          <w:rPr>
            <w:rStyle w:val="Hyperlink0"/>
            <w:rFonts w:cs="Calibri"/>
            <w:u w:val="none"/>
            <w:lang w:val="en-GB"/>
          </w:rPr>
          <w:t>stephanie.kayode@gstt.nhs.uk</w:t>
        </w:r>
      </w:hyperlink>
    </w:p>
    <w:p w14:paraId="4607E08F" w14:textId="77777777" w:rsidR="00427A74" w:rsidRDefault="00427A74" w:rsidP="007258AD">
      <w:pPr>
        <w:pStyle w:val="BodyA"/>
        <w:spacing w:line="360" w:lineRule="auto"/>
        <w:rPr>
          <w:rStyle w:val="None"/>
          <w:rFonts w:cs="Calibri"/>
          <w:lang w:val="en-GB"/>
        </w:rPr>
      </w:pPr>
    </w:p>
    <w:p w14:paraId="20340FCE" w14:textId="273A11B1" w:rsidR="007407D3" w:rsidRPr="00696E55" w:rsidRDefault="007407D3" w:rsidP="00F85739">
      <w:pPr>
        <w:spacing w:line="360" w:lineRule="auto"/>
        <w:rPr>
          <w:rFonts w:ascii="Calibri" w:hAnsi="Calibri" w:cs="Calibri"/>
          <w:sz w:val="22"/>
          <w:szCs w:val="22"/>
        </w:rPr>
      </w:pPr>
      <w:r w:rsidRPr="00696E55">
        <w:rPr>
          <w:rFonts w:ascii="Calibri" w:hAnsi="Calibri" w:cs="Calibri"/>
          <w:sz w:val="22"/>
          <w:szCs w:val="22"/>
          <w:u w:val="single"/>
        </w:rPr>
        <w:t>Contributions:</w:t>
      </w:r>
    </w:p>
    <w:p w14:paraId="084F0B03" w14:textId="77777777" w:rsidR="007407D3" w:rsidRPr="00696E55" w:rsidRDefault="007407D3" w:rsidP="00F85739">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rPr>
          <w:rFonts w:cs="Calibri"/>
        </w:rPr>
      </w:pPr>
      <w:r w:rsidRPr="00696E55">
        <w:rPr>
          <w:rFonts w:cs="Calibri"/>
        </w:rPr>
        <w:t>OSK, AW, RM, and AN contributed to the conception, design, acquisition of data, data analysis, data interpretation, and manuscript drafting.</w:t>
      </w:r>
    </w:p>
    <w:p w14:paraId="5B6615E7" w14:textId="77777777" w:rsidR="007407D3" w:rsidRPr="00696E55" w:rsidRDefault="007407D3" w:rsidP="00F85739">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rPr>
          <w:rFonts w:cs="Calibri"/>
        </w:rPr>
      </w:pPr>
      <w:r w:rsidRPr="00696E55">
        <w:rPr>
          <w:rFonts w:cs="Calibri"/>
        </w:rPr>
        <w:t>MD contributed to the design, data analysis, data interpretation and manuscript drafting.</w:t>
      </w:r>
    </w:p>
    <w:p w14:paraId="76633860" w14:textId="77777777" w:rsidR="007407D3" w:rsidRPr="00696E55" w:rsidRDefault="007407D3" w:rsidP="00F85739">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rPr>
          <w:rFonts w:cs="Calibri"/>
        </w:rPr>
      </w:pPr>
      <w:r w:rsidRPr="00696E55">
        <w:rPr>
          <w:rFonts w:cs="Calibri"/>
        </w:rPr>
        <w:t>LS, LK and KR contributed to the data interpretation and manuscript drafting.</w:t>
      </w:r>
    </w:p>
    <w:p w14:paraId="5E51A93F" w14:textId="6490A941" w:rsidR="00696E55" w:rsidRPr="00696E55" w:rsidRDefault="00696E55" w:rsidP="00F85739">
      <w:pPr>
        <w:pStyle w:val="BodyA"/>
        <w:spacing w:line="360" w:lineRule="auto"/>
        <w:rPr>
          <w:rFonts w:cs="Calibri"/>
        </w:rPr>
      </w:pPr>
      <w:r w:rsidRPr="00696E55">
        <w:rPr>
          <w:lang w:val="en-GB"/>
        </w:rPr>
        <w:t xml:space="preserve">Oyindamola Stephanie Kayode (OSK), </w:t>
      </w:r>
      <w:proofErr w:type="spellStart"/>
      <w:r w:rsidRPr="00696E55">
        <w:rPr>
          <w:lang w:val="en-GB"/>
        </w:rPr>
        <w:t>Alla</w:t>
      </w:r>
      <w:proofErr w:type="spellEnd"/>
      <w:r w:rsidRPr="00696E55">
        <w:rPr>
          <w:lang w:val="en-GB"/>
        </w:rPr>
        <w:t xml:space="preserve"> </w:t>
      </w:r>
      <w:proofErr w:type="spellStart"/>
      <w:r w:rsidRPr="00696E55">
        <w:rPr>
          <w:lang w:val="en-GB"/>
        </w:rPr>
        <w:t>Nakonechna</w:t>
      </w:r>
      <w:proofErr w:type="spellEnd"/>
      <w:r w:rsidRPr="00696E55">
        <w:rPr>
          <w:lang w:val="en-GB"/>
        </w:rPr>
        <w:t xml:space="preserve"> (AN), Leonard </w:t>
      </w:r>
      <w:proofErr w:type="spellStart"/>
      <w:r w:rsidRPr="00696E55">
        <w:rPr>
          <w:lang w:val="en-GB"/>
        </w:rPr>
        <w:t>Quok</w:t>
      </w:r>
      <w:proofErr w:type="spellEnd"/>
      <w:r w:rsidRPr="00696E55">
        <w:rPr>
          <w:lang w:val="en-GB"/>
        </w:rPr>
        <w:t xml:space="preserve"> Chean Siew (LS), Magdalena Dziadzio (MD), Lucinda Kennard (LK), Krzysztof Rutkowski (KR), Rita Mirakian (RM), Annette Wagner (AW).</w:t>
      </w:r>
    </w:p>
    <w:p w14:paraId="110FD06B" w14:textId="77777777" w:rsidR="007407D3" w:rsidRPr="007407D3" w:rsidRDefault="007407D3" w:rsidP="007407D3">
      <w:pPr>
        <w:pStyle w:val="BodyA"/>
        <w:spacing w:line="360" w:lineRule="auto"/>
        <w:rPr>
          <w:rStyle w:val="None"/>
          <w:rFonts w:cs="Calibri"/>
          <w:lang w:val="en-GB"/>
        </w:rPr>
      </w:pPr>
    </w:p>
    <w:p w14:paraId="09F38A54" w14:textId="685B8BC0" w:rsidR="006175AA" w:rsidRPr="007407D3" w:rsidRDefault="006175AA" w:rsidP="007407D3">
      <w:pPr>
        <w:pStyle w:val="BodyA"/>
        <w:spacing w:line="360" w:lineRule="auto"/>
        <w:rPr>
          <w:rStyle w:val="None"/>
          <w:rFonts w:cs="Calibri"/>
          <w:lang w:val="en-GB"/>
        </w:rPr>
      </w:pPr>
      <w:r w:rsidRPr="007407D3">
        <w:rPr>
          <w:rStyle w:val="None"/>
          <w:rFonts w:cs="Calibri"/>
          <w:u w:val="single"/>
          <w:lang w:val="en-GB"/>
        </w:rPr>
        <w:t>Word count:</w:t>
      </w:r>
      <w:r w:rsidR="007258AD" w:rsidRPr="007407D3">
        <w:rPr>
          <w:rStyle w:val="None"/>
          <w:rFonts w:cs="Calibri"/>
          <w:lang w:val="en-GB"/>
        </w:rPr>
        <w:t xml:space="preserve"> </w:t>
      </w:r>
      <w:r w:rsidR="00EC5C08" w:rsidRPr="007407D3">
        <w:rPr>
          <w:rStyle w:val="None"/>
          <w:rFonts w:cs="Calibri"/>
          <w:lang w:val="en-GB"/>
        </w:rPr>
        <w:t>3</w:t>
      </w:r>
      <w:r w:rsidR="002854A2" w:rsidRPr="007407D3">
        <w:rPr>
          <w:rStyle w:val="None"/>
          <w:rFonts w:cs="Calibri"/>
          <w:lang w:val="en-GB"/>
        </w:rPr>
        <w:t>499</w:t>
      </w:r>
    </w:p>
    <w:p w14:paraId="7E01AA6C" w14:textId="77777777" w:rsidR="00DC2CCF" w:rsidRPr="007258AD" w:rsidRDefault="00DC2CCF" w:rsidP="007258AD">
      <w:pPr>
        <w:spacing w:line="360" w:lineRule="auto"/>
        <w:rPr>
          <w:rStyle w:val="None"/>
          <w:rFonts w:ascii="Calibri" w:hAnsi="Calibri" w:cs="Calibri"/>
          <w:sz w:val="22"/>
          <w:szCs w:val="22"/>
          <w:u w:val="single"/>
        </w:rPr>
      </w:pPr>
    </w:p>
    <w:p w14:paraId="56590A5D" w14:textId="77777777" w:rsidR="007258AD" w:rsidRPr="007258AD" w:rsidRDefault="00DC2CCF" w:rsidP="007258AD">
      <w:pPr>
        <w:spacing w:line="360" w:lineRule="auto"/>
        <w:rPr>
          <w:rStyle w:val="None"/>
          <w:rFonts w:ascii="Calibri" w:hAnsi="Calibri" w:cs="Calibri"/>
          <w:sz w:val="22"/>
          <w:szCs w:val="22"/>
        </w:rPr>
      </w:pPr>
      <w:r w:rsidRPr="007258AD">
        <w:rPr>
          <w:rStyle w:val="None"/>
          <w:rFonts w:ascii="Calibri" w:hAnsi="Calibri" w:cs="Calibri"/>
          <w:sz w:val="22"/>
          <w:szCs w:val="22"/>
          <w:u w:val="single"/>
        </w:rPr>
        <w:t>Conflicts of interest:</w:t>
      </w:r>
      <w:r w:rsidR="00617FC0" w:rsidRPr="007258AD">
        <w:rPr>
          <w:rStyle w:val="None"/>
          <w:rFonts w:ascii="Calibri" w:hAnsi="Calibri" w:cs="Calibri"/>
          <w:sz w:val="22"/>
          <w:szCs w:val="22"/>
        </w:rPr>
        <w:t xml:space="preserve">  </w:t>
      </w:r>
      <w:r w:rsidRPr="007258AD">
        <w:rPr>
          <w:rStyle w:val="None"/>
          <w:rFonts w:ascii="Calibri" w:hAnsi="Calibri" w:cs="Calibri"/>
          <w:sz w:val="22"/>
          <w:szCs w:val="22"/>
        </w:rPr>
        <w:t>All authors declare that they have no relevant conflicts of interest.</w:t>
      </w:r>
    </w:p>
    <w:p w14:paraId="26594BD6" w14:textId="77777777" w:rsidR="007258AD" w:rsidRPr="007258AD" w:rsidRDefault="007258AD" w:rsidP="007258AD">
      <w:pPr>
        <w:spacing w:line="360" w:lineRule="auto"/>
        <w:rPr>
          <w:rStyle w:val="None"/>
          <w:rFonts w:ascii="Calibri" w:hAnsi="Calibri" w:cs="Calibri"/>
          <w:sz w:val="22"/>
          <w:szCs w:val="22"/>
        </w:rPr>
      </w:pPr>
    </w:p>
    <w:p w14:paraId="4281CD21" w14:textId="77777777" w:rsidR="007258AD" w:rsidRDefault="007258AD" w:rsidP="007258AD">
      <w:pPr>
        <w:pStyle w:val="BodyA"/>
        <w:spacing w:line="360" w:lineRule="auto"/>
        <w:rPr>
          <w:rStyle w:val="None"/>
          <w:rFonts w:cs="Calibri"/>
          <w:lang w:val="en-GB"/>
        </w:rPr>
      </w:pPr>
      <w:r w:rsidRPr="007258AD">
        <w:rPr>
          <w:rStyle w:val="Hyperlink0"/>
          <w:rFonts w:cs="Calibri"/>
          <w:lang w:val="en-GB"/>
        </w:rPr>
        <w:t>Key words:</w:t>
      </w:r>
      <w:r w:rsidRPr="007258AD">
        <w:rPr>
          <w:rStyle w:val="Hyperlink0"/>
          <w:rFonts w:cs="Calibri"/>
          <w:u w:val="none"/>
          <w:lang w:val="en-GB"/>
        </w:rPr>
        <w:t xml:space="preserve">  </w:t>
      </w:r>
      <w:r w:rsidRPr="007258AD">
        <w:rPr>
          <w:rStyle w:val="None"/>
          <w:rFonts w:cs="Calibri"/>
          <w:lang w:val="en-GB"/>
        </w:rPr>
        <w:t xml:space="preserve"> drug hypersensitivity; excipient hypersensitivity; </w:t>
      </w:r>
      <w:proofErr w:type="spellStart"/>
      <w:r w:rsidRPr="007258AD">
        <w:rPr>
          <w:rStyle w:val="None"/>
          <w:rFonts w:cs="Calibri"/>
          <w:lang w:val="en-GB"/>
        </w:rPr>
        <w:t>IgE</w:t>
      </w:r>
      <w:proofErr w:type="spellEnd"/>
      <w:r w:rsidRPr="007258AD">
        <w:rPr>
          <w:rStyle w:val="None"/>
          <w:rFonts w:cs="Calibri"/>
          <w:lang w:val="en-GB"/>
        </w:rPr>
        <w:t>-mediated allergy;</w:t>
      </w:r>
      <w:r w:rsidRPr="007258AD">
        <w:rPr>
          <w:rStyle w:val="Hyperlink"/>
          <w:rFonts w:cs="Calibri"/>
          <w:u w:val="none"/>
          <w:lang w:val="en-GB"/>
        </w:rPr>
        <w:t xml:space="preserve"> </w:t>
      </w:r>
      <w:r w:rsidRPr="007258AD">
        <w:rPr>
          <w:rStyle w:val="None"/>
          <w:rFonts w:cs="Calibri"/>
          <w:lang w:val="en-GB"/>
        </w:rPr>
        <w:t>macrogol; polyethylene glycol</w:t>
      </w:r>
    </w:p>
    <w:p w14:paraId="341F71D9" w14:textId="77777777" w:rsidR="007258AD" w:rsidRPr="007258AD" w:rsidRDefault="007258AD" w:rsidP="007258AD">
      <w:pPr>
        <w:pStyle w:val="BodyA"/>
        <w:spacing w:line="360" w:lineRule="auto"/>
        <w:rPr>
          <w:rStyle w:val="None"/>
          <w:rFonts w:cs="Calibri"/>
          <w:lang w:val="en-GB"/>
        </w:rPr>
      </w:pPr>
    </w:p>
    <w:p w14:paraId="6AFCABD0" w14:textId="41644E1B" w:rsidR="006175AA" w:rsidRPr="007258AD" w:rsidRDefault="007258AD" w:rsidP="007258AD">
      <w:pPr>
        <w:pStyle w:val="BodyA"/>
        <w:spacing w:line="360" w:lineRule="auto"/>
        <w:rPr>
          <w:rStyle w:val="None"/>
          <w:rFonts w:cs="Calibri"/>
        </w:rPr>
      </w:pPr>
      <w:r w:rsidRPr="007258AD">
        <w:rPr>
          <w:rStyle w:val="Hyperlink0"/>
          <w:rFonts w:cs="Calibri"/>
          <w:lang w:val="en-GB"/>
        </w:rPr>
        <w:t xml:space="preserve">Abbreviations: </w:t>
      </w:r>
      <w:r w:rsidRPr="007258AD">
        <w:rPr>
          <w:rStyle w:val="Hyperlink0"/>
          <w:rFonts w:cs="Calibri"/>
          <w:u w:val="none"/>
          <w:lang w:val="en-GB"/>
        </w:rPr>
        <w:t xml:space="preserve">HSR (hypersensitivity reactions); </w:t>
      </w:r>
      <w:proofErr w:type="spellStart"/>
      <w:r w:rsidRPr="007258AD">
        <w:rPr>
          <w:rStyle w:val="Hyperlink0"/>
          <w:rFonts w:cs="Calibri"/>
          <w:u w:val="none"/>
          <w:lang w:val="en-GB"/>
        </w:rPr>
        <w:t>IgE</w:t>
      </w:r>
      <w:proofErr w:type="spellEnd"/>
      <w:r w:rsidRPr="007258AD">
        <w:rPr>
          <w:rStyle w:val="Hyperlink0"/>
          <w:rFonts w:cs="Calibri"/>
          <w:u w:val="none"/>
          <w:lang w:val="en-GB"/>
        </w:rPr>
        <w:t xml:space="preserve"> (Immunoglobulin E); PEG (polyethylene glycol); SPT (skin prick testing); IDT (intradermal testing); MW (molecular weight), COVID (coronavirus disease); DPT (drug provocation testing).</w:t>
      </w:r>
      <w:r w:rsidR="006175AA" w:rsidRPr="007258AD">
        <w:rPr>
          <w:rStyle w:val="None"/>
          <w:rFonts w:cs="Calibri"/>
        </w:rPr>
        <w:br w:type="page"/>
      </w:r>
    </w:p>
    <w:p w14:paraId="7A582F7D" w14:textId="4096DF18" w:rsidR="00FD7AAB" w:rsidRPr="007258AD" w:rsidRDefault="00684A1E" w:rsidP="007258AD">
      <w:pPr>
        <w:pStyle w:val="BodyA"/>
        <w:spacing w:line="360" w:lineRule="auto"/>
        <w:rPr>
          <w:rStyle w:val="Hyperlink0"/>
          <w:rFonts w:cs="Calibri"/>
          <w:lang w:val="en-GB"/>
        </w:rPr>
      </w:pPr>
      <w:r w:rsidRPr="007258AD">
        <w:rPr>
          <w:rStyle w:val="Hyperlink0"/>
          <w:rFonts w:cs="Calibri"/>
          <w:lang w:val="en-GB"/>
        </w:rPr>
        <w:lastRenderedPageBreak/>
        <w:t xml:space="preserve">Abstract: </w:t>
      </w:r>
    </w:p>
    <w:p w14:paraId="647A4482" w14:textId="375BA7B1" w:rsidR="00FD7AAB" w:rsidRPr="007258AD" w:rsidRDefault="00684A1E" w:rsidP="007258AD">
      <w:pPr>
        <w:pStyle w:val="BodyA"/>
        <w:spacing w:line="360" w:lineRule="auto"/>
        <w:rPr>
          <w:rStyle w:val="None"/>
          <w:rFonts w:cs="Calibri"/>
          <w:lang w:val="en-GB"/>
        </w:rPr>
      </w:pPr>
      <w:r w:rsidRPr="007258AD">
        <w:rPr>
          <w:rStyle w:val="Hyperlink0"/>
          <w:rFonts w:cs="Calibri"/>
          <w:lang w:val="en-GB"/>
        </w:rPr>
        <w:t>Background:</w:t>
      </w:r>
      <w:r w:rsidRPr="007258AD">
        <w:rPr>
          <w:rStyle w:val="None"/>
          <w:rFonts w:cs="Calibri"/>
          <w:lang w:val="en-GB"/>
        </w:rPr>
        <w:t xml:space="preserve"> Immediate </w:t>
      </w:r>
      <w:proofErr w:type="spellStart"/>
      <w:r w:rsidRPr="007258AD">
        <w:rPr>
          <w:rStyle w:val="None"/>
          <w:rFonts w:cs="Calibri"/>
          <w:lang w:val="en-GB"/>
        </w:rPr>
        <w:t>IgE</w:t>
      </w:r>
      <w:proofErr w:type="spellEnd"/>
      <w:r w:rsidRPr="007258AD">
        <w:rPr>
          <w:rStyle w:val="None"/>
          <w:rFonts w:cs="Calibri"/>
          <w:lang w:val="en-GB"/>
        </w:rPr>
        <w:t>-mediated hypersensitivity reactions to polyethylene glycol (PEG) are rare. Our understanding of PEG hypersensitivity reactions is limited.</w:t>
      </w:r>
      <w:r w:rsidR="00F86035" w:rsidRPr="007258AD">
        <w:rPr>
          <w:rStyle w:val="None"/>
          <w:rFonts w:cs="Calibri"/>
          <w:lang w:val="en-GB"/>
        </w:rPr>
        <w:t xml:space="preserve"> We </w:t>
      </w:r>
      <w:r w:rsidRPr="007258AD">
        <w:rPr>
          <w:rStyle w:val="None"/>
          <w:rFonts w:cs="Calibri"/>
          <w:lang w:val="en-GB"/>
        </w:rPr>
        <w:t>evaluate the clinical characteristics and investigation outcomes of the largest cohort of PEG allergic patients reported so far.</w:t>
      </w:r>
    </w:p>
    <w:p w14:paraId="41A31162" w14:textId="77777777" w:rsidR="00FD7AAB" w:rsidRPr="007258AD" w:rsidRDefault="00684A1E" w:rsidP="007258AD">
      <w:pPr>
        <w:pStyle w:val="BodyA"/>
        <w:spacing w:line="360" w:lineRule="auto"/>
        <w:rPr>
          <w:rStyle w:val="None"/>
          <w:rFonts w:cs="Calibri"/>
          <w:lang w:val="en-GB"/>
        </w:rPr>
      </w:pPr>
      <w:r w:rsidRPr="007258AD">
        <w:rPr>
          <w:rStyle w:val="Hyperlink0"/>
          <w:rFonts w:cs="Calibri"/>
          <w:lang w:val="en-GB"/>
        </w:rPr>
        <w:t>Method:</w:t>
      </w:r>
      <w:r w:rsidRPr="007258AD">
        <w:rPr>
          <w:rStyle w:val="None"/>
          <w:rFonts w:cs="Calibri"/>
          <w:lang w:val="en-GB"/>
        </w:rPr>
        <w:t xml:space="preserve"> 44 patients investigated for suspected PEG allergy across four UK tertiary allergy centres between October 2013 and December 2020 were studied. Clinical characteristics, details of index reaction, and approaches to and outcomes of allergy investigations were analysed. </w:t>
      </w:r>
    </w:p>
    <w:p w14:paraId="27DEB47F" w14:textId="659DAD2B" w:rsidR="00FD7AAB" w:rsidRPr="007258AD" w:rsidRDefault="00684A1E" w:rsidP="007258AD">
      <w:pPr>
        <w:pStyle w:val="BodyA"/>
        <w:spacing w:line="360" w:lineRule="auto"/>
        <w:rPr>
          <w:rStyle w:val="None"/>
          <w:rFonts w:cs="Calibri"/>
          <w:lang w:val="en-GB"/>
        </w:rPr>
      </w:pPr>
      <w:r w:rsidRPr="007258AD">
        <w:rPr>
          <w:rStyle w:val="Hyperlink0"/>
          <w:rFonts w:cs="Calibri"/>
          <w:lang w:val="en-GB"/>
        </w:rPr>
        <w:t>Results:</w:t>
      </w:r>
      <w:r w:rsidRPr="007258AD">
        <w:rPr>
          <w:rStyle w:val="None"/>
          <w:rFonts w:cs="Calibri"/>
          <w:lang w:val="en-GB"/>
        </w:rPr>
        <w:t xml:space="preserve"> PEG hypersensitivity was confirmed in 42 of 44 cases.  Macrogol laxatives were the most common index drugs reported (23%), followed by depo-medroxyprogesterone (19%), oral penicillin V (10%), and depo-methylprednisolone (10%). 61% experienced grade III anaphylaxis. Intradermal testing (IDT) increased the diagnostic sensitivity from 51% to 85%. Five patients experienced systemic reactions during IDT.  Of the five patients, two were skin prick test (SPT)-positive to a high molecular weight (MW) PEG. Seven PEG-allergic patients reported tolerance to </w:t>
      </w:r>
      <w:r w:rsidR="00265841" w:rsidRPr="007258AD">
        <w:rPr>
          <w:rStyle w:val="None"/>
          <w:rFonts w:cs="Calibri"/>
          <w:lang w:val="en-GB"/>
        </w:rPr>
        <w:t xml:space="preserve">H1 </w:t>
      </w:r>
      <w:r w:rsidRPr="007258AD">
        <w:rPr>
          <w:rStyle w:val="None"/>
          <w:rFonts w:cs="Calibri"/>
          <w:lang w:val="en-GB"/>
        </w:rPr>
        <w:t>antihistamines containing PEG.   Administration of mRNA COVID-19 (n=5) or</w:t>
      </w:r>
      <w:r w:rsidRPr="007258AD">
        <w:rPr>
          <w:rStyle w:val="None"/>
          <w:rFonts w:cs="Calibri"/>
          <w:shd w:val="clear" w:color="auto" w:fill="FFFFFF"/>
          <w:lang w:val="en-GB"/>
        </w:rPr>
        <w:t xml:space="preserve"> AZ COVID-19 vaccines (n=14) was</w:t>
      </w:r>
      <w:r w:rsidRPr="007258AD">
        <w:rPr>
          <w:rStyle w:val="None"/>
          <w:rFonts w:cs="Calibri"/>
          <w:lang w:val="en-GB"/>
        </w:rPr>
        <w:t xml:space="preserve"> tolerated in 16 patients. </w:t>
      </w:r>
    </w:p>
    <w:p w14:paraId="4977BA8E" w14:textId="4858E1E5" w:rsidR="007258AD" w:rsidRPr="007258AD" w:rsidRDefault="00684A1E" w:rsidP="007258AD">
      <w:pPr>
        <w:pStyle w:val="BodyA"/>
        <w:spacing w:line="360" w:lineRule="auto"/>
        <w:rPr>
          <w:rStyle w:val="Hyperlink0"/>
          <w:rFonts w:cs="Calibri"/>
          <w:lang w:val="en-GB"/>
        </w:rPr>
      </w:pPr>
      <w:r w:rsidRPr="007258AD">
        <w:rPr>
          <w:rStyle w:val="Hyperlink0"/>
          <w:rFonts w:cs="Calibri"/>
          <w:lang w:val="en-GB"/>
        </w:rPr>
        <w:t>Conclusion:</w:t>
      </w:r>
      <w:r w:rsidRPr="007258AD">
        <w:rPr>
          <w:rStyle w:val="None"/>
          <w:rFonts w:cs="Calibri"/>
          <w:lang w:val="en-GB"/>
        </w:rPr>
        <w:t xml:space="preserve"> PEG hypersensitivity is an uncommon cause of drug-induced anaphylaxis. Four index drugs accounted for two</w:t>
      </w:r>
      <w:r w:rsidR="00D104E0" w:rsidRPr="007258AD">
        <w:rPr>
          <w:rStyle w:val="None"/>
          <w:rFonts w:cs="Calibri"/>
          <w:lang w:val="en-GB"/>
        </w:rPr>
        <w:t>-</w:t>
      </w:r>
      <w:r w:rsidRPr="007258AD">
        <w:rPr>
          <w:rStyle w:val="None"/>
          <w:rFonts w:cs="Calibri"/>
          <w:lang w:val="en-GB"/>
        </w:rPr>
        <w:t>thirds of cases and reactions to these drugs should prompt</w:t>
      </w:r>
      <w:r w:rsidR="00D104E0" w:rsidRPr="007258AD">
        <w:rPr>
          <w:rStyle w:val="None"/>
          <w:rFonts w:cs="Calibri"/>
          <w:lang w:val="en-GB"/>
        </w:rPr>
        <w:t xml:space="preserve"> PEG hypersensitivity</w:t>
      </w:r>
      <w:r w:rsidRPr="007258AD">
        <w:rPr>
          <w:rStyle w:val="None"/>
          <w:rFonts w:cs="Calibri"/>
          <w:lang w:val="en-GB"/>
        </w:rPr>
        <w:t xml:space="preserve"> investigation</w:t>
      </w:r>
      <w:r w:rsidR="00D104E0" w:rsidRPr="007258AD">
        <w:rPr>
          <w:rStyle w:val="None"/>
          <w:rFonts w:cs="Calibri"/>
          <w:lang w:val="en-GB"/>
        </w:rPr>
        <w:t xml:space="preserve">s. </w:t>
      </w:r>
      <w:r w:rsidRPr="007258AD">
        <w:rPr>
          <w:rStyle w:val="None"/>
          <w:rFonts w:cs="Calibri"/>
          <w:lang w:val="en-GB"/>
        </w:rPr>
        <w:t xml:space="preserve">  PEG IDT increases diagnostic yield.  The role of SPT with higher MW PEGs requires further attention.  We observed no correlation in PEG dose and concentration between the implicated and tolerated PEG-containing drugs. Further studies are required</w:t>
      </w:r>
      <w:r w:rsidRPr="007258AD">
        <w:rPr>
          <w:rStyle w:val="None"/>
          <w:rFonts w:cs="Calibri"/>
          <w:u w:color="C45911"/>
          <w:lang w:val="en-GB"/>
        </w:rPr>
        <w:t xml:space="preserve"> </w:t>
      </w:r>
      <w:r w:rsidRPr="007258AD">
        <w:rPr>
          <w:rStyle w:val="None"/>
          <w:rFonts w:cs="Calibri"/>
          <w:lang w:val="en-GB"/>
        </w:rPr>
        <w:t>to understand PEG thresholds and PEG equivalent doses of various administration routes.  COVID-19 vaccines were tolerated by all exposed.</w:t>
      </w:r>
      <w:r w:rsidR="007258AD" w:rsidRPr="007258AD">
        <w:rPr>
          <w:rStyle w:val="Hyperlink0"/>
          <w:rFonts w:cs="Calibri"/>
          <w:lang w:val="en-GB"/>
        </w:rPr>
        <w:br w:type="page"/>
      </w:r>
    </w:p>
    <w:p w14:paraId="19869A2C" w14:textId="3A1818AF" w:rsidR="00FD7AAB" w:rsidRPr="007258AD" w:rsidRDefault="00684A1E" w:rsidP="007258AD">
      <w:pPr>
        <w:pStyle w:val="BodyA"/>
        <w:spacing w:line="360" w:lineRule="auto"/>
        <w:rPr>
          <w:rStyle w:val="Hyperlink0"/>
          <w:rFonts w:cs="Calibri"/>
          <w:lang w:val="en-GB"/>
        </w:rPr>
      </w:pPr>
      <w:r w:rsidRPr="007258AD">
        <w:rPr>
          <w:rStyle w:val="Hyperlink0"/>
          <w:rFonts w:cs="Calibri"/>
          <w:lang w:val="en-GB"/>
        </w:rPr>
        <w:lastRenderedPageBreak/>
        <w:t>Introduction:</w:t>
      </w:r>
    </w:p>
    <w:p w14:paraId="5BD55789" w14:textId="2831E6F0" w:rsidR="00FD7AAB" w:rsidRPr="007258AD" w:rsidRDefault="00684A1E" w:rsidP="007258AD">
      <w:pPr>
        <w:pStyle w:val="BodyA"/>
        <w:spacing w:line="360" w:lineRule="auto"/>
        <w:rPr>
          <w:rStyle w:val="None"/>
          <w:rFonts w:cs="Calibri"/>
          <w:lang w:val="en-GB"/>
        </w:rPr>
      </w:pPr>
      <w:r w:rsidRPr="007258AD">
        <w:rPr>
          <w:rStyle w:val="None"/>
          <w:rFonts w:cs="Calibri"/>
          <w:lang w:val="en-GB"/>
        </w:rPr>
        <w:t>Polyethylene glycols (PEGs) are a family of polyether polymers. PEGs possess hydrophilic, non-toxic, odourless, flexible and water-soluble properties</w:t>
      </w:r>
      <w:r w:rsidRPr="007258AD">
        <w:rPr>
          <w:rStyle w:val="None"/>
          <w:rFonts w:cs="Calibri"/>
          <w:vertAlign w:val="superscript"/>
          <w:lang w:val="en-GB"/>
        </w:rPr>
        <w:t>1,2</w:t>
      </w:r>
      <w:r w:rsidR="00075D48" w:rsidRPr="007258AD">
        <w:rPr>
          <w:rStyle w:val="None"/>
          <w:rFonts w:cs="Calibri"/>
          <w:lang w:val="en-GB"/>
        </w:rPr>
        <w:t xml:space="preserve">. They </w:t>
      </w:r>
      <w:r w:rsidRPr="007258AD">
        <w:rPr>
          <w:rStyle w:val="None"/>
          <w:rFonts w:cs="Calibri"/>
          <w:lang w:val="en-GB"/>
        </w:rPr>
        <w:t xml:space="preserve">are used as </w:t>
      </w:r>
      <w:r w:rsidR="001F5CC5" w:rsidRPr="007258AD">
        <w:rPr>
          <w:rStyle w:val="None"/>
          <w:rFonts w:cs="Calibri"/>
          <w:lang w:val="en-GB"/>
        </w:rPr>
        <w:t>medical, pharmaceutical, cosmetic and food additives</w:t>
      </w:r>
      <w:r w:rsidRPr="007258AD">
        <w:rPr>
          <w:rStyle w:val="None"/>
          <w:rFonts w:cs="Calibri"/>
          <w:lang w:val="en-GB"/>
        </w:rPr>
        <w:t xml:space="preserve">. Due to the </w:t>
      </w:r>
      <w:r w:rsidR="00664D8E" w:rsidRPr="007258AD">
        <w:rPr>
          <w:rStyle w:val="None"/>
          <w:rFonts w:cs="Calibri"/>
          <w:lang w:val="en-GB"/>
        </w:rPr>
        <w:t>vast</w:t>
      </w:r>
      <w:r w:rsidRPr="007258AD">
        <w:rPr>
          <w:rStyle w:val="None"/>
          <w:rFonts w:cs="Calibri"/>
          <w:lang w:val="en-GB"/>
        </w:rPr>
        <w:t xml:space="preserve"> usage, PEG exposure can occur in </w:t>
      </w:r>
      <w:r w:rsidR="00664D8E" w:rsidRPr="007258AD">
        <w:rPr>
          <w:rStyle w:val="None"/>
          <w:rFonts w:cs="Calibri"/>
          <w:lang w:val="en-GB"/>
        </w:rPr>
        <w:t>various</w:t>
      </w:r>
      <w:r w:rsidRPr="007258AD">
        <w:rPr>
          <w:rStyle w:val="None"/>
          <w:rFonts w:cs="Calibri"/>
          <w:lang w:val="en-GB"/>
        </w:rPr>
        <w:t xml:space="preserve"> settings</w:t>
      </w:r>
      <w:r w:rsidR="001F5CC5" w:rsidRPr="007258AD">
        <w:rPr>
          <w:rStyle w:val="None"/>
          <w:rFonts w:cs="Calibri"/>
          <w:lang w:val="en-GB"/>
        </w:rPr>
        <w:t>,</w:t>
      </w:r>
      <w:r w:rsidRPr="007258AD">
        <w:rPr>
          <w:rStyle w:val="None"/>
          <w:rFonts w:cs="Calibri"/>
          <w:lang w:val="en-GB"/>
        </w:rPr>
        <w:t xml:space="preserve"> from </w:t>
      </w:r>
      <w:r w:rsidR="00790FCA" w:rsidRPr="007258AD">
        <w:rPr>
          <w:rStyle w:val="None"/>
          <w:rFonts w:cs="Calibri"/>
          <w:lang w:val="en-GB"/>
        </w:rPr>
        <w:t>hospitals to households</w:t>
      </w:r>
      <w:r w:rsidRPr="007258AD">
        <w:rPr>
          <w:rStyle w:val="None"/>
          <w:rFonts w:cs="Calibri"/>
          <w:lang w:val="en-GB"/>
        </w:rPr>
        <w:t>.</w:t>
      </w:r>
      <w:r w:rsidRPr="007258AD">
        <w:rPr>
          <w:rStyle w:val="None"/>
          <w:rFonts w:cs="Calibri"/>
          <w:vertAlign w:val="superscript"/>
          <w:lang w:val="en-GB"/>
        </w:rPr>
        <w:t xml:space="preserve"> 1,2</w:t>
      </w:r>
      <w:r w:rsidRPr="007258AD">
        <w:rPr>
          <w:rStyle w:val="None"/>
          <w:rFonts w:cs="Calibri"/>
          <w:lang w:val="en-GB"/>
        </w:rPr>
        <w:t xml:space="preserve"> Further details regarding </w:t>
      </w:r>
      <w:r w:rsidR="00790FCA" w:rsidRPr="007258AD">
        <w:rPr>
          <w:rStyle w:val="None"/>
          <w:rFonts w:cs="Calibri"/>
          <w:lang w:val="en-GB"/>
        </w:rPr>
        <w:t xml:space="preserve">PEG's structure, utility and nomenclature </w:t>
      </w:r>
      <w:r w:rsidRPr="007258AD">
        <w:rPr>
          <w:rStyle w:val="None"/>
          <w:rFonts w:cs="Calibri"/>
          <w:lang w:val="en-GB"/>
        </w:rPr>
        <w:t xml:space="preserve">can be found in </w:t>
      </w:r>
      <w:r w:rsidR="00A326E8" w:rsidRPr="007258AD">
        <w:rPr>
          <w:rStyle w:val="None"/>
          <w:rFonts w:cs="Calibri"/>
          <w:lang w:val="en-GB"/>
        </w:rPr>
        <w:t>Figure E1</w:t>
      </w:r>
      <w:r w:rsidRPr="007258AD">
        <w:rPr>
          <w:rStyle w:val="None"/>
          <w:rFonts w:cs="Calibri"/>
          <w:lang w:val="en-GB"/>
        </w:rPr>
        <w:t>.</w:t>
      </w:r>
    </w:p>
    <w:p w14:paraId="228BFC89" w14:textId="1C9C92AA" w:rsidR="00FD7AAB" w:rsidRPr="007258AD" w:rsidRDefault="00684A1E" w:rsidP="007258AD">
      <w:pPr>
        <w:pStyle w:val="BodyA"/>
        <w:spacing w:line="360" w:lineRule="auto"/>
        <w:rPr>
          <w:rStyle w:val="None"/>
          <w:rFonts w:cs="Calibri"/>
          <w:b/>
          <w:bCs/>
          <w:lang w:val="en-GB"/>
        </w:rPr>
      </w:pPr>
      <w:r w:rsidRPr="007258AD">
        <w:rPr>
          <w:rStyle w:val="None"/>
          <w:rFonts w:cs="Calibri"/>
          <w:lang w:val="en-GB"/>
        </w:rPr>
        <w:t>PEG and PEG-</w:t>
      </w:r>
      <w:proofErr w:type="spellStart"/>
      <w:r w:rsidRPr="007258AD">
        <w:rPr>
          <w:rStyle w:val="None"/>
          <w:rFonts w:cs="Calibri"/>
          <w:lang w:val="en-GB"/>
        </w:rPr>
        <w:t>ylated</w:t>
      </w:r>
      <w:proofErr w:type="spellEnd"/>
      <w:r w:rsidRPr="007258AD">
        <w:rPr>
          <w:rStyle w:val="None"/>
          <w:rFonts w:cs="Calibri"/>
          <w:lang w:val="en-GB"/>
        </w:rPr>
        <w:t xml:space="preserve"> products have been associated with immune-mediated adverse reactions including anaphylaxis.</w:t>
      </w:r>
      <w:r w:rsidRPr="007258AD">
        <w:rPr>
          <w:rStyle w:val="None"/>
          <w:rFonts w:cs="Calibri"/>
          <w:vertAlign w:val="superscript"/>
          <w:lang w:val="en-GB"/>
        </w:rPr>
        <w:t>3, 4, 5</w:t>
      </w:r>
      <w:r w:rsidRPr="007258AD">
        <w:rPr>
          <w:rStyle w:val="None"/>
          <w:rFonts w:cs="Calibri"/>
          <w:lang w:val="en-GB"/>
        </w:rPr>
        <w:t>Although rare, cases of immediate hypersensitivity reactions (HSRs) to PEG have been reported as early as 1990 and are being described with increased frequency.</w:t>
      </w:r>
      <w:r w:rsidRPr="007258AD">
        <w:rPr>
          <w:rStyle w:val="None"/>
          <w:rFonts w:cs="Calibri"/>
          <w:vertAlign w:val="superscript"/>
          <w:lang w:val="en-GB"/>
        </w:rPr>
        <w:t>4, 6</w:t>
      </w:r>
      <w:r w:rsidRPr="007258AD">
        <w:rPr>
          <w:rStyle w:val="None"/>
          <w:rFonts w:cs="Calibri"/>
          <w:lang w:val="en-GB"/>
        </w:rPr>
        <w:t xml:space="preserve"> Owing to the multiple PEG nomenclature synonyms, PEG identification on labelling inspection can be challenging and easily missed</w:t>
      </w:r>
      <w:r w:rsidR="005D58E7" w:rsidRPr="007258AD">
        <w:rPr>
          <w:rStyle w:val="None"/>
          <w:rFonts w:cs="Calibri"/>
          <w:lang w:val="en-GB"/>
        </w:rPr>
        <w:t>,</w:t>
      </w:r>
      <w:r w:rsidRPr="007258AD">
        <w:rPr>
          <w:rStyle w:val="None"/>
          <w:rFonts w:cs="Calibri"/>
          <w:lang w:val="en-GB"/>
        </w:rPr>
        <w:t xml:space="preserve"> </w:t>
      </w:r>
      <w:r w:rsidR="00A326E8" w:rsidRPr="007258AD">
        <w:rPr>
          <w:rStyle w:val="None"/>
          <w:rFonts w:cs="Calibri"/>
          <w:lang w:val="en-GB"/>
        </w:rPr>
        <w:t>Table  E1</w:t>
      </w:r>
      <w:r w:rsidRPr="007258AD">
        <w:rPr>
          <w:rStyle w:val="None"/>
          <w:rFonts w:cs="Calibri"/>
          <w:lang w:val="en-GB"/>
        </w:rPr>
        <w:t xml:space="preserve">. It is not uncommon for patients to present with reactions on first exposure to a PEG-containing medication. However, diagnosis is often delayed </w:t>
      </w:r>
      <w:r w:rsidR="001F5CC5" w:rsidRPr="007258AD">
        <w:rPr>
          <w:rStyle w:val="None"/>
          <w:rFonts w:cs="Calibri"/>
          <w:lang w:val="en-GB"/>
        </w:rPr>
        <w:t>and after</w:t>
      </w:r>
      <w:r w:rsidRPr="007258AD">
        <w:rPr>
          <w:rStyle w:val="None"/>
          <w:rFonts w:cs="Calibri"/>
          <w:lang w:val="en-GB"/>
        </w:rPr>
        <w:t xml:space="preserve"> re-exposure and multiple reactions. PEG sensiti</w:t>
      </w:r>
      <w:r w:rsidR="001F5CC5" w:rsidRPr="007258AD">
        <w:rPr>
          <w:rStyle w:val="None"/>
          <w:rFonts w:cs="Calibri"/>
          <w:lang w:val="en-GB"/>
        </w:rPr>
        <w:t>s</w:t>
      </w:r>
      <w:r w:rsidRPr="007258AD">
        <w:rPr>
          <w:rStyle w:val="None"/>
          <w:rFonts w:cs="Calibri"/>
          <w:lang w:val="en-GB"/>
        </w:rPr>
        <w:t>ation has been suggested to occur percutaneously from use of cosmetic products containing readily absorbed Low Molecular Weight (LMW) PEG.</w:t>
      </w:r>
      <w:r w:rsidRPr="007258AD">
        <w:rPr>
          <w:rStyle w:val="None"/>
          <w:rFonts w:cs="Calibri"/>
          <w:vertAlign w:val="superscript"/>
          <w:lang w:val="en-GB"/>
        </w:rPr>
        <w:t>4</w:t>
      </w:r>
      <w:r w:rsidRPr="007258AD">
        <w:rPr>
          <w:rStyle w:val="None"/>
          <w:rFonts w:cs="Calibri"/>
          <w:lang w:val="en-GB"/>
        </w:rPr>
        <w:t xml:space="preserve"> Indeed, anti-PEG specific </w:t>
      </w:r>
      <w:proofErr w:type="spellStart"/>
      <w:r w:rsidRPr="007258AD">
        <w:rPr>
          <w:rStyle w:val="None"/>
          <w:rFonts w:cs="Calibri"/>
          <w:lang w:val="en-GB"/>
        </w:rPr>
        <w:t>IgEs</w:t>
      </w:r>
      <w:proofErr w:type="spellEnd"/>
      <w:r w:rsidRPr="007258AD">
        <w:rPr>
          <w:rStyle w:val="None"/>
          <w:rFonts w:cs="Calibri"/>
          <w:lang w:val="en-GB"/>
        </w:rPr>
        <w:t xml:space="preserve"> (</w:t>
      </w:r>
      <w:proofErr w:type="spellStart"/>
      <w:r w:rsidRPr="007258AD">
        <w:rPr>
          <w:rStyle w:val="None"/>
          <w:rFonts w:cs="Calibri"/>
          <w:lang w:val="en-GB"/>
        </w:rPr>
        <w:t>sIgEs</w:t>
      </w:r>
      <w:proofErr w:type="spellEnd"/>
      <w:r w:rsidRPr="007258AD">
        <w:rPr>
          <w:rStyle w:val="None"/>
          <w:rFonts w:cs="Calibri"/>
          <w:lang w:val="en-GB"/>
        </w:rPr>
        <w:t>) have been identified by dual cytometric bead assay in a small number of healthy patients.</w:t>
      </w:r>
      <w:r w:rsidRPr="007258AD">
        <w:rPr>
          <w:rStyle w:val="None"/>
          <w:rFonts w:cs="Calibri"/>
          <w:vertAlign w:val="superscript"/>
          <w:lang w:val="en-GB"/>
        </w:rPr>
        <w:t>3</w:t>
      </w:r>
      <w:r w:rsidRPr="007258AD">
        <w:rPr>
          <w:rStyle w:val="None"/>
          <w:rFonts w:cs="Calibri"/>
          <w:lang w:val="en-GB"/>
        </w:rPr>
        <w:t xml:space="preserve"> </w:t>
      </w:r>
    </w:p>
    <w:p w14:paraId="6F63DE78" w14:textId="7BA7B758" w:rsidR="00FD7AAB" w:rsidRPr="007258AD" w:rsidRDefault="00684A1E" w:rsidP="007258AD">
      <w:pPr>
        <w:pStyle w:val="BodyA"/>
        <w:spacing w:line="360" w:lineRule="auto"/>
        <w:rPr>
          <w:rStyle w:val="None"/>
          <w:rFonts w:cs="Calibri"/>
          <w:lang w:val="en-GB"/>
        </w:rPr>
      </w:pPr>
      <w:r w:rsidRPr="007258AD">
        <w:rPr>
          <w:rStyle w:val="None"/>
          <w:rFonts w:cs="Calibri"/>
          <w:lang w:val="en-GB"/>
        </w:rPr>
        <w:t>In a small cohort of patients with a clinical history of immediate PEG hypersensitivity, anti-PEG-</w:t>
      </w:r>
      <w:proofErr w:type="spellStart"/>
      <w:r w:rsidRPr="007258AD">
        <w:rPr>
          <w:rStyle w:val="None"/>
          <w:rFonts w:cs="Calibri"/>
          <w:lang w:val="en-GB"/>
        </w:rPr>
        <w:t>sIgE</w:t>
      </w:r>
      <w:proofErr w:type="spellEnd"/>
      <w:r w:rsidRPr="007258AD">
        <w:rPr>
          <w:rStyle w:val="None"/>
          <w:rFonts w:cs="Calibri"/>
          <w:lang w:val="en-GB"/>
        </w:rPr>
        <w:t xml:space="preserve">, PEG reactivity on skin testing, and </w:t>
      </w:r>
      <w:r w:rsidR="00790FCA" w:rsidRPr="007258AD">
        <w:rPr>
          <w:rStyle w:val="None"/>
          <w:rFonts w:cs="Calibri"/>
          <w:lang w:val="en-GB"/>
        </w:rPr>
        <w:t>PEG-induced</w:t>
      </w:r>
      <w:r w:rsidRPr="007258AD">
        <w:rPr>
          <w:rStyle w:val="None"/>
          <w:rFonts w:cs="Calibri"/>
          <w:lang w:val="en-GB"/>
        </w:rPr>
        <w:t xml:space="preserve"> basophil activation have been demonstrated. </w:t>
      </w:r>
      <w:r w:rsidRPr="007258AD">
        <w:rPr>
          <w:rStyle w:val="None"/>
          <w:rFonts w:cs="Calibri"/>
          <w:vertAlign w:val="superscript"/>
          <w:lang w:val="en-GB"/>
        </w:rPr>
        <w:t>3, 4, 7</w:t>
      </w:r>
      <w:r w:rsidRPr="007258AD">
        <w:rPr>
          <w:rStyle w:val="None"/>
          <w:rFonts w:cs="Calibri"/>
          <w:lang w:val="en-GB"/>
        </w:rPr>
        <w:t xml:space="preserve"> However</w:t>
      </w:r>
      <w:r w:rsidR="00790FCA" w:rsidRPr="007258AD">
        <w:rPr>
          <w:rStyle w:val="None"/>
          <w:rFonts w:cs="Calibri"/>
          <w:lang w:val="en-GB"/>
        </w:rPr>
        <w:t>, to date,</w:t>
      </w:r>
      <w:r w:rsidRPr="007258AD">
        <w:rPr>
          <w:rStyle w:val="None"/>
          <w:rFonts w:cs="Calibri"/>
          <w:lang w:val="en-GB"/>
        </w:rPr>
        <w:t xml:space="preserve"> there is no international consensus on protocols for investigating and managing PEG hypersensitivity.</w:t>
      </w:r>
    </w:p>
    <w:p w14:paraId="655AA577" w14:textId="77777777" w:rsidR="00FD7AAB" w:rsidRPr="007258AD" w:rsidRDefault="00FD7AAB" w:rsidP="007258AD">
      <w:pPr>
        <w:pStyle w:val="BodyA"/>
        <w:spacing w:line="360" w:lineRule="auto"/>
        <w:rPr>
          <w:rStyle w:val="None"/>
          <w:rFonts w:cs="Calibri"/>
          <w:lang w:val="en-GB"/>
        </w:rPr>
      </w:pPr>
    </w:p>
    <w:p w14:paraId="523990BE" w14:textId="77777777" w:rsidR="00223EB0" w:rsidRPr="007258AD" w:rsidRDefault="00223EB0" w:rsidP="007258AD">
      <w:pPr>
        <w:spacing w:line="360" w:lineRule="auto"/>
        <w:rPr>
          <w:rStyle w:val="Hyperlink0"/>
          <w:rFonts w:ascii="Calibri" w:hAnsi="Calibri" w:cs="Calibri"/>
          <w:sz w:val="22"/>
          <w:szCs w:val="22"/>
          <w:lang w:val="en-GB" w:eastAsia="en-GB"/>
          <w14:textOutline w14:w="12700" w14:cap="flat" w14:cmpd="sng" w14:algn="ctr">
            <w14:noFill/>
            <w14:prstDash w14:val="solid"/>
            <w14:miter w14:lim="400000"/>
          </w14:textOutline>
        </w:rPr>
      </w:pPr>
      <w:r w:rsidRPr="007258AD">
        <w:rPr>
          <w:rStyle w:val="Hyperlink0"/>
          <w:rFonts w:ascii="Calibri" w:hAnsi="Calibri" w:cs="Calibri"/>
          <w:sz w:val="22"/>
          <w:szCs w:val="22"/>
          <w:lang w:val="en-GB"/>
        </w:rPr>
        <w:br w:type="page"/>
      </w:r>
    </w:p>
    <w:p w14:paraId="618ABA71" w14:textId="0224A0CD" w:rsidR="00FD7AAB" w:rsidRPr="007258AD" w:rsidRDefault="00684A1E" w:rsidP="007258AD">
      <w:pPr>
        <w:pStyle w:val="BodyA"/>
        <w:spacing w:line="360" w:lineRule="auto"/>
        <w:rPr>
          <w:rStyle w:val="Hyperlink0"/>
          <w:rFonts w:cs="Calibri"/>
          <w:lang w:val="en-GB"/>
        </w:rPr>
      </w:pPr>
      <w:r w:rsidRPr="007258AD">
        <w:rPr>
          <w:rStyle w:val="Hyperlink0"/>
          <w:rFonts w:cs="Calibri"/>
          <w:lang w:val="en-GB"/>
        </w:rPr>
        <w:lastRenderedPageBreak/>
        <w:t>Methods:</w:t>
      </w:r>
    </w:p>
    <w:p w14:paraId="221F76B1" w14:textId="77777777" w:rsidR="00FD7AAB" w:rsidRPr="007258AD" w:rsidRDefault="00684A1E" w:rsidP="007258AD">
      <w:pPr>
        <w:pStyle w:val="BodyA"/>
        <w:spacing w:line="360" w:lineRule="auto"/>
        <w:rPr>
          <w:rStyle w:val="None"/>
          <w:rFonts w:cs="Calibri"/>
          <w:i/>
          <w:iCs/>
          <w:u w:val="single"/>
          <w:lang w:val="en-GB"/>
        </w:rPr>
      </w:pPr>
      <w:r w:rsidRPr="007258AD">
        <w:rPr>
          <w:rStyle w:val="None"/>
          <w:rFonts w:cs="Calibri"/>
          <w:lang w:val="en-GB"/>
        </w:rPr>
        <w:tab/>
      </w:r>
      <w:r w:rsidRPr="007258AD">
        <w:rPr>
          <w:rStyle w:val="None"/>
          <w:rFonts w:cs="Calibri"/>
          <w:i/>
          <w:iCs/>
          <w:u w:val="single"/>
          <w:lang w:val="en-GB"/>
        </w:rPr>
        <w:t>Patients</w:t>
      </w:r>
    </w:p>
    <w:p w14:paraId="2C191E86" w14:textId="7013BF21"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This multi-centre retrospective study comprised adult patients referred to four </w:t>
      </w:r>
      <w:r w:rsidR="005D58E7" w:rsidRPr="007258AD">
        <w:rPr>
          <w:rStyle w:val="None"/>
          <w:rFonts w:cs="Calibri"/>
          <w:lang w:val="en-GB"/>
        </w:rPr>
        <w:t xml:space="preserve">UK </w:t>
      </w:r>
      <w:r w:rsidRPr="007258AD">
        <w:rPr>
          <w:rStyle w:val="None"/>
          <w:rFonts w:cs="Calibri"/>
          <w:lang w:val="en-GB"/>
        </w:rPr>
        <w:t>tertiary allergy</w:t>
      </w:r>
      <w:r w:rsidR="00790FCA" w:rsidRPr="007258AD">
        <w:rPr>
          <w:rStyle w:val="None"/>
          <w:rFonts w:cs="Calibri"/>
          <w:lang w:val="en-GB"/>
        </w:rPr>
        <w:t xml:space="preserve"> </w:t>
      </w:r>
      <w:r w:rsidRPr="007258AD">
        <w:rPr>
          <w:rStyle w:val="None"/>
          <w:rFonts w:cs="Calibri"/>
          <w:lang w:val="en-GB"/>
        </w:rPr>
        <w:t>centres: Guy</w:t>
      </w:r>
      <w:r w:rsidRPr="007258AD">
        <w:rPr>
          <w:rStyle w:val="None"/>
          <w:rFonts w:cs="Calibri"/>
          <w:rtl/>
          <w:lang w:val="en-GB"/>
        </w:rPr>
        <w:t>’</w:t>
      </w:r>
      <w:r w:rsidRPr="007258AD">
        <w:rPr>
          <w:rStyle w:val="None"/>
          <w:rFonts w:cs="Calibri"/>
          <w:lang w:val="en-GB"/>
        </w:rPr>
        <w:t>s and St Thomas</w:t>
      </w:r>
      <w:r w:rsidRPr="007258AD">
        <w:rPr>
          <w:rStyle w:val="None"/>
          <w:rFonts w:cs="Calibri"/>
          <w:rtl/>
          <w:lang w:val="en-GB"/>
        </w:rPr>
        <w:t xml:space="preserve">’ </w:t>
      </w:r>
      <w:r w:rsidRPr="007258AD">
        <w:rPr>
          <w:rStyle w:val="None"/>
          <w:rFonts w:cs="Calibri"/>
          <w:lang w:val="en-GB"/>
        </w:rPr>
        <w:t>NHS Foundation Trust (London), Cambridge University Hospitals NHS Foundation Trust (Cambridge), Royal Liverpool and Broadgreen University Hospital, NHS Foundation Trust (Liverpool) and Sheffield Teaching Hospitals NHS Foundation Trust (Sheffield).</w:t>
      </w:r>
    </w:p>
    <w:p w14:paraId="5AB4B353" w14:textId="6437C304"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The medical records of patients investigated for suspected immediate PEG hypersensitivity between </w:t>
      </w:r>
      <w:bookmarkStart w:id="1" w:name="_Hlk89009970"/>
      <w:r w:rsidRPr="007258AD">
        <w:rPr>
          <w:rStyle w:val="None"/>
          <w:rFonts w:cs="Calibri"/>
          <w:lang w:val="en-GB"/>
        </w:rPr>
        <w:t xml:space="preserve">October 2013 and December 2020 </w:t>
      </w:r>
      <w:bookmarkEnd w:id="1"/>
      <w:r w:rsidRPr="007258AD">
        <w:rPr>
          <w:rStyle w:val="None"/>
          <w:rFonts w:cs="Calibri"/>
          <w:lang w:val="en-GB"/>
        </w:rPr>
        <w:t>were reviewed.</w:t>
      </w:r>
      <w:r w:rsidR="00004F3A" w:rsidRPr="007258AD">
        <w:rPr>
          <w:rStyle w:val="None"/>
          <w:rFonts w:cs="Calibri"/>
          <w:lang w:val="en-GB"/>
        </w:rPr>
        <w:t xml:space="preserve"> Our cohort </w:t>
      </w:r>
      <w:r w:rsidR="00664D8E" w:rsidRPr="007258AD">
        <w:rPr>
          <w:rStyle w:val="None"/>
          <w:rFonts w:cs="Calibri"/>
          <w:lang w:val="en-GB"/>
        </w:rPr>
        <w:t>encompassed</w:t>
      </w:r>
      <w:r w:rsidR="00004F3A" w:rsidRPr="007258AD">
        <w:rPr>
          <w:rStyle w:val="None"/>
          <w:rFonts w:cs="Calibri"/>
          <w:lang w:val="en-GB"/>
        </w:rPr>
        <w:t xml:space="preserve"> patients with a high clinician-determined pre-test probability of PEG excipient allergy.</w:t>
      </w:r>
      <w:r w:rsidRPr="007258AD">
        <w:rPr>
          <w:rStyle w:val="None"/>
          <w:rFonts w:cs="Calibri"/>
          <w:lang w:val="en-GB"/>
        </w:rPr>
        <w:t xml:space="preserve"> Data collected included demographics, past medical history, symptoms of index reaction, index reaction severity using Brown</w:t>
      </w:r>
      <w:r w:rsidRPr="007258AD">
        <w:rPr>
          <w:rStyle w:val="None"/>
          <w:rFonts w:cs="Calibri"/>
          <w:rtl/>
          <w:lang w:val="en-GB"/>
        </w:rPr>
        <w:t>’</w:t>
      </w:r>
      <w:r w:rsidRPr="007258AD">
        <w:rPr>
          <w:rStyle w:val="None"/>
          <w:rFonts w:cs="Calibri"/>
          <w:lang w:val="en-GB"/>
        </w:rPr>
        <w:t>s severity scale</w:t>
      </w:r>
      <w:r w:rsidR="009F3B4D" w:rsidRPr="007258AD">
        <w:rPr>
          <w:rStyle w:val="None"/>
          <w:rFonts w:cs="Calibri"/>
          <w:lang w:val="en-GB"/>
        </w:rPr>
        <w:t xml:space="preserve"> (</w:t>
      </w:r>
      <w:bookmarkStart w:id="2" w:name="_Hlk129515446"/>
      <w:r w:rsidR="00A326E8" w:rsidRPr="007258AD">
        <w:rPr>
          <w:rStyle w:val="None"/>
          <w:rFonts w:cs="Calibri"/>
          <w:lang w:val="en-GB"/>
        </w:rPr>
        <w:t>Table E2</w:t>
      </w:r>
      <w:bookmarkEnd w:id="2"/>
      <w:r w:rsidR="009F3B4D" w:rsidRPr="007258AD">
        <w:rPr>
          <w:rStyle w:val="None"/>
          <w:rFonts w:cs="Calibri"/>
          <w:lang w:val="en-GB"/>
        </w:rPr>
        <w:t>)</w:t>
      </w:r>
      <w:r w:rsidRPr="007258AD">
        <w:rPr>
          <w:rStyle w:val="None"/>
          <w:rFonts w:cs="Calibri"/>
          <w:vertAlign w:val="superscript"/>
          <w:lang w:val="en-GB"/>
        </w:rPr>
        <w:t>8</w:t>
      </w:r>
      <w:r w:rsidRPr="007258AD">
        <w:rPr>
          <w:rStyle w:val="None"/>
          <w:rFonts w:cs="Calibri"/>
          <w:lang w:val="en-GB"/>
        </w:rPr>
        <w:t>, index drug and route of administration, interval between testing and index reaction, acute and baseline serum mast cell tryptase results, and outcomes of PEG hypersensitivity investigations.</w:t>
      </w:r>
    </w:p>
    <w:p w14:paraId="61505D47" w14:textId="204B8BAC" w:rsidR="00FD7AAB" w:rsidRPr="007258AD" w:rsidRDefault="00684A1E" w:rsidP="007258AD">
      <w:pPr>
        <w:pStyle w:val="BodyA"/>
        <w:spacing w:line="360" w:lineRule="auto"/>
        <w:rPr>
          <w:rStyle w:val="None"/>
          <w:rFonts w:cs="Calibri"/>
          <w:lang w:val="en-GB"/>
        </w:rPr>
      </w:pPr>
      <w:r w:rsidRPr="007258AD">
        <w:rPr>
          <w:rStyle w:val="None"/>
          <w:rFonts w:cs="Calibri"/>
          <w:lang w:val="en-GB"/>
        </w:rPr>
        <w:t>Ethical approval for this retrospective anonymi</w:t>
      </w:r>
      <w:r w:rsidR="00004F3A" w:rsidRPr="007258AD">
        <w:rPr>
          <w:rStyle w:val="None"/>
          <w:rFonts w:cs="Calibri"/>
          <w:lang w:val="en-GB"/>
        </w:rPr>
        <w:t>s</w:t>
      </w:r>
      <w:r w:rsidRPr="007258AD">
        <w:rPr>
          <w:rStyle w:val="None"/>
          <w:rFonts w:cs="Calibri"/>
          <w:lang w:val="en-GB"/>
        </w:rPr>
        <w:t xml:space="preserve">ed study was not required in the United Kingdom. All data collected were obtained purely for clinical reasons, and no patient-identifiable information was available to clinicians who were not part of the clinical care team. </w:t>
      </w:r>
    </w:p>
    <w:p w14:paraId="63175CBC" w14:textId="77777777" w:rsidR="00FD7AAB" w:rsidRPr="007258AD" w:rsidRDefault="00684A1E" w:rsidP="007258AD">
      <w:pPr>
        <w:pStyle w:val="BodyA"/>
        <w:spacing w:line="360" w:lineRule="auto"/>
        <w:rPr>
          <w:rStyle w:val="None"/>
          <w:rFonts w:cs="Calibri"/>
          <w:i/>
          <w:iCs/>
          <w:u w:val="single"/>
          <w:lang w:val="en-GB"/>
        </w:rPr>
      </w:pPr>
      <w:r w:rsidRPr="007258AD">
        <w:rPr>
          <w:rStyle w:val="None"/>
          <w:rFonts w:cs="Calibri"/>
          <w:lang w:val="en-GB"/>
        </w:rPr>
        <w:tab/>
      </w:r>
      <w:r w:rsidRPr="007258AD">
        <w:rPr>
          <w:rStyle w:val="None"/>
          <w:rFonts w:cs="Calibri"/>
          <w:i/>
          <w:iCs/>
          <w:u w:val="single"/>
          <w:lang w:val="en-GB"/>
        </w:rPr>
        <w:t>Allergy work-up</w:t>
      </w:r>
    </w:p>
    <w:p w14:paraId="124D8060" w14:textId="65D00377" w:rsidR="00FD7AAB" w:rsidRPr="007258AD" w:rsidRDefault="00684A1E" w:rsidP="007258AD">
      <w:pPr>
        <w:pStyle w:val="BodyA"/>
        <w:spacing w:line="360" w:lineRule="auto"/>
        <w:rPr>
          <w:rStyle w:val="None"/>
          <w:rFonts w:cs="Calibri"/>
          <w:lang w:val="en-GB"/>
        </w:rPr>
      </w:pPr>
      <w:r w:rsidRPr="007258AD">
        <w:rPr>
          <w:rStyle w:val="None"/>
          <w:rFonts w:cs="Calibri"/>
          <w:lang w:val="en-GB"/>
        </w:rPr>
        <w:t>Patients underwent skin prick (SPT) and</w:t>
      </w:r>
      <w:r w:rsidR="00790FCA" w:rsidRPr="007258AD">
        <w:rPr>
          <w:rStyle w:val="None"/>
          <w:rFonts w:cs="Calibri"/>
          <w:lang w:val="en-GB"/>
        </w:rPr>
        <w:t>, where appropriate,</w:t>
      </w:r>
      <w:r w:rsidRPr="007258AD">
        <w:rPr>
          <w:rStyle w:val="None"/>
          <w:rFonts w:cs="Calibri"/>
          <w:lang w:val="en-GB"/>
        </w:rPr>
        <w:t xml:space="preserve"> intradermal testing (IDT). Skin test (SPT and IDT) negative patients also underwent drug provocation testing (DPT). </w:t>
      </w:r>
    </w:p>
    <w:p w14:paraId="4242A1D1" w14:textId="77777777" w:rsidR="00FD7AAB" w:rsidRPr="007258AD" w:rsidRDefault="00684A1E" w:rsidP="007258AD">
      <w:pPr>
        <w:pStyle w:val="BodyA"/>
        <w:spacing w:after="0" w:line="360" w:lineRule="auto"/>
        <w:rPr>
          <w:rStyle w:val="None"/>
          <w:rFonts w:cs="Calibri"/>
          <w:lang w:val="en-GB"/>
        </w:rPr>
      </w:pPr>
      <w:r w:rsidRPr="007258AD">
        <w:rPr>
          <w:rStyle w:val="None"/>
          <w:rFonts w:cs="Calibri"/>
          <w:lang w:val="en-GB"/>
        </w:rPr>
        <w:t xml:space="preserve">Skin tests were performed with the index drug and/or the index MW PEG. SPT and IDT were considered positive if wheal size or wheal expansion was </w:t>
      </w:r>
      <w:r w:rsidRPr="007258AD">
        <w:rPr>
          <w:rStyle w:val="None"/>
          <w:rFonts w:cs="Calibri"/>
          <w:u w:color="555555"/>
          <w:lang w:val="en-GB"/>
        </w:rPr>
        <w:t xml:space="preserve">≥ </w:t>
      </w:r>
      <w:r w:rsidRPr="007258AD">
        <w:rPr>
          <w:rStyle w:val="None"/>
          <w:rFonts w:cs="Calibri"/>
          <w:lang w:val="en-GB"/>
        </w:rPr>
        <w:t>3mm at 15-20 minutes. Sodium chloride 0.9% and histamine dihydrochloride at 10mg/ml were used as negative and positive controls respectively.</w:t>
      </w:r>
    </w:p>
    <w:p w14:paraId="11469895" w14:textId="77777777" w:rsidR="00FD7AAB" w:rsidRPr="007258AD" w:rsidRDefault="00FD7AAB" w:rsidP="007258AD">
      <w:pPr>
        <w:pStyle w:val="BodyA"/>
        <w:spacing w:after="0" w:line="360" w:lineRule="auto"/>
        <w:rPr>
          <w:rStyle w:val="None"/>
          <w:rFonts w:cs="Calibri"/>
          <w:lang w:val="en-GB"/>
        </w:rPr>
      </w:pPr>
    </w:p>
    <w:p w14:paraId="5C5854CF" w14:textId="77777777" w:rsidR="00FD7AAB" w:rsidRPr="007258AD" w:rsidRDefault="00684A1E" w:rsidP="007258AD">
      <w:pPr>
        <w:pStyle w:val="BodyA"/>
        <w:spacing w:line="360" w:lineRule="auto"/>
        <w:ind w:firstLine="720"/>
        <w:rPr>
          <w:rStyle w:val="None"/>
          <w:rFonts w:cs="Calibri"/>
          <w:i/>
          <w:iCs/>
          <w:u w:val="single"/>
          <w:lang w:val="en-GB"/>
        </w:rPr>
      </w:pPr>
      <w:r w:rsidRPr="007258AD">
        <w:rPr>
          <w:rStyle w:val="None"/>
          <w:rFonts w:cs="Calibri"/>
          <w:i/>
          <w:iCs/>
          <w:u w:val="single"/>
          <w:lang w:val="en-GB"/>
        </w:rPr>
        <w:t>SPT and IDT concentrations</w:t>
      </w:r>
    </w:p>
    <w:p w14:paraId="43BA6A62" w14:textId="77777777" w:rsidR="00FD7AAB" w:rsidRPr="007258AD" w:rsidRDefault="00684A1E" w:rsidP="007258AD">
      <w:pPr>
        <w:pStyle w:val="BodyA"/>
        <w:spacing w:after="0" w:line="360" w:lineRule="auto"/>
        <w:rPr>
          <w:rStyle w:val="None"/>
          <w:rFonts w:cs="Calibri"/>
          <w:lang w:val="en-GB"/>
        </w:rPr>
      </w:pPr>
      <w:r w:rsidRPr="007258AD">
        <w:rPr>
          <w:rStyle w:val="None"/>
          <w:rFonts w:cs="Calibri"/>
          <w:lang w:val="en-GB"/>
        </w:rPr>
        <w:t>Across the four centres, PEG3350 or 4000 SPTs were performed using Macrogol Oral Powder (Galen Ltd, UK), Movicol (</w:t>
      </w:r>
      <w:proofErr w:type="spellStart"/>
      <w:r w:rsidRPr="007258AD">
        <w:rPr>
          <w:rStyle w:val="None"/>
          <w:rFonts w:cs="Calibri"/>
          <w:lang w:val="en-GB"/>
        </w:rPr>
        <w:t>Norgine</w:t>
      </w:r>
      <w:proofErr w:type="spellEnd"/>
      <w:r w:rsidRPr="007258AD">
        <w:rPr>
          <w:rStyle w:val="None"/>
          <w:rFonts w:cs="Calibri"/>
          <w:lang w:val="en-GB"/>
        </w:rPr>
        <w:t xml:space="preserve"> Ltd, UK) or </w:t>
      </w:r>
      <w:proofErr w:type="spellStart"/>
      <w:r w:rsidRPr="007258AD">
        <w:rPr>
          <w:rStyle w:val="None"/>
          <w:rFonts w:cs="Calibri"/>
          <w:lang w:val="en-GB"/>
        </w:rPr>
        <w:t>Peglax</w:t>
      </w:r>
      <w:proofErr w:type="spellEnd"/>
      <w:r w:rsidRPr="007258AD">
        <w:rPr>
          <w:rStyle w:val="None"/>
          <w:rFonts w:cs="Calibri"/>
          <w:lang w:val="en-GB"/>
        </w:rPr>
        <w:t xml:space="preserve"> (Casen </w:t>
      </w:r>
      <w:proofErr w:type="spellStart"/>
      <w:r w:rsidRPr="007258AD">
        <w:rPr>
          <w:rStyle w:val="None"/>
          <w:rFonts w:cs="Calibri"/>
          <w:lang w:val="en-GB"/>
        </w:rPr>
        <w:t>Recordati</w:t>
      </w:r>
      <w:proofErr w:type="spellEnd"/>
      <w:r w:rsidRPr="007258AD">
        <w:rPr>
          <w:rStyle w:val="None"/>
          <w:rFonts w:cs="Calibri"/>
          <w:lang w:val="en-GB"/>
        </w:rPr>
        <w:t xml:space="preserve">, Spain) dissolved in water for injection to give a 100mg/mL (10%) solution. Further 10-fold dilutions in 0.9% sodium chloride were performed to obtain final concentrations ranging from 1:10 (10%) to 1:1,000 (0.1%) for SPT and 1:1,000 (0.1%) to a maximum of 1:100 (1%) for IDT. </w:t>
      </w:r>
    </w:p>
    <w:p w14:paraId="618FFBA1" w14:textId="77777777" w:rsidR="00FD7AAB" w:rsidRPr="007258AD" w:rsidRDefault="00FD7AAB" w:rsidP="007258AD">
      <w:pPr>
        <w:pStyle w:val="BodyA"/>
        <w:spacing w:after="0" w:line="360" w:lineRule="auto"/>
        <w:rPr>
          <w:rStyle w:val="None"/>
          <w:rFonts w:cs="Calibri"/>
          <w:lang w:val="en-GB"/>
        </w:rPr>
      </w:pPr>
    </w:p>
    <w:p w14:paraId="6BB53B02" w14:textId="609FED37" w:rsidR="00FD7AAB" w:rsidRPr="007258AD" w:rsidRDefault="00684A1E" w:rsidP="007258AD">
      <w:pPr>
        <w:pStyle w:val="BodyA"/>
        <w:spacing w:after="0" w:line="360" w:lineRule="auto"/>
        <w:rPr>
          <w:rStyle w:val="None"/>
          <w:rFonts w:cs="Calibri"/>
          <w:lang w:val="en-GB"/>
        </w:rPr>
      </w:pPr>
      <w:r w:rsidRPr="007258AD">
        <w:rPr>
          <w:rStyle w:val="None"/>
          <w:rFonts w:cs="Calibri"/>
          <w:lang w:val="en-GB"/>
        </w:rPr>
        <w:lastRenderedPageBreak/>
        <w:t xml:space="preserve"> Full list of drugs and concentrations/dilutions used for SPT and IDT presented in (</w:t>
      </w:r>
      <w:r w:rsidR="001D5F13" w:rsidRPr="007258AD">
        <w:rPr>
          <w:rStyle w:val="None"/>
          <w:rFonts w:cs="Calibri"/>
          <w:lang w:val="en-GB"/>
        </w:rPr>
        <w:t>Table E3</w:t>
      </w:r>
      <w:r w:rsidR="00B9219E" w:rsidRPr="007258AD">
        <w:rPr>
          <w:rStyle w:val="None"/>
          <w:rFonts w:cs="Calibri"/>
          <w:lang w:val="en-GB"/>
        </w:rPr>
        <w:t>)</w:t>
      </w:r>
      <w:r w:rsidRPr="007258AD">
        <w:rPr>
          <w:rStyle w:val="None"/>
          <w:rFonts w:cs="Calibri"/>
          <w:lang w:val="en-GB"/>
        </w:rPr>
        <w:t>.</w:t>
      </w:r>
    </w:p>
    <w:p w14:paraId="22A5AEAB" w14:textId="77777777" w:rsidR="00FD7AAB" w:rsidRPr="007258AD" w:rsidRDefault="00FD7AAB" w:rsidP="007258AD">
      <w:pPr>
        <w:pStyle w:val="BodyA"/>
        <w:spacing w:after="0" w:line="360" w:lineRule="auto"/>
        <w:rPr>
          <w:rStyle w:val="None"/>
          <w:rFonts w:cs="Calibri"/>
          <w:lang w:val="en-GB"/>
        </w:rPr>
      </w:pPr>
    </w:p>
    <w:p w14:paraId="492AA22C" w14:textId="52D33B84" w:rsidR="00FD7AAB" w:rsidRPr="007258AD" w:rsidRDefault="00684A1E" w:rsidP="007258AD">
      <w:pPr>
        <w:pStyle w:val="BodyA"/>
        <w:spacing w:line="360" w:lineRule="auto"/>
        <w:rPr>
          <w:rStyle w:val="None"/>
          <w:rFonts w:cs="Calibri"/>
          <w:lang w:val="en-GB"/>
        </w:rPr>
      </w:pPr>
      <w:r w:rsidRPr="007258AD">
        <w:rPr>
          <w:rStyle w:val="None"/>
          <w:rFonts w:cs="Calibri"/>
          <w:lang w:val="en-GB"/>
        </w:rPr>
        <w:t>In a subgroup of patients</w:t>
      </w:r>
      <w:r w:rsidR="00790FCA" w:rsidRPr="007258AD">
        <w:rPr>
          <w:rStyle w:val="None"/>
          <w:rFonts w:cs="Calibri"/>
          <w:lang w:val="en-GB"/>
        </w:rPr>
        <w:t>,</w:t>
      </w:r>
      <w:r w:rsidRPr="007258AD">
        <w:rPr>
          <w:rStyle w:val="None"/>
          <w:rFonts w:cs="Calibri"/>
          <w:lang w:val="en-GB"/>
        </w:rPr>
        <w:t xml:space="preserve"> skin tests were not limited to the index MW PEG. Those patients also underwent SPT/IDT to a range of PEG MWs (200 - 20,000 PEG molecules) (Sigma-Aldrich, US)</w:t>
      </w:r>
      <w:r w:rsidR="00DD724D" w:rsidRPr="007258AD">
        <w:rPr>
          <w:rStyle w:val="None"/>
          <w:rFonts w:cs="Calibri"/>
          <w:lang w:val="en-GB"/>
        </w:rPr>
        <w:t xml:space="preserve"> prepared by lab scientists with appropriate authorisation and </w:t>
      </w:r>
      <w:r w:rsidR="00C250F1" w:rsidRPr="007258AD">
        <w:rPr>
          <w:rStyle w:val="None"/>
          <w:rFonts w:cs="Calibri"/>
          <w:lang w:val="en-GB"/>
        </w:rPr>
        <w:t>adhering to</w:t>
      </w:r>
      <w:r w:rsidR="00DD724D" w:rsidRPr="007258AD">
        <w:rPr>
          <w:rStyle w:val="None"/>
          <w:rFonts w:cs="Calibri"/>
          <w:lang w:val="en-GB"/>
        </w:rPr>
        <w:t xml:space="preserve"> </w:t>
      </w:r>
      <w:r w:rsidR="00C250F1" w:rsidRPr="007258AD">
        <w:rPr>
          <w:rStyle w:val="None"/>
          <w:rFonts w:cs="Calibri"/>
          <w:lang w:val="en-GB"/>
        </w:rPr>
        <w:t>well described and tolerated approaches</w:t>
      </w:r>
      <w:r w:rsidRPr="007258AD">
        <w:rPr>
          <w:rStyle w:val="None"/>
          <w:rFonts w:cs="Calibri"/>
          <w:lang w:val="en-GB"/>
        </w:rPr>
        <w:t>.</w:t>
      </w:r>
      <w:r w:rsidR="0095527F" w:rsidRPr="007258AD">
        <w:rPr>
          <w:rStyle w:val="Hyperlink"/>
          <w:rFonts w:cs="Calibri"/>
          <w:u w:val="none"/>
          <w:vertAlign w:val="superscript"/>
          <w:lang w:val="en-GB"/>
        </w:rPr>
        <w:t>9</w:t>
      </w:r>
      <w:r w:rsidR="005D0D67" w:rsidRPr="007258AD">
        <w:rPr>
          <w:rStyle w:val="None"/>
          <w:rFonts w:cs="Calibri"/>
          <w:lang w:val="en-GB"/>
        </w:rPr>
        <w:t xml:space="preserve"> </w:t>
      </w:r>
      <w:r w:rsidRPr="007258AD">
        <w:rPr>
          <w:rStyle w:val="None"/>
          <w:rFonts w:cs="Calibri"/>
          <w:lang w:val="en-GB"/>
        </w:rPr>
        <w:t xml:space="preserve"> Skin tests to polysorbate 80 (PS80, Sigma-Aldrich, US) were only conducted within this subset.</w:t>
      </w:r>
    </w:p>
    <w:p w14:paraId="039C59D7" w14:textId="54882022" w:rsidR="00FD7AAB" w:rsidRPr="007258AD" w:rsidRDefault="00684A1E" w:rsidP="007258AD">
      <w:pPr>
        <w:pStyle w:val="BodyA"/>
        <w:spacing w:line="360" w:lineRule="auto"/>
        <w:rPr>
          <w:rStyle w:val="None"/>
          <w:rFonts w:cs="Calibri"/>
          <w:lang w:val="en-GB"/>
        </w:rPr>
      </w:pPr>
      <w:r w:rsidRPr="007258AD">
        <w:rPr>
          <w:rStyle w:val="None"/>
          <w:rFonts w:cs="Calibri"/>
          <w:lang w:val="en-GB"/>
        </w:rPr>
        <w:t>A further subgroup of patients underwent PEG 3350 IDT using depo-methylprednisolone (Pfizer Ltd, UK)</w:t>
      </w:r>
      <w:bookmarkStart w:id="3" w:name="_Hlk123034760"/>
      <w:r w:rsidRPr="007258AD">
        <w:rPr>
          <w:rStyle w:val="None"/>
          <w:rFonts w:cs="Calibri"/>
          <w:lang w:val="en-GB"/>
        </w:rPr>
        <w:t xml:space="preserve">, a drug they were naïve to. </w:t>
      </w:r>
      <w:bookmarkEnd w:id="3"/>
      <w:r w:rsidRPr="007258AD">
        <w:rPr>
          <w:rStyle w:val="None"/>
          <w:rFonts w:cs="Calibri"/>
          <w:lang w:val="en-GB"/>
        </w:rPr>
        <w:t>Depo-medroxyprogesterone (Pfizer Ltd, UK) was used for IDT when it was the index drug in this sub-group. Depo-medroxyprogesterone IDT concentrations ranged from 0.203mg/mL (0.0203%) to 2.03mg/mL (0.203%) of PEG. Depo-methylprednisolone IDT concentrations ranged from 0.29mg/mL (0.029%) to 2.9mg/mL (0.29%) of PEG</w:t>
      </w:r>
    </w:p>
    <w:p w14:paraId="202F3724" w14:textId="26FB3838" w:rsidR="00FD7AAB" w:rsidRPr="007258AD" w:rsidRDefault="00684A1E" w:rsidP="007258AD">
      <w:pPr>
        <w:pStyle w:val="BodyA"/>
        <w:spacing w:line="360" w:lineRule="auto"/>
        <w:rPr>
          <w:rStyle w:val="None"/>
          <w:rFonts w:cs="Calibri"/>
          <w:lang w:val="en-GB"/>
        </w:rPr>
      </w:pPr>
      <w:r w:rsidRPr="007258AD">
        <w:rPr>
          <w:rStyle w:val="None"/>
          <w:rFonts w:cs="Calibri"/>
          <w:lang w:val="en-GB"/>
        </w:rPr>
        <w:t>In addition to skin testing using the index drug, reliant on test centre and availability, patients underwent skin testing to the PEG-free version of their index drug using non-irritant concentrations as recommended by</w:t>
      </w:r>
      <w:r w:rsidR="00083AE4" w:rsidRPr="007258AD">
        <w:rPr>
          <w:rStyle w:val="None"/>
          <w:rFonts w:cs="Calibri"/>
          <w:lang w:val="en-GB"/>
        </w:rPr>
        <w:t xml:space="preserve"> the European Network on Drug Allergy (ENDA)</w:t>
      </w:r>
      <w:r w:rsidRPr="007258AD">
        <w:rPr>
          <w:rStyle w:val="None"/>
          <w:rFonts w:cs="Calibri"/>
          <w:lang w:val="en-GB"/>
        </w:rPr>
        <w:t>.</w:t>
      </w:r>
      <w:r w:rsidR="0095527F" w:rsidRPr="007258AD">
        <w:rPr>
          <w:rStyle w:val="None"/>
          <w:rFonts w:cs="Calibri"/>
          <w:vertAlign w:val="superscript"/>
          <w:lang w:val="en-GB"/>
        </w:rPr>
        <w:t>10</w:t>
      </w:r>
    </w:p>
    <w:p w14:paraId="4E633618" w14:textId="77777777" w:rsidR="00FD7AAB" w:rsidRPr="007258AD" w:rsidRDefault="00684A1E" w:rsidP="007258AD">
      <w:pPr>
        <w:pStyle w:val="BodyA"/>
        <w:spacing w:line="360" w:lineRule="auto"/>
        <w:ind w:firstLine="720"/>
        <w:rPr>
          <w:rStyle w:val="None"/>
          <w:rFonts w:cs="Calibri"/>
          <w:i/>
          <w:iCs/>
          <w:u w:val="single"/>
          <w:lang w:val="en-GB"/>
        </w:rPr>
      </w:pPr>
      <w:r w:rsidRPr="007258AD">
        <w:rPr>
          <w:rStyle w:val="None"/>
          <w:rFonts w:cs="Calibri"/>
          <w:i/>
          <w:iCs/>
          <w:u w:val="single"/>
          <w:lang w:val="en-GB"/>
        </w:rPr>
        <w:t xml:space="preserve">DPT </w:t>
      </w:r>
    </w:p>
    <w:p w14:paraId="4F1F24A3"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Graded DPTs were performed to the index PEG-containing drug and either the PEG-free version of the index drug or macrogol (Galen Ltd, UK). Although protocols varied according to centre and patient risk, for all graded DPTs, the target cumulative dose equated to the typical recommended therapeutic drug dose.  </w:t>
      </w:r>
    </w:p>
    <w:p w14:paraId="78CD6CF5" w14:textId="77777777" w:rsidR="00FD7AAB" w:rsidRPr="007258AD" w:rsidRDefault="00684A1E" w:rsidP="007258AD">
      <w:pPr>
        <w:pStyle w:val="BodyA"/>
        <w:spacing w:line="360" w:lineRule="auto"/>
        <w:ind w:firstLine="720"/>
        <w:rPr>
          <w:rStyle w:val="None"/>
          <w:rFonts w:cs="Calibri"/>
          <w:i/>
          <w:iCs/>
          <w:u w:val="single"/>
          <w:lang w:val="en-GB"/>
        </w:rPr>
      </w:pPr>
      <w:r w:rsidRPr="007258AD">
        <w:rPr>
          <w:rStyle w:val="None"/>
          <w:rFonts w:cs="Calibri"/>
          <w:i/>
          <w:iCs/>
          <w:u w:val="single"/>
          <w:lang w:val="en-GB"/>
        </w:rPr>
        <w:t>Statistical analysis</w:t>
      </w:r>
    </w:p>
    <w:p w14:paraId="7BD9FAD8"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Categorical variables were expressed as numbers and percentages and continuous variables as medians and ranges. Fisher</w:t>
      </w:r>
      <w:r w:rsidRPr="007258AD">
        <w:rPr>
          <w:rStyle w:val="None"/>
          <w:rFonts w:cs="Calibri"/>
          <w:rtl/>
          <w:lang w:val="en-GB"/>
        </w:rPr>
        <w:t>’</w:t>
      </w:r>
      <w:r w:rsidRPr="007258AD">
        <w:rPr>
          <w:rStyle w:val="None"/>
          <w:rFonts w:cs="Calibri"/>
          <w:lang w:val="en-GB"/>
        </w:rPr>
        <w:t xml:space="preserve">s exact testing was used to analyse non-parametric categorical data. A p value of &lt;0.05 was considered statistically significant. </w:t>
      </w:r>
      <w:proofErr w:type="spellStart"/>
      <w:r w:rsidRPr="007258AD">
        <w:rPr>
          <w:rStyle w:val="None"/>
          <w:rFonts w:cs="Calibri"/>
          <w:lang w:val="en-GB"/>
        </w:rPr>
        <w:t>Graphpad</w:t>
      </w:r>
      <w:proofErr w:type="spellEnd"/>
      <w:r w:rsidRPr="007258AD">
        <w:rPr>
          <w:rStyle w:val="None"/>
          <w:rFonts w:cs="Calibri"/>
          <w:lang w:val="en-GB"/>
        </w:rPr>
        <w:t xml:space="preserve"> Prism (</w:t>
      </w:r>
      <w:proofErr w:type="spellStart"/>
      <w:r w:rsidRPr="007258AD">
        <w:rPr>
          <w:rStyle w:val="None"/>
          <w:rFonts w:cs="Calibri"/>
          <w:lang w:val="en-GB"/>
        </w:rPr>
        <w:t>Graphpad</w:t>
      </w:r>
      <w:proofErr w:type="spellEnd"/>
      <w:r w:rsidRPr="007258AD">
        <w:rPr>
          <w:rStyle w:val="None"/>
          <w:rFonts w:cs="Calibri"/>
          <w:lang w:val="en-GB"/>
        </w:rPr>
        <w:t xml:space="preserve"> Software Inc, California, US) was used for analyses.</w:t>
      </w:r>
    </w:p>
    <w:p w14:paraId="74793CCE" w14:textId="77777777" w:rsidR="00FD7AAB" w:rsidRPr="007258AD" w:rsidRDefault="00FD7AAB" w:rsidP="007258AD">
      <w:pPr>
        <w:pStyle w:val="BodyA"/>
        <w:spacing w:line="360" w:lineRule="auto"/>
        <w:rPr>
          <w:rStyle w:val="Hyperlink00"/>
          <w:rFonts w:cs="Calibri"/>
          <w:lang w:val="en-GB"/>
        </w:rPr>
      </w:pPr>
    </w:p>
    <w:p w14:paraId="1C3D65AD" w14:textId="77777777" w:rsidR="00223EB0" w:rsidRPr="007258AD" w:rsidRDefault="00223EB0" w:rsidP="007258AD">
      <w:pPr>
        <w:spacing w:line="360" w:lineRule="auto"/>
        <w:rPr>
          <w:rStyle w:val="Hyperlink0"/>
          <w:rFonts w:ascii="Calibri" w:hAnsi="Calibri" w:cs="Calibri"/>
          <w:sz w:val="22"/>
          <w:szCs w:val="22"/>
          <w:lang w:val="en-GB" w:eastAsia="en-GB"/>
          <w14:textOutline w14:w="12700" w14:cap="flat" w14:cmpd="sng" w14:algn="ctr">
            <w14:noFill/>
            <w14:prstDash w14:val="solid"/>
            <w14:miter w14:lim="400000"/>
          </w14:textOutline>
        </w:rPr>
      </w:pPr>
      <w:r w:rsidRPr="007258AD">
        <w:rPr>
          <w:rStyle w:val="Hyperlink0"/>
          <w:rFonts w:ascii="Calibri" w:hAnsi="Calibri" w:cs="Calibri"/>
          <w:sz w:val="22"/>
          <w:szCs w:val="22"/>
          <w:lang w:val="en-GB"/>
        </w:rPr>
        <w:br w:type="page"/>
      </w:r>
    </w:p>
    <w:p w14:paraId="6A1EB347" w14:textId="0572B2AE" w:rsidR="00FD7AAB" w:rsidRPr="007258AD" w:rsidRDefault="00684A1E" w:rsidP="007258AD">
      <w:pPr>
        <w:pStyle w:val="BodyA"/>
        <w:spacing w:line="360" w:lineRule="auto"/>
        <w:rPr>
          <w:rStyle w:val="Hyperlink0"/>
          <w:rFonts w:cs="Calibri"/>
          <w:lang w:val="en-GB"/>
        </w:rPr>
      </w:pPr>
      <w:r w:rsidRPr="007258AD">
        <w:rPr>
          <w:rStyle w:val="Hyperlink0"/>
          <w:rFonts w:cs="Calibri"/>
          <w:lang w:val="en-GB"/>
        </w:rPr>
        <w:lastRenderedPageBreak/>
        <w:t>Results:</w:t>
      </w:r>
    </w:p>
    <w:p w14:paraId="36D0A228" w14:textId="77777777" w:rsidR="00FD7AAB" w:rsidRPr="007258AD" w:rsidRDefault="00684A1E" w:rsidP="007258AD">
      <w:pPr>
        <w:pStyle w:val="BodyA"/>
        <w:spacing w:line="360" w:lineRule="auto"/>
        <w:rPr>
          <w:rStyle w:val="None"/>
          <w:rFonts w:cs="Calibri"/>
          <w:i/>
          <w:iCs/>
          <w:u w:val="single"/>
          <w:lang w:val="en-GB"/>
        </w:rPr>
      </w:pPr>
      <w:r w:rsidRPr="007258AD">
        <w:rPr>
          <w:rStyle w:val="None"/>
          <w:rFonts w:cs="Calibri"/>
          <w:lang w:val="en-GB"/>
        </w:rPr>
        <w:tab/>
      </w:r>
      <w:r w:rsidRPr="007258AD">
        <w:rPr>
          <w:rStyle w:val="None"/>
          <w:rFonts w:cs="Calibri"/>
          <w:i/>
          <w:iCs/>
          <w:u w:val="single"/>
          <w:lang w:val="en-GB"/>
        </w:rPr>
        <w:t>Demographics</w:t>
      </w:r>
    </w:p>
    <w:p w14:paraId="7CE99991" w14:textId="320538B3"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A total of 44 patients were investigated for suspected immediate PEG hypersensitivity. Ages ranged from 18 to 72 years, with a median age of 38 years and a mean age of 38.25 years. The </w:t>
      </w:r>
      <w:r w:rsidR="00790FCA" w:rsidRPr="007258AD">
        <w:rPr>
          <w:rStyle w:val="None"/>
          <w:rFonts w:cs="Calibri"/>
          <w:lang w:val="en-GB"/>
        </w:rPr>
        <w:t>female-to-male</w:t>
      </w:r>
      <w:r w:rsidRPr="007258AD">
        <w:rPr>
          <w:rStyle w:val="None"/>
          <w:rFonts w:cs="Calibri"/>
          <w:lang w:val="en-GB"/>
        </w:rPr>
        <w:t xml:space="preserve"> ratio was 2.7:1 (32 females: 12 males). Of the 30 with known medical co-morbidities, 16 were atopic with asthma, allergic rhinitis, eczema or food allergy (Table </w:t>
      </w:r>
      <w:r w:rsidR="00E01C8F" w:rsidRPr="007258AD">
        <w:rPr>
          <w:rStyle w:val="None"/>
          <w:rFonts w:cs="Calibri"/>
          <w:lang w:val="en-GB"/>
        </w:rPr>
        <w:t>1</w:t>
      </w:r>
      <w:r w:rsidRPr="007258AD">
        <w:rPr>
          <w:rStyle w:val="None"/>
          <w:rFonts w:cs="Calibri"/>
          <w:lang w:val="en-GB"/>
        </w:rPr>
        <w:t>).</w:t>
      </w:r>
    </w:p>
    <w:p w14:paraId="28B542FE"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Time from first reaction to review in an allergy service ranged from 0.75 to 72 months, with a median time of 6 months. The number of immediate HSRs experienced prior to review ranged from 1 to 4. </w:t>
      </w:r>
    </w:p>
    <w:p w14:paraId="4CD7D2BB" w14:textId="77777777" w:rsidR="00FD7AAB" w:rsidRPr="007258AD" w:rsidRDefault="00684A1E" w:rsidP="007258AD">
      <w:pPr>
        <w:pStyle w:val="BodyA"/>
        <w:spacing w:line="360" w:lineRule="auto"/>
        <w:ind w:firstLine="720"/>
        <w:rPr>
          <w:rStyle w:val="None"/>
          <w:rFonts w:cs="Calibri"/>
          <w:i/>
          <w:iCs/>
          <w:u w:val="single"/>
          <w:lang w:val="en-GB"/>
        </w:rPr>
      </w:pPr>
      <w:r w:rsidRPr="007258AD">
        <w:rPr>
          <w:rStyle w:val="None"/>
          <w:rFonts w:cs="Calibri"/>
          <w:i/>
          <w:iCs/>
          <w:u w:val="single"/>
          <w:lang w:val="en-GB"/>
        </w:rPr>
        <w:t>Index reaction</w:t>
      </w:r>
    </w:p>
    <w:p w14:paraId="0EBC1C37" w14:textId="6C75C43A" w:rsidR="00FD7AAB" w:rsidRPr="007258AD" w:rsidRDefault="00684A1E" w:rsidP="007258AD">
      <w:pPr>
        <w:pStyle w:val="BodyA"/>
        <w:spacing w:line="360" w:lineRule="auto"/>
        <w:rPr>
          <w:rStyle w:val="None"/>
          <w:rFonts w:cs="Calibri"/>
          <w:lang w:val="en-GB"/>
        </w:rPr>
      </w:pPr>
      <w:r w:rsidRPr="007258AD">
        <w:rPr>
          <w:rStyle w:val="None"/>
          <w:rFonts w:cs="Calibri"/>
          <w:lang w:val="en-GB"/>
        </w:rPr>
        <w:t>In total, 70 different PEG-related drug</w:t>
      </w:r>
      <w:r w:rsidR="008F301A" w:rsidRPr="007258AD">
        <w:rPr>
          <w:rStyle w:val="None"/>
          <w:rFonts w:cs="Calibri"/>
          <w:lang w:val="en-GB"/>
        </w:rPr>
        <w:t xml:space="preserve"> reactions</w:t>
      </w:r>
      <w:r w:rsidRPr="007258AD">
        <w:rPr>
          <w:rStyle w:val="None"/>
          <w:rFonts w:cs="Calibri"/>
          <w:lang w:val="en-GB"/>
        </w:rPr>
        <w:t xml:space="preserve"> were associated with 44 patients. Two patients reported reactions to four, four patients to three, 12 patients to two and 26 patients reported reactions to one PEG-containing medication (Table </w:t>
      </w:r>
      <w:r w:rsidR="00E01C8F" w:rsidRPr="007258AD">
        <w:rPr>
          <w:rStyle w:val="None"/>
          <w:rFonts w:cs="Calibri"/>
          <w:lang w:val="en-GB"/>
        </w:rPr>
        <w:t>2</w:t>
      </w:r>
      <w:r w:rsidRPr="007258AD">
        <w:rPr>
          <w:rStyle w:val="None"/>
          <w:rFonts w:cs="Calibri"/>
          <w:lang w:val="en-GB"/>
        </w:rPr>
        <w:t>). Of the 70 index drugs, 57% (40 of 70) were administered orally and 31% (22 of 70) administered intramuscularly (IM) or intravenously (IV) (Table</w:t>
      </w:r>
      <w:r w:rsidR="00E01C8F" w:rsidRPr="007258AD">
        <w:rPr>
          <w:rStyle w:val="None"/>
          <w:rFonts w:cs="Calibri"/>
          <w:lang w:val="en-GB"/>
        </w:rPr>
        <w:t xml:space="preserve"> 1</w:t>
      </w:r>
      <w:r w:rsidRPr="007258AD">
        <w:rPr>
          <w:rStyle w:val="None"/>
          <w:rFonts w:cs="Calibri"/>
          <w:lang w:val="en-GB"/>
        </w:rPr>
        <w:t xml:space="preserve">). </w:t>
      </w:r>
    </w:p>
    <w:p w14:paraId="61931A02" w14:textId="6C05F95F"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Macrogol laxatives cumulatively were the most common index drugs reported (23%, 16 of 70), followed by depo-medroxyprogesterone (Pfizer Ltd, UK) (19%, 13 of 70), oral Penicillin V (Sandoz, UK) (10%, 7 of 70), and depo-methylprednisolone (Pfizer Ltd, UK) (10%, 7 of 70).  Amongst the macrogol laxatives, </w:t>
      </w:r>
      <w:proofErr w:type="spellStart"/>
      <w:r w:rsidRPr="007258AD">
        <w:rPr>
          <w:rStyle w:val="None"/>
          <w:rFonts w:cs="Calibri"/>
          <w:lang w:val="en-GB"/>
        </w:rPr>
        <w:t>Moviprep</w:t>
      </w:r>
      <w:proofErr w:type="spellEnd"/>
      <w:r w:rsidRPr="007258AD">
        <w:rPr>
          <w:rStyle w:val="None"/>
          <w:rFonts w:cs="Calibri"/>
          <w:lang w:val="en-GB"/>
        </w:rPr>
        <w:t xml:space="preserve"> (</w:t>
      </w:r>
      <w:proofErr w:type="spellStart"/>
      <w:r w:rsidRPr="007258AD">
        <w:rPr>
          <w:rStyle w:val="None"/>
          <w:rFonts w:cs="Calibri"/>
          <w:lang w:val="en-GB"/>
        </w:rPr>
        <w:t>Norgine</w:t>
      </w:r>
      <w:proofErr w:type="spellEnd"/>
      <w:r w:rsidRPr="007258AD">
        <w:rPr>
          <w:rStyle w:val="None"/>
          <w:rFonts w:cs="Calibri"/>
          <w:lang w:val="en-GB"/>
        </w:rPr>
        <w:t xml:space="preserve"> Ltd, UK) (100,000 mg of PEG 3350 per sachet, n=7) and Movicol (</w:t>
      </w:r>
      <w:proofErr w:type="spellStart"/>
      <w:r w:rsidRPr="007258AD">
        <w:rPr>
          <w:rStyle w:val="None"/>
          <w:rFonts w:cs="Calibri"/>
          <w:lang w:val="en-GB"/>
        </w:rPr>
        <w:t>Norgine</w:t>
      </w:r>
      <w:proofErr w:type="spellEnd"/>
      <w:r w:rsidRPr="007258AD">
        <w:rPr>
          <w:rStyle w:val="None"/>
          <w:rFonts w:cs="Calibri"/>
          <w:lang w:val="en-GB"/>
        </w:rPr>
        <w:t xml:space="preserve"> Ltd, UK) (13,125 mg of PEG 3350 per sachet, n=6) were the most implicated. This was followed by Klean-prep (</w:t>
      </w:r>
      <w:proofErr w:type="spellStart"/>
      <w:r w:rsidRPr="007258AD">
        <w:rPr>
          <w:rStyle w:val="None"/>
          <w:rFonts w:cs="Calibri"/>
          <w:lang w:val="en-GB"/>
        </w:rPr>
        <w:t>Norgine</w:t>
      </w:r>
      <w:proofErr w:type="spellEnd"/>
      <w:r w:rsidRPr="007258AD">
        <w:rPr>
          <w:rStyle w:val="None"/>
          <w:rFonts w:cs="Calibri"/>
          <w:lang w:val="en-GB"/>
        </w:rPr>
        <w:t xml:space="preserve"> Ltd, UK) (59,000 mg of PEG 3350 per sachet, n=1), </w:t>
      </w:r>
      <w:proofErr w:type="spellStart"/>
      <w:r w:rsidRPr="007258AD">
        <w:rPr>
          <w:rStyle w:val="None"/>
          <w:rFonts w:cs="Calibri"/>
          <w:lang w:val="en-GB"/>
        </w:rPr>
        <w:t>Laxido</w:t>
      </w:r>
      <w:proofErr w:type="spellEnd"/>
      <w:r w:rsidRPr="007258AD">
        <w:rPr>
          <w:rStyle w:val="None"/>
          <w:rFonts w:cs="Calibri"/>
          <w:lang w:val="en-GB"/>
        </w:rPr>
        <w:t xml:space="preserve"> (Galen Ltd, UK) (13,125 mg of PEG 3350 per sachet, n=1) and </w:t>
      </w:r>
      <w:proofErr w:type="spellStart"/>
      <w:r w:rsidRPr="007258AD">
        <w:rPr>
          <w:rStyle w:val="None"/>
          <w:rFonts w:cs="Calibri"/>
          <w:lang w:val="en-GB"/>
        </w:rPr>
        <w:t>Peglax</w:t>
      </w:r>
      <w:proofErr w:type="spellEnd"/>
      <w:r w:rsidRPr="007258AD">
        <w:rPr>
          <w:rStyle w:val="None"/>
          <w:rFonts w:cs="Calibri"/>
          <w:lang w:val="en-GB"/>
        </w:rPr>
        <w:t xml:space="preserve"> (Casen </w:t>
      </w:r>
      <w:proofErr w:type="spellStart"/>
      <w:r w:rsidRPr="007258AD">
        <w:rPr>
          <w:rStyle w:val="None"/>
          <w:rFonts w:cs="Calibri"/>
          <w:lang w:val="en-GB"/>
        </w:rPr>
        <w:t>Recordati</w:t>
      </w:r>
      <w:proofErr w:type="spellEnd"/>
      <w:r w:rsidRPr="007258AD">
        <w:rPr>
          <w:rStyle w:val="None"/>
          <w:rFonts w:cs="Calibri"/>
          <w:lang w:val="en-GB"/>
        </w:rPr>
        <w:t xml:space="preserve">, Spain) (10,000 mg of PEG 4000 per sachet, n=1) (Fig </w:t>
      </w:r>
      <w:r w:rsidR="003031C8" w:rsidRPr="007258AD">
        <w:rPr>
          <w:rStyle w:val="None"/>
          <w:rFonts w:cs="Calibri"/>
          <w:lang w:val="en-GB"/>
        </w:rPr>
        <w:t>1</w:t>
      </w:r>
      <w:r w:rsidRPr="007258AD">
        <w:rPr>
          <w:rStyle w:val="None"/>
          <w:rFonts w:cs="Calibri"/>
          <w:lang w:val="en-GB"/>
        </w:rPr>
        <w:t xml:space="preserve">).  </w:t>
      </w:r>
    </w:p>
    <w:p w14:paraId="6359A91F" w14:textId="7B00C913" w:rsidR="00FD7AAB" w:rsidRPr="007258AD" w:rsidRDefault="00684A1E" w:rsidP="007258AD">
      <w:pPr>
        <w:pStyle w:val="BodyA"/>
        <w:spacing w:line="360" w:lineRule="auto"/>
        <w:rPr>
          <w:rStyle w:val="None"/>
          <w:rFonts w:cs="Calibri"/>
          <w:lang w:val="en-GB"/>
        </w:rPr>
      </w:pPr>
      <w:r w:rsidRPr="007258AD">
        <w:rPr>
          <w:rStyle w:val="None"/>
          <w:rFonts w:cs="Calibri"/>
          <w:lang w:val="en-GB"/>
        </w:rPr>
        <w:t>Among the 42 PEG-allergic patients</w:t>
      </w:r>
      <w:r w:rsidR="00790FCA" w:rsidRPr="007258AD">
        <w:rPr>
          <w:rStyle w:val="None"/>
          <w:rFonts w:cs="Calibri"/>
          <w:lang w:val="en-GB"/>
        </w:rPr>
        <w:t>,</w:t>
      </w:r>
      <w:r w:rsidRPr="007258AD">
        <w:rPr>
          <w:rStyle w:val="None"/>
          <w:rFonts w:cs="Calibri"/>
          <w:lang w:val="en-GB"/>
        </w:rPr>
        <w:t xml:space="preserve"> grade severity was detailed for 60 reactions. 57.1% (24 of 42) of patients investigated had experienced Brown</w:t>
      </w:r>
      <w:r w:rsidRPr="007258AD">
        <w:rPr>
          <w:rStyle w:val="None"/>
          <w:rFonts w:cs="Calibri"/>
          <w:rtl/>
          <w:lang w:val="en-GB"/>
        </w:rPr>
        <w:t>’</w:t>
      </w:r>
      <w:r w:rsidRPr="007258AD">
        <w:rPr>
          <w:rStyle w:val="None"/>
          <w:rFonts w:cs="Calibri"/>
          <w:lang w:val="en-GB"/>
        </w:rPr>
        <w:t>s Grade III anaphylaxis, 40.5% (17 of 42) had Grade II and only 2.4% (1 of 42) had Grade I reactions as their most severe reaction</w:t>
      </w:r>
      <w:r w:rsidR="009F3B4D" w:rsidRPr="007258AD">
        <w:rPr>
          <w:rStyle w:val="None"/>
          <w:rFonts w:cs="Calibri"/>
          <w:lang w:val="en-GB"/>
        </w:rPr>
        <w:t xml:space="preserve"> (</w:t>
      </w:r>
      <w:r w:rsidR="001D5F13" w:rsidRPr="007258AD">
        <w:rPr>
          <w:rStyle w:val="None"/>
          <w:rFonts w:cs="Calibri"/>
          <w:lang w:val="en-GB"/>
        </w:rPr>
        <w:t>Table E2</w:t>
      </w:r>
      <w:r w:rsidR="009F3B4D" w:rsidRPr="007258AD">
        <w:rPr>
          <w:rStyle w:val="None"/>
          <w:rFonts w:cs="Calibri"/>
          <w:lang w:val="en-GB"/>
        </w:rPr>
        <w:t>)</w:t>
      </w:r>
      <w:r w:rsidR="009F3B4D" w:rsidRPr="007258AD">
        <w:rPr>
          <w:rStyle w:val="None"/>
          <w:rFonts w:cs="Calibri"/>
          <w:vertAlign w:val="superscript"/>
          <w:lang w:val="en-GB"/>
        </w:rPr>
        <w:t>8</w:t>
      </w:r>
      <w:r w:rsidRPr="007258AD">
        <w:rPr>
          <w:rStyle w:val="None"/>
          <w:rFonts w:cs="Calibri"/>
          <w:lang w:val="en-GB"/>
        </w:rPr>
        <w:t xml:space="preserve">. There was no significant difference in reaction grade between different routes of administration (Table </w:t>
      </w:r>
      <w:r w:rsidR="00D93E4D" w:rsidRPr="007258AD">
        <w:rPr>
          <w:rStyle w:val="None"/>
          <w:rFonts w:cs="Calibri"/>
          <w:lang w:val="en-GB"/>
        </w:rPr>
        <w:t>1</w:t>
      </w:r>
      <w:r w:rsidRPr="007258AD">
        <w:rPr>
          <w:rStyle w:val="None"/>
          <w:rFonts w:cs="Calibri"/>
          <w:lang w:val="en-GB"/>
        </w:rPr>
        <w:t xml:space="preserve">). </w:t>
      </w:r>
    </w:p>
    <w:p w14:paraId="01BA07C5"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In 19 reactions (involving 19 patients), acute and baseline serum mast cell tryptase (MCT) levels were measured. All 19 demonstrated a significant acute MCT rise with a median increase of 53 ug/L (range 13 – 114 ug/L). This equated to a median 9.1-fold increase (range 2.1 – 26.5-fold increase). </w:t>
      </w:r>
      <w:r w:rsidRPr="007258AD">
        <w:rPr>
          <w:rStyle w:val="None"/>
          <w:rFonts w:cs="Calibri"/>
          <w:lang w:val="en-GB"/>
        </w:rPr>
        <w:lastRenderedPageBreak/>
        <w:t>Average (median) baseline and acute MCTs were 6.1 (range 3 -10) and 53 (range 13 - 114) respectively (normal range: 2.0-11.4 ug/L).</w:t>
      </w:r>
    </w:p>
    <w:p w14:paraId="58C8CD8F" w14:textId="77777777" w:rsidR="00FD7AAB" w:rsidRPr="007258AD" w:rsidRDefault="00684A1E" w:rsidP="007258AD">
      <w:pPr>
        <w:pStyle w:val="BodyA"/>
        <w:spacing w:line="360" w:lineRule="auto"/>
        <w:ind w:left="720"/>
        <w:rPr>
          <w:rStyle w:val="None"/>
          <w:rFonts w:cs="Calibri"/>
          <w:i/>
          <w:iCs/>
          <w:u w:val="single"/>
          <w:lang w:val="en-GB"/>
        </w:rPr>
      </w:pPr>
      <w:r w:rsidRPr="007258AD">
        <w:rPr>
          <w:rStyle w:val="None"/>
          <w:rFonts w:cs="Calibri"/>
          <w:i/>
          <w:iCs/>
          <w:u w:val="single"/>
          <w:lang w:val="en-GB"/>
        </w:rPr>
        <w:t xml:space="preserve">Investigation results </w:t>
      </w:r>
    </w:p>
    <w:p w14:paraId="2A82BB3F" w14:textId="68EFB6D7"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PEG hypersensitivity was confirmed in 95% (42 of 44) </w:t>
      </w:r>
      <w:r w:rsidR="00790FCA" w:rsidRPr="007258AD">
        <w:rPr>
          <w:rStyle w:val="None"/>
          <w:rFonts w:cs="Calibri"/>
          <w:lang w:val="en-GB"/>
        </w:rPr>
        <w:t xml:space="preserve">of </w:t>
      </w:r>
      <w:r w:rsidRPr="007258AD">
        <w:rPr>
          <w:rStyle w:val="None"/>
          <w:rFonts w:cs="Calibri"/>
          <w:lang w:val="en-GB"/>
        </w:rPr>
        <w:t xml:space="preserve">cases investigated following positive SPT (n=24), IDT (n=15) or DPT (n=3). </w:t>
      </w:r>
    </w:p>
    <w:p w14:paraId="745637A0" w14:textId="77777777" w:rsidR="00FD7AAB" w:rsidRPr="007258AD" w:rsidRDefault="00684A1E" w:rsidP="007258AD">
      <w:pPr>
        <w:pStyle w:val="BodyA"/>
        <w:spacing w:line="360" w:lineRule="auto"/>
        <w:ind w:left="720"/>
        <w:rPr>
          <w:rStyle w:val="None"/>
          <w:rFonts w:cs="Calibri"/>
          <w:lang w:val="en-GB"/>
        </w:rPr>
      </w:pPr>
      <w:r w:rsidRPr="007258AD">
        <w:rPr>
          <w:rStyle w:val="None"/>
          <w:rFonts w:cs="Calibri"/>
          <w:i/>
          <w:iCs/>
          <w:u w:val="single"/>
          <w:lang w:val="en-GB"/>
        </w:rPr>
        <w:t xml:space="preserve">SPT and IDT results  </w:t>
      </w:r>
    </w:p>
    <w:p w14:paraId="2AA0E9DD"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All 44 patients underwent PEG SPT (42 to PEG3350 and one patient to only PEG8000), concentrations ranged from 1mg/L (0.1%) to 100mg/mL (10%) of PEG. Of these, 26 patients were SPT-positive. However two SPT-positive patients, positive only to a MW PEG higher than their index PEG weight, underwent confirmatory IDT with the index </w:t>
      </w:r>
      <w:r w:rsidR="007F2B9A" w:rsidRPr="007258AD">
        <w:rPr>
          <w:rStyle w:val="None"/>
          <w:rFonts w:cs="Calibri"/>
          <w:lang w:val="en-GB"/>
        </w:rPr>
        <w:t>MW</w:t>
      </w:r>
      <w:r w:rsidRPr="007258AD">
        <w:rPr>
          <w:rStyle w:val="None"/>
          <w:rFonts w:cs="Calibri"/>
          <w:lang w:val="en-GB"/>
        </w:rPr>
        <w:t xml:space="preserve"> before concluded to be PEG-allergic. </w:t>
      </w:r>
      <w:r w:rsidRPr="007258AD">
        <w:rPr>
          <w:rStyle w:val="None"/>
          <w:rFonts w:cs="Calibri"/>
          <w:lang w:val="en-GB"/>
        </w:rPr>
        <w:br/>
      </w:r>
    </w:p>
    <w:p w14:paraId="7A389D1F" w14:textId="574297BB" w:rsidR="00FD7AAB" w:rsidRPr="007258AD" w:rsidRDefault="00684A1E" w:rsidP="007258AD">
      <w:pPr>
        <w:pStyle w:val="BodyAA"/>
        <w:spacing w:line="360" w:lineRule="auto"/>
        <w:rPr>
          <w:rStyle w:val="None"/>
          <w:rFonts w:ascii="Calibri" w:eastAsia="Calibri" w:hAnsi="Calibri" w:cs="Calibri"/>
          <w:lang w:val="en-GB"/>
        </w:rPr>
      </w:pPr>
      <w:r w:rsidRPr="007258AD">
        <w:rPr>
          <w:rStyle w:val="None"/>
          <w:rFonts w:ascii="Calibri" w:hAnsi="Calibri" w:cs="Calibri"/>
          <w:lang w:val="en-GB"/>
        </w:rPr>
        <w:t>Among those confirmed PEG-allergic, 41 of 42 underwent SPT with PEG 3350 (10%). Sensitivity of SPT with PEG 3350 overall was 51% (21 of 41). PEG 3350 SPT sensitivity increased when macrogol laxatives or depo-methylprednisolone were implicated as index drugs to 71.4% (10 of 14) and 66.7% (4 of 6) respectively (</w:t>
      </w:r>
      <w:r w:rsidR="001D5F13" w:rsidRPr="007258AD">
        <w:rPr>
          <w:rStyle w:val="None"/>
          <w:rFonts w:ascii="Calibri" w:hAnsi="Calibri" w:cs="Calibri"/>
          <w:lang w:val="en-GB"/>
        </w:rPr>
        <w:t xml:space="preserve"> Table E4</w:t>
      </w:r>
      <w:r w:rsidRPr="007258AD">
        <w:rPr>
          <w:rStyle w:val="None"/>
          <w:rFonts w:ascii="Calibri" w:hAnsi="Calibri" w:cs="Calibri"/>
          <w:lang w:val="en-GB"/>
        </w:rPr>
        <w:t>). IDT with PEG 3350 (</w:t>
      </w:r>
      <w:r w:rsidR="00F961B1" w:rsidRPr="007258AD">
        <w:rPr>
          <w:rStyle w:val="None"/>
          <w:rFonts w:ascii="Calibri" w:hAnsi="Calibri" w:cs="Calibri"/>
          <w:lang w:val="en-GB"/>
        </w:rPr>
        <w:t xml:space="preserve">PEG testing concentrations ranging from  </w:t>
      </w:r>
      <w:r w:rsidRPr="007258AD">
        <w:rPr>
          <w:rStyle w:val="None"/>
          <w:rFonts w:ascii="Calibri" w:hAnsi="Calibri" w:cs="Calibri"/>
          <w:lang w:val="en-GB"/>
        </w:rPr>
        <w:t>0.0203</w:t>
      </w:r>
      <w:r w:rsidR="00F961B1" w:rsidRPr="007258AD">
        <w:rPr>
          <w:rStyle w:val="None"/>
          <w:rFonts w:ascii="Calibri" w:hAnsi="Calibri" w:cs="Calibri"/>
          <w:lang w:val="en-GB"/>
        </w:rPr>
        <w:t>%</w:t>
      </w:r>
      <w:r w:rsidRPr="007258AD">
        <w:rPr>
          <w:rStyle w:val="None"/>
          <w:rFonts w:ascii="Calibri" w:hAnsi="Calibri" w:cs="Calibri"/>
          <w:lang w:val="en-GB"/>
        </w:rPr>
        <w:t xml:space="preserve"> </w:t>
      </w:r>
      <w:r w:rsidR="00F961B1" w:rsidRPr="007258AD">
        <w:rPr>
          <w:rStyle w:val="None"/>
          <w:rFonts w:ascii="Calibri" w:hAnsi="Calibri" w:cs="Calibri"/>
          <w:lang w:val="en-GB"/>
        </w:rPr>
        <w:t>to</w:t>
      </w:r>
      <w:r w:rsidRPr="007258AD">
        <w:rPr>
          <w:rStyle w:val="None"/>
          <w:rFonts w:ascii="Calibri" w:hAnsi="Calibri" w:cs="Calibri"/>
          <w:lang w:val="en-GB"/>
        </w:rPr>
        <w:t xml:space="preserve"> 1%) was positive in 82% (14 of 17) of all patients tested. This increased overall skin test (SPT &amp; IDT) sensitivity to 85% (35 of 41 patients tested with PEG3350).</w:t>
      </w:r>
    </w:p>
    <w:p w14:paraId="68F0A64B" w14:textId="77777777" w:rsidR="00FD7AAB" w:rsidRPr="007258AD" w:rsidRDefault="00FD7AAB" w:rsidP="007258AD">
      <w:pPr>
        <w:pStyle w:val="BodyAA"/>
        <w:spacing w:line="360" w:lineRule="auto"/>
        <w:rPr>
          <w:rStyle w:val="None"/>
          <w:rFonts w:ascii="Calibri" w:eastAsia="Calibri" w:hAnsi="Calibri" w:cs="Calibri"/>
          <w:lang w:val="en-GB"/>
        </w:rPr>
      </w:pPr>
    </w:p>
    <w:p w14:paraId="73288B25" w14:textId="77777777" w:rsidR="00FD7AAB" w:rsidRPr="007258AD" w:rsidRDefault="00684A1E" w:rsidP="007258AD">
      <w:pPr>
        <w:pStyle w:val="BodyAA"/>
        <w:spacing w:line="360" w:lineRule="auto"/>
        <w:rPr>
          <w:rStyle w:val="None"/>
          <w:rFonts w:ascii="Calibri" w:eastAsia="Calibri" w:hAnsi="Calibri" w:cs="Calibri"/>
          <w:lang w:val="en-GB"/>
        </w:rPr>
      </w:pPr>
      <w:r w:rsidRPr="007258AD">
        <w:rPr>
          <w:rStyle w:val="None"/>
          <w:rFonts w:ascii="Calibri" w:hAnsi="Calibri" w:cs="Calibri"/>
          <w:lang w:val="en-GB"/>
        </w:rPr>
        <w:t>Skin testing with higher molecular weight PEG was limited to a small group of nine patients with negative SPT and IDT to PEG 3350. In 8 of 9 patients SPT was positive with PEG 8000 and/or PEG 20.000 (0.1 - 10%). In one SPT (PEG3350 &amp; 20,000) negative patient, IDT was positive with PEG 20,000 0.1%</w:t>
      </w:r>
    </w:p>
    <w:p w14:paraId="756F0CF7" w14:textId="77777777" w:rsidR="00FD7AAB" w:rsidRPr="007258AD" w:rsidRDefault="00FD7AAB" w:rsidP="007258AD">
      <w:pPr>
        <w:pStyle w:val="BodyAA"/>
        <w:spacing w:line="360" w:lineRule="auto"/>
        <w:rPr>
          <w:rStyle w:val="None"/>
          <w:rFonts w:ascii="Calibri" w:eastAsia="Calibri" w:hAnsi="Calibri" w:cs="Calibri"/>
          <w:lang w:val="en-GB"/>
        </w:rPr>
      </w:pPr>
    </w:p>
    <w:p w14:paraId="405149C1" w14:textId="176E90A1" w:rsidR="00FD7AAB" w:rsidRPr="007258AD" w:rsidRDefault="006051DE" w:rsidP="007258AD">
      <w:pPr>
        <w:pStyle w:val="BodyAA"/>
        <w:spacing w:line="360" w:lineRule="auto"/>
        <w:rPr>
          <w:rStyle w:val="None"/>
          <w:rFonts w:ascii="Calibri" w:eastAsia="Calibri" w:hAnsi="Calibri" w:cs="Calibri"/>
          <w:lang w:val="en-GB"/>
        </w:rPr>
      </w:pPr>
      <w:r w:rsidRPr="007258AD">
        <w:rPr>
          <w:rStyle w:val="None"/>
          <w:rFonts w:ascii="Calibri" w:hAnsi="Calibri" w:cs="Calibri"/>
          <w:lang w:val="en-GB"/>
        </w:rPr>
        <w:t>PEG</w:t>
      </w:r>
      <w:r w:rsidR="00805BA6" w:rsidRPr="007258AD">
        <w:rPr>
          <w:rStyle w:val="None"/>
          <w:rFonts w:ascii="Calibri" w:hAnsi="Calibri" w:cs="Calibri"/>
          <w:lang w:val="en-GB"/>
        </w:rPr>
        <w:t>-</w:t>
      </w:r>
      <w:r w:rsidR="00684A1E" w:rsidRPr="007258AD">
        <w:rPr>
          <w:rStyle w:val="None"/>
          <w:rFonts w:ascii="Calibri" w:hAnsi="Calibri" w:cs="Calibri"/>
          <w:lang w:val="en-GB"/>
        </w:rPr>
        <w:t>free formulations of index drugs where available were tested in 18 patients. SPT and IDT test to these drugs were negative in all patients.</w:t>
      </w:r>
    </w:p>
    <w:p w14:paraId="09874BDB"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br/>
        <w:t>Five patients underwent PS80 SPT with only one patient demonstrating a positive result (PS80, Sigma-Aldrich US, 10%). This patient was IDT positive to a 100-fold dilution of triamcinolone acetonide (Kenalog, Bristol-Myers Squibb Ltd UK) containing 0.004 mg/mL of PS80 and IDT-negative to the preservative/excipient-free triamcinolone acetonide.</w:t>
      </w:r>
    </w:p>
    <w:p w14:paraId="2675C2C3" w14:textId="77777777" w:rsidR="00FD7AAB" w:rsidRPr="007258AD" w:rsidRDefault="00FD7AAB" w:rsidP="007258AD">
      <w:pPr>
        <w:pStyle w:val="BodyA"/>
        <w:spacing w:line="360" w:lineRule="auto"/>
        <w:rPr>
          <w:rStyle w:val="None"/>
          <w:rFonts w:cs="Calibri"/>
          <w:lang w:val="en-GB"/>
        </w:rPr>
      </w:pPr>
    </w:p>
    <w:p w14:paraId="0EBD8125"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ab/>
      </w:r>
      <w:r w:rsidRPr="007258AD">
        <w:rPr>
          <w:rStyle w:val="None"/>
          <w:rFonts w:cs="Calibri"/>
          <w:i/>
          <w:iCs/>
          <w:u w:val="single"/>
          <w:lang w:val="en-GB"/>
        </w:rPr>
        <w:t xml:space="preserve">DPT results </w:t>
      </w:r>
    </w:p>
    <w:p w14:paraId="171014CD"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lastRenderedPageBreak/>
        <w:t xml:space="preserve">Seven patients in total underwent DPT, five of which were DPT-positive. In two of the five patients, possible PEG allergy was only considered following positive DPT to their index drug (depo-methylprednisolone, Pfizer, UK). Both were PEG SPT-positive.  </w:t>
      </w:r>
    </w:p>
    <w:p w14:paraId="5EFAC454" w14:textId="033D94B6"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The remaining three patients were 10% PEG 3350 SPT-negative prior to DPT (Fig </w:t>
      </w:r>
      <w:r w:rsidR="003031C8" w:rsidRPr="007258AD">
        <w:rPr>
          <w:rStyle w:val="None"/>
          <w:rFonts w:cs="Calibri"/>
          <w:lang w:val="en-GB"/>
        </w:rPr>
        <w:t>2</w:t>
      </w:r>
      <w:r w:rsidRPr="007258AD">
        <w:rPr>
          <w:rStyle w:val="None"/>
          <w:rFonts w:cs="Calibri"/>
          <w:lang w:val="en-GB"/>
        </w:rPr>
        <w:t>). One of three patients proceeded to a positive macrogol DPT without any prior IDT.  The remaining two of three patients were IDT-negative to their index drug (0.029 %</w:t>
      </w:r>
      <w:r w:rsidR="002155D5" w:rsidRPr="007258AD">
        <w:rPr>
          <w:rStyle w:val="None"/>
          <w:rFonts w:cs="Calibri"/>
          <w:lang w:val="en-GB"/>
        </w:rPr>
        <w:t xml:space="preserve"> of PEG3350 in</w:t>
      </w:r>
      <w:r w:rsidRPr="007258AD">
        <w:rPr>
          <w:rStyle w:val="None"/>
          <w:rFonts w:cs="Calibri"/>
          <w:lang w:val="en-GB"/>
        </w:rPr>
        <w:t xml:space="preserve"> depo-methylprednisolone n=1, 0.203%</w:t>
      </w:r>
      <w:r w:rsidR="002155D5" w:rsidRPr="007258AD">
        <w:rPr>
          <w:rStyle w:val="None"/>
          <w:rFonts w:cs="Calibri"/>
          <w:lang w:val="en-GB"/>
        </w:rPr>
        <w:t xml:space="preserve"> of PEG3350 in</w:t>
      </w:r>
      <w:r w:rsidRPr="007258AD">
        <w:rPr>
          <w:rStyle w:val="None"/>
          <w:rFonts w:cs="Calibri"/>
          <w:lang w:val="en-GB"/>
        </w:rPr>
        <w:t xml:space="preserve"> depo-medroxyprogesterone n=1, and 0.0203% </w:t>
      </w:r>
      <w:r w:rsidR="002155D5" w:rsidRPr="007258AD">
        <w:rPr>
          <w:rStyle w:val="None"/>
          <w:rFonts w:cs="Calibri"/>
          <w:lang w:val="en-GB"/>
        </w:rPr>
        <w:t>of PEG3350 in</w:t>
      </w:r>
      <w:r w:rsidRPr="007258AD">
        <w:rPr>
          <w:rStyle w:val="None"/>
          <w:rFonts w:cs="Calibri"/>
          <w:lang w:val="en-GB"/>
        </w:rPr>
        <w:t xml:space="preserve"> depo-medroxyprogesterone n=1).</w:t>
      </w:r>
    </w:p>
    <w:p w14:paraId="554AABC6"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Of note, one patient reacted on DPT to their index drug (depo-medroxyprogesterone, 20.3 mg of PEG 3350 per 1 mL) but tolerated a subsequent macrogol oral DPT (cumulative1 macrogol powder sachet containing13,125 mg of PEG3350). </w:t>
      </w:r>
    </w:p>
    <w:p w14:paraId="2CAC9BEE"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PEG tolerance was confirmed in 4.5% (2 of 44) patients following negative </w:t>
      </w:r>
      <w:proofErr w:type="spellStart"/>
      <w:r w:rsidRPr="007258AD">
        <w:rPr>
          <w:rStyle w:val="None"/>
          <w:rFonts w:cs="Calibri"/>
          <w:lang w:val="en-GB"/>
        </w:rPr>
        <w:t>macgrogol</w:t>
      </w:r>
      <w:proofErr w:type="spellEnd"/>
      <w:r w:rsidRPr="007258AD">
        <w:rPr>
          <w:rStyle w:val="None"/>
          <w:rFonts w:cs="Calibri"/>
          <w:lang w:val="en-GB"/>
        </w:rPr>
        <w:t xml:space="preserve"> or depo-methylprednisolone DPTs with preceding negative SPT and IDT to PEG3350 and/or index drug. While both were concluded to be PEG-tolerant, it was noted one patient only received the equivalent of ¼ of a sachet on macrogol DPT, reason not documented.</w:t>
      </w:r>
    </w:p>
    <w:p w14:paraId="74E6BA7F" w14:textId="07451FEA" w:rsidR="00FD7AAB" w:rsidRPr="007258AD" w:rsidRDefault="00684A1E" w:rsidP="007258AD">
      <w:pPr>
        <w:pStyle w:val="BodyA"/>
        <w:spacing w:line="360" w:lineRule="auto"/>
        <w:rPr>
          <w:rStyle w:val="None"/>
          <w:rFonts w:cs="Calibri"/>
          <w:lang w:val="en-GB"/>
        </w:rPr>
      </w:pPr>
      <w:r w:rsidRPr="007258AD">
        <w:rPr>
          <w:rStyle w:val="None"/>
          <w:rFonts w:cs="Calibri"/>
          <w:lang w:val="en-GB"/>
        </w:rPr>
        <w:t>Among the five DPT-positive patients, symptoms included hypotension, tachycardia, urticaria, flushing, nausea, sneezing and cough or wheeze. Further details regarding DPT-positive patients are summarised in</w:t>
      </w:r>
      <w:r w:rsidR="003B75F2" w:rsidRPr="007258AD">
        <w:rPr>
          <w:rStyle w:val="None"/>
          <w:rFonts w:cs="Calibri"/>
          <w:lang w:val="en-GB"/>
        </w:rPr>
        <w:t xml:space="preserve"> </w:t>
      </w:r>
      <w:r w:rsidRPr="007258AD">
        <w:rPr>
          <w:rStyle w:val="None"/>
          <w:rFonts w:cs="Calibri"/>
          <w:lang w:val="en-GB"/>
        </w:rPr>
        <w:t xml:space="preserve">Table </w:t>
      </w:r>
      <w:r w:rsidR="00D93E4D" w:rsidRPr="007258AD">
        <w:rPr>
          <w:rStyle w:val="None"/>
          <w:rFonts w:cs="Calibri"/>
          <w:lang w:val="en-GB"/>
        </w:rPr>
        <w:t>3</w:t>
      </w:r>
      <w:r w:rsidRPr="007258AD">
        <w:rPr>
          <w:rStyle w:val="None"/>
          <w:rFonts w:cs="Calibri"/>
          <w:lang w:val="en-GB"/>
        </w:rPr>
        <w:t xml:space="preserve">. </w:t>
      </w:r>
    </w:p>
    <w:p w14:paraId="528D8D73" w14:textId="77777777" w:rsidR="00FD7AAB" w:rsidRPr="007258AD" w:rsidRDefault="00684A1E" w:rsidP="007258AD">
      <w:pPr>
        <w:pStyle w:val="BodyA"/>
        <w:spacing w:line="360" w:lineRule="auto"/>
        <w:rPr>
          <w:rStyle w:val="None"/>
          <w:rFonts w:cs="Calibri"/>
          <w:i/>
          <w:iCs/>
          <w:u w:val="single"/>
          <w:lang w:val="en-GB"/>
        </w:rPr>
      </w:pPr>
      <w:r w:rsidRPr="007258AD">
        <w:rPr>
          <w:rStyle w:val="None"/>
          <w:rFonts w:cs="Calibri"/>
          <w:lang w:val="en-GB"/>
        </w:rPr>
        <w:tab/>
      </w:r>
      <w:r w:rsidRPr="007258AD">
        <w:rPr>
          <w:rStyle w:val="None"/>
          <w:rFonts w:cs="Calibri"/>
          <w:i/>
          <w:iCs/>
          <w:u w:val="single"/>
          <w:lang w:val="en-GB"/>
        </w:rPr>
        <w:t>Systemic reactions on skin testing</w:t>
      </w:r>
    </w:p>
    <w:p w14:paraId="1B786399" w14:textId="5717DB42"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Of the 44 patients investigated, one patient (2%) experienced a systemic reaction (urticaria and angioedema) to simultaneous 10% SPT to PEGs of various MWs ranging from 200 to 20,000. The patient was treated with intravenous hydrocortisone and oral </w:t>
      </w:r>
      <w:r w:rsidR="00BF1D29" w:rsidRPr="007258AD">
        <w:rPr>
          <w:rStyle w:val="None"/>
          <w:rFonts w:cs="Calibri"/>
          <w:lang w:val="en-GB"/>
        </w:rPr>
        <w:t xml:space="preserve">H1 </w:t>
      </w:r>
      <w:r w:rsidRPr="007258AD">
        <w:rPr>
          <w:rStyle w:val="None"/>
          <w:rFonts w:cs="Calibri"/>
          <w:lang w:val="en-GB"/>
        </w:rPr>
        <w:t>antihistamine.</w:t>
      </w:r>
    </w:p>
    <w:p w14:paraId="7491B0DB" w14:textId="78E9BD0B"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Five patients experienced systemic reactions on IDT.  IDTs were performed with 0.1 – 1 % macrogol laxatives and/or 0.203 – 0.0203% depo-medroxyprogesterone. Symptoms included chest tightness (n=3), generalised itch (n=2), urticaria (n=1), erythema (n=1) and rhinitis (n=1). Treatment included intramuscular adrenaline (n=1), corticosteroids (n=2), </w:t>
      </w:r>
      <w:r w:rsidR="00BF1D29" w:rsidRPr="007258AD">
        <w:rPr>
          <w:rStyle w:val="None"/>
          <w:rFonts w:cs="Calibri"/>
          <w:lang w:val="en-GB"/>
        </w:rPr>
        <w:t xml:space="preserve">H1 </w:t>
      </w:r>
      <w:r w:rsidRPr="007258AD">
        <w:rPr>
          <w:rStyle w:val="None"/>
          <w:rFonts w:cs="Calibri"/>
          <w:lang w:val="en-GB"/>
        </w:rPr>
        <w:t xml:space="preserve">antihistamines (n=4), and nebulised salbutamol and ipratropium bromide n=1). Two patients were previously SPT-positive to a higher MW PEG (SPT-negative to the index MW PEG and drug), the other three were SPT-negative to both the index PEG and drug. Two of five underwent simultaneous PEG IDT to more than one MW and/or concentration. </w:t>
      </w:r>
      <w:r w:rsidRPr="007258AD">
        <w:rPr>
          <w:rStyle w:val="None"/>
          <w:rFonts w:cs="Calibri"/>
          <w:lang w:val="en-GB"/>
        </w:rPr>
        <w:tab/>
      </w:r>
    </w:p>
    <w:p w14:paraId="143ABE51" w14:textId="77777777" w:rsidR="00FD7AAB" w:rsidRPr="007258AD" w:rsidRDefault="00684A1E" w:rsidP="007258AD">
      <w:pPr>
        <w:pStyle w:val="BodyA"/>
        <w:spacing w:line="360" w:lineRule="auto"/>
        <w:rPr>
          <w:rStyle w:val="None"/>
          <w:rFonts w:cs="Calibri"/>
          <w:i/>
          <w:iCs/>
          <w:u w:val="single"/>
          <w:lang w:val="en-GB"/>
        </w:rPr>
      </w:pPr>
      <w:r w:rsidRPr="007258AD">
        <w:rPr>
          <w:rStyle w:val="None"/>
          <w:rFonts w:cs="Calibri"/>
          <w:lang w:val="en-GB"/>
        </w:rPr>
        <w:tab/>
      </w:r>
      <w:r w:rsidRPr="007258AD">
        <w:rPr>
          <w:rStyle w:val="None"/>
          <w:rFonts w:cs="Calibri"/>
          <w:i/>
          <w:iCs/>
          <w:u w:val="single"/>
          <w:lang w:val="en-GB"/>
        </w:rPr>
        <w:t>PEG tolerance</w:t>
      </w:r>
    </w:p>
    <w:p w14:paraId="2CA3ED89" w14:textId="2648D535" w:rsidR="00FD7AAB" w:rsidRPr="007258AD" w:rsidRDefault="00684A1E" w:rsidP="007258AD">
      <w:pPr>
        <w:pStyle w:val="BodyA"/>
        <w:spacing w:line="360" w:lineRule="auto"/>
        <w:rPr>
          <w:rStyle w:val="None"/>
          <w:rFonts w:cs="Calibri"/>
          <w:lang w:val="en-GB"/>
        </w:rPr>
      </w:pPr>
      <w:r w:rsidRPr="007258AD">
        <w:rPr>
          <w:rStyle w:val="None"/>
          <w:rFonts w:cs="Calibri"/>
          <w:lang w:val="en-GB"/>
        </w:rPr>
        <w:lastRenderedPageBreak/>
        <w:t xml:space="preserve">Of the 42 PEG-allergic patients, </w:t>
      </w:r>
      <w:r w:rsidR="006051DE" w:rsidRPr="007258AD">
        <w:rPr>
          <w:rStyle w:val="None"/>
          <w:rFonts w:cs="Calibri"/>
          <w:lang w:val="en-GB"/>
        </w:rPr>
        <w:t>nine</w:t>
      </w:r>
      <w:r w:rsidRPr="007258AD">
        <w:rPr>
          <w:rStyle w:val="None"/>
          <w:rFonts w:cs="Calibri"/>
          <w:lang w:val="en-GB"/>
        </w:rPr>
        <w:t xml:space="preserve"> patients tolerated </w:t>
      </w:r>
      <w:r w:rsidR="006051DE" w:rsidRPr="007258AD">
        <w:rPr>
          <w:rStyle w:val="None"/>
          <w:rFonts w:cs="Calibri"/>
          <w:lang w:val="en-GB"/>
        </w:rPr>
        <w:t>five</w:t>
      </w:r>
      <w:r w:rsidRPr="007258AD">
        <w:rPr>
          <w:rStyle w:val="None"/>
          <w:rFonts w:cs="Calibri"/>
          <w:lang w:val="en-GB"/>
        </w:rPr>
        <w:t xml:space="preserve"> different drugs where all brands were known to contain PEG. We collated data on PEG quantities sourced from the relevant pharmaceutical companies (Table </w:t>
      </w:r>
      <w:r w:rsidR="00500DFD" w:rsidRPr="007258AD">
        <w:rPr>
          <w:rStyle w:val="None"/>
          <w:rFonts w:cs="Calibri"/>
          <w:lang w:val="en-GB"/>
        </w:rPr>
        <w:t>4</w:t>
      </w:r>
      <w:r w:rsidRPr="007258AD">
        <w:rPr>
          <w:rStyle w:val="None"/>
          <w:rFonts w:cs="Calibri"/>
          <w:lang w:val="en-GB"/>
        </w:rPr>
        <w:t>).</w:t>
      </w:r>
      <w:bookmarkStart w:id="4" w:name="_Hlk89030255"/>
      <w:r w:rsidR="006051DE" w:rsidRPr="007258AD">
        <w:rPr>
          <w:rStyle w:val="None"/>
          <w:rFonts w:cs="Calibri"/>
          <w:lang w:val="en-GB"/>
        </w:rPr>
        <w:t xml:space="preserve"> </w:t>
      </w:r>
      <w:r w:rsidRPr="007258AD">
        <w:rPr>
          <w:rStyle w:val="None"/>
          <w:rFonts w:cs="Calibri"/>
          <w:lang w:val="en-GB"/>
        </w:rPr>
        <w:t xml:space="preserve">Seven of nine patients reported tolerating </w:t>
      </w:r>
      <w:r w:rsidR="00BF1D29" w:rsidRPr="007258AD">
        <w:rPr>
          <w:rStyle w:val="None"/>
          <w:rFonts w:cs="Calibri"/>
          <w:lang w:val="en-GB"/>
        </w:rPr>
        <w:t xml:space="preserve">H1 </w:t>
      </w:r>
      <w:r w:rsidRPr="007258AD">
        <w:rPr>
          <w:rStyle w:val="None"/>
          <w:rFonts w:cs="Calibri"/>
          <w:lang w:val="en-GB"/>
        </w:rPr>
        <w:t xml:space="preserve">antihistamines containing PEG (Table </w:t>
      </w:r>
      <w:r w:rsidR="00500DFD" w:rsidRPr="007258AD">
        <w:rPr>
          <w:rStyle w:val="None"/>
          <w:rFonts w:cs="Calibri"/>
          <w:lang w:val="en-GB"/>
        </w:rPr>
        <w:t>4</w:t>
      </w:r>
      <w:r w:rsidRPr="007258AD">
        <w:rPr>
          <w:rStyle w:val="None"/>
          <w:rFonts w:cs="Calibri"/>
          <w:lang w:val="en-GB"/>
        </w:rPr>
        <w:t xml:space="preserve">). </w:t>
      </w:r>
      <w:bookmarkEnd w:id="4"/>
    </w:p>
    <w:p w14:paraId="27DC7EE2" w14:textId="77777777" w:rsidR="00FD7AAB" w:rsidRPr="007258AD" w:rsidRDefault="00684A1E" w:rsidP="007258AD">
      <w:pPr>
        <w:pStyle w:val="BodyA"/>
        <w:spacing w:line="360" w:lineRule="auto"/>
        <w:ind w:firstLine="720"/>
        <w:rPr>
          <w:rStyle w:val="None"/>
          <w:rFonts w:cs="Calibri"/>
          <w:i/>
          <w:iCs/>
          <w:u w:val="single"/>
          <w:lang w:val="en-GB"/>
        </w:rPr>
      </w:pPr>
      <w:r w:rsidRPr="007258AD">
        <w:rPr>
          <w:rStyle w:val="None"/>
          <w:rFonts w:cs="Calibri"/>
          <w:i/>
          <w:iCs/>
          <w:u w:val="single"/>
          <w:lang w:val="en-GB"/>
        </w:rPr>
        <w:t>COVID-19 vaccination</w:t>
      </w:r>
    </w:p>
    <w:p w14:paraId="50FC5CF9" w14:textId="28591D51"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Vaccination status could be determined in 21 patients. Of these, 16 were COVID-19 vaccinated.  The number of COVID-19 vaccines administered ranged from 2-4 (median 3). At the point of </w:t>
      </w:r>
      <w:r w:rsidR="00866214" w:rsidRPr="007258AD">
        <w:rPr>
          <w:rStyle w:val="None"/>
          <w:rFonts w:cs="Calibri"/>
          <w:lang w:val="en-GB"/>
        </w:rPr>
        <w:t>review</w:t>
      </w:r>
      <w:r w:rsidR="004E2A8A" w:rsidRPr="007258AD">
        <w:rPr>
          <w:rStyle w:val="None"/>
          <w:rFonts w:cs="Calibri"/>
          <w:lang w:val="en-GB"/>
        </w:rPr>
        <w:t xml:space="preserve"> </w:t>
      </w:r>
      <w:r w:rsidRPr="007258AD">
        <w:rPr>
          <w:rStyle w:val="None"/>
          <w:rFonts w:cs="Calibri"/>
          <w:lang w:val="en-GB"/>
        </w:rPr>
        <w:t>the majority had received three doses (n=7) or two doses</w:t>
      </w:r>
      <w:r w:rsidR="00866214" w:rsidRPr="007258AD">
        <w:rPr>
          <w:rStyle w:val="None"/>
          <w:rFonts w:cs="Calibri"/>
          <w:lang w:val="en-GB"/>
        </w:rPr>
        <w:t xml:space="preserve"> (n=4)</w:t>
      </w:r>
      <w:r w:rsidRPr="007258AD">
        <w:rPr>
          <w:rStyle w:val="None"/>
          <w:rFonts w:cs="Calibri"/>
          <w:lang w:val="en-GB"/>
        </w:rPr>
        <w:t xml:space="preserve"> of the Oxford/AstraZeneca (AZ) COVID-19 vaccine</w:t>
      </w:r>
      <w:r w:rsidR="006051DE" w:rsidRPr="007258AD">
        <w:rPr>
          <w:rStyle w:val="None"/>
          <w:rFonts w:cs="Calibri"/>
          <w:lang w:val="en-GB"/>
        </w:rPr>
        <w:t>.</w:t>
      </w:r>
      <w:r w:rsidRPr="007258AD">
        <w:rPr>
          <w:rStyle w:val="None"/>
          <w:rFonts w:cs="Calibri"/>
          <w:lang w:val="en-GB"/>
        </w:rPr>
        <w:t xml:space="preserve"> Three patients received and tolerated two AZ doses followed by a booster with either a Pfizer/BioNTech</w:t>
      </w:r>
      <w:r w:rsidR="00866214" w:rsidRPr="007258AD">
        <w:rPr>
          <w:rStyle w:val="None"/>
          <w:rFonts w:cs="Calibri"/>
          <w:lang w:val="en-GB"/>
        </w:rPr>
        <w:t xml:space="preserve"> (0.05mg of PEG2000 per 0.3mL dose)</w:t>
      </w:r>
      <w:r w:rsidRPr="007258AD">
        <w:rPr>
          <w:rStyle w:val="None"/>
          <w:rFonts w:cs="Calibri"/>
          <w:lang w:val="en-GB"/>
        </w:rPr>
        <w:t xml:space="preserve"> or Moderna </w:t>
      </w:r>
      <w:r w:rsidR="001F743A" w:rsidRPr="007258AD">
        <w:rPr>
          <w:rStyle w:val="None"/>
          <w:rFonts w:cs="Calibri"/>
          <w:lang w:val="en-GB"/>
        </w:rPr>
        <w:t xml:space="preserve">(PEG2000, quantity not disclosed) </w:t>
      </w:r>
      <w:r w:rsidRPr="007258AD">
        <w:rPr>
          <w:rStyle w:val="None"/>
          <w:rFonts w:cs="Calibri"/>
          <w:lang w:val="en-GB"/>
        </w:rPr>
        <w:t>COVID-19 vaccine. One patient tolerated four doses of the Pfizer/BioNTech COVID-19 vaccine and a second patient tolerated two doses of the Pfizer/BioNTech COVID-19 vaccine.</w:t>
      </w:r>
    </w:p>
    <w:p w14:paraId="7C87911F" w14:textId="45147158"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Of the five patients who tolerated at last one dose of Pfizer/BioNTech or Moderna COVID-19 vaccine, four </w:t>
      </w:r>
      <w:r w:rsidR="006F2244" w:rsidRPr="007258AD">
        <w:rPr>
          <w:rStyle w:val="None"/>
          <w:rFonts w:cs="Calibri"/>
          <w:lang w:val="en-GB"/>
        </w:rPr>
        <w:t xml:space="preserve">had previously </w:t>
      </w:r>
      <w:r w:rsidR="00910C8F" w:rsidRPr="007258AD">
        <w:rPr>
          <w:rStyle w:val="None"/>
          <w:rFonts w:cs="Calibri"/>
          <w:lang w:val="en-GB"/>
        </w:rPr>
        <w:t>experienced</w:t>
      </w:r>
      <w:r w:rsidRPr="007258AD">
        <w:rPr>
          <w:rStyle w:val="None"/>
          <w:rFonts w:cs="Calibri"/>
          <w:lang w:val="en-GB"/>
        </w:rPr>
        <w:t xml:space="preserve"> grade II and one patient grade III as their most severe index </w:t>
      </w:r>
      <w:r w:rsidR="00910C8F" w:rsidRPr="007258AD">
        <w:rPr>
          <w:rStyle w:val="None"/>
          <w:rFonts w:cs="Calibri"/>
          <w:lang w:val="en-GB"/>
        </w:rPr>
        <w:t xml:space="preserve">PEG drug </w:t>
      </w:r>
      <w:r w:rsidRPr="007258AD">
        <w:rPr>
          <w:rStyle w:val="None"/>
          <w:rFonts w:cs="Calibri"/>
          <w:lang w:val="en-GB"/>
        </w:rPr>
        <w:t>reaction</w:t>
      </w:r>
      <w:r w:rsidR="00910C8F" w:rsidRPr="007258AD">
        <w:rPr>
          <w:rStyle w:val="None"/>
          <w:rFonts w:cs="Calibri"/>
          <w:lang w:val="en-GB"/>
        </w:rPr>
        <w:t xml:space="preserve"> prior to COVID19 vaccination</w:t>
      </w:r>
      <w:r w:rsidRPr="007258AD">
        <w:rPr>
          <w:rStyle w:val="None"/>
          <w:rFonts w:cs="Calibri"/>
          <w:lang w:val="en-GB"/>
        </w:rPr>
        <w:t>. In four patients the index PEG MW was 3350 and in a 5th patient the index PEG MW</w:t>
      </w:r>
      <w:r w:rsidR="00910C8F" w:rsidRPr="007258AD">
        <w:rPr>
          <w:rStyle w:val="None"/>
          <w:rFonts w:cs="Calibri"/>
          <w:lang w:val="en-GB"/>
        </w:rPr>
        <w:t>s</w:t>
      </w:r>
      <w:r w:rsidRPr="007258AD">
        <w:rPr>
          <w:rStyle w:val="None"/>
          <w:rFonts w:cs="Calibri"/>
          <w:lang w:val="en-GB"/>
        </w:rPr>
        <w:t xml:space="preserve"> ranged from 3350 to 20000.</w:t>
      </w:r>
    </w:p>
    <w:p w14:paraId="0F252923" w14:textId="77777777" w:rsidR="00223EB0" w:rsidRPr="007258AD" w:rsidRDefault="00223EB0" w:rsidP="007258AD">
      <w:pPr>
        <w:spacing w:line="360" w:lineRule="auto"/>
        <w:rPr>
          <w:rStyle w:val="Hyperlink0"/>
          <w:rFonts w:ascii="Calibri" w:hAnsi="Calibri" w:cs="Calibri"/>
          <w:sz w:val="22"/>
          <w:szCs w:val="22"/>
          <w:lang w:val="en-GB" w:eastAsia="en-GB"/>
          <w14:textOutline w14:w="12700" w14:cap="flat" w14:cmpd="sng" w14:algn="ctr">
            <w14:noFill/>
            <w14:prstDash w14:val="solid"/>
            <w14:miter w14:lim="400000"/>
          </w14:textOutline>
        </w:rPr>
      </w:pPr>
      <w:r w:rsidRPr="007258AD">
        <w:rPr>
          <w:rStyle w:val="Hyperlink0"/>
          <w:rFonts w:ascii="Calibri" w:hAnsi="Calibri" w:cs="Calibri"/>
          <w:sz w:val="22"/>
          <w:szCs w:val="22"/>
          <w:lang w:val="en-GB"/>
        </w:rPr>
        <w:br w:type="page"/>
      </w:r>
    </w:p>
    <w:p w14:paraId="77D75C34" w14:textId="7A72549E" w:rsidR="00FD7AAB" w:rsidRPr="007258AD" w:rsidRDefault="00684A1E" w:rsidP="007258AD">
      <w:pPr>
        <w:pStyle w:val="BodyA"/>
        <w:spacing w:line="360" w:lineRule="auto"/>
        <w:rPr>
          <w:rStyle w:val="Hyperlink0"/>
          <w:rFonts w:cs="Calibri"/>
          <w:lang w:val="en-GB"/>
        </w:rPr>
      </w:pPr>
      <w:r w:rsidRPr="007258AD">
        <w:rPr>
          <w:rStyle w:val="Hyperlink0"/>
          <w:rFonts w:cs="Calibri"/>
          <w:lang w:val="en-GB"/>
        </w:rPr>
        <w:lastRenderedPageBreak/>
        <w:t>Discussion:</w:t>
      </w:r>
    </w:p>
    <w:p w14:paraId="1BF9202B" w14:textId="43170A35"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We report the largest multi-centre cohort of patients investigated for PEG allergy. Our data highlights the existing knowledge and persisting uncertainties regarding </w:t>
      </w:r>
      <w:r w:rsidR="006051DE" w:rsidRPr="007258AD">
        <w:rPr>
          <w:rStyle w:val="None"/>
          <w:rFonts w:cs="Calibri"/>
          <w:lang w:val="en-GB"/>
        </w:rPr>
        <w:t>investigating and diagnosing</w:t>
      </w:r>
      <w:r w:rsidRPr="007258AD">
        <w:rPr>
          <w:rStyle w:val="None"/>
          <w:rFonts w:cs="Calibri"/>
          <w:lang w:val="en-GB"/>
        </w:rPr>
        <w:t xml:space="preserve"> PEG hypersensitivity.  A high index of suspicion, familiarity with complex and often confusing PEG nomenclatures and greater awareness of the drugs often associated with PEG hypersensitivity </w:t>
      </w:r>
      <w:r w:rsidR="00075D48" w:rsidRPr="007258AD">
        <w:rPr>
          <w:rStyle w:val="None"/>
          <w:rFonts w:cs="Calibri"/>
          <w:lang w:val="en-GB"/>
        </w:rPr>
        <w:t>are</w:t>
      </w:r>
      <w:r w:rsidRPr="007258AD">
        <w:rPr>
          <w:rStyle w:val="None"/>
          <w:rFonts w:cs="Calibri"/>
          <w:lang w:val="en-GB"/>
        </w:rPr>
        <w:t xml:space="preserve"> required to facilitate correct and timely diagnosis.</w:t>
      </w:r>
      <w:r w:rsidRPr="007258AD">
        <w:rPr>
          <w:rStyle w:val="None"/>
          <w:rFonts w:cs="Calibri"/>
          <w:vertAlign w:val="superscript"/>
          <w:lang w:val="en-GB"/>
        </w:rPr>
        <w:t>1</w:t>
      </w:r>
      <w:r w:rsidR="00DF079C" w:rsidRPr="007258AD">
        <w:rPr>
          <w:rStyle w:val="None"/>
          <w:rFonts w:cs="Calibri"/>
          <w:vertAlign w:val="superscript"/>
          <w:lang w:val="en-GB"/>
        </w:rPr>
        <w:t>1</w:t>
      </w:r>
      <w:r w:rsidRPr="007258AD">
        <w:rPr>
          <w:rStyle w:val="None"/>
          <w:rFonts w:cs="Calibri"/>
          <w:lang w:val="en-GB"/>
        </w:rPr>
        <w:t xml:space="preserve"> </w:t>
      </w:r>
    </w:p>
    <w:p w14:paraId="3F53CD0A" w14:textId="08D8FB68" w:rsidR="00FD7AAB" w:rsidRPr="007258AD" w:rsidRDefault="008F301A" w:rsidP="007258AD">
      <w:pPr>
        <w:pStyle w:val="BodyA"/>
        <w:spacing w:line="360" w:lineRule="auto"/>
        <w:rPr>
          <w:rStyle w:val="None"/>
          <w:rFonts w:cs="Calibri"/>
          <w:lang w:val="en-GB"/>
        </w:rPr>
      </w:pPr>
      <w:r w:rsidRPr="007258AD">
        <w:rPr>
          <w:rStyle w:val="None"/>
          <w:rFonts w:cs="Calibri"/>
          <w:lang w:val="en-GB"/>
        </w:rPr>
        <w:t>Of the 23 different drugs implicated in index reactions, grouping laxatives and bowel preparations together, 16 contained PEG</w:t>
      </w:r>
      <w:r w:rsidR="00873719" w:rsidRPr="007258AD">
        <w:rPr>
          <w:rStyle w:val="None"/>
          <w:rFonts w:cs="Calibri"/>
          <w:lang w:val="en-GB"/>
        </w:rPr>
        <w:t xml:space="preserve"> MWs ≥ 3350</w:t>
      </w:r>
      <w:r w:rsidRPr="007258AD">
        <w:rPr>
          <w:rStyle w:val="None"/>
          <w:rFonts w:cs="Calibri"/>
          <w:lang w:val="en-GB"/>
        </w:rPr>
        <w:t xml:space="preserve"> (</w:t>
      </w:r>
      <w:r w:rsidR="00617F9C" w:rsidRPr="007258AD">
        <w:rPr>
          <w:rStyle w:val="None"/>
          <w:rFonts w:cs="Calibri"/>
          <w:lang w:val="en-GB"/>
        </w:rPr>
        <w:t>F</w:t>
      </w:r>
      <w:r w:rsidRPr="007258AD">
        <w:rPr>
          <w:rStyle w:val="None"/>
          <w:rFonts w:cs="Calibri"/>
          <w:lang w:val="en-GB"/>
        </w:rPr>
        <w:t xml:space="preserve">ig </w:t>
      </w:r>
      <w:r w:rsidR="003031C8" w:rsidRPr="007258AD">
        <w:rPr>
          <w:rStyle w:val="None"/>
          <w:rFonts w:cs="Calibri"/>
          <w:lang w:val="en-GB"/>
        </w:rPr>
        <w:t>1</w:t>
      </w:r>
      <w:r w:rsidRPr="007258AD">
        <w:rPr>
          <w:rStyle w:val="None"/>
          <w:rFonts w:cs="Calibri"/>
          <w:lang w:val="en-GB"/>
        </w:rPr>
        <w:t>)</w:t>
      </w:r>
      <w:r w:rsidR="00873719" w:rsidRPr="007258AD">
        <w:rPr>
          <w:rStyle w:val="None"/>
          <w:rFonts w:cs="Calibri"/>
          <w:lang w:val="en-GB"/>
        </w:rPr>
        <w:t>.</w:t>
      </w:r>
      <w:r w:rsidR="002860CC" w:rsidRPr="007258AD">
        <w:rPr>
          <w:rStyle w:val="None"/>
          <w:rFonts w:cs="Calibri"/>
          <w:lang w:val="en-GB"/>
        </w:rPr>
        <w:t xml:space="preserve"> </w:t>
      </w:r>
      <w:r w:rsidR="00684A1E" w:rsidRPr="007258AD">
        <w:rPr>
          <w:rStyle w:val="None"/>
          <w:rFonts w:cs="Calibri"/>
          <w:lang w:val="en-GB"/>
        </w:rPr>
        <w:t xml:space="preserve">Our data suggests PEG hypersensitivity generally occurs with drugs containing the excipient at a MW of 3350 and above. This is supported by the fact that a number of patients tolerated the Pfizer/BioNTech COVID-19 vaccine (containing 0.05mg </w:t>
      </w:r>
      <w:r w:rsidR="007F2B9A" w:rsidRPr="007258AD">
        <w:rPr>
          <w:rStyle w:val="None"/>
          <w:rFonts w:cs="Calibri"/>
          <w:lang w:val="en-GB"/>
        </w:rPr>
        <w:t>PEG2000) and the low rates of</w:t>
      </w:r>
      <w:r w:rsidR="00684A1E" w:rsidRPr="007258AD">
        <w:rPr>
          <w:rStyle w:val="None"/>
          <w:rFonts w:cs="Calibri"/>
          <w:lang w:val="en-GB"/>
        </w:rPr>
        <w:t xml:space="preserve"> adverse reactions to the vaccine reported worldwide.</w:t>
      </w:r>
      <w:r w:rsidR="00DF079C" w:rsidRPr="007258AD">
        <w:rPr>
          <w:rStyle w:val="None"/>
          <w:rFonts w:cs="Calibri"/>
          <w:vertAlign w:val="superscript"/>
          <w:lang w:val="en-GB"/>
        </w:rPr>
        <w:t>12</w:t>
      </w:r>
    </w:p>
    <w:p w14:paraId="0CEDD40C" w14:textId="7BEF96B8"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We have collected valuable data regarding the per unit mg PEG quantities of commonly implicated drugs (Table </w:t>
      </w:r>
      <w:r w:rsidR="00500DFD" w:rsidRPr="007258AD">
        <w:rPr>
          <w:rStyle w:val="None"/>
          <w:rFonts w:cs="Calibri"/>
          <w:lang w:val="en-GB"/>
        </w:rPr>
        <w:t>4</w:t>
      </w:r>
      <w:r w:rsidRPr="007258AD">
        <w:rPr>
          <w:rStyle w:val="None"/>
          <w:rFonts w:cs="Calibri"/>
          <w:lang w:val="en-GB"/>
        </w:rPr>
        <w:t xml:space="preserve">, </w:t>
      </w:r>
      <w:r w:rsidR="001D5F13" w:rsidRPr="007258AD">
        <w:rPr>
          <w:rStyle w:val="None"/>
          <w:rFonts w:cs="Calibri"/>
          <w:lang w:val="en-GB"/>
        </w:rPr>
        <w:t>Table E3 and Table E5</w:t>
      </w:r>
      <w:r w:rsidRPr="007258AD">
        <w:rPr>
          <w:rStyle w:val="None"/>
          <w:rFonts w:cs="Calibri"/>
          <w:lang w:val="en-GB"/>
        </w:rPr>
        <w:t>) obtained following requests to the relevant pharmaceutical companies. Among our cohort, the commonly implicated drugs contained larger quantities of PEG. Macrogol laxative preparations contained the highest PEG quantities (10,000 – 100,000 mg</w:t>
      </w:r>
      <w:r w:rsidR="001B66AA" w:rsidRPr="007258AD">
        <w:rPr>
          <w:rStyle w:val="None"/>
          <w:rFonts w:cs="Calibri"/>
          <w:lang w:val="en-GB"/>
        </w:rPr>
        <w:t xml:space="preserve"> of PEG3350</w:t>
      </w:r>
      <w:r w:rsidRPr="007258AD">
        <w:rPr>
          <w:rStyle w:val="None"/>
          <w:rFonts w:cs="Calibri"/>
          <w:lang w:val="en-GB"/>
        </w:rPr>
        <w:t xml:space="preserve"> per sachet). This was followed by depo-methylprednisolone (29 mg</w:t>
      </w:r>
      <w:r w:rsidR="001B66AA" w:rsidRPr="007258AD">
        <w:rPr>
          <w:rStyle w:val="None"/>
          <w:rFonts w:cs="Calibri"/>
          <w:lang w:val="en-GB"/>
        </w:rPr>
        <w:t xml:space="preserve"> of PEG3350 per 1</w:t>
      </w:r>
      <w:r w:rsidRPr="007258AD">
        <w:rPr>
          <w:rStyle w:val="None"/>
          <w:rFonts w:cs="Calibri"/>
          <w:lang w:val="en-GB"/>
        </w:rPr>
        <w:t>mL), depo-medroxyprogesterone (20.3 mg</w:t>
      </w:r>
      <w:r w:rsidR="001B66AA" w:rsidRPr="007258AD">
        <w:rPr>
          <w:rStyle w:val="None"/>
          <w:rFonts w:cs="Calibri"/>
          <w:lang w:val="en-GB"/>
        </w:rPr>
        <w:t xml:space="preserve"> of PEG3350 per 1</w:t>
      </w:r>
      <w:r w:rsidRPr="007258AD">
        <w:rPr>
          <w:rStyle w:val="None"/>
          <w:rFonts w:cs="Calibri"/>
          <w:lang w:val="en-GB"/>
        </w:rPr>
        <w:t>mL) and penicillin V (6mg of PEG</w:t>
      </w:r>
      <w:r w:rsidR="001B66AA" w:rsidRPr="007258AD">
        <w:rPr>
          <w:rStyle w:val="None"/>
          <w:rFonts w:cs="Calibri"/>
          <w:lang w:val="en-GB"/>
        </w:rPr>
        <w:t>6000</w:t>
      </w:r>
      <w:r w:rsidRPr="007258AD">
        <w:rPr>
          <w:rStyle w:val="None"/>
          <w:rFonts w:cs="Calibri"/>
          <w:lang w:val="en-GB"/>
        </w:rPr>
        <w:t xml:space="preserve"> per 250mg tablet) (</w:t>
      </w:r>
      <w:r w:rsidR="00FF3A95" w:rsidRPr="007258AD">
        <w:rPr>
          <w:rStyle w:val="None"/>
          <w:rFonts w:cs="Calibri"/>
          <w:lang w:val="en-GB"/>
        </w:rPr>
        <w:t>Table E5</w:t>
      </w:r>
      <w:r w:rsidRPr="007258AD">
        <w:rPr>
          <w:rStyle w:val="None"/>
          <w:rFonts w:cs="Calibri"/>
          <w:lang w:val="en-GB"/>
        </w:rPr>
        <w:t>).</w:t>
      </w:r>
    </w:p>
    <w:p w14:paraId="1AEC9AEA"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Among the macrogol laxatives, preparations with higher PEG content were not more frequently implicated, suggesting above a certain threshold dose there may not be an increase in reaction risk. </w:t>
      </w:r>
    </w:p>
    <w:p w14:paraId="01FFD296" w14:textId="6E50B05B" w:rsidR="00FD7AAB" w:rsidRPr="007258AD" w:rsidRDefault="00684A1E" w:rsidP="007258AD">
      <w:pPr>
        <w:pStyle w:val="BodyA"/>
        <w:spacing w:line="360" w:lineRule="auto"/>
        <w:rPr>
          <w:rStyle w:val="None"/>
          <w:rFonts w:cs="Calibri"/>
          <w:lang w:val="en-GB"/>
        </w:rPr>
      </w:pPr>
      <w:r w:rsidRPr="007258AD">
        <w:rPr>
          <w:rStyle w:val="None"/>
          <w:rFonts w:cs="Calibri"/>
          <w:lang w:val="en-GB"/>
        </w:rPr>
        <w:t>While the average age of our cohort is compatible with literature describing a younger median age of diagnosis, our female predominance diverged from the previously reported male predominance.</w:t>
      </w:r>
      <w:r w:rsidR="00DF079C" w:rsidRPr="007258AD">
        <w:rPr>
          <w:rStyle w:val="None"/>
          <w:rFonts w:cs="Calibri"/>
          <w:vertAlign w:val="superscript"/>
          <w:lang w:val="en-GB"/>
        </w:rPr>
        <w:t>13,14</w:t>
      </w:r>
      <w:r w:rsidRPr="007258AD">
        <w:rPr>
          <w:rStyle w:val="None"/>
          <w:rFonts w:cs="Calibri"/>
          <w:vertAlign w:val="superscript"/>
          <w:lang w:val="en-GB"/>
        </w:rPr>
        <w:t xml:space="preserve"> </w:t>
      </w:r>
      <w:r w:rsidRPr="007258AD">
        <w:rPr>
          <w:rStyle w:val="None"/>
          <w:rFonts w:cs="Calibri"/>
          <w:lang w:val="en-GB"/>
        </w:rPr>
        <w:t>PEG allergy presented as a severe immediate hypersensitivity reaction with 61% of our cohort experiencing grade III anaphylaxis with a concomitant significant rise in mast cell tryptase, where measured. This is also supported by previous smaller case series.</w:t>
      </w:r>
      <w:r w:rsidRPr="007258AD">
        <w:rPr>
          <w:rStyle w:val="None"/>
          <w:rFonts w:cs="Calibri"/>
          <w:vertAlign w:val="superscript"/>
          <w:lang w:val="en-GB"/>
        </w:rPr>
        <w:t xml:space="preserve">4, 6, </w:t>
      </w:r>
      <w:r w:rsidR="00DF079C" w:rsidRPr="007258AD">
        <w:rPr>
          <w:rStyle w:val="None"/>
          <w:rFonts w:cs="Calibri"/>
          <w:vertAlign w:val="superscript"/>
          <w:lang w:val="en-GB"/>
        </w:rPr>
        <w:t>15</w:t>
      </w:r>
      <w:r w:rsidRPr="007258AD">
        <w:rPr>
          <w:rStyle w:val="None"/>
          <w:rFonts w:cs="Calibri"/>
          <w:lang w:val="en-GB"/>
        </w:rPr>
        <w:t xml:space="preserve"> 43% of this cohort also reported reacting to two or more PEG</w:t>
      </w:r>
      <w:r w:rsidR="006051DE" w:rsidRPr="007258AD">
        <w:rPr>
          <w:rStyle w:val="None"/>
          <w:rFonts w:cs="Calibri"/>
          <w:lang w:val="en-GB"/>
        </w:rPr>
        <w:t>-</w:t>
      </w:r>
      <w:r w:rsidRPr="007258AD">
        <w:rPr>
          <w:rStyle w:val="None"/>
          <w:rFonts w:cs="Calibri"/>
          <w:lang w:val="en-GB"/>
        </w:rPr>
        <w:t>containing medications.</w:t>
      </w:r>
    </w:p>
    <w:p w14:paraId="4E3E7439" w14:textId="25B1B3A9"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Standardised reagents for skin testing to PEG are not yet commercially available. An international consensus on skin testing concentrations and use of PEG of different MWs is needed. Among our cohort the SPT concentration of PEG in the culprit drugs (available as intravenous preparations) ranged from 0.491% (4.91 mg/mL) to 2.9% (29 mg/mL). Macrogol laxatives had the highest PEG concentrations for SPT at 10% (100mg/mL).  The difference in PEG concentrations may explain 4 </w:t>
      </w:r>
      <w:r w:rsidRPr="007258AD">
        <w:rPr>
          <w:rStyle w:val="None"/>
          <w:rFonts w:cs="Calibri"/>
          <w:lang w:val="en-GB"/>
        </w:rPr>
        <w:lastRenderedPageBreak/>
        <w:t>patients being macrogol SPT-positive and index drug SPT-negative. We would therefore suggest to always conducting SPT with PEG 3350 10%.</w:t>
      </w:r>
      <w:r w:rsidR="00DF079C" w:rsidRPr="007258AD">
        <w:rPr>
          <w:rStyle w:val="None"/>
          <w:rFonts w:cs="Calibri"/>
          <w:vertAlign w:val="superscript"/>
          <w:lang w:val="en-GB"/>
        </w:rPr>
        <w:t>15</w:t>
      </w:r>
    </w:p>
    <w:p w14:paraId="4CFD7D3C" w14:textId="208AE9F5" w:rsidR="00FD7AAB" w:rsidRPr="007258AD" w:rsidRDefault="00684A1E" w:rsidP="007258AD">
      <w:pPr>
        <w:pStyle w:val="BodyA"/>
        <w:spacing w:line="360" w:lineRule="auto"/>
        <w:rPr>
          <w:rStyle w:val="None"/>
          <w:rFonts w:cs="Calibri"/>
          <w:lang w:val="en-GB"/>
        </w:rPr>
      </w:pPr>
      <w:r w:rsidRPr="007258AD">
        <w:rPr>
          <w:rStyle w:val="None"/>
          <w:rFonts w:cs="Calibri"/>
          <w:lang w:val="en-GB"/>
        </w:rPr>
        <w:t>Our data confirms</w:t>
      </w:r>
      <w:r w:rsidR="00F9030D" w:rsidRPr="007258AD">
        <w:rPr>
          <w:rStyle w:val="None"/>
          <w:rFonts w:cs="Calibri"/>
          <w:lang w:val="en-GB"/>
        </w:rPr>
        <w:t>, in ou</w:t>
      </w:r>
      <w:r w:rsidR="006051DE" w:rsidRPr="007258AD">
        <w:rPr>
          <w:rStyle w:val="None"/>
          <w:rFonts w:cs="Calibri"/>
          <w:lang w:val="en-GB"/>
        </w:rPr>
        <w:t>r</w:t>
      </w:r>
      <w:r w:rsidR="00F9030D" w:rsidRPr="007258AD">
        <w:rPr>
          <w:rStyle w:val="None"/>
          <w:rFonts w:cs="Calibri"/>
          <w:lang w:val="en-GB"/>
        </w:rPr>
        <w:t xml:space="preserve"> selected cohort with a high pre-test probability,</w:t>
      </w:r>
      <w:r w:rsidRPr="007258AD">
        <w:rPr>
          <w:rStyle w:val="None"/>
          <w:rFonts w:cs="Calibri"/>
          <w:lang w:val="en-GB"/>
        </w:rPr>
        <w:t xml:space="preserve"> IDT does increase diagnostic sensitivity</w:t>
      </w:r>
      <w:r w:rsidR="00F9030D" w:rsidRPr="007258AD">
        <w:rPr>
          <w:rStyle w:val="None"/>
          <w:rFonts w:cs="Calibri"/>
          <w:lang w:val="en-GB"/>
        </w:rPr>
        <w:t xml:space="preserve"> relative to SPT alone</w:t>
      </w:r>
      <w:r w:rsidRPr="007258AD">
        <w:rPr>
          <w:rStyle w:val="None"/>
          <w:rFonts w:cs="Calibri"/>
          <w:lang w:val="en-GB"/>
        </w:rPr>
        <w:t>. The risk of systemic reactions on IDT appear</w:t>
      </w:r>
      <w:r w:rsidR="000333B8" w:rsidRPr="007258AD">
        <w:rPr>
          <w:rStyle w:val="None"/>
          <w:rFonts w:cs="Calibri"/>
          <w:lang w:val="en-GB"/>
        </w:rPr>
        <w:t>s to</w:t>
      </w:r>
      <w:r w:rsidRPr="007258AD">
        <w:rPr>
          <w:rStyle w:val="None"/>
          <w:rFonts w:cs="Calibri"/>
          <w:lang w:val="en-GB"/>
        </w:rPr>
        <w:t xml:space="preserve"> increase</w:t>
      </w:r>
      <w:r w:rsidR="000333B8" w:rsidRPr="007258AD">
        <w:rPr>
          <w:rStyle w:val="None"/>
          <w:rFonts w:cs="Calibri"/>
          <w:lang w:val="en-GB"/>
        </w:rPr>
        <w:t xml:space="preserve"> </w:t>
      </w:r>
      <w:r w:rsidRPr="007258AD">
        <w:rPr>
          <w:rStyle w:val="None"/>
          <w:rFonts w:cs="Calibri"/>
          <w:lang w:val="en-GB"/>
        </w:rPr>
        <w:t xml:space="preserve">if multiple IDTs are conducted (median of 3 IDTs conducted simultaneously, range 2-5). However, only a small number of our total cohort (n=5) experienced </w:t>
      </w:r>
      <w:r w:rsidR="006051DE" w:rsidRPr="007258AD">
        <w:rPr>
          <w:rStyle w:val="None"/>
          <w:rFonts w:cs="Calibri"/>
          <w:lang w:val="en-GB"/>
        </w:rPr>
        <w:t>IDT-associated systemic reactions,</w:t>
      </w:r>
      <w:r w:rsidRPr="007258AD">
        <w:rPr>
          <w:rStyle w:val="None"/>
          <w:rFonts w:cs="Calibri"/>
          <w:lang w:val="en-GB"/>
        </w:rPr>
        <w:t xml:space="preserve"> all of which were managed promptly. IDT is at present still a key part of PEG investigations but must be used appropriately and with precautions, prior consent and conducted by experienced clinicians in an appropriate setting.</w:t>
      </w:r>
    </w:p>
    <w:p w14:paraId="33BA3F10" w14:textId="4EC6DDDF" w:rsidR="00FD7AAB" w:rsidRPr="007258AD" w:rsidRDefault="00684A1E" w:rsidP="007258AD">
      <w:pPr>
        <w:pStyle w:val="BodyA"/>
        <w:spacing w:line="360" w:lineRule="auto"/>
        <w:rPr>
          <w:rStyle w:val="None"/>
          <w:rFonts w:cs="Calibri"/>
          <w:lang w:val="en-GB"/>
        </w:rPr>
      </w:pPr>
      <w:r w:rsidRPr="007258AD">
        <w:rPr>
          <w:rStyle w:val="None"/>
          <w:rFonts w:cs="Calibri"/>
          <w:lang w:val="en-GB"/>
        </w:rPr>
        <w:t>Garvey et al described the potential role of higher MW PEG SPT as a means of increasing SPT sensitivity.</w:t>
      </w:r>
      <w:r w:rsidRPr="007258AD">
        <w:rPr>
          <w:rStyle w:val="None"/>
          <w:rFonts w:cs="Calibri"/>
          <w:vertAlign w:val="superscript"/>
          <w:lang w:val="en-GB"/>
        </w:rPr>
        <w:t xml:space="preserve"> 6, </w:t>
      </w:r>
      <w:r w:rsidR="00DF079C" w:rsidRPr="007258AD">
        <w:rPr>
          <w:rStyle w:val="None"/>
          <w:rFonts w:cs="Calibri"/>
          <w:vertAlign w:val="superscript"/>
          <w:lang w:val="en-GB"/>
        </w:rPr>
        <w:t>9</w:t>
      </w:r>
      <w:r w:rsidRPr="007258AD">
        <w:rPr>
          <w:rStyle w:val="None"/>
          <w:rFonts w:cs="Calibri"/>
          <w:vertAlign w:val="superscript"/>
          <w:lang w:val="en-GB"/>
        </w:rPr>
        <w:t xml:space="preserve"> </w:t>
      </w:r>
      <w:r w:rsidRPr="007258AD">
        <w:rPr>
          <w:rStyle w:val="None"/>
          <w:rFonts w:cs="Calibri"/>
          <w:lang w:val="en-GB"/>
        </w:rPr>
        <w:t xml:space="preserve">This was confirmed in two of our patients who were SPT-positive to higher MW PEGs and PEG DPT positive. An additional two patients who were SPT-positive to a higher MW PEG were subsequently IDT-positive to their index MW PEG. </w:t>
      </w:r>
    </w:p>
    <w:p w14:paraId="0B12219B" w14:textId="2AE63F03" w:rsidR="00FD7AAB" w:rsidRPr="007258AD" w:rsidRDefault="00684A1E" w:rsidP="007258AD">
      <w:pPr>
        <w:pStyle w:val="BodyA"/>
        <w:spacing w:line="360" w:lineRule="auto"/>
        <w:rPr>
          <w:rStyle w:val="None"/>
          <w:rFonts w:cs="Calibri"/>
          <w:vertAlign w:val="superscript"/>
          <w:lang w:val="en-GB"/>
        </w:rPr>
      </w:pPr>
      <w:r w:rsidRPr="007258AD">
        <w:rPr>
          <w:rStyle w:val="None"/>
          <w:rFonts w:cs="Calibri"/>
          <w:lang w:val="en-GB"/>
        </w:rPr>
        <w:t>However SPT with higher MW PEGs also carries a risk of systemic reactions (11%, 1 of 9 PEG-allergic who underwent HMW PEG SPT testing).</w:t>
      </w:r>
      <w:r w:rsidRPr="007258AD">
        <w:rPr>
          <w:rStyle w:val="None"/>
          <w:rFonts w:cs="Calibri"/>
          <w:vertAlign w:val="superscript"/>
          <w:lang w:val="en-GB"/>
        </w:rPr>
        <w:t xml:space="preserve">6, </w:t>
      </w:r>
      <w:r w:rsidR="00DF079C" w:rsidRPr="007258AD">
        <w:rPr>
          <w:rStyle w:val="None"/>
          <w:rFonts w:cs="Calibri"/>
          <w:vertAlign w:val="superscript"/>
          <w:lang w:val="en-GB"/>
        </w:rPr>
        <w:t>9</w:t>
      </w:r>
      <w:r w:rsidRPr="007258AD">
        <w:rPr>
          <w:rStyle w:val="None"/>
          <w:rFonts w:cs="Calibri"/>
          <w:lang w:val="en-GB"/>
        </w:rPr>
        <w:t xml:space="preserve"> The validity of this approach requires confirmation in a larger number of patients. Currently higher MW PEG preparations are not routinely available, making this potentially useful approach difficult to implement in clinical practice.</w:t>
      </w:r>
      <w:r w:rsidRPr="007258AD">
        <w:rPr>
          <w:rStyle w:val="None"/>
          <w:rFonts w:cs="Calibri"/>
          <w:vertAlign w:val="superscript"/>
          <w:lang w:val="en-GB"/>
        </w:rPr>
        <w:t>16</w:t>
      </w:r>
    </w:p>
    <w:p w14:paraId="519FF426" w14:textId="77777777" w:rsidR="00FD7AAB" w:rsidRPr="007258AD" w:rsidRDefault="00684A1E" w:rsidP="007258AD">
      <w:pPr>
        <w:pStyle w:val="BodyA"/>
        <w:spacing w:after="0" w:line="360" w:lineRule="auto"/>
        <w:rPr>
          <w:rStyle w:val="None"/>
          <w:rFonts w:cs="Calibri"/>
          <w:lang w:val="en-GB"/>
        </w:rPr>
      </w:pPr>
      <w:r w:rsidRPr="007258AD">
        <w:rPr>
          <w:rStyle w:val="None"/>
          <w:rFonts w:cs="Calibri"/>
          <w:lang w:val="en-GB"/>
        </w:rPr>
        <w:t>In skin test negative patients who require DPT, it is important to consider the following points. PEG is likely more allergenic with higher MWs and doses capable of crossing patient thresholds.</w:t>
      </w:r>
      <w:r w:rsidRPr="007258AD">
        <w:rPr>
          <w:rStyle w:val="None"/>
          <w:rFonts w:cs="Calibri"/>
          <w:vertAlign w:val="superscript"/>
          <w:lang w:val="en-GB"/>
        </w:rPr>
        <w:t>6</w:t>
      </w:r>
      <w:r w:rsidRPr="007258AD">
        <w:rPr>
          <w:rStyle w:val="None"/>
          <w:rFonts w:cs="Calibri"/>
          <w:lang w:val="en-GB"/>
        </w:rPr>
        <w:t xml:space="preserve">  Gastrointestinal absorption of higher MW PEGs &gt;1000 g/mol can be as low as 2%.</w:t>
      </w:r>
      <w:r w:rsidRPr="007258AD">
        <w:rPr>
          <w:rStyle w:val="None"/>
          <w:rFonts w:cs="Calibri"/>
          <w:vertAlign w:val="superscript"/>
          <w:lang w:val="en-GB"/>
        </w:rPr>
        <w:t>17</w:t>
      </w:r>
      <w:r w:rsidRPr="007258AD">
        <w:rPr>
          <w:rStyle w:val="None"/>
          <w:rFonts w:cs="Calibri"/>
          <w:lang w:val="en-GB"/>
        </w:rPr>
        <w:t xml:space="preserve"> A case of previous anaphylaxis to depo-methylprednisolone (29 mg/mL of PEG 3350), requiring cumulative 7100mg of oral macrogol to elicit a reaction on PEG DPT, suggests gastrointestinal absorption in some cases may be even less than 2%.</w:t>
      </w:r>
      <w:r w:rsidRPr="007258AD">
        <w:rPr>
          <w:rStyle w:val="None"/>
          <w:rFonts w:cs="Calibri"/>
          <w:vertAlign w:val="superscript"/>
          <w:lang w:val="en-GB"/>
        </w:rPr>
        <w:t>18</w:t>
      </w:r>
      <w:r w:rsidRPr="007258AD">
        <w:rPr>
          <w:rStyle w:val="None"/>
          <w:rFonts w:cs="Calibri"/>
          <w:lang w:val="en-GB"/>
        </w:rPr>
        <w:t xml:space="preserve"> In such patients, greater oral PEG quantities may be required during DPT, to reach their threshold. Until PEG gastrointestinal absorption behaviours are more precisely understood, negative oral DPT with a single sachet macrogol (therapeutic dose), can be of questionable diagnostic value. </w:t>
      </w:r>
      <w:bookmarkStart w:id="5" w:name="_Hlk89030124"/>
      <w:r w:rsidRPr="007258AD">
        <w:rPr>
          <w:rStyle w:val="None"/>
          <w:rFonts w:cs="Calibri"/>
          <w:lang w:val="en-GB"/>
        </w:rPr>
        <w:t>Studies are required to better understand PEG thresholds and PEG equivalent doses of various route of administration</w:t>
      </w:r>
      <w:bookmarkEnd w:id="5"/>
      <w:r w:rsidRPr="007258AD">
        <w:rPr>
          <w:rStyle w:val="None"/>
          <w:rFonts w:cs="Calibri"/>
          <w:lang w:val="en-GB"/>
        </w:rPr>
        <w:t>. Among our cohort there was one possible false negative macrogol DPT, given the convincing clinical history, positive DPT to the index drug and negative DPT to the active ingredient (PEG-free version).</w:t>
      </w:r>
    </w:p>
    <w:p w14:paraId="00664288" w14:textId="77777777" w:rsidR="00FD7AAB" w:rsidRPr="007258AD" w:rsidRDefault="00FD7AAB" w:rsidP="007258AD">
      <w:pPr>
        <w:pStyle w:val="BodyA"/>
        <w:spacing w:after="0" w:line="360" w:lineRule="auto"/>
        <w:rPr>
          <w:rStyle w:val="None"/>
          <w:rFonts w:cs="Calibri"/>
          <w:lang w:val="en-GB"/>
        </w:rPr>
      </w:pPr>
    </w:p>
    <w:p w14:paraId="6E12FE05" w14:textId="03314078" w:rsidR="00FD7AAB" w:rsidRPr="007258AD" w:rsidRDefault="00684A1E" w:rsidP="007258AD">
      <w:pPr>
        <w:pStyle w:val="BodyA"/>
        <w:spacing w:after="0" w:line="360" w:lineRule="auto"/>
        <w:rPr>
          <w:rStyle w:val="None"/>
          <w:rFonts w:cs="Calibri"/>
          <w:vertAlign w:val="superscript"/>
          <w:lang w:val="en-GB"/>
        </w:rPr>
      </w:pPr>
      <w:r w:rsidRPr="007258AD">
        <w:rPr>
          <w:rStyle w:val="None"/>
          <w:rFonts w:cs="Calibri"/>
          <w:lang w:val="en-GB"/>
        </w:rPr>
        <w:t xml:space="preserve">Only six patients in our cohort underwent skin testing to explore PS80 </w:t>
      </w:r>
      <w:r w:rsidR="006051DE" w:rsidRPr="007258AD">
        <w:rPr>
          <w:rStyle w:val="None"/>
          <w:rFonts w:cs="Calibri"/>
          <w:lang w:val="en-GB"/>
        </w:rPr>
        <w:t>cross-reactivity</w:t>
      </w:r>
      <w:r w:rsidRPr="007258AD">
        <w:rPr>
          <w:rStyle w:val="None"/>
          <w:rFonts w:cs="Calibri"/>
          <w:lang w:val="en-GB"/>
        </w:rPr>
        <w:t xml:space="preserve">. With one confirmed case of hypersensitivity to both PEG and PS80. Cases of PS80 cross-reactivity have been </w:t>
      </w:r>
      <w:r w:rsidRPr="007258AD">
        <w:rPr>
          <w:rStyle w:val="None"/>
          <w:rFonts w:cs="Calibri"/>
          <w:lang w:val="en-GB"/>
        </w:rPr>
        <w:lastRenderedPageBreak/>
        <w:t>clinically reported in small numbers. The true risk of cross-reactivity between PEG and PS80 due to its shared chemical moiety: : –(CH2CH2O)</w:t>
      </w:r>
      <w:r w:rsidRPr="007258AD">
        <w:rPr>
          <w:rStyle w:val="None"/>
          <w:rFonts w:cs="Calibri"/>
          <w:i/>
          <w:iCs/>
          <w:lang w:val="en-GB"/>
        </w:rPr>
        <w:t xml:space="preserve">n </w:t>
      </w:r>
      <w:r w:rsidRPr="007258AD">
        <w:rPr>
          <w:rStyle w:val="None"/>
          <w:rFonts w:cs="Calibri"/>
          <w:lang w:val="en-GB"/>
        </w:rPr>
        <w:t>warrants further investigations.</w:t>
      </w:r>
      <w:r w:rsidRPr="007258AD">
        <w:rPr>
          <w:rStyle w:val="None"/>
          <w:rFonts w:cs="Calibri"/>
          <w:vertAlign w:val="superscript"/>
          <w:lang w:val="en-GB"/>
        </w:rPr>
        <w:t xml:space="preserve">4, </w:t>
      </w:r>
      <w:r w:rsidR="00DF079C" w:rsidRPr="007258AD">
        <w:rPr>
          <w:rStyle w:val="None"/>
          <w:rFonts w:cs="Calibri"/>
          <w:vertAlign w:val="superscript"/>
          <w:lang w:val="en-GB"/>
        </w:rPr>
        <w:t>14</w:t>
      </w:r>
    </w:p>
    <w:p w14:paraId="69A802DF" w14:textId="77777777" w:rsidR="00FD7AAB" w:rsidRPr="007258AD" w:rsidRDefault="00FD7AAB" w:rsidP="007258AD">
      <w:pPr>
        <w:pStyle w:val="BodyA"/>
        <w:spacing w:line="360" w:lineRule="auto"/>
        <w:rPr>
          <w:rStyle w:val="None"/>
          <w:rFonts w:cs="Calibri"/>
          <w:lang w:val="en-GB"/>
        </w:rPr>
      </w:pPr>
    </w:p>
    <w:p w14:paraId="6D831361" w14:textId="76B4C3A7" w:rsidR="00FD7AAB" w:rsidRPr="007258AD" w:rsidRDefault="00684A1E" w:rsidP="007258AD">
      <w:pPr>
        <w:pStyle w:val="BodyA"/>
        <w:spacing w:line="360" w:lineRule="auto"/>
        <w:rPr>
          <w:rStyle w:val="None"/>
          <w:rFonts w:cs="Calibri"/>
          <w:lang w:val="en-GB"/>
        </w:rPr>
      </w:pPr>
      <w:r w:rsidRPr="007258AD">
        <w:rPr>
          <w:rStyle w:val="None"/>
          <w:rFonts w:cs="Calibri"/>
          <w:lang w:val="en-GB"/>
        </w:rPr>
        <w:t xml:space="preserve">Our data has allowed us to explore the tolerance of some </w:t>
      </w:r>
      <w:r w:rsidR="006051DE" w:rsidRPr="007258AD">
        <w:rPr>
          <w:rStyle w:val="None"/>
          <w:rFonts w:cs="Calibri"/>
          <w:lang w:val="en-GB"/>
        </w:rPr>
        <w:t>PEG-containing</w:t>
      </w:r>
      <w:r w:rsidRPr="007258AD">
        <w:rPr>
          <w:rStyle w:val="None"/>
          <w:rFonts w:cs="Calibri"/>
          <w:lang w:val="en-GB"/>
        </w:rPr>
        <w:t xml:space="preserve"> drugs in PEG-allergic patients (Table </w:t>
      </w:r>
      <w:r w:rsidR="00500DFD" w:rsidRPr="007258AD">
        <w:rPr>
          <w:rStyle w:val="None"/>
          <w:rFonts w:cs="Calibri"/>
          <w:lang w:val="en-GB"/>
        </w:rPr>
        <w:t>4</w:t>
      </w:r>
      <w:r w:rsidRPr="007258AD">
        <w:rPr>
          <w:rStyle w:val="None"/>
          <w:rFonts w:cs="Calibri"/>
          <w:lang w:val="en-GB"/>
        </w:rPr>
        <w:t xml:space="preserve">, </w:t>
      </w:r>
      <w:r w:rsidR="00FF3A95" w:rsidRPr="007258AD">
        <w:rPr>
          <w:rStyle w:val="None"/>
          <w:rFonts w:cs="Calibri"/>
          <w:lang w:val="en-GB"/>
        </w:rPr>
        <w:t>Table E5</w:t>
      </w:r>
      <w:r w:rsidRPr="007258AD">
        <w:rPr>
          <w:rStyle w:val="None"/>
          <w:rFonts w:cs="Calibri"/>
          <w:lang w:val="en-GB"/>
        </w:rPr>
        <w:t xml:space="preserve">).  Nine PEG-allergic patients tolerated PEG-containing drugs. Seven of nine tolerated </w:t>
      </w:r>
      <w:r w:rsidR="00F828DB" w:rsidRPr="007258AD">
        <w:rPr>
          <w:rStyle w:val="None"/>
          <w:rFonts w:cs="Calibri"/>
          <w:lang w:val="en-GB"/>
        </w:rPr>
        <w:t xml:space="preserve">H1 </w:t>
      </w:r>
      <w:r w:rsidRPr="007258AD">
        <w:rPr>
          <w:rStyle w:val="None"/>
          <w:rFonts w:cs="Calibri"/>
          <w:lang w:val="en-GB"/>
        </w:rPr>
        <w:t xml:space="preserve">antihistamines. The reason for this is unknown but possibly related to their H1 receptor antagonistic properties.  There appears to be no pattern suggesting tolerance of PEG in lower doses or MWs when compared to the index drug (Table </w:t>
      </w:r>
      <w:r w:rsidR="00500DFD" w:rsidRPr="007258AD">
        <w:rPr>
          <w:rStyle w:val="None"/>
          <w:rFonts w:cs="Calibri"/>
          <w:lang w:val="en-GB"/>
        </w:rPr>
        <w:t>4</w:t>
      </w:r>
      <w:r w:rsidRPr="007258AD">
        <w:rPr>
          <w:rStyle w:val="None"/>
          <w:rFonts w:cs="Calibri"/>
          <w:lang w:val="en-GB"/>
        </w:rPr>
        <w:t xml:space="preserve">). Others, like us, have reported tolerance of Pfizer/BioNTech vaccine (PEG2000: 0.05mg) in PEG-allergic patients who had reacted to PEG-asparaginase and bowel preparation, which may be due to threshold doses and lower MW. </w:t>
      </w:r>
      <w:r w:rsidR="00DF079C" w:rsidRPr="007258AD">
        <w:rPr>
          <w:rStyle w:val="None"/>
          <w:rFonts w:cs="Calibri"/>
          <w:vertAlign w:val="superscript"/>
          <w:lang w:val="en-GB"/>
        </w:rPr>
        <w:t>15</w:t>
      </w:r>
      <w:r w:rsidRPr="007258AD">
        <w:rPr>
          <w:rStyle w:val="None"/>
          <w:rFonts w:cs="Calibri"/>
          <w:vertAlign w:val="superscript"/>
          <w:lang w:val="en-GB"/>
        </w:rPr>
        <w:t>,19</w:t>
      </w:r>
      <w:r w:rsidRPr="007258AD">
        <w:rPr>
          <w:rStyle w:val="None"/>
          <w:rFonts w:cs="Calibri"/>
          <w:shd w:val="clear" w:color="auto" w:fill="00FF00"/>
          <w:lang w:val="en-GB"/>
        </w:rPr>
        <w:t xml:space="preserve"> </w:t>
      </w:r>
      <w:r w:rsidRPr="007258AD">
        <w:rPr>
          <w:rStyle w:val="None"/>
          <w:rFonts w:cs="Calibri"/>
          <w:shd w:val="clear" w:color="auto" w:fill="00FF00"/>
          <w:vertAlign w:val="superscript"/>
          <w:lang w:val="en-GB"/>
        </w:rPr>
        <w:t xml:space="preserve">  </w:t>
      </w:r>
    </w:p>
    <w:p w14:paraId="588B5F6E" w14:textId="51EC75CA" w:rsidR="00FD7AAB" w:rsidRPr="007258AD" w:rsidRDefault="00684A1E" w:rsidP="007258AD">
      <w:pPr>
        <w:pStyle w:val="BodyA"/>
        <w:spacing w:line="360" w:lineRule="auto"/>
        <w:rPr>
          <w:rStyle w:val="None"/>
          <w:rFonts w:cs="Calibri"/>
          <w:lang w:val="en-GB"/>
        </w:rPr>
      </w:pPr>
      <w:r w:rsidRPr="007258AD">
        <w:rPr>
          <w:rStyle w:val="None"/>
          <w:rFonts w:cs="Calibri"/>
          <w:lang w:val="en-GB"/>
        </w:rPr>
        <w:t>Among our PEG-allergic group, tolerance of six other po</w:t>
      </w:r>
      <w:r w:rsidR="00150652" w:rsidRPr="007258AD">
        <w:rPr>
          <w:rStyle w:val="None"/>
          <w:rFonts w:cs="Calibri"/>
          <w:lang w:val="en-GB"/>
        </w:rPr>
        <w:t>ssible PEG-</w:t>
      </w:r>
      <w:r w:rsidRPr="007258AD">
        <w:rPr>
          <w:rStyle w:val="None"/>
          <w:rFonts w:cs="Calibri"/>
          <w:lang w:val="en-GB"/>
        </w:rPr>
        <w:t>containing drugs was described. Unfortunately the presence or absence of PEG varied according to drug brand (</w:t>
      </w:r>
      <w:r w:rsidR="00FF3A95" w:rsidRPr="007258AD">
        <w:rPr>
          <w:rStyle w:val="None"/>
          <w:rFonts w:cs="Calibri"/>
          <w:lang w:val="en-GB"/>
        </w:rPr>
        <w:t>Table E5</w:t>
      </w:r>
      <w:r w:rsidRPr="007258AD">
        <w:rPr>
          <w:rStyle w:val="None"/>
          <w:rFonts w:cs="Calibri"/>
          <w:lang w:val="en-GB"/>
        </w:rPr>
        <w:t>) and brand details were not documented in clinical records. As a result no further conclusions regarding PEG tolerance could be made. This highlights the importance of sourcing manufacturer/brand details when obtaining a drug history in patients with suspected PEG allergy.</w:t>
      </w:r>
    </w:p>
    <w:p w14:paraId="75D8EE14" w14:textId="77777777" w:rsidR="00FD7AAB" w:rsidRPr="007258AD" w:rsidRDefault="00684A1E" w:rsidP="007258AD">
      <w:pPr>
        <w:pStyle w:val="BodyA"/>
        <w:spacing w:line="360" w:lineRule="auto"/>
        <w:rPr>
          <w:rStyle w:val="None"/>
          <w:rFonts w:cs="Calibri"/>
          <w:vertAlign w:val="superscript"/>
          <w:lang w:val="en-GB"/>
        </w:rPr>
      </w:pPr>
      <w:r w:rsidRPr="007258AD">
        <w:rPr>
          <w:rStyle w:val="None"/>
          <w:rFonts w:cs="Calibri"/>
          <w:lang w:val="en-GB"/>
        </w:rPr>
        <w:t xml:space="preserve">Low rates of immediate hypersensitivity reactions to the Pfizer/BioNTech COVID-19 vaccine (0.05mg PEG2000) due to PEG allergy are described. Currently </w:t>
      </w:r>
      <w:proofErr w:type="spellStart"/>
      <w:r w:rsidRPr="007258AD">
        <w:rPr>
          <w:rStyle w:val="None"/>
          <w:rFonts w:cs="Calibri"/>
          <w:u w:color="212121"/>
          <w:lang w:val="en-GB"/>
        </w:rPr>
        <w:t>Centers</w:t>
      </w:r>
      <w:proofErr w:type="spellEnd"/>
      <w:r w:rsidRPr="007258AD">
        <w:rPr>
          <w:rStyle w:val="None"/>
          <w:rFonts w:cs="Calibri"/>
          <w:u w:color="212121"/>
          <w:lang w:val="en-GB"/>
        </w:rPr>
        <w:t xml:space="preserve"> for Disease Control and Prevention</w:t>
      </w:r>
      <w:r w:rsidRPr="007258AD">
        <w:rPr>
          <w:rStyle w:val="None"/>
          <w:rFonts w:cs="Calibri"/>
          <w:lang w:val="en-GB"/>
        </w:rPr>
        <w:t xml:space="preserve"> (CDC) and the UK Health Security Agency</w:t>
      </w:r>
      <w:r w:rsidRPr="007258AD">
        <w:rPr>
          <w:rStyle w:val="None"/>
          <w:rFonts w:cs="Calibri"/>
          <w:rtl/>
          <w:lang w:val="en-GB"/>
        </w:rPr>
        <w:t>’</w:t>
      </w:r>
      <w:r w:rsidRPr="007258AD">
        <w:rPr>
          <w:rStyle w:val="None"/>
          <w:rFonts w:cs="Calibri"/>
          <w:lang w:val="en-GB"/>
        </w:rPr>
        <w:t xml:space="preserve">s Green Book guidance recommend the use of an alternative COVID-19 vaccine following anaphylaxis to a COVID-19 vaccine dose or prior allergic reactions to a COVID-19 vaccine excipient. </w:t>
      </w:r>
      <w:r w:rsidRPr="007258AD">
        <w:rPr>
          <w:rStyle w:val="None"/>
          <w:rFonts w:cs="Calibri"/>
          <w:vertAlign w:val="superscript"/>
          <w:lang w:val="en-GB"/>
        </w:rPr>
        <w:t>20,21</w:t>
      </w:r>
    </w:p>
    <w:p w14:paraId="1E325D6B" w14:textId="77777777" w:rsidR="00FD7AAB" w:rsidRPr="007258AD" w:rsidRDefault="00684A1E" w:rsidP="007258AD">
      <w:pPr>
        <w:pStyle w:val="BodyA"/>
        <w:spacing w:line="360" w:lineRule="auto"/>
        <w:rPr>
          <w:rStyle w:val="None"/>
          <w:rFonts w:cs="Calibri"/>
          <w:vertAlign w:val="superscript"/>
          <w:lang w:val="en-GB"/>
        </w:rPr>
      </w:pPr>
      <w:r w:rsidRPr="007258AD">
        <w:rPr>
          <w:rStyle w:val="None"/>
          <w:rFonts w:cs="Calibri"/>
          <w:lang w:val="en-GB"/>
        </w:rPr>
        <w:t>However, five PEG-allergic patients in our cohort tolerated at least one PEG-containing mRNA vaccine with one patient tolerating four doses of the Pfizer/BioNTech COVID-19 vaccine. Similarly, a recent clinical observation found only five of the 65 patients reporting immediate reactions on first-dose mRNA vaccination had evidence of PEG sensitisation on skin testing. All who agreed to second dose mRNA administration (n=3) tolerated vaccination despite their sensitisation and history on first mRNA dosing.</w:t>
      </w:r>
      <w:r w:rsidRPr="007258AD">
        <w:rPr>
          <w:rStyle w:val="None"/>
          <w:rFonts w:cs="Calibri"/>
          <w:vertAlign w:val="superscript"/>
          <w:lang w:val="en-GB"/>
        </w:rPr>
        <w:t xml:space="preserve">22 </w:t>
      </w:r>
    </w:p>
    <w:p w14:paraId="0D3697EF" w14:textId="2BE07979" w:rsidR="00FD7AAB" w:rsidRPr="007258AD" w:rsidRDefault="006051DE" w:rsidP="007258AD">
      <w:pPr>
        <w:pStyle w:val="BodyA"/>
        <w:spacing w:line="360" w:lineRule="auto"/>
        <w:rPr>
          <w:rStyle w:val="None"/>
          <w:rFonts w:cs="Calibri"/>
          <w:lang w:val="en-GB"/>
        </w:rPr>
      </w:pPr>
      <w:r w:rsidRPr="007258AD">
        <w:rPr>
          <w:rStyle w:val="None"/>
          <w:rFonts w:cs="Calibri"/>
          <w:lang w:val="en-GB"/>
        </w:rPr>
        <w:t>In keeping</w:t>
      </w:r>
      <w:r w:rsidR="00684A1E" w:rsidRPr="007258AD">
        <w:rPr>
          <w:rStyle w:val="None"/>
          <w:rFonts w:cs="Calibri"/>
          <w:lang w:val="en-GB"/>
        </w:rPr>
        <w:t xml:space="preserve"> with previous work demonstrating tolerance of PS80 containing COVID-19 vaccines in PEG allergic patients, 14 patients in our cohort tolerated at least one AZ dose.</w:t>
      </w:r>
      <w:r w:rsidR="00684A1E" w:rsidRPr="007258AD">
        <w:rPr>
          <w:rStyle w:val="None"/>
          <w:rFonts w:cs="Calibri"/>
          <w:vertAlign w:val="superscript"/>
          <w:lang w:val="en-GB"/>
        </w:rPr>
        <w:t>23</w:t>
      </w:r>
    </w:p>
    <w:p w14:paraId="026F58EF"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t>The relationship between PEG tolerance and drug pharmacological properties, mode of delivery and PEG MW and doses requires further evaluation with larger data to be fully understood.</w:t>
      </w:r>
      <w:r w:rsidRPr="007258AD">
        <w:rPr>
          <w:rStyle w:val="None"/>
          <w:rFonts w:cs="Calibri"/>
          <w:vertAlign w:val="superscript"/>
          <w:lang w:val="en-GB"/>
        </w:rPr>
        <w:t>16</w:t>
      </w:r>
      <w:r w:rsidRPr="007258AD">
        <w:rPr>
          <w:rStyle w:val="None"/>
          <w:rFonts w:cs="Calibri"/>
          <w:lang w:val="en-GB"/>
        </w:rPr>
        <w:t xml:space="preserve"> At present patients are advised to avoid all PEG-containing drugs., Once further information is available allergists may be able to offer more practical advice after diagnosing PEG allergy.  </w:t>
      </w:r>
    </w:p>
    <w:p w14:paraId="04B389A4" w14:textId="77777777" w:rsidR="00FD7AAB" w:rsidRPr="007258AD" w:rsidRDefault="00684A1E" w:rsidP="007258AD">
      <w:pPr>
        <w:pStyle w:val="BodyA"/>
        <w:spacing w:line="360" w:lineRule="auto"/>
        <w:rPr>
          <w:rStyle w:val="None"/>
          <w:rFonts w:cs="Calibri"/>
          <w:lang w:val="en-GB"/>
        </w:rPr>
      </w:pPr>
      <w:r w:rsidRPr="007258AD">
        <w:rPr>
          <w:rStyle w:val="None"/>
          <w:rFonts w:cs="Calibri"/>
          <w:lang w:val="en-GB"/>
        </w:rPr>
        <w:lastRenderedPageBreak/>
        <w:t>In conclusion, PEG allergy affects more women than men at a younger age than that commonly seen in other drug hypersensitivities. Reactions are mostly severe and occur with different drug classes and routes of administration. The commonly implicated drugs are macrogol laxatives, depo-medroxyprogesterone (Pfizer Ltd, UK), oral Penicillin V (Sandoz, UK), and depo-methylprednisolone (Pfizer Ltd, UK).The potential role of SPT with alternative MW PEGs requires further attention. PEG IDTs should be conducted with precautions to mitigate the associated risks of systemic reactions. While the retrospective data collection, variations in investigative practices and documentation are study limitations, our study offers valuable first-time data regarding the per unit mg PEG quantities. This has highlighted the need for further studies</w:t>
      </w:r>
      <w:r w:rsidRPr="007258AD">
        <w:rPr>
          <w:rStyle w:val="None"/>
          <w:rFonts w:cs="Calibri"/>
          <w:u w:color="C45911"/>
          <w:lang w:val="en-GB"/>
        </w:rPr>
        <w:t xml:space="preserve"> </w:t>
      </w:r>
      <w:r w:rsidRPr="007258AD">
        <w:rPr>
          <w:rStyle w:val="None"/>
          <w:rFonts w:cs="Calibri"/>
          <w:lang w:val="en-GB"/>
        </w:rPr>
        <w:t>to better understand PEG thresholds and PEG equivalent doses of various route of administration, as well as the implications of specific drug pharmacokinetics.</w:t>
      </w:r>
    </w:p>
    <w:p w14:paraId="252CEE45" w14:textId="0534ED64" w:rsidR="005B5CD5" w:rsidRPr="007258AD" w:rsidRDefault="005B5CD5" w:rsidP="007258AD">
      <w:pPr>
        <w:spacing w:line="360" w:lineRule="auto"/>
        <w:rPr>
          <w:rStyle w:val="None"/>
          <w:rFonts w:ascii="Calibri" w:hAnsi="Calibri" w:cs="Calibri"/>
          <w:color w:val="000000"/>
          <w:sz w:val="22"/>
          <w:szCs w:val="22"/>
          <w:u w:color="000000"/>
          <w:lang w:eastAsia="en-GB"/>
          <w14:textOutline w14:w="12700" w14:cap="flat" w14:cmpd="sng" w14:algn="ctr">
            <w14:noFill/>
            <w14:prstDash w14:val="solid"/>
            <w14:miter w14:lim="400000"/>
          </w14:textOutline>
        </w:rPr>
      </w:pPr>
      <w:r w:rsidRPr="007258AD">
        <w:rPr>
          <w:rStyle w:val="None"/>
          <w:rFonts w:ascii="Calibri" w:hAnsi="Calibri" w:cs="Calibri"/>
          <w:sz w:val="22"/>
          <w:szCs w:val="22"/>
        </w:rPr>
        <w:br w:type="page"/>
      </w:r>
    </w:p>
    <w:p w14:paraId="423A5E18" w14:textId="77777777" w:rsidR="003031C8" w:rsidRPr="007258AD" w:rsidRDefault="003031C8" w:rsidP="007258AD">
      <w:pPr>
        <w:spacing w:line="360" w:lineRule="auto"/>
        <w:rPr>
          <w:rFonts w:ascii="Calibri" w:hAnsi="Calibri" w:cs="Calibri"/>
          <w:b/>
          <w:sz w:val="22"/>
          <w:szCs w:val="22"/>
        </w:rPr>
      </w:pPr>
      <w:bookmarkStart w:id="6" w:name="_Hlk156998742"/>
      <w:r w:rsidRPr="007258AD">
        <w:rPr>
          <w:rFonts w:ascii="Calibri" w:hAnsi="Calibri" w:cs="Calibri"/>
          <w:b/>
          <w:sz w:val="22"/>
          <w:szCs w:val="22"/>
        </w:rPr>
        <w:lastRenderedPageBreak/>
        <w:t>Figure 1: Index drugs reported</w:t>
      </w:r>
    </w:p>
    <w:p w14:paraId="0DE056D2" w14:textId="77777777" w:rsidR="003031C8" w:rsidRPr="007258AD" w:rsidRDefault="003031C8" w:rsidP="007258AD">
      <w:pPr>
        <w:spacing w:line="360" w:lineRule="auto"/>
        <w:rPr>
          <w:rFonts w:ascii="Calibri" w:hAnsi="Calibri" w:cs="Calibri"/>
          <w:b/>
          <w:sz w:val="22"/>
          <w:szCs w:val="22"/>
        </w:rPr>
      </w:pPr>
    </w:p>
    <w:p w14:paraId="55578D95" w14:textId="5E59F179" w:rsidR="00647DE6" w:rsidRPr="007258AD" w:rsidRDefault="00647DE6" w:rsidP="007258AD">
      <w:pPr>
        <w:pStyle w:val="BodyA"/>
        <w:spacing w:line="360" w:lineRule="auto"/>
        <w:rPr>
          <w:rStyle w:val="None"/>
          <w:rFonts w:cs="Calibri"/>
          <w:b/>
          <w:bCs/>
          <w:lang w:val="en-GB"/>
        </w:rPr>
      </w:pPr>
      <w:r w:rsidRPr="007258AD">
        <w:rPr>
          <w:rStyle w:val="None"/>
          <w:rFonts w:cs="Calibri"/>
          <w:b/>
          <w:bCs/>
          <w:lang w:val="en-GB"/>
        </w:rPr>
        <w:t>Table 1: Demographics and Index reaction</w:t>
      </w:r>
    </w:p>
    <w:p w14:paraId="58BCCCFD" w14:textId="77777777" w:rsidR="003031C8" w:rsidRPr="007258AD" w:rsidRDefault="003031C8" w:rsidP="007258AD">
      <w:pPr>
        <w:pStyle w:val="BodyA"/>
        <w:spacing w:line="360" w:lineRule="auto"/>
        <w:rPr>
          <w:rStyle w:val="None"/>
          <w:rFonts w:cs="Calibri"/>
          <w:lang w:val="en-GB"/>
        </w:rPr>
      </w:pPr>
    </w:p>
    <w:p w14:paraId="3EDD1B2E" w14:textId="77777777" w:rsidR="003031C8" w:rsidRPr="007258AD" w:rsidRDefault="003031C8" w:rsidP="007258AD">
      <w:pPr>
        <w:pStyle w:val="BodyA"/>
        <w:spacing w:line="360" w:lineRule="auto"/>
        <w:rPr>
          <w:rStyle w:val="None"/>
          <w:rFonts w:cs="Calibri"/>
          <w:b/>
          <w:bCs/>
          <w:lang w:val="en-GB"/>
        </w:rPr>
      </w:pPr>
      <w:r w:rsidRPr="007258AD">
        <w:rPr>
          <w:rStyle w:val="None"/>
          <w:rFonts w:cs="Calibri"/>
          <w:b/>
          <w:bCs/>
          <w:lang w:val="en-GB"/>
        </w:rPr>
        <w:t>Figure 2: Investigation results</w:t>
      </w:r>
    </w:p>
    <w:p w14:paraId="3FF85601" w14:textId="77777777" w:rsidR="003031C8" w:rsidRPr="007258AD" w:rsidRDefault="003031C8" w:rsidP="007258AD">
      <w:pPr>
        <w:pStyle w:val="BodyA"/>
        <w:spacing w:line="360" w:lineRule="auto"/>
        <w:rPr>
          <w:rStyle w:val="None"/>
          <w:rFonts w:cs="Calibri"/>
          <w:b/>
          <w:bCs/>
          <w:lang w:val="en-GB"/>
        </w:rPr>
      </w:pPr>
    </w:p>
    <w:p w14:paraId="30C8286B" w14:textId="77777777" w:rsidR="00647DE6" w:rsidRPr="007258AD" w:rsidRDefault="00647DE6" w:rsidP="007258AD">
      <w:pPr>
        <w:pStyle w:val="BodyA"/>
        <w:spacing w:line="360" w:lineRule="auto"/>
        <w:rPr>
          <w:rStyle w:val="None"/>
          <w:rFonts w:cs="Calibri"/>
          <w:b/>
          <w:bCs/>
          <w:lang w:val="en-GB"/>
        </w:rPr>
      </w:pPr>
      <w:r w:rsidRPr="007258AD">
        <w:rPr>
          <w:rStyle w:val="None"/>
          <w:rFonts w:cs="Calibri"/>
          <w:b/>
          <w:bCs/>
          <w:lang w:val="en-GB"/>
        </w:rPr>
        <w:t>Table 2: Index drugs reported for each patient</w:t>
      </w:r>
    </w:p>
    <w:p w14:paraId="4D654672" w14:textId="77777777" w:rsidR="003031C8" w:rsidRPr="007258AD" w:rsidRDefault="003031C8" w:rsidP="007258AD">
      <w:pPr>
        <w:pStyle w:val="BodyA"/>
        <w:spacing w:line="360" w:lineRule="auto"/>
        <w:rPr>
          <w:rStyle w:val="None"/>
          <w:rFonts w:cs="Calibri"/>
          <w:b/>
          <w:bCs/>
          <w:lang w:val="en-GB"/>
        </w:rPr>
      </w:pPr>
    </w:p>
    <w:p w14:paraId="73E069F7" w14:textId="36058F4D" w:rsidR="00870E88" w:rsidRPr="007258AD" w:rsidRDefault="00870E88" w:rsidP="007258AD">
      <w:pPr>
        <w:pStyle w:val="BodyA"/>
        <w:spacing w:line="360" w:lineRule="auto"/>
        <w:rPr>
          <w:rStyle w:val="None"/>
          <w:rFonts w:cs="Calibri"/>
          <w:b/>
          <w:bCs/>
          <w:lang w:val="en-GB"/>
        </w:rPr>
      </w:pPr>
      <w:r w:rsidRPr="007258AD">
        <w:rPr>
          <w:rStyle w:val="None"/>
          <w:rFonts w:cs="Calibri"/>
          <w:b/>
          <w:bCs/>
          <w:lang w:val="en-GB"/>
        </w:rPr>
        <w:t>Table 3: DPT-positive patient details</w:t>
      </w:r>
    </w:p>
    <w:p w14:paraId="38E7251D" w14:textId="77777777" w:rsidR="003031C8" w:rsidRPr="007258AD" w:rsidRDefault="003031C8" w:rsidP="007258AD">
      <w:pPr>
        <w:pStyle w:val="BodyA"/>
        <w:spacing w:line="360" w:lineRule="auto"/>
        <w:rPr>
          <w:rStyle w:val="None"/>
          <w:rFonts w:cs="Calibri"/>
          <w:b/>
          <w:bCs/>
          <w:lang w:val="en-GB"/>
        </w:rPr>
      </w:pPr>
    </w:p>
    <w:p w14:paraId="621EC41B" w14:textId="742350C9" w:rsidR="00870E88" w:rsidRPr="007258AD" w:rsidRDefault="00870E88" w:rsidP="007258AD">
      <w:pPr>
        <w:pStyle w:val="BodyA"/>
        <w:spacing w:line="360" w:lineRule="auto"/>
        <w:rPr>
          <w:rStyle w:val="None"/>
          <w:rFonts w:cs="Calibri"/>
          <w:b/>
          <w:bCs/>
          <w:lang w:val="en-GB"/>
        </w:rPr>
      </w:pPr>
      <w:r w:rsidRPr="007258AD">
        <w:rPr>
          <w:rStyle w:val="None"/>
          <w:rFonts w:cs="Calibri"/>
          <w:b/>
          <w:bCs/>
          <w:lang w:val="en-GB"/>
        </w:rPr>
        <w:t>Table 4: Comparison of PEG MW and quantities between index drugs and PEG drugs tolerated</w:t>
      </w:r>
    </w:p>
    <w:bookmarkEnd w:id="6"/>
    <w:p w14:paraId="28CA340D" w14:textId="77777777" w:rsidR="005B5CD5" w:rsidRPr="007258AD" w:rsidRDefault="005B5CD5" w:rsidP="007258AD">
      <w:pPr>
        <w:spacing w:line="360" w:lineRule="auto"/>
        <w:rPr>
          <w:rFonts w:ascii="Calibri" w:hAnsi="Calibri" w:cs="Calibri"/>
          <w:b/>
          <w:sz w:val="22"/>
          <w:szCs w:val="22"/>
        </w:rPr>
      </w:pPr>
    </w:p>
    <w:p w14:paraId="76B410A0" w14:textId="40663D28" w:rsidR="00FD7AAB" w:rsidRPr="007258AD" w:rsidRDefault="00FD7AAB" w:rsidP="007258AD">
      <w:pPr>
        <w:pStyle w:val="BodyA"/>
        <w:spacing w:line="360" w:lineRule="auto"/>
        <w:rPr>
          <w:rStyle w:val="None"/>
          <w:rFonts w:cs="Calibri"/>
          <w:lang w:val="en-GB"/>
        </w:rPr>
      </w:pPr>
    </w:p>
    <w:p w14:paraId="0CBE56C1" w14:textId="77777777" w:rsidR="00FF21DF" w:rsidRPr="007258AD" w:rsidRDefault="00FF21DF" w:rsidP="007258AD">
      <w:pPr>
        <w:pStyle w:val="BodyA"/>
        <w:spacing w:line="360" w:lineRule="auto"/>
        <w:rPr>
          <w:rStyle w:val="None"/>
          <w:rFonts w:cs="Calibri"/>
          <w:b/>
          <w:bCs/>
          <w:lang w:val="en-GB"/>
        </w:rPr>
      </w:pPr>
    </w:p>
    <w:p w14:paraId="3D582430" w14:textId="5FC39026" w:rsidR="00012FD9" w:rsidRPr="007258AD" w:rsidRDefault="00012FD9" w:rsidP="007258AD">
      <w:pPr>
        <w:spacing w:line="360" w:lineRule="auto"/>
        <w:rPr>
          <w:rStyle w:val="None"/>
          <w:rFonts w:ascii="Calibri" w:hAnsi="Calibri" w:cs="Calibri"/>
          <w:b/>
          <w:bCs/>
          <w:color w:val="000000"/>
          <w:sz w:val="22"/>
          <w:szCs w:val="22"/>
          <w:u w:color="000000"/>
          <w:lang w:eastAsia="en-GB"/>
          <w14:textOutline w14:w="12700" w14:cap="flat" w14:cmpd="sng" w14:algn="ctr">
            <w14:noFill/>
            <w14:prstDash w14:val="solid"/>
            <w14:miter w14:lim="400000"/>
          </w14:textOutline>
        </w:rPr>
      </w:pPr>
    </w:p>
    <w:p w14:paraId="6E009639" w14:textId="77777777" w:rsidR="00012FD9" w:rsidRPr="00F44AB7" w:rsidRDefault="00012FD9">
      <w:pPr>
        <w:pStyle w:val="BodyA"/>
        <w:rPr>
          <w:rStyle w:val="None"/>
          <w:b/>
          <w:bCs/>
          <w:lang w:val="en-GB"/>
        </w:rPr>
        <w:sectPr w:rsidR="00012FD9" w:rsidRPr="00F44AB7" w:rsidSect="00DE6E16">
          <w:pgSz w:w="11900" w:h="16840"/>
          <w:pgMar w:top="1440" w:right="1440" w:bottom="1440" w:left="1440" w:header="708" w:footer="708" w:gutter="0"/>
          <w:lnNumType w:countBy="1" w:restart="continuous"/>
          <w:cols w:space="720"/>
          <w:docGrid w:linePitch="326"/>
        </w:sectPr>
      </w:pPr>
    </w:p>
    <w:p w14:paraId="0D82512B" w14:textId="36BFB900" w:rsidR="00FD7AAB" w:rsidRPr="00012FD9" w:rsidRDefault="00684A1E" w:rsidP="00012FD9">
      <w:pPr>
        <w:rPr>
          <w:rStyle w:val="None"/>
          <w:rFonts w:ascii="Calibri" w:hAnsi="Calibri" w:cs="Arial Unicode MS"/>
          <w:b/>
          <w:bCs/>
          <w:color w:val="000000"/>
          <w:sz w:val="22"/>
          <w:szCs w:val="22"/>
          <w:u w:color="000000"/>
          <w:lang w:eastAsia="en-GB"/>
          <w14:textOutline w14:w="12700" w14:cap="flat" w14:cmpd="sng" w14:algn="ctr">
            <w14:noFill/>
            <w14:prstDash w14:val="solid"/>
            <w14:miter w14:lim="400000"/>
          </w14:textOutline>
        </w:rPr>
      </w:pPr>
      <w:r w:rsidRPr="00F44AB7">
        <w:rPr>
          <w:rStyle w:val="None"/>
          <w:u w:val="single"/>
        </w:rPr>
        <w:lastRenderedPageBreak/>
        <w:t>References:</w:t>
      </w:r>
    </w:p>
    <w:p w14:paraId="5B70A5CD" w14:textId="77777777" w:rsidR="00FD7AAB" w:rsidRPr="00F44AB7" w:rsidRDefault="00684A1E">
      <w:pPr>
        <w:pStyle w:val="BodyA"/>
        <w:rPr>
          <w:rStyle w:val="None"/>
          <w:lang w:val="en-GB"/>
        </w:rPr>
      </w:pPr>
      <w:r w:rsidRPr="00F44AB7">
        <w:rPr>
          <w:rStyle w:val="None"/>
          <w:lang w:val="en-GB"/>
        </w:rPr>
        <w:t xml:space="preserve">1. Henning T. Polyethylene glycols (PEGs) and the pharmaceutical industry. </w:t>
      </w:r>
      <w:proofErr w:type="spellStart"/>
      <w:r w:rsidRPr="00F44AB7">
        <w:rPr>
          <w:rStyle w:val="None"/>
          <w:lang w:val="en-GB"/>
        </w:rPr>
        <w:t>FharmaChem</w:t>
      </w:r>
      <w:proofErr w:type="spellEnd"/>
      <w:r w:rsidRPr="00F44AB7">
        <w:rPr>
          <w:rStyle w:val="None"/>
          <w:lang w:val="en-GB"/>
        </w:rPr>
        <w:t xml:space="preserve"> 2002; 1:57–9.</w:t>
      </w:r>
    </w:p>
    <w:p w14:paraId="0B9598BF" w14:textId="5B36BBC0" w:rsidR="00FD7AAB" w:rsidRPr="00F44AB7" w:rsidRDefault="00684A1E">
      <w:pPr>
        <w:pStyle w:val="BodyA"/>
        <w:rPr>
          <w:rStyle w:val="None"/>
          <w:lang w:val="en-GB"/>
        </w:rPr>
      </w:pPr>
      <w:r w:rsidRPr="00F44AB7">
        <w:rPr>
          <w:rStyle w:val="None"/>
          <w:lang w:val="en-GB"/>
        </w:rPr>
        <w:t xml:space="preserve">2. </w:t>
      </w:r>
      <w:proofErr w:type="spellStart"/>
      <w:r w:rsidRPr="00F44AB7">
        <w:rPr>
          <w:rStyle w:val="None"/>
          <w:lang w:val="en-GB"/>
        </w:rPr>
        <w:t>DiPiro</w:t>
      </w:r>
      <w:proofErr w:type="spellEnd"/>
      <w:r w:rsidRPr="00F44AB7">
        <w:rPr>
          <w:rStyle w:val="None"/>
          <w:lang w:val="en-GB"/>
        </w:rPr>
        <w:t xml:space="preserve"> JT, Michael KA, Clark BA</w:t>
      </w:r>
      <w:r w:rsidR="00D83475" w:rsidRPr="00F44AB7">
        <w:rPr>
          <w:rStyle w:val="None"/>
          <w:lang w:val="en-GB"/>
        </w:rPr>
        <w:t>, Dickson P, Vallner JJ, Bowden Jr TA</w:t>
      </w:r>
      <w:r w:rsidR="00635EB8" w:rsidRPr="00F44AB7">
        <w:rPr>
          <w:rStyle w:val="None"/>
          <w:lang w:val="en-GB"/>
        </w:rPr>
        <w:t>,</w:t>
      </w:r>
      <w:r w:rsidRPr="00F44AB7">
        <w:rPr>
          <w:rStyle w:val="None"/>
          <w:lang w:val="en-GB"/>
        </w:rPr>
        <w:t xml:space="preserve"> et al. Absorption of polyethylene glycol after administration of a PEG-electrolyte lavage solution. Clin Pharm 1986; 5:153–5.</w:t>
      </w:r>
    </w:p>
    <w:p w14:paraId="051180C0" w14:textId="3223D435" w:rsidR="00FD7AAB" w:rsidRPr="00F44AB7" w:rsidRDefault="00684A1E">
      <w:pPr>
        <w:pStyle w:val="BodyA"/>
        <w:rPr>
          <w:rStyle w:val="None"/>
          <w:lang w:val="en-GB"/>
        </w:rPr>
      </w:pPr>
      <w:r w:rsidRPr="00F44AB7">
        <w:rPr>
          <w:rStyle w:val="None"/>
          <w:lang w:val="en-GB"/>
        </w:rPr>
        <w:t xml:space="preserve">3. </w:t>
      </w:r>
      <w:r w:rsidRPr="00F44AB7">
        <w:rPr>
          <w:rStyle w:val="None"/>
          <w:shd w:val="clear" w:color="auto" w:fill="FFFFFF"/>
          <w:lang w:val="en-GB"/>
        </w:rPr>
        <w:t xml:space="preserve">Zhou ZH, Stone CA Jr, Jakubovic B, Phillips EJ, Sussman G, Park J, </w:t>
      </w:r>
      <w:r w:rsidR="00635EB8" w:rsidRPr="00F44AB7">
        <w:rPr>
          <w:rStyle w:val="None"/>
          <w:shd w:val="clear" w:color="auto" w:fill="FFFFFF"/>
          <w:lang w:val="en-GB"/>
        </w:rPr>
        <w:t>et al</w:t>
      </w:r>
      <w:r w:rsidRPr="00F44AB7">
        <w:rPr>
          <w:rStyle w:val="None"/>
          <w:shd w:val="clear" w:color="auto" w:fill="FFFFFF"/>
          <w:lang w:val="en-GB"/>
        </w:rPr>
        <w:t xml:space="preserve">. Anti-PEG </w:t>
      </w:r>
      <w:proofErr w:type="spellStart"/>
      <w:r w:rsidRPr="00F44AB7">
        <w:rPr>
          <w:rStyle w:val="None"/>
          <w:shd w:val="clear" w:color="auto" w:fill="FFFFFF"/>
          <w:lang w:val="en-GB"/>
        </w:rPr>
        <w:t>IgE</w:t>
      </w:r>
      <w:proofErr w:type="spellEnd"/>
      <w:r w:rsidRPr="00F44AB7">
        <w:rPr>
          <w:rStyle w:val="None"/>
          <w:shd w:val="clear" w:color="auto" w:fill="FFFFFF"/>
          <w:lang w:val="en-GB"/>
        </w:rPr>
        <w:t xml:space="preserve"> in anaphylaxis associated with polyethylene glycol. J Allergy Clin Immunol </w:t>
      </w:r>
      <w:proofErr w:type="spellStart"/>
      <w:r w:rsidRPr="00F44AB7">
        <w:rPr>
          <w:rStyle w:val="None"/>
          <w:shd w:val="clear" w:color="auto" w:fill="FFFFFF"/>
          <w:lang w:val="en-GB"/>
        </w:rPr>
        <w:t>Pract</w:t>
      </w:r>
      <w:proofErr w:type="spellEnd"/>
      <w:r w:rsidRPr="00F44AB7">
        <w:rPr>
          <w:rStyle w:val="None"/>
          <w:shd w:val="clear" w:color="auto" w:fill="FFFFFF"/>
          <w:lang w:val="en-GB"/>
        </w:rPr>
        <w:t>. 2021 Apr;9(4):1731-1733.e3.</w:t>
      </w:r>
    </w:p>
    <w:p w14:paraId="0B85036B" w14:textId="78893FF6" w:rsidR="00FD7AAB" w:rsidRPr="00F44AB7" w:rsidRDefault="00684A1E">
      <w:pPr>
        <w:pStyle w:val="BodyA"/>
        <w:rPr>
          <w:rStyle w:val="None"/>
          <w:lang w:val="en-GB"/>
        </w:rPr>
      </w:pPr>
      <w:r w:rsidRPr="00F44AB7">
        <w:rPr>
          <w:rStyle w:val="None"/>
          <w:lang w:val="en-GB"/>
        </w:rPr>
        <w:t xml:space="preserve">4. Stone CA, Liu Y, </w:t>
      </w:r>
      <w:proofErr w:type="spellStart"/>
      <w:r w:rsidRPr="00F44AB7">
        <w:rPr>
          <w:rStyle w:val="None"/>
          <w:lang w:val="en-GB"/>
        </w:rPr>
        <w:t>Relling</w:t>
      </w:r>
      <w:proofErr w:type="spellEnd"/>
      <w:r w:rsidRPr="00F44AB7">
        <w:rPr>
          <w:rStyle w:val="None"/>
          <w:lang w:val="en-GB"/>
        </w:rPr>
        <w:t xml:space="preserve"> MV, </w:t>
      </w:r>
      <w:r w:rsidR="00635EB8" w:rsidRPr="00F44AB7">
        <w:rPr>
          <w:rStyle w:val="None"/>
          <w:lang w:val="en-GB"/>
        </w:rPr>
        <w:t xml:space="preserve">Krantz MS, Pratt AL, Abreo A, </w:t>
      </w:r>
      <w:r w:rsidRPr="00F44AB7">
        <w:rPr>
          <w:rStyle w:val="None"/>
          <w:lang w:val="en-GB"/>
        </w:rPr>
        <w:t xml:space="preserve">et al. Immediate hypersensitivity to polyethylene glycols polysorbates: more common than we have recognized. J Allergy Clin Immunol </w:t>
      </w:r>
      <w:proofErr w:type="spellStart"/>
      <w:r w:rsidRPr="00F44AB7">
        <w:rPr>
          <w:rStyle w:val="None"/>
          <w:lang w:val="en-GB"/>
        </w:rPr>
        <w:t>Pract</w:t>
      </w:r>
      <w:proofErr w:type="spellEnd"/>
      <w:r w:rsidRPr="00F44AB7">
        <w:rPr>
          <w:rStyle w:val="None"/>
          <w:lang w:val="en-GB"/>
        </w:rPr>
        <w:t>. 2019;7(5):1533- 1540.e8.</w:t>
      </w:r>
    </w:p>
    <w:p w14:paraId="08E0E628" w14:textId="77777777" w:rsidR="00FD7AAB" w:rsidRPr="00F44AB7" w:rsidRDefault="00684A1E">
      <w:pPr>
        <w:pStyle w:val="BodyA"/>
        <w:rPr>
          <w:rStyle w:val="None"/>
          <w:lang w:val="en-GB"/>
        </w:rPr>
      </w:pPr>
      <w:r w:rsidRPr="00F44AB7">
        <w:rPr>
          <w:rStyle w:val="None"/>
          <w:lang w:val="en-GB"/>
        </w:rPr>
        <w:t xml:space="preserve">5. Knop K, Hoogenboom R, Fischer D, Schubert US. Poly(ethylene glycol) in drug delivery: pros and cons as well as potential alternatives. </w:t>
      </w:r>
      <w:proofErr w:type="spellStart"/>
      <w:r w:rsidRPr="00F44AB7">
        <w:rPr>
          <w:rStyle w:val="None"/>
          <w:lang w:val="en-GB"/>
        </w:rPr>
        <w:t>Angew</w:t>
      </w:r>
      <w:proofErr w:type="spellEnd"/>
      <w:r w:rsidRPr="00F44AB7">
        <w:rPr>
          <w:rStyle w:val="None"/>
          <w:lang w:val="en-GB"/>
        </w:rPr>
        <w:t xml:space="preserve"> Chem 2010; 49:6288–308.</w:t>
      </w:r>
    </w:p>
    <w:p w14:paraId="36EA4E8B" w14:textId="77777777" w:rsidR="00FD7AAB" w:rsidRPr="00F44AB7" w:rsidRDefault="00684A1E">
      <w:pPr>
        <w:pStyle w:val="BodyA"/>
        <w:rPr>
          <w:rStyle w:val="None"/>
          <w:lang w:val="en-GB"/>
        </w:rPr>
      </w:pPr>
      <w:r w:rsidRPr="00F44AB7">
        <w:rPr>
          <w:rStyle w:val="None"/>
          <w:lang w:val="en-GB"/>
        </w:rPr>
        <w:t xml:space="preserve">6. </w:t>
      </w:r>
      <w:proofErr w:type="spellStart"/>
      <w:r w:rsidRPr="00F44AB7">
        <w:rPr>
          <w:rStyle w:val="None"/>
          <w:lang w:val="en-GB"/>
        </w:rPr>
        <w:t>Wenande</w:t>
      </w:r>
      <w:proofErr w:type="spellEnd"/>
      <w:r w:rsidRPr="00F44AB7">
        <w:rPr>
          <w:rStyle w:val="None"/>
          <w:lang w:val="en-GB"/>
        </w:rPr>
        <w:t xml:space="preserve"> E, Garvey LH. Immediate-type hypersensitivity to polyethylene glycols: a review. Clin Exp Allergy. 2016;46(7):907-922</w:t>
      </w:r>
    </w:p>
    <w:p w14:paraId="55D4054F" w14:textId="77777777" w:rsidR="00FD7AAB" w:rsidRPr="00F44AB7" w:rsidRDefault="00684A1E">
      <w:pPr>
        <w:pStyle w:val="BodyA"/>
        <w:rPr>
          <w:rStyle w:val="None"/>
          <w:lang w:val="en-GB"/>
        </w:rPr>
      </w:pPr>
      <w:r w:rsidRPr="00F44AB7">
        <w:rPr>
          <w:rStyle w:val="None"/>
          <w:lang w:val="en-GB"/>
        </w:rPr>
        <w:t xml:space="preserve">7. </w:t>
      </w:r>
      <w:proofErr w:type="spellStart"/>
      <w:r w:rsidRPr="00F44AB7">
        <w:rPr>
          <w:rStyle w:val="None"/>
          <w:lang w:val="en-GB"/>
        </w:rPr>
        <w:t>Wenande</w:t>
      </w:r>
      <w:proofErr w:type="spellEnd"/>
      <w:r w:rsidRPr="00F44AB7">
        <w:rPr>
          <w:rStyle w:val="None"/>
          <w:lang w:val="en-GB"/>
        </w:rPr>
        <w:t xml:space="preserve"> EC, Skov PS, Mosbech H, Poulsen LK, Garvey LH. Inhibition of polyethylene glycol-induced histamine release by monomeric ethylene and diethylene glycol: a case of probable polyethylene glycol allergy. J Allergy Clin Immunol 2013; 131:1425–7.</w:t>
      </w:r>
    </w:p>
    <w:p w14:paraId="41DC873C" w14:textId="77777777" w:rsidR="00FD7AAB" w:rsidRDefault="00684A1E">
      <w:pPr>
        <w:pStyle w:val="BodyA"/>
        <w:rPr>
          <w:rStyle w:val="None"/>
          <w:color w:val="212121"/>
          <w:u w:color="212121"/>
          <w:shd w:val="clear" w:color="auto" w:fill="FFFFFF"/>
          <w:lang w:val="en-GB"/>
        </w:rPr>
      </w:pPr>
      <w:r w:rsidRPr="00F44AB7">
        <w:rPr>
          <w:rStyle w:val="None"/>
          <w:color w:val="212121"/>
          <w:u w:color="212121"/>
          <w:lang w:val="en-GB"/>
        </w:rPr>
        <w:t xml:space="preserve">8. </w:t>
      </w:r>
      <w:r w:rsidRPr="00F44AB7">
        <w:rPr>
          <w:rStyle w:val="None"/>
          <w:color w:val="212121"/>
          <w:u w:color="212121"/>
          <w:shd w:val="clear" w:color="auto" w:fill="FFFFFF"/>
          <w:lang w:val="en-GB"/>
        </w:rPr>
        <w:t>Brown SG. Clinical features and severity grading of anaphylaxis. J Allergy Clin Immunol. 2004 Aug;114(2):371-6.</w:t>
      </w:r>
    </w:p>
    <w:p w14:paraId="45F7C23D" w14:textId="6218EDAC" w:rsidR="0095527F" w:rsidRPr="00DD724D" w:rsidRDefault="00E771C9" w:rsidP="0095527F">
      <w:pPr>
        <w:pStyle w:val="BodyA"/>
        <w:rPr>
          <w:rFonts w:cs="Calibri"/>
          <w:color w:val="212121"/>
          <w:u w:color="212121"/>
          <w:shd w:val="clear" w:color="auto" w:fill="FFFFFF"/>
          <w:lang w:val="en-GB"/>
        </w:rPr>
      </w:pPr>
      <w:r>
        <w:rPr>
          <w:rStyle w:val="None"/>
          <w:lang w:val="en-GB"/>
        </w:rPr>
        <w:t>9</w:t>
      </w:r>
      <w:r w:rsidR="0095527F" w:rsidRPr="00F44AB7">
        <w:rPr>
          <w:rStyle w:val="None"/>
          <w:lang w:val="en-GB"/>
        </w:rPr>
        <w:t xml:space="preserve">. </w:t>
      </w:r>
      <w:r w:rsidR="0095527F" w:rsidRPr="00F44AB7">
        <w:rPr>
          <w:rStyle w:val="None"/>
          <w:color w:val="212121"/>
          <w:u w:color="212121"/>
          <w:lang w:val="en-GB"/>
        </w:rPr>
        <w:t xml:space="preserve">Bruusgaard-Mouritsen MA, Jensen BM, Poulsen LK, Duus Johansen J, Garvey LH. Optimizing investigation of suspected allergy to polyethylene glycols. J Allergy Clin Immunol. </w:t>
      </w:r>
      <w:r w:rsidR="0095527F" w:rsidRPr="00DD724D">
        <w:rPr>
          <w:rFonts w:cs="Calibri"/>
          <w:color w:val="212121"/>
          <w:shd w:val="clear" w:color="auto" w:fill="FFFFFF"/>
          <w:lang w:val="en-GB"/>
        </w:rPr>
        <w:t>2022 Jan</w:t>
      </w:r>
      <w:r w:rsidR="0095527F">
        <w:rPr>
          <w:rFonts w:cs="Calibri"/>
          <w:color w:val="212121"/>
          <w:shd w:val="clear" w:color="auto" w:fill="FFFFFF"/>
          <w:lang w:val="en-GB"/>
        </w:rPr>
        <w:t xml:space="preserve"> </w:t>
      </w:r>
      <w:r w:rsidR="0095527F" w:rsidRPr="00DD724D">
        <w:rPr>
          <w:rFonts w:cs="Calibri"/>
          <w:color w:val="212121"/>
          <w:shd w:val="clear" w:color="auto" w:fill="FFFFFF"/>
          <w:lang w:val="en-GB"/>
        </w:rPr>
        <w:t>149(1):168-175.</w:t>
      </w:r>
    </w:p>
    <w:p w14:paraId="443CD2FA" w14:textId="04253CA4" w:rsidR="00FD7AAB" w:rsidRPr="00F44AB7" w:rsidRDefault="00E771C9">
      <w:pPr>
        <w:pStyle w:val="BodyA"/>
        <w:rPr>
          <w:rStyle w:val="None"/>
          <w:color w:val="212121"/>
          <w:u w:color="212121"/>
          <w:shd w:val="clear" w:color="auto" w:fill="FFFFFF"/>
          <w:lang w:val="en-GB"/>
        </w:rPr>
      </w:pPr>
      <w:r>
        <w:rPr>
          <w:rStyle w:val="None"/>
          <w:color w:val="212121"/>
          <w:u w:color="212121"/>
          <w:shd w:val="clear" w:color="auto" w:fill="FFFFFF"/>
          <w:lang w:val="en-GB"/>
        </w:rPr>
        <w:t>10</w:t>
      </w:r>
      <w:r w:rsidR="00684A1E" w:rsidRPr="00F44AB7">
        <w:rPr>
          <w:rStyle w:val="None"/>
          <w:color w:val="212121"/>
          <w:u w:color="212121"/>
          <w:shd w:val="clear" w:color="auto" w:fill="FFFFFF"/>
          <w:lang w:val="en-GB"/>
        </w:rPr>
        <w:t xml:space="preserve">. Brockow K, Garvey LH, </w:t>
      </w:r>
      <w:proofErr w:type="spellStart"/>
      <w:r w:rsidR="00684A1E" w:rsidRPr="00F44AB7">
        <w:rPr>
          <w:rStyle w:val="None"/>
          <w:color w:val="212121"/>
          <w:u w:color="212121"/>
          <w:shd w:val="clear" w:color="auto" w:fill="FFFFFF"/>
          <w:lang w:val="en-GB"/>
        </w:rPr>
        <w:t>Aberer</w:t>
      </w:r>
      <w:proofErr w:type="spellEnd"/>
      <w:r w:rsidR="00684A1E" w:rsidRPr="00F44AB7">
        <w:rPr>
          <w:rStyle w:val="None"/>
          <w:color w:val="212121"/>
          <w:u w:color="212121"/>
          <w:shd w:val="clear" w:color="auto" w:fill="FFFFFF"/>
          <w:lang w:val="en-GB"/>
        </w:rPr>
        <w:t xml:space="preserve"> W, </w:t>
      </w:r>
      <w:proofErr w:type="spellStart"/>
      <w:r w:rsidR="00684A1E" w:rsidRPr="00F44AB7">
        <w:rPr>
          <w:rStyle w:val="None"/>
          <w:color w:val="212121"/>
          <w:u w:color="212121"/>
          <w:shd w:val="clear" w:color="auto" w:fill="FFFFFF"/>
          <w:lang w:val="en-GB"/>
        </w:rPr>
        <w:t>Atanaskovic</w:t>
      </w:r>
      <w:proofErr w:type="spellEnd"/>
      <w:r w:rsidR="00684A1E" w:rsidRPr="00F44AB7">
        <w:rPr>
          <w:rStyle w:val="None"/>
          <w:color w:val="212121"/>
          <w:u w:color="212121"/>
          <w:shd w:val="clear" w:color="auto" w:fill="FFFFFF"/>
          <w:lang w:val="en-GB"/>
        </w:rPr>
        <w:t xml:space="preserve">-Markovic M, </w:t>
      </w:r>
      <w:proofErr w:type="spellStart"/>
      <w:r w:rsidR="00684A1E" w:rsidRPr="00F44AB7">
        <w:rPr>
          <w:rStyle w:val="None"/>
          <w:color w:val="212121"/>
          <w:u w:color="212121"/>
          <w:shd w:val="clear" w:color="auto" w:fill="FFFFFF"/>
          <w:lang w:val="en-GB"/>
        </w:rPr>
        <w:t>Barbaud</w:t>
      </w:r>
      <w:proofErr w:type="spellEnd"/>
      <w:r w:rsidR="00684A1E" w:rsidRPr="00F44AB7">
        <w:rPr>
          <w:rStyle w:val="None"/>
          <w:color w:val="212121"/>
          <w:u w:color="212121"/>
          <w:shd w:val="clear" w:color="auto" w:fill="FFFFFF"/>
          <w:lang w:val="en-GB"/>
        </w:rPr>
        <w:t xml:space="preserve"> A, Bilo MB,</w:t>
      </w:r>
      <w:r w:rsidR="006D2D27" w:rsidRPr="00F44AB7">
        <w:rPr>
          <w:rStyle w:val="None"/>
          <w:color w:val="212121"/>
          <w:u w:color="212121"/>
          <w:shd w:val="clear" w:color="auto" w:fill="FFFFFF"/>
          <w:lang w:val="en-GB"/>
        </w:rPr>
        <w:t xml:space="preserve"> et al.</w:t>
      </w:r>
      <w:r w:rsidR="00684A1E" w:rsidRPr="00F44AB7">
        <w:rPr>
          <w:rStyle w:val="None"/>
          <w:color w:val="212121"/>
          <w:u w:color="212121"/>
          <w:shd w:val="clear" w:color="auto" w:fill="FFFFFF"/>
          <w:lang w:val="en-GB"/>
        </w:rPr>
        <w:t xml:space="preserve"> Skin test concentrations for systemically administered drugs -- an ENDA/EAACI Drug Allergy Interest Group position paper. Allergy. 2013 Jun;68(6):702-12.</w:t>
      </w:r>
    </w:p>
    <w:p w14:paraId="6C7693EA" w14:textId="6B3D59A3" w:rsidR="00FD7AAB" w:rsidRPr="00F44AB7" w:rsidRDefault="00E771C9">
      <w:pPr>
        <w:pStyle w:val="BodyA"/>
        <w:rPr>
          <w:rStyle w:val="None"/>
          <w:rFonts w:cs="Calibri"/>
          <w:color w:val="auto"/>
          <w:u w:color="212121"/>
          <w:shd w:val="clear" w:color="auto" w:fill="FFFFFF"/>
          <w:lang w:val="en-GB"/>
        </w:rPr>
      </w:pPr>
      <w:r>
        <w:rPr>
          <w:rStyle w:val="None"/>
          <w:color w:val="212121"/>
          <w:u w:color="212121"/>
          <w:shd w:val="clear" w:color="auto" w:fill="FFFFFF"/>
          <w:lang w:val="en-GB"/>
        </w:rPr>
        <w:t>11</w:t>
      </w:r>
      <w:r w:rsidR="00684A1E" w:rsidRPr="00F44AB7">
        <w:rPr>
          <w:rStyle w:val="None"/>
          <w:color w:val="212121"/>
          <w:u w:color="212121"/>
          <w:shd w:val="clear" w:color="auto" w:fill="FFFFFF"/>
          <w:lang w:val="en-GB"/>
        </w:rPr>
        <w:t xml:space="preserve">. Li PH, Wagner A, Thomas I, Watts TJ, Rutkowski R, Rutkowski K. Steroid Allergy: Clinical Features and the </w:t>
      </w:r>
      <w:r w:rsidR="00684A1E" w:rsidRPr="00F44AB7">
        <w:rPr>
          <w:rStyle w:val="None"/>
          <w:rFonts w:cs="Calibri"/>
          <w:color w:val="auto"/>
          <w:u w:color="212121"/>
          <w:shd w:val="clear" w:color="auto" w:fill="FFFFFF"/>
          <w:lang w:val="en-GB"/>
        </w:rPr>
        <w:t xml:space="preserve">Importance of Excipient Testing in a Diagnostic Algorithm. J Allergy Clin Immunol </w:t>
      </w:r>
      <w:proofErr w:type="spellStart"/>
      <w:r w:rsidR="00684A1E" w:rsidRPr="00F44AB7">
        <w:rPr>
          <w:rStyle w:val="None"/>
          <w:rFonts w:cs="Calibri"/>
          <w:color w:val="auto"/>
          <w:u w:color="212121"/>
          <w:shd w:val="clear" w:color="auto" w:fill="FFFFFF"/>
          <w:lang w:val="en-GB"/>
        </w:rPr>
        <w:t>Pract</w:t>
      </w:r>
      <w:proofErr w:type="spellEnd"/>
      <w:r w:rsidR="00684A1E" w:rsidRPr="00F44AB7">
        <w:rPr>
          <w:rStyle w:val="None"/>
          <w:rFonts w:cs="Calibri"/>
          <w:color w:val="auto"/>
          <w:u w:color="212121"/>
          <w:shd w:val="clear" w:color="auto" w:fill="FFFFFF"/>
          <w:lang w:val="en-GB"/>
        </w:rPr>
        <w:t>. 2018 Sep-Oct;6(5):1655-1661. </w:t>
      </w:r>
    </w:p>
    <w:p w14:paraId="1C1562B5" w14:textId="0059F51A" w:rsidR="00F92C8B" w:rsidRPr="00F44AB7" w:rsidRDefault="00F92C8B">
      <w:pPr>
        <w:pStyle w:val="BodyA"/>
        <w:rPr>
          <w:rStyle w:val="None"/>
          <w:rFonts w:cs="Calibri"/>
          <w:color w:val="auto"/>
          <w:u w:color="212121"/>
          <w:shd w:val="clear" w:color="auto" w:fill="FFFFFF"/>
          <w:lang w:val="en-GB"/>
        </w:rPr>
      </w:pPr>
      <w:r w:rsidRPr="00F44AB7">
        <w:rPr>
          <w:rStyle w:val="None"/>
          <w:rFonts w:cs="Calibri"/>
          <w:color w:val="auto"/>
          <w:u w:color="212121"/>
          <w:shd w:val="clear" w:color="auto" w:fill="FFFFFF"/>
          <w:lang w:val="en-GB"/>
        </w:rPr>
        <w:t>1</w:t>
      </w:r>
      <w:r w:rsidR="00E771C9">
        <w:rPr>
          <w:rStyle w:val="None"/>
          <w:rFonts w:cs="Calibri"/>
          <w:color w:val="auto"/>
          <w:u w:color="212121"/>
          <w:shd w:val="clear" w:color="auto" w:fill="FFFFFF"/>
          <w:lang w:val="en-GB"/>
        </w:rPr>
        <w:t>2</w:t>
      </w:r>
      <w:r w:rsidRPr="00F44AB7">
        <w:rPr>
          <w:rStyle w:val="None"/>
          <w:rFonts w:cs="Calibri"/>
          <w:color w:val="auto"/>
          <w:u w:color="212121"/>
          <w:shd w:val="clear" w:color="auto" w:fill="FFFFFF"/>
          <w:lang w:val="en-GB"/>
        </w:rPr>
        <w:t xml:space="preserve">.  </w:t>
      </w:r>
      <w:r w:rsidRPr="00F44AB7">
        <w:rPr>
          <w:rFonts w:cs="Calibri"/>
          <w:color w:val="auto"/>
          <w:shd w:val="clear" w:color="auto" w:fill="FFFFFF"/>
          <w:lang w:val="en-GB"/>
        </w:rPr>
        <w:t>Shimabukuro TT, Cole M, Su JR. Reports of Anaphylaxis After Receipt of mRNA COVID-19 Vaccines in the US—December 14, 2020-January 18, 2021. </w:t>
      </w:r>
      <w:r w:rsidRPr="00F44AB7">
        <w:rPr>
          <w:rStyle w:val="Emphasis"/>
          <w:rFonts w:cs="Calibri"/>
          <w:color w:val="auto"/>
          <w:shd w:val="clear" w:color="auto" w:fill="FFFFFF"/>
          <w:lang w:val="en-GB"/>
        </w:rPr>
        <w:t>JAMA.</w:t>
      </w:r>
      <w:r w:rsidRPr="00F44AB7">
        <w:rPr>
          <w:rFonts w:cs="Calibri"/>
          <w:color w:val="auto"/>
          <w:shd w:val="clear" w:color="auto" w:fill="FFFFFF"/>
          <w:lang w:val="en-GB"/>
        </w:rPr>
        <w:t xml:space="preserve"> 2021;325(11):1101–1102. </w:t>
      </w:r>
    </w:p>
    <w:p w14:paraId="7B788667" w14:textId="1334CB9E" w:rsidR="00FD7AAB" w:rsidRPr="00F44AB7" w:rsidRDefault="00684A1E">
      <w:pPr>
        <w:pStyle w:val="BodyA"/>
        <w:rPr>
          <w:rStyle w:val="None"/>
          <w:lang w:val="en-GB"/>
        </w:rPr>
      </w:pPr>
      <w:r w:rsidRPr="00F44AB7">
        <w:rPr>
          <w:rStyle w:val="None"/>
          <w:color w:val="212121"/>
          <w:u w:color="212121"/>
          <w:shd w:val="clear" w:color="auto" w:fill="FFFFFF"/>
          <w:lang w:val="en-GB"/>
        </w:rPr>
        <w:t>1</w:t>
      </w:r>
      <w:r w:rsidR="00E771C9">
        <w:rPr>
          <w:rStyle w:val="None"/>
          <w:color w:val="212121"/>
          <w:u w:color="212121"/>
          <w:shd w:val="clear" w:color="auto" w:fill="FFFFFF"/>
          <w:lang w:val="en-GB"/>
        </w:rPr>
        <w:t>3</w:t>
      </w:r>
      <w:r w:rsidRPr="00F44AB7">
        <w:rPr>
          <w:rStyle w:val="None"/>
          <w:color w:val="212121"/>
          <w:u w:color="212121"/>
          <w:shd w:val="clear" w:color="auto" w:fill="FFFFFF"/>
          <w:lang w:val="en-GB"/>
        </w:rPr>
        <w:t xml:space="preserve">. Bruusgaard-Mouritsen MA, Johansen JD, Garvey LH. Clinical manifestations and impact on daily life of allergy to polyethylene glycol (PEG) in ten patients. Clin Exp Allergy. 2021 Mar;51(3):463-470. </w:t>
      </w:r>
      <w:proofErr w:type="spellStart"/>
      <w:r w:rsidRPr="00F44AB7">
        <w:rPr>
          <w:rStyle w:val="None"/>
          <w:color w:val="212121"/>
          <w:u w:color="212121"/>
          <w:shd w:val="clear" w:color="auto" w:fill="FFFFFF"/>
          <w:lang w:val="en-GB"/>
        </w:rPr>
        <w:t>doi</w:t>
      </w:r>
      <w:proofErr w:type="spellEnd"/>
      <w:r w:rsidRPr="00F44AB7">
        <w:rPr>
          <w:rStyle w:val="None"/>
          <w:color w:val="212121"/>
          <w:u w:color="212121"/>
          <w:shd w:val="clear" w:color="auto" w:fill="FFFFFF"/>
          <w:lang w:val="en-GB"/>
        </w:rPr>
        <w:t xml:space="preserve">: 10.1111/cea.13822. </w:t>
      </w:r>
    </w:p>
    <w:p w14:paraId="59C916A7" w14:textId="544DBFF7" w:rsidR="00FD7AAB" w:rsidRPr="00F44AB7" w:rsidRDefault="00684A1E">
      <w:pPr>
        <w:pStyle w:val="BodyA"/>
        <w:rPr>
          <w:rStyle w:val="None"/>
          <w:color w:val="212121"/>
          <w:u w:color="212121"/>
          <w:shd w:val="clear" w:color="auto" w:fill="FFFFFF"/>
          <w:lang w:val="en-GB"/>
        </w:rPr>
      </w:pPr>
      <w:r w:rsidRPr="00F44AB7">
        <w:rPr>
          <w:rStyle w:val="None"/>
          <w:lang w:val="en-GB"/>
        </w:rPr>
        <w:t>1</w:t>
      </w:r>
      <w:r w:rsidR="00E771C9">
        <w:rPr>
          <w:rStyle w:val="None"/>
          <w:lang w:val="en-GB"/>
        </w:rPr>
        <w:t>4</w:t>
      </w:r>
      <w:r w:rsidRPr="00F44AB7">
        <w:rPr>
          <w:rStyle w:val="None"/>
          <w:lang w:val="en-GB"/>
        </w:rPr>
        <w:t xml:space="preserve">. </w:t>
      </w:r>
      <w:proofErr w:type="spellStart"/>
      <w:r w:rsidRPr="00F44AB7">
        <w:rPr>
          <w:rStyle w:val="None"/>
          <w:color w:val="212121"/>
          <w:u w:color="212121"/>
          <w:shd w:val="clear" w:color="auto" w:fill="FFFFFF"/>
          <w:lang w:val="en-GB"/>
        </w:rPr>
        <w:t>Calogiuri</w:t>
      </w:r>
      <w:proofErr w:type="spellEnd"/>
      <w:r w:rsidRPr="00F44AB7">
        <w:rPr>
          <w:rStyle w:val="None"/>
          <w:color w:val="212121"/>
          <w:u w:color="212121"/>
          <w:shd w:val="clear" w:color="auto" w:fill="FFFFFF"/>
          <w:lang w:val="en-GB"/>
        </w:rPr>
        <w:t xml:space="preserve"> G, Foti C, </w:t>
      </w:r>
      <w:proofErr w:type="spellStart"/>
      <w:r w:rsidRPr="00F44AB7">
        <w:rPr>
          <w:rStyle w:val="None"/>
          <w:color w:val="212121"/>
          <w:u w:color="212121"/>
          <w:shd w:val="clear" w:color="auto" w:fill="FFFFFF"/>
          <w:lang w:val="en-GB"/>
        </w:rPr>
        <w:t>Nettis</w:t>
      </w:r>
      <w:proofErr w:type="spellEnd"/>
      <w:r w:rsidRPr="00F44AB7">
        <w:rPr>
          <w:rStyle w:val="None"/>
          <w:color w:val="212121"/>
          <w:u w:color="212121"/>
          <w:shd w:val="clear" w:color="auto" w:fill="FFFFFF"/>
          <w:lang w:val="en-GB"/>
        </w:rPr>
        <w:t xml:space="preserve"> E, Di Leo E, Macchia L, Vacca A. Polyethylene glycols and polysorbates: Two still neglected ingredients causing true </w:t>
      </w:r>
      <w:proofErr w:type="spellStart"/>
      <w:r w:rsidRPr="00F44AB7">
        <w:rPr>
          <w:rStyle w:val="None"/>
          <w:color w:val="212121"/>
          <w:u w:color="212121"/>
          <w:shd w:val="clear" w:color="auto" w:fill="FFFFFF"/>
          <w:lang w:val="en-GB"/>
        </w:rPr>
        <w:t>IgE</w:t>
      </w:r>
      <w:proofErr w:type="spellEnd"/>
      <w:r w:rsidRPr="00F44AB7">
        <w:rPr>
          <w:rStyle w:val="None"/>
          <w:color w:val="212121"/>
          <w:u w:color="212121"/>
          <w:shd w:val="clear" w:color="auto" w:fill="FFFFFF"/>
          <w:lang w:val="en-GB"/>
        </w:rPr>
        <w:t xml:space="preserve">-mediated reactions. J Allergy Clin Immunol </w:t>
      </w:r>
      <w:proofErr w:type="spellStart"/>
      <w:r w:rsidRPr="00F44AB7">
        <w:rPr>
          <w:rStyle w:val="None"/>
          <w:color w:val="212121"/>
          <w:u w:color="212121"/>
          <w:shd w:val="clear" w:color="auto" w:fill="FFFFFF"/>
          <w:lang w:val="en-GB"/>
        </w:rPr>
        <w:t>Pract</w:t>
      </w:r>
      <w:proofErr w:type="spellEnd"/>
      <w:r w:rsidRPr="00F44AB7">
        <w:rPr>
          <w:rStyle w:val="None"/>
          <w:color w:val="212121"/>
          <w:u w:color="212121"/>
          <w:shd w:val="clear" w:color="auto" w:fill="FFFFFF"/>
          <w:lang w:val="en-GB"/>
        </w:rPr>
        <w:t xml:space="preserve">. 2019 Sep-Oct;7(7):2509-2510. </w:t>
      </w:r>
    </w:p>
    <w:p w14:paraId="1276DA9D" w14:textId="5BC30FF7" w:rsidR="00FD7AAB" w:rsidRPr="00F44AB7" w:rsidRDefault="00684A1E">
      <w:pPr>
        <w:pStyle w:val="BodyA"/>
        <w:rPr>
          <w:rStyle w:val="None"/>
          <w:color w:val="212121"/>
          <w:u w:color="212121"/>
          <w:shd w:val="clear" w:color="auto" w:fill="FFFFFF"/>
          <w:lang w:val="en-GB"/>
        </w:rPr>
      </w:pPr>
      <w:r w:rsidRPr="00F44AB7">
        <w:rPr>
          <w:rStyle w:val="None"/>
          <w:color w:val="212121"/>
          <w:u w:color="212121"/>
          <w:shd w:val="clear" w:color="auto" w:fill="FFFFFF"/>
          <w:lang w:val="en-GB"/>
        </w:rPr>
        <w:t>1</w:t>
      </w:r>
      <w:r w:rsidR="00E771C9">
        <w:rPr>
          <w:rStyle w:val="None"/>
          <w:color w:val="212121"/>
          <w:u w:color="212121"/>
          <w:shd w:val="clear" w:color="auto" w:fill="FFFFFF"/>
          <w:lang w:val="en-GB"/>
        </w:rPr>
        <w:t>5</w:t>
      </w:r>
      <w:r w:rsidRPr="00F44AB7">
        <w:rPr>
          <w:rStyle w:val="None"/>
          <w:color w:val="212121"/>
          <w:u w:color="212121"/>
          <w:shd w:val="clear" w:color="auto" w:fill="FFFFFF"/>
          <w:lang w:val="en-GB"/>
        </w:rPr>
        <w:t xml:space="preserve">. Lu IN, Rutkowski K, Kennard L, </w:t>
      </w:r>
      <w:proofErr w:type="spellStart"/>
      <w:r w:rsidRPr="00F44AB7">
        <w:rPr>
          <w:rStyle w:val="None"/>
          <w:color w:val="212121"/>
          <w:u w:color="212121"/>
          <w:shd w:val="clear" w:color="auto" w:fill="FFFFFF"/>
          <w:lang w:val="en-GB"/>
        </w:rPr>
        <w:t>Nakonechna</w:t>
      </w:r>
      <w:proofErr w:type="spellEnd"/>
      <w:r w:rsidRPr="00F44AB7">
        <w:rPr>
          <w:rStyle w:val="None"/>
          <w:color w:val="212121"/>
          <w:u w:color="212121"/>
          <w:shd w:val="clear" w:color="auto" w:fill="FFFFFF"/>
          <w:lang w:val="en-GB"/>
        </w:rPr>
        <w:t xml:space="preserve"> A, Mirakian R, Wagner A. Polyethylene glycol may be the major allergen in depot </w:t>
      </w:r>
      <w:proofErr w:type="spellStart"/>
      <w:r w:rsidRPr="00F44AB7">
        <w:rPr>
          <w:rStyle w:val="None"/>
          <w:color w:val="212121"/>
          <w:u w:color="212121"/>
          <w:shd w:val="clear" w:color="auto" w:fill="FFFFFF"/>
          <w:lang w:val="en-GB"/>
        </w:rPr>
        <w:t>medroxy</w:t>
      </w:r>
      <w:proofErr w:type="spellEnd"/>
      <w:r w:rsidRPr="00F44AB7">
        <w:rPr>
          <w:rStyle w:val="None"/>
          <w:color w:val="212121"/>
          <w:u w:color="212121"/>
          <w:shd w:val="clear" w:color="auto" w:fill="FFFFFF"/>
          <w:lang w:val="en-GB"/>
        </w:rPr>
        <w:t xml:space="preserve">-progesterone acetate. J Allergy Clin Immunol </w:t>
      </w:r>
      <w:proofErr w:type="spellStart"/>
      <w:r w:rsidRPr="00F44AB7">
        <w:rPr>
          <w:rStyle w:val="None"/>
          <w:color w:val="212121"/>
          <w:u w:color="212121"/>
          <w:shd w:val="clear" w:color="auto" w:fill="FFFFFF"/>
          <w:lang w:val="en-GB"/>
        </w:rPr>
        <w:t>Pract</w:t>
      </w:r>
      <w:proofErr w:type="spellEnd"/>
      <w:r w:rsidRPr="00F44AB7">
        <w:rPr>
          <w:rStyle w:val="None"/>
          <w:color w:val="212121"/>
          <w:u w:color="212121"/>
          <w:shd w:val="clear" w:color="auto" w:fill="FFFFFF"/>
          <w:lang w:val="en-GB"/>
        </w:rPr>
        <w:t xml:space="preserve">. 2020 Oct;8(9):3194-3197. </w:t>
      </w:r>
    </w:p>
    <w:p w14:paraId="6233BD07" w14:textId="77777777" w:rsidR="00B54F1C" w:rsidRPr="00F44AB7" w:rsidRDefault="00B54F1C">
      <w:pPr>
        <w:pStyle w:val="BodyA"/>
        <w:rPr>
          <w:rStyle w:val="None"/>
          <w:color w:val="212121"/>
          <w:u w:color="212121"/>
          <w:lang w:val="en-GB"/>
        </w:rPr>
      </w:pPr>
    </w:p>
    <w:p w14:paraId="3E1FB8A1" w14:textId="77777777" w:rsidR="00FD7AAB" w:rsidRPr="00F44AB7" w:rsidRDefault="00684A1E">
      <w:pPr>
        <w:pStyle w:val="BodyA"/>
        <w:rPr>
          <w:rStyle w:val="None"/>
          <w:lang w:val="en-GB"/>
        </w:rPr>
      </w:pPr>
      <w:r w:rsidRPr="00F44AB7">
        <w:rPr>
          <w:rStyle w:val="None"/>
          <w:color w:val="212121"/>
          <w:u w:color="212121"/>
          <w:shd w:val="clear" w:color="auto" w:fill="FFFFFF"/>
          <w:lang w:val="en-GB"/>
        </w:rPr>
        <w:t>16. Rutkowski K, Mirakian R, Till S, Rutkowski R, Wagner A. Adverse reactions to COVID-19 vaccines: A practical approach. Clin Exp Allergy. 2021 Jun;51(6):770-777. </w:t>
      </w:r>
    </w:p>
    <w:p w14:paraId="61FAD9AB" w14:textId="21719DCF" w:rsidR="00FD7AAB" w:rsidRPr="00F44AB7" w:rsidRDefault="00684A1E">
      <w:pPr>
        <w:pStyle w:val="BodyA"/>
        <w:rPr>
          <w:rStyle w:val="None"/>
          <w:color w:val="222222"/>
          <w:u w:color="222222"/>
          <w:shd w:val="clear" w:color="auto" w:fill="FFFFFF"/>
          <w:lang w:val="en-GB"/>
        </w:rPr>
      </w:pPr>
      <w:r w:rsidRPr="00F44AB7">
        <w:rPr>
          <w:rStyle w:val="None"/>
          <w:color w:val="212121"/>
          <w:u w:color="212121"/>
          <w:shd w:val="clear" w:color="auto" w:fill="FFFFFF"/>
          <w:lang w:val="en-GB"/>
        </w:rPr>
        <w:t xml:space="preserve">17. </w:t>
      </w:r>
      <w:r w:rsidRPr="00F44AB7">
        <w:rPr>
          <w:rStyle w:val="None"/>
          <w:color w:val="222222"/>
          <w:u w:color="222222"/>
          <w:shd w:val="clear" w:color="auto" w:fill="FFFFFF"/>
          <w:lang w:val="en-GB"/>
        </w:rPr>
        <w:t xml:space="preserve">Koyama Y, Tateishi M, </w:t>
      </w:r>
      <w:proofErr w:type="spellStart"/>
      <w:r w:rsidRPr="00F44AB7">
        <w:rPr>
          <w:rStyle w:val="None"/>
          <w:color w:val="222222"/>
          <w:u w:color="222222"/>
          <w:shd w:val="clear" w:color="auto" w:fill="FFFFFF"/>
          <w:lang w:val="en-GB"/>
        </w:rPr>
        <w:t>Kawaide</w:t>
      </w:r>
      <w:proofErr w:type="spellEnd"/>
      <w:r w:rsidRPr="00F44AB7">
        <w:rPr>
          <w:rStyle w:val="None"/>
          <w:color w:val="222222"/>
          <w:u w:color="222222"/>
          <w:shd w:val="clear" w:color="auto" w:fill="FFFFFF"/>
          <w:lang w:val="en-GB"/>
        </w:rPr>
        <w:t xml:space="preserve"> A</w:t>
      </w:r>
      <w:r w:rsidR="00F33E7D" w:rsidRPr="00F44AB7">
        <w:rPr>
          <w:rStyle w:val="None"/>
          <w:color w:val="222222"/>
          <w:u w:color="222222"/>
          <w:shd w:val="clear" w:color="auto" w:fill="FFFFFF"/>
          <w:lang w:val="en-GB"/>
        </w:rPr>
        <w:t>, Kojima S</w:t>
      </w:r>
      <w:r w:rsidR="00012FD9">
        <w:rPr>
          <w:rStyle w:val="None"/>
          <w:color w:val="222222"/>
          <w:u w:color="222222"/>
          <w:shd w:val="clear" w:color="auto" w:fill="FFFFFF"/>
          <w:lang w:val="en-GB"/>
        </w:rPr>
        <w:t>.</w:t>
      </w:r>
      <w:r w:rsidRPr="00F44AB7">
        <w:rPr>
          <w:rStyle w:val="None"/>
          <w:color w:val="222222"/>
          <w:u w:color="222222"/>
          <w:shd w:val="clear" w:color="auto" w:fill="FFFFFF"/>
          <w:lang w:val="en-GB"/>
        </w:rPr>
        <w:t>  Gastrointestinal Absorption of [</w:t>
      </w:r>
      <w:r w:rsidRPr="00F44AB7">
        <w:rPr>
          <w:rStyle w:val="None"/>
          <w:color w:val="222222"/>
          <w:u w:color="222222"/>
          <w:shd w:val="clear" w:color="auto" w:fill="FFFFFF"/>
          <w:vertAlign w:val="superscript"/>
          <w:lang w:val="en-GB"/>
        </w:rPr>
        <w:t>14</w:t>
      </w:r>
      <w:r w:rsidRPr="00F44AB7">
        <w:rPr>
          <w:rStyle w:val="None"/>
          <w:color w:val="222222"/>
          <w:u w:color="222222"/>
          <w:shd w:val="clear" w:color="auto" w:fill="FFFFFF"/>
          <w:lang w:val="en-GB"/>
        </w:rPr>
        <w:t>C]Poly(ethylene glycol) 4000. </w:t>
      </w:r>
      <w:proofErr w:type="spellStart"/>
      <w:r w:rsidRPr="00F44AB7">
        <w:rPr>
          <w:rStyle w:val="None"/>
          <w:i/>
          <w:iCs/>
          <w:color w:val="222222"/>
          <w:u w:color="222222"/>
          <w:shd w:val="clear" w:color="auto" w:fill="FFFFFF"/>
          <w:lang w:val="en-GB"/>
        </w:rPr>
        <w:t>Polym</w:t>
      </w:r>
      <w:proofErr w:type="spellEnd"/>
      <w:r w:rsidRPr="00F44AB7">
        <w:rPr>
          <w:rStyle w:val="None"/>
          <w:i/>
          <w:iCs/>
          <w:color w:val="222222"/>
          <w:u w:color="222222"/>
          <w:shd w:val="clear" w:color="auto" w:fill="FFFFFF"/>
          <w:lang w:val="en-GB"/>
        </w:rPr>
        <w:t xml:space="preserve"> J</w:t>
      </w:r>
      <w:r w:rsidRPr="00F44AB7">
        <w:rPr>
          <w:rStyle w:val="None"/>
          <w:color w:val="222222"/>
          <w:u w:color="222222"/>
          <w:shd w:val="clear" w:color="auto" w:fill="FFFFFF"/>
          <w:lang w:val="en-GB"/>
        </w:rPr>
        <w:t> 24,</w:t>
      </w:r>
      <w:r w:rsidRPr="00F44AB7">
        <w:rPr>
          <w:rStyle w:val="None"/>
          <w:b/>
          <w:bCs/>
          <w:color w:val="222222"/>
          <w:u w:color="222222"/>
          <w:shd w:val="clear" w:color="auto" w:fill="FFFFFF"/>
          <w:lang w:val="en-GB"/>
        </w:rPr>
        <w:t> </w:t>
      </w:r>
      <w:r w:rsidRPr="00F44AB7">
        <w:rPr>
          <w:rStyle w:val="None"/>
          <w:color w:val="222222"/>
          <w:u w:color="222222"/>
          <w:shd w:val="clear" w:color="auto" w:fill="FFFFFF"/>
          <w:lang w:val="en-GB"/>
        </w:rPr>
        <w:t xml:space="preserve">583–589 (1992). </w:t>
      </w:r>
    </w:p>
    <w:p w14:paraId="6F7D6583" w14:textId="77777777" w:rsidR="00FD7AAB" w:rsidRPr="00F44AB7" w:rsidRDefault="00684A1E">
      <w:pPr>
        <w:pStyle w:val="BodyA"/>
        <w:rPr>
          <w:rStyle w:val="None"/>
          <w:lang w:val="en-GB"/>
        </w:rPr>
      </w:pPr>
      <w:r w:rsidRPr="00F44AB7">
        <w:rPr>
          <w:rStyle w:val="None"/>
          <w:color w:val="222222"/>
          <w:u w:color="222222"/>
          <w:shd w:val="clear" w:color="auto" w:fill="FFFFFF"/>
          <w:lang w:val="en-GB"/>
        </w:rPr>
        <w:t xml:space="preserve">18. </w:t>
      </w:r>
      <w:r w:rsidRPr="00F44AB7">
        <w:rPr>
          <w:rStyle w:val="None"/>
          <w:lang w:val="en-GB"/>
        </w:rPr>
        <w:t xml:space="preserve">Sohy C, Vandenplas O, Sibille Y. Usefulness of oral macrogol challenge in 275 anaphylaxis after intra-articular injection of corticosteroid preparation. Allergy </w:t>
      </w:r>
      <w:proofErr w:type="spellStart"/>
      <w:r w:rsidRPr="00F44AB7">
        <w:rPr>
          <w:rStyle w:val="None"/>
          <w:lang w:val="en-GB"/>
        </w:rPr>
        <w:t>Eur</w:t>
      </w:r>
      <w:proofErr w:type="spellEnd"/>
      <w:r w:rsidRPr="00F44AB7">
        <w:rPr>
          <w:rStyle w:val="None"/>
          <w:lang w:val="en-GB"/>
        </w:rPr>
        <w:t xml:space="preserve"> J 276 Allergy Clin Immunol 2008;63:478–479.  </w:t>
      </w:r>
    </w:p>
    <w:p w14:paraId="38AC3E1D" w14:textId="6BAA0421" w:rsidR="00FD7AAB" w:rsidRPr="00F44AB7" w:rsidRDefault="00684A1E">
      <w:pPr>
        <w:pStyle w:val="BodyA"/>
        <w:rPr>
          <w:rStyle w:val="None"/>
          <w:color w:val="212121"/>
          <w:u w:color="212121"/>
          <w:lang w:val="en-GB"/>
        </w:rPr>
      </w:pPr>
      <w:r w:rsidRPr="00F44AB7">
        <w:rPr>
          <w:rStyle w:val="None"/>
          <w:color w:val="212121"/>
          <w:u w:color="212121"/>
          <w:lang w:val="en-GB"/>
        </w:rPr>
        <w:t xml:space="preserve">19. Mark C, Gupta S, Punnett A, Upton J, Orkin J, Atkinson A, </w:t>
      </w:r>
      <w:r w:rsidR="00884AEC" w:rsidRPr="00F44AB7">
        <w:rPr>
          <w:rStyle w:val="None"/>
          <w:color w:val="212121"/>
          <w:u w:color="212121"/>
          <w:lang w:val="en-GB"/>
        </w:rPr>
        <w:t>et al.</w:t>
      </w:r>
      <w:r w:rsidR="00FF5B03">
        <w:rPr>
          <w:rStyle w:val="None"/>
          <w:color w:val="212121"/>
          <w:u w:color="212121"/>
          <w:lang w:val="en-GB"/>
        </w:rPr>
        <w:t xml:space="preserve"> </w:t>
      </w:r>
      <w:r w:rsidRPr="00F44AB7">
        <w:rPr>
          <w:rStyle w:val="None"/>
          <w:color w:val="212121"/>
          <w:u w:color="212121"/>
          <w:lang w:val="en-GB"/>
        </w:rPr>
        <w:t xml:space="preserve">Safety of administration of BNT162b2 mRNA (Pfizer-BioNTech) COVID-19 vaccine in youths and young adults with a history of acute lymphoblastic </w:t>
      </w:r>
      <w:proofErr w:type="spellStart"/>
      <w:r w:rsidRPr="00F44AB7">
        <w:rPr>
          <w:rStyle w:val="None"/>
          <w:color w:val="212121"/>
          <w:u w:color="212121"/>
          <w:lang w:val="en-GB"/>
        </w:rPr>
        <w:t>leukemia</w:t>
      </w:r>
      <w:proofErr w:type="spellEnd"/>
      <w:r w:rsidRPr="00F44AB7">
        <w:rPr>
          <w:rStyle w:val="None"/>
          <w:color w:val="212121"/>
          <w:u w:color="212121"/>
          <w:lang w:val="en-GB"/>
        </w:rPr>
        <w:t xml:space="preserve"> and allergy to PEG-asparaginase. </w:t>
      </w:r>
      <w:proofErr w:type="spellStart"/>
      <w:r w:rsidRPr="00F44AB7">
        <w:rPr>
          <w:rStyle w:val="None"/>
          <w:color w:val="212121"/>
          <w:u w:color="212121"/>
          <w:lang w:val="en-GB"/>
        </w:rPr>
        <w:t>Pediatr</w:t>
      </w:r>
      <w:proofErr w:type="spellEnd"/>
      <w:r w:rsidRPr="00F44AB7">
        <w:rPr>
          <w:rStyle w:val="None"/>
          <w:color w:val="212121"/>
          <w:u w:color="212121"/>
          <w:lang w:val="en-GB"/>
        </w:rPr>
        <w:t xml:space="preserve"> Blood Cancer. 2021 Nov;68(11):e29295. </w:t>
      </w:r>
    </w:p>
    <w:p w14:paraId="42D7AB30" w14:textId="77777777" w:rsidR="00FD7AAB" w:rsidRPr="00FF5B03" w:rsidRDefault="00684A1E">
      <w:pPr>
        <w:pStyle w:val="BodyA"/>
        <w:rPr>
          <w:rStyle w:val="None"/>
          <w:lang w:val="en-GB"/>
        </w:rPr>
      </w:pPr>
      <w:r w:rsidRPr="00F44AB7">
        <w:rPr>
          <w:rStyle w:val="None"/>
          <w:color w:val="212121"/>
          <w:u w:color="212121"/>
          <w:lang w:val="en-GB"/>
        </w:rPr>
        <w:t xml:space="preserve">20. </w:t>
      </w:r>
      <w:proofErr w:type="spellStart"/>
      <w:r w:rsidRPr="00F44AB7">
        <w:rPr>
          <w:rStyle w:val="None"/>
          <w:color w:val="212121"/>
          <w:u w:color="212121"/>
          <w:lang w:val="en-GB"/>
        </w:rPr>
        <w:t>Centers</w:t>
      </w:r>
      <w:proofErr w:type="spellEnd"/>
      <w:r w:rsidRPr="00F44AB7">
        <w:rPr>
          <w:rStyle w:val="None"/>
          <w:color w:val="212121"/>
          <w:u w:color="212121"/>
          <w:lang w:val="en-GB"/>
        </w:rPr>
        <w:t xml:space="preserve"> for Disease Control and Prevention. Vaccines </w:t>
      </w:r>
      <w:r w:rsidRPr="00FF5B03">
        <w:rPr>
          <w:rStyle w:val="None"/>
          <w:color w:val="212121"/>
          <w:lang w:val="en-GB"/>
        </w:rPr>
        <w:t xml:space="preserve">and Immunization. COVID-19 Vaccination. </w:t>
      </w:r>
      <w:proofErr w:type="spellStart"/>
      <w:r w:rsidRPr="00FF5B03">
        <w:rPr>
          <w:rStyle w:val="None"/>
          <w:color w:val="212121"/>
          <w:lang w:val="en-GB"/>
        </w:rPr>
        <w:t>Intermin</w:t>
      </w:r>
      <w:proofErr w:type="spellEnd"/>
      <w:r w:rsidRPr="00FF5B03">
        <w:rPr>
          <w:rStyle w:val="None"/>
          <w:color w:val="212121"/>
          <w:lang w:val="en-GB"/>
        </w:rPr>
        <w:t xml:space="preserve"> Clinical Considerations February 2022. Available at: </w:t>
      </w:r>
      <w:hyperlink r:id="rId8" w:history="1">
        <w:r w:rsidRPr="00FF5B03">
          <w:rPr>
            <w:rStyle w:val="Hyperlink0"/>
            <w:u w:val="none"/>
            <w:lang w:val="en-GB"/>
          </w:rPr>
          <w:t>https://www.cdc.gov/vaccines/covid-19/clinical-considerations/covid-19-vaccines-us.html</w:t>
        </w:r>
      </w:hyperlink>
      <w:r w:rsidRPr="00FF5B03">
        <w:rPr>
          <w:rStyle w:val="None"/>
          <w:color w:val="212121"/>
          <w:lang w:val="en-GB"/>
        </w:rPr>
        <w:t xml:space="preserve">. </w:t>
      </w:r>
      <w:r w:rsidRPr="00FF5B03">
        <w:rPr>
          <w:rStyle w:val="None"/>
          <w:lang w:val="en-GB"/>
        </w:rPr>
        <w:t>Accessed March 27, 2022</w:t>
      </w:r>
    </w:p>
    <w:p w14:paraId="66CF234E" w14:textId="77777777" w:rsidR="00FD7AAB" w:rsidRPr="00FF5B03" w:rsidRDefault="00684A1E">
      <w:pPr>
        <w:pStyle w:val="BodyA"/>
        <w:rPr>
          <w:rStyle w:val="None"/>
          <w:lang w:val="en-GB"/>
        </w:rPr>
      </w:pPr>
      <w:r w:rsidRPr="00FF5B03">
        <w:rPr>
          <w:rStyle w:val="None"/>
          <w:lang w:val="en-GB"/>
        </w:rPr>
        <w:t xml:space="preserve">21. UK Health Security Agency. Immunisation against infectious disease: the green book 2021. Available at: </w:t>
      </w:r>
      <w:hyperlink r:id="rId9" w:history="1">
        <w:r w:rsidRPr="00FF5B03">
          <w:rPr>
            <w:rStyle w:val="Hyperlink0"/>
            <w:u w:val="none"/>
            <w:lang w:val="en-GB"/>
          </w:rPr>
          <w:t>https://www.gov.uk/government/publications/immunisation-against-infectious-disease-the-green-book-front-cover-and-contents-page</w:t>
        </w:r>
      </w:hyperlink>
      <w:r w:rsidR="009E454F" w:rsidRPr="00FF5B03">
        <w:rPr>
          <w:rStyle w:val="None"/>
          <w:lang w:val="en-GB"/>
        </w:rPr>
        <w:t>. Accessed October 26</w:t>
      </w:r>
      <w:r w:rsidRPr="00FF5B03">
        <w:rPr>
          <w:rStyle w:val="None"/>
          <w:lang w:val="en-GB"/>
        </w:rPr>
        <w:t>, 2022</w:t>
      </w:r>
    </w:p>
    <w:p w14:paraId="338A637E" w14:textId="4F569E28" w:rsidR="00FD7AAB" w:rsidRPr="00F44AB7" w:rsidRDefault="00684A1E">
      <w:pPr>
        <w:pStyle w:val="BodyA"/>
        <w:rPr>
          <w:rStyle w:val="None"/>
          <w:color w:val="212121"/>
          <w:u w:color="212121"/>
          <w:shd w:val="clear" w:color="auto" w:fill="FFFFFF"/>
          <w:lang w:val="en-GB"/>
        </w:rPr>
      </w:pPr>
      <w:r w:rsidRPr="00F44AB7">
        <w:rPr>
          <w:rStyle w:val="None"/>
          <w:color w:val="212121"/>
          <w:u w:color="212121"/>
          <w:shd w:val="clear" w:color="auto" w:fill="FFFFFF"/>
          <w:lang w:val="en-GB"/>
        </w:rPr>
        <w:t xml:space="preserve">22. Wolfson AR, Robinson LB, Li L, McMahon AE, Cogan AS, Fu X, </w:t>
      </w:r>
      <w:r w:rsidR="00884AEC" w:rsidRPr="00F44AB7">
        <w:rPr>
          <w:rStyle w:val="None"/>
          <w:color w:val="212121"/>
          <w:u w:color="212121"/>
          <w:shd w:val="clear" w:color="auto" w:fill="FFFFFF"/>
          <w:lang w:val="en-GB"/>
        </w:rPr>
        <w:t>et al.</w:t>
      </w:r>
      <w:r w:rsidR="00FF5B03">
        <w:rPr>
          <w:rStyle w:val="None"/>
          <w:color w:val="212121"/>
          <w:u w:color="212121"/>
          <w:shd w:val="clear" w:color="auto" w:fill="FFFFFF"/>
          <w:lang w:val="en-GB"/>
        </w:rPr>
        <w:t xml:space="preserve"> </w:t>
      </w:r>
      <w:r w:rsidRPr="00F44AB7">
        <w:rPr>
          <w:rStyle w:val="None"/>
          <w:color w:val="212121"/>
          <w:u w:color="212121"/>
          <w:shd w:val="clear" w:color="auto" w:fill="FFFFFF"/>
          <w:lang w:val="en-GB"/>
        </w:rPr>
        <w:t xml:space="preserve">First-Dose mRNA COVID-19 Vaccine Allergic Reactions: Limited Role for Excipient Skin Testing. J Allergy Clin Immunol </w:t>
      </w:r>
      <w:proofErr w:type="spellStart"/>
      <w:r w:rsidRPr="00F44AB7">
        <w:rPr>
          <w:rStyle w:val="None"/>
          <w:color w:val="212121"/>
          <w:u w:color="212121"/>
          <w:shd w:val="clear" w:color="auto" w:fill="FFFFFF"/>
          <w:lang w:val="en-GB"/>
        </w:rPr>
        <w:t>Pract</w:t>
      </w:r>
      <w:proofErr w:type="spellEnd"/>
      <w:r w:rsidRPr="00F44AB7">
        <w:rPr>
          <w:rStyle w:val="None"/>
          <w:color w:val="212121"/>
          <w:u w:color="212121"/>
          <w:shd w:val="clear" w:color="auto" w:fill="FFFFFF"/>
          <w:lang w:val="en-GB"/>
        </w:rPr>
        <w:t xml:space="preserve">. 2021 Sep;9(9):3308-3320.e3. </w:t>
      </w:r>
    </w:p>
    <w:p w14:paraId="5F4EB2BB" w14:textId="5FC41D83" w:rsidR="00DD724D" w:rsidRDefault="00684A1E" w:rsidP="00DD724D">
      <w:pPr>
        <w:pStyle w:val="BodyA"/>
        <w:rPr>
          <w:rStyle w:val="None"/>
          <w:color w:val="212121"/>
          <w:u w:color="212121"/>
          <w:shd w:val="clear" w:color="auto" w:fill="FFFFFF"/>
          <w:lang w:val="en-GB"/>
        </w:rPr>
      </w:pPr>
      <w:r w:rsidRPr="00F44AB7">
        <w:rPr>
          <w:rStyle w:val="None"/>
          <w:color w:val="212121"/>
          <w:u w:color="212121"/>
          <w:shd w:val="clear" w:color="auto" w:fill="FFFFFF"/>
          <w:lang w:val="en-GB"/>
        </w:rPr>
        <w:t xml:space="preserve">23. </w:t>
      </w:r>
      <w:proofErr w:type="spellStart"/>
      <w:r w:rsidRPr="00F44AB7">
        <w:rPr>
          <w:rStyle w:val="None"/>
          <w:color w:val="212121"/>
          <w:u w:color="212121"/>
          <w:shd w:val="clear" w:color="auto" w:fill="FFFFFF"/>
          <w:lang w:val="en-GB"/>
        </w:rPr>
        <w:t>Ieven</w:t>
      </w:r>
      <w:proofErr w:type="spellEnd"/>
      <w:r w:rsidRPr="00F44AB7">
        <w:rPr>
          <w:rStyle w:val="None"/>
          <w:color w:val="212121"/>
          <w:u w:color="212121"/>
          <w:shd w:val="clear" w:color="auto" w:fill="FFFFFF"/>
          <w:lang w:val="en-GB"/>
        </w:rPr>
        <w:t xml:space="preserve"> T, Van </w:t>
      </w:r>
      <w:proofErr w:type="spellStart"/>
      <w:r w:rsidRPr="00F44AB7">
        <w:rPr>
          <w:rStyle w:val="None"/>
          <w:color w:val="212121"/>
          <w:u w:color="212121"/>
          <w:shd w:val="clear" w:color="auto" w:fill="FFFFFF"/>
          <w:lang w:val="en-GB"/>
        </w:rPr>
        <w:t>Weyenbergh</w:t>
      </w:r>
      <w:proofErr w:type="spellEnd"/>
      <w:r w:rsidRPr="00F44AB7">
        <w:rPr>
          <w:rStyle w:val="None"/>
          <w:color w:val="212121"/>
          <w:u w:color="212121"/>
          <w:shd w:val="clear" w:color="auto" w:fill="FFFFFF"/>
          <w:lang w:val="en-GB"/>
        </w:rPr>
        <w:t xml:space="preserve"> T, </w:t>
      </w:r>
      <w:proofErr w:type="spellStart"/>
      <w:r w:rsidRPr="00F44AB7">
        <w:rPr>
          <w:rStyle w:val="None"/>
          <w:color w:val="212121"/>
          <w:u w:color="212121"/>
          <w:shd w:val="clear" w:color="auto" w:fill="FFFFFF"/>
          <w:lang w:val="en-GB"/>
        </w:rPr>
        <w:t>Vandebotermet</w:t>
      </w:r>
      <w:proofErr w:type="spellEnd"/>
      <w:r w:rsidRPr="00F44AB7">
        <w:rPr>
          <w:rStyle w:val="None"/>
          <w:color w:val="212121"/>
          <w:u w:color="212121"/>
          <w:shd w:val="clear" w:color="auto" w:fill="FFFFFF"/>
          <w:lang w:val="en-GB"/>
        </w:rPr>
        <w:t xml:space="preserve"> M, Devolder D, </w:t>
      </w:r>
      <w:proofErr w:type="spellStart"/>
      <w:r w:rsidRPr="00F44AB7">
        <w:rPr>
          <w:rStyle w:val="None"/>
          <w:color w:val="212121"/>
          <w:u w:color="212121"/>
          <w:shd w:val="clear" w:color="auto" w:fill="FFFFFF"/>
          <w:lang w:val="en-GB"/>
        </w:rPr>
        <w:t>Breynaert</w:t>
      </w:r>
      <w:proofErr w:type="spellEnd"/>
      <w:r w:rsidRPr="00F44AB7">
        <w:rPr>
          <w:rStyle w:val="None"/>
          <w:color w:val="212121"/>
          <w:u w:color="212121"/>
          <w:shd w:val="clear" w:color="auto" w:fill="FFFFFF"/>
          <w:lang w:val="en-GB"/>
        </w:rPr>
        <w:t xml:space="preserve"> C, </w:t>
      </w:r>
      <w:proofErr w:type="spellStart"/>
      <w:r w:rsidRPr="00F44AB7">
        <w:rPr>
          <w:rStyle w:val="None"/>
          <w:color w:val="212121"/>
          <w:u w:color="212121"/>
          <w:shd w:val="clear" w:color="auto" w:fill="FFFFFF"/>
          <w:lang w:val="en-GB"/>
        </w:rPr>
        <w:t>Schrijvers</w:t>
      </w:r>
      <w:proofErr w:type="spellEnd"/>
      <w:r w:rsidRPr="00F44AB7">
        <w:rPr>
          <w:rStyle w:val="None"/>
          <w:color w:val="212121"/>
          <w:u w:color="212121"/>
          <w:shd w:val="clear" w:color="auto" w:fill="FFFFFF"/>
          <w:lang w:val="en-GB"/>
        </w:rPr>
        <w:t xml:space="preserve"> R. Tolerability of polysorbate 80-containing COVID-19 vaccines in confirmed polyethylene glycol-allergic patients. J Allergy Clin Immunol </w:t>
      </w:r>
      <w:proofErr w:type="spellStart"/>
      <w:r w:rsidRPr="00F44AB7">
        <w:rPr>
          <w:rStyle w:val="None"/>
          <w:color w:val="212121"/>
          <w:u w:color="212121"/>
          <w:shd w:val="clear" w:color="auto" w:fill="FFFFFF"/>
          <w:lang w:val="en-GB"/>
        </w:rPr>
        <w:t>Pract</w:t>
      </w:r>
      <w:proofErr w:type="spellEnd"/>
      <w:r w:rsidRPr="00F44AB7">
        <w:rPr>
          <w:rStyle w:val="None"/>
          <w:color w:val="212121"/>
          <w:u w:color="212121"/>
          <w:shd w:val="clear" w:color="auto" w:fill="FFFFFF"/>
          <w:lang w:val="en-GB"/>
        </w:rPr>
        <w:t>. 2021 Dec;9(12):4470-4472.e1.</w:t>
      </w:r>
    </w:p>
    <w:p w14:paraId="47C373DD" w14:textId="77777777" w:rsidR="00DD724D" w:rsidRDefault="00DD724D" w:rsidP="00DD724D">
      <w:pPr>
        <w:pStyle w:val="BodyA"/>
        <w:rPr>
          <w:rStyle w:val="None"/>
          <w:color w:val="212121"/>
          <w:u w:color="212121"/>
          <w:shd w:val="clear" w:color="auto" w:fill="FFFFFF"/>
          <w:lang w:val="en-GB"/>
        </w:rPr>
      </w:pPr>
    </w:p>
    <w:p w14:paraId="024AA8CC" w14:textId="77777777" w:rsidR="00DD724D" w:rsidRDefault="00DD724D" w:rsidP="00DD724D">
      <w:pPr>
        <w:pStyle w:val="BodyA"/>
        <w:rPr>
          <w:rStyle w:val="None"/>
          <w:color w:val="212121"/>
          <w:u w:color="212121"/>
          <w:shd w:val="clear" w:color="auto" w:fill="FFFFFF"/>
          <w:lang w:val="en-GB"/>
        </w:rPr>
      </w:pPr>
    </w:p>
    <w:p w14:paraId="27803386" w14:textId="77777777" w:rsidR="00DD724D" w:rsidRDefault="00DD724D" w:rsidP="00DD724D">
      <w:pPr>
        <w:pStyle w:val="BodyA"/>
        <w:rPr>
          <w:rStyle w:val="None"/>
          <w:color w:val="212121"/>
          <w:u w:color="212121"/>
          <w:shd w:val="clear" w:color="auto" w:fill="FFFFFF"/>
          <w:lang w:val="en-GB"/>
        </w:rPr>
      </w:pPr>
    </w:p>
    <w:p w14:paraId="0CEB4559" w14:textId="77777777" w:rsidR="00DD724D" w:rsidRDefault="00DD724D" w:rsidP="00DD724D">
      <w:pPr>
        <w:pStyle w:val="BodyA"/>
        <w:rPr>
          <w:rStyle w:val="None"/>
          <w:color w:val="212121"/>
          <w:u w:color="212121"/>
          <w:shd w:val="clear" w:color="auto" w:fill="FFFFFF"/>
          <w:lang w:val="en-GB"/>
        </w:rPr>
      </w:pPr>
    </w:p>
    <w:p w14:paraId="24D4AF86" w14:textId="77777777" w:rsidR="00DD724D" w:rsidRDefault="00DD724D" w:rsidP="00DD724D">
      <w:pPr>
        <w:pStyle w:val="BodyA"/>
        <w:rPr>
          <w:rStyle w:val="None"/>
          <w:color w:val="212121"/>
          <w:u w:color="212121"/>
          <w:shd w:val="clear" w:color="auto" w:fill="FFFFFF"/>
          <w:lang w:val="en-GB"/>
        </w:rPr>
      </w:pPr>
    </w:p>
    <w:p w14:paraId="7BE65F41" w14:textId="021A41AA" w:rsidR="00DD724D" w:rsidRPr="00DD724D" w:rsidRDefault="00DD724D" w:rsidP="00B54F1C">
      <w:pPr>
        <w:pStyle w:val="BodyA"/>
        <w:rPr>
          <w:rFonts w:cs="Calibri"/>
          <w:color w:val="212121"/>
          <w:u w:color="212121"/>
          <w:shd w:val="clear" w:color="auto" w:fill="FFFFFF"/>
          <w:lang w:val="en-GB"/>
        </w:rPr>
      </w:pPr>
    </w:p>
    <w:sectPr w:rsidR="00DD724D" w:rsidRPr="00DD724D">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E0112" w14:textId="77777777" w:rsidR="00DE6E16" w:rsidRDefault="00DE6E16">
      <w:r>
        <w:separator/>
      </w:r>
    </w:p>
  </w:endnote>
  <w:endnote w:type="continuationSeparator" w:id="0">
    <w:p w14:paraId="3BF84575" w14:textId="77777777" w:rsidR="00DE6E16" w:rsidRDefault="00DE6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altName w:val="Times New Roman"/>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AD3B3" w14:textId="77777777" w:rsidR="00DE6E16" w:rsidRDefault="00DE6E16">
      <w:r>
        <w:separator/>
      </w:r>
    </w:p>
  </w:footnote>
  <w:footnote w:type="continuationSeparator" w:id="0">
    <w:p w14:paraId="51066EFB" w14:textId="77777777" w:rsidR="00DE6E16" w:rsidRDefault="00DE6E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60DDC"/>
    <w:multiLevelType w:val="hybridMultilevel"/>
    <w:tmpl w:val="BE600C0E"/>
    <w:lvl w:ilvl="0" w:tplc="F6FCB2A4">
      <w:start w:val="1"/>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A18E4E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9ABCB48A">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88BE558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EEA24D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65EECDC">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3F36665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166A626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0C0BBD4">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1EF49E0"/>
    <w:multiLevelType w:val="hybridMultilevel"/>
    <w:tmpl w:val="CC1864B2"/>
    <w:styleLink w:val="ImportedStyle1"/>
    <w:lvl w:ilvl="0" w:tplc="8294EA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0C268C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D705F2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9078CE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167D9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38687E">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2CE0100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0F6068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0E25D74">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14D6581"/>
    <w:multiLevelType w:val="hybridMultilevel"/>
    <w:tmpl w:val="CC1864B2"/>
    <w:numStyleLink w:val="ImportedStyle1"/>
  </w:abstractNum>
  <w:abstractNum w:abstractNumId="3" w15:restartNumberingAfterBreak="0">
    <w:nsid w:val="4991719A"/>
    <w:multiLevelType w:val="hybridMultilevel"/>
    <w:tmpl w:val="FE6E7768"/>
    <w:lvl w:ilvl="0" w:tplc="4F7A91CE">
      <w:start w:val="1"/>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0E5C355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E4461898">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CD9EC8BA">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D8EBA1E">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BC86728">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DBC0E3C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7EBA303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68E53CE">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76E343EF"/>
    <w:multiLevelType w:val="hybridMultilevel"/>
    <w:tmpl w:val="AA40F162"/>
    <w:lvl w:ilvl="0" w:tplc="48625D6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18530250">
    <w:abstractNumId w:val="1"/>
  </w:num>
  <w:num w:numId="2" w16cid:durableId="1551263333">
    <w:abstractNumId w:val="2"/>
  </w:num>
  <w:num w:numId="3" w16cid:durableId="982077077">
    <w:abstractNumId w:val="3"/>
  </w:num>
  <w:num w:numId="4" w16cid:durableId="94205378">
    <w:abstractNumId w:val="0"/>
  </w:num>
  <w:num w:numId="5" w16cid:durableId="1016541690">
    <w:abstractNumId w:val="0"/>
    <w:lvlOverride w:ilvl="0">
      <w:startOverride w:val="2"/>
    </w:lvlOverride>
  </w:num>
  <w:num w:numId="6" w16cid:durableId="9541682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AAB"/>
    <w:rsid w:val="00004F3A"/>
    <w:rsid w:val="0001211B"/>
    <w:rsid w:val="00012FD9"/>
    <w:rsid w:val="00025A19"/>
    <w:rsid w:val="00026068"/>
    <w:rsid w:val="000333B8"/>
    <w:rsid w:val="0007210A"/>
    <w:rsid w:val="00075D48"/>
    <w:rsid w:val="00075E51"/>
    <w:rsid w:val="00083AE4"/>
    <w:rsid w:val="00117695"/>
    <w:rsid w:val="00123D4D"/>
    <w:rsid w:val="00136811"/>
    <w:rsid w:val="00147762"/>
    <w:rsid w:val="00150652"/>
    <w:rsid w:val="0019675C"/>
    <w:rsid w:val="001977AA"/>
    <w:rsid w:val="001B66AA"/>
    <w:rsid w:val="001D5F13"/>
    <w:rsid w:val="001F5CC5"/>
    <w:rsid w:val="001F743A"/>
    <w:rsid w:val="00212E0C"/>
    <w:rsid w:val="00212EA1"/>
    <w:rsid w:val="002155D5"/>
    <w:rsid w:val="00223EB0"/>
    <w:rsid w:val="002351BB"/>
    <w:rsid w:val="00246403"/>
    <w:rsid w:val="00265841"/>
    <w:rsid w:val="00265EF0"/>
    <w:rsid w:val="00283884"/>
    <w:rsid w:val="002854A2"/>
    <w:rsid w:val="002860CC"/>
    <w:rsid w:val="002A1F9D"/>
    <w:rsid w:val="002A4611"/>
    <w:rsid w:val="002E3CD8"/>
    <w:rsid w:val="003031C8"/>
    <w:rsid w:val="00305260"/>
    <w:rsid w:val="00321E7F"/>
    <w:rsid w:val="003301FB"/>
    <w:rsid w:val="003634FA"/>
    <w:rsid w:val="003B75F2"/>
    <w:rsid w:val="003C4C7D"/>
    <w:rsid w:val="00415DF3"/>
    <w:rsid w:val="00416FAD"/>
    <w:rsid w:val="00420F78"/>
    <w:rsid w:val="00426C8A"/>
    <w:rsid w:val="00427A74"/>
    <w:rsid w:val="004312DD"/>
    <w:rsid w:val="00440CAC"/>
    <w:rsid w:val="00445FB8"/>
    <w:rsid w:val="00487C4D"/>
    <w:rsid w:val="004E2A8A"/>
    <w:rsid w:val="004F2FD7"/>
    <w:rsid w:val="00500DFD"/>
    <w:rsid w:val="0057634B"/>
    <w:rsid w:val="005B5CD5"/>
    <w:rsid w:val="005C3667"/>
    <w:rsid w:val="005D0D67"/>
    <w:rsid w:val="005D58E7"/>
    <w:rsid w:val="006051DE"/>
    <w:rsid w:val="006175AA"/>
    <w:rsid w:val="00617F9C"/>
    <w:rsid w:val="00617FC0"/>
    <w:rsid w:val="00635EB8"/>
    <w:rsid w:val="00647DE6"/>
    <w:rsid w:val="00664D8E"/>
    <w:rsid w:val="00674D40"/>
    <w:rsid w:val="00684A1E"/>
    <w:rsid w:val="00695D93"/>
    <w:rsid w:val="00696579"/>
    <w:rsid w:val="00696E55"/>
    <w:rsid w:val="006B7EBA"/>
    <w:rsid w:val="006D2D27"/>
    <w:rsid w:val="006F2244"/>
    <w:rsid w:val="007258AD"/>
    <w:rsid w:val="007407D3"/>
    <w:rsid w:val="00744A0B"/>
    <w:rsid w:val="00745909"/>
    <w:rsid w:val="0075396F"/>
    <w:rsid w:val="00790FCA"/>
    <w:rsid w:val="00793B11"/>
    <w:rsid w:val="007A26F8"/>
    <w:rsid w:val="007A31FD"/>
    <w:rsid w:val="007B29A7"/>
    <w:rsid w:val="007D2515"/>
    <w:rsid w:val="007F2B9A"/>
    <w:rsid w:val="00803923"/>
    <w:rsid w:val="00805BA6"/>
    <w:rsid w:val="00807F29"/>
    <w:rsid w:val="00836C28"/>
    <w:rsid w:val="008536CD"/>
    <w:rsid w:val="00860264"/>
    <w:rsid w:val="00866214"/>
    <w:rsid w:val="00870E88"/>
    <w:rsid w:val="00873719"/>
    <w:rsid w:val="00884AEC"/>
    <w:rsid w:val="00891987"/>
    <w:rsid w:val="008E031D"/>
    <w:rsid w:val="008F301A"/>
    <w:rsid w:val="008F43E0"/>
    <w:rsid w:val="00900736"/>
    <w:rsid w:val="00910C8F"/>
    <w:rsid w:val="00945266"/>
    <w:rsid w:val="0095527F"/>
    <w:rsid w:val="0096569C"/>
    <w:rsid w:val="009C2EC4"/>
    <w:rsid w:val="009E454F"/>
    <w:rsid w:val="009F3B4D"/>
    <w:rsid w:val="009F4826"/>
    <w:rsid w:val="009F5913"/>
    <w:rsid w:val="009F667E"/>
    <w:rsid w:val="00A00E15"/>
    <w:rsid w:val="00A05ECD"/>
    <w:rsid w:val="00A326E8"/>
    <w:rsid w:val="00A42241"/>
    <w:rsid w:val="00A81535"/>
    <w:rsid w:val="00A82E43"/>
    <w:rsid w:val="00AF5E6E"/>
    <w:rsid w:val="00B16F4C"/>
    <w:rsid w:val="00B3138B"/>
    <w:rsid w:val="00B34E88"/>
    <w:rsid w:val="00B37DF5"/>
    <w:rsid w:val="00B458C1"/>
    <w:rsid w:val="00B54F1C"/>
    <w:rsid w:val="00B63E90"/>
    <w:rsid w:val="00B658BA"/>
    <w:rsid w:val="00B6754F"/>
    <w:rsid w:val="00B9219E"/>
    <w:rsid w:val="00BA2C6D"/>
    <w:rsid w:val="00BD3C30"/>
    <w:rsid w:val="00BE53E8"/>
    <w:rsid w:val="00BF1D29"/>
    <w:rsid w:val="00C02C2C"/>
    <w:rsid w:val="00C250F1"/>
    <w:rsid w:val="00C3141A"/>
    <w:rsid w:val="00C36FAD"/>
    <w:rsid w:val="00C76EEA"/>
    <w:rsid w:val="00CB3AB1"/>
    <w:rsid w:val="00CC2B72"/>
    <w:rsid w:val="00CD6268"/>
    <w:rsid w:val="00CE4417"/>
    <w:rsid w:val="00D104E0"/>
    <w:rsid w:val="00D379DE"/>
    <w:rsid w:val="00D768AC"/>
    <w:rsid w:val="00D83475"/>
    <w:rsid w:val="00D93E4D"/>
    <w:rsid w:val="00DA48F8"/>
    <w:rsid w:val="00DA7E7A"/>
    <w:rsid w:val="00DB6184"/>
    <w:rsid w:val="00DC2CCF"/>
    <w:rsid w:val="00DD724D"/>
    <w:rsid w:val="00DE6E16"/>
    <w:rsid w:val="00DF079C"/>
    <w:rsid w:val="00DF27A8"/>
    <w:rsid w:val="00E002BF"/>
    <w:rsid w:val="00E01C8F"/>
    <w:rsid w:val="00E125C4"/>
    <w:rsid w:val="00E21F4C"/>
    <w:rsid w:val="00E21F6E"/>
    <w:rsid w:val="00E310B2"/>
    <w:rsid w:val="00E61F09"/>
    <w:rsid w:val="00E626AF"/>
    <w:rsid w:val="00E7551E"/>
    <w:rsid w:val="00E771C9"/>
    <w:rsid w:val="00EB54A2"/>
    <w:rsid w:val="00EC01FE"/>
    <w:rsid w:val="00EC5A60"/>
    <w:rsid w:val="00EC5C08"/>
    <w:rsid w:val="00ED3BFB"/>
    <w:rsid w:val="00EF3E8B"/>
    <w:rsid w:val="00F33E7D"/>
    <w:rsid w:val="00F44AB7"/>
    <w:rsid w:val="00F57CFA"/>
    <w:rsid w:val="00F828DB"/>
    <w:rsid w:val="00F85739"/>
    <w:rsid w:val="00F85F06"/>
    <w:rsid w:val="00F86035"/>
    <w:rsid w:val="00F9030D"/>
    <w:rsid w:val="00F92C8B"/>
    <w:rsid w:val="00F961B1"/>
    <w:rsid w:val="00FA7056"/>
    <w:rsid w:val="00FA7099"/>
    <w:rsid w:val="00FD2ED2"/>
    <w:rsid w:val="00FD7AAB"/>
    <w:rsid w:val="00FE3D90"/>
    <w:rsid w:val="00FE46B1"/>
    <w:rsid w:val="00FF21DF"/>
    <w:rsid w:val="00FF3A95"/>
    <w:rsid w:val="00FF5B03"/>
    <w:rsid w:val="00FF701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D1D0A"/>
  <w15:docId w15:val="{507F04DC-A296-4ED6-BFE1-09E157B0C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u w:color="000000"/>
      <w:lang w:val="en-US"/>
      <w14:textOutline w14:w="12700" w14:cap="flat" w14:cmpd="sng" w14:algn="ctr">
        <w14:noFill/>
        <w14:prstDash w14:val="solid"/>
        <w14:miter w14:lim="400000"/>
      </w14:textOutline>
    </w:rPr>
  </w:style>
  <w:style w:type="paragraph" w:styleId="ListParagraph">
    <w:name w:val="List Paragraph"/>
    <w:uiPriority w:val="34"/>
    <w:qFormat/>
    <w:pPr>
      <w:spacing w:after="160" w:line="259" w:lineRule="auto"/>
      <w:ind w:left="720"/>
    </w:pPr>
    <w:rPr>
      <w:rFonts w:ascii="Calibri" w:hAnsi="Calibri" w:cs="Arial Unicode MS"/>
      <w:color w:val="000000"/>
      <w:sz w:val="22"/>
      <w:szCs w:val="22"/>
      <w:u w:color="000000"/>
      <w:lang w:val="en-US"/>
    </w:rPr>
  </w:style>
  <w:style w:type="numbering" w:customStyle="1" w:styleId="ImportedStyle1">
    <w:name w:val="Imported Style 1"/>
    <w:pPr>
      <w:numPr>
        <w:numId w:val="1"/>
      </w:numPr>
    </w:pPr>
  </w:style>
  <w:style w:type="character" w:customStyle="1" w:styleId="None">
    <w:name w:val="None"/>
  </w:style>
  <w:style w:type="character" w:customStyle="1" w:styleId="Hyperlink0">
    <w:name w:val="Hyperlink.0"/>
    <w:basedOn w:val="None"/>
    <w:rPr>
      <w:outline w:val="0"/>
      <w:color w:val="000000"/>
      <w:u w:val="single" w:color="000000"/>
      <w:lang w:val="en-US"/>
    </w:rPr>
  </w:style>
  <w:style w:type="character" w:customStyle="1" w:styleId="Hyperlink00">
    <w:name w:val="Hyperlink.0.0"/>
    <w:rPr>
      <w:outline w:val="0"/>
      <w:color w:val="000000"/>
      <w:u w:val="single" w:color="000000"/>
    </w:rPr>
  </w:style>
  <w:style w:type="paragraph" w:customStyle="1" w:styleId="BodyAA">
    <w:name w:val="Body A A"/>
    <w:rPr>
      <w:rFonts w:ascii="Helvetica Neue" w:hAnsi="Helvetica Neue"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
    <w:name w:val="Body"/>
    <w:rPr>
      <w:rFonts w:eastAsia="Times New Roman"/>
      <w:color w:val="000000"/>
      <w:sz w:val="24"/>
      <w:szCs w:val="24"/>
      <w:u w:color="000000"/>
      <w14:textOutline w14:w="0" w14:cap="flat" w14:cmpd="sng" w14:algn="ctr">
        <w14:noFill/>
        <w14:prstDash w14:val="solid"/>
        <w14:bevel/>
      </w14:textOutline>
    </w:rPr>
  </w:style>
  <w:style w:type="paragraph" w:styleId="NoSpacing">
    <w:name w:val="No Spacing"/>
    <w:rPr>
      <w:rFonts w:ascii="Calibri" w:hAnsi="Calibri" w:cs="Arial Unicode MS"/>
      <w:color w:val="000000"/>
      <w:sz w:val="22"/>
      <w:szCs w:val="22"/>
      <w:u w:color="000000"/>
      <w:lang w:val="en-US"/>
    </w:rPr>
  </w:style>
  <w:style w:type="paragraph" w:customStyle="1" w:styleId="xmsonormal">
    <w:name w:val="x_msonormal"/>
    <w:pPr>
      <w:spacing w:before="100" w:after="100"/>
    </w:pPr>
    <w:rPr>
      <w:rFonts w:cs="Arial Unicode MS"/>
      <w:color w:val="000000"/>
      <w:sz w:val="24"/>
      <w:szCs w:val="24"/>
      <w:u w:color="000000"/>
      <w:lang w:val="en-US"/>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314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41A"/>
    <w:rPr>
      <w:rFonts w:ascii="Segoe UI" w:hAnsi="Segoe UI" w:cs="Segoe UI"/>
      <w:sz w:val="18"/>
      <w:szCs w:val="18"/>
      <w:lang w:val="en-US" w:eastAsia="en-US"/>
    </w:rPr>
  </w:style>
  <w:style w:type="character" w:styleId="Emphasis">
    <w:name w:val="Emphasis"/>
    <w:basedOn w:val="DefaultParagraphFont"/>
    <w:uiPriority w:val="20"/>
    <w:qFormat/>
    <w:rsid w:val="00F92C8B"/>
    <w:rPr>
      <w:i/>
      <w:iCs/>
    </w:rPr>
  </w:style>
  <w:style w:type="character" w:styleId="LineNumber">
    <w:name w:val="line number"/>
    <w:basedOn w:val="DefaultParagraphFont"/>
    <w:uiPriority w:val="99"/>
    <w:semiHidden/>
    <w:unhideWhenUsed/>
    <w:rsid w:val="008F43E0"/>
  </w:style>
  <w:style w:type="paragraph" w:styleId="Revision">
    <w:name w:val="Revision"/>
    <w:hidden/>
    <w:uiPriority w:val="99"/>
    <w:semiHidden/>
    <w:rsid w:val="00BE53E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01211B"/>
    <w:rPr>
      <w:b/>
      <w:bCs/>
    </w:rPr>
  </w:style>
  <w:style w:type="character" w:customStyle="1" w:styleId="CommentSubjectChar">
    <w:name w:val="Comment Subject Char"/>
    <w:basedOn w:val="CommentTextChar"/>
    <w:link w:val="CommentSubject"/>
    <w:uiPriority w:val="99"/>
    <w:semiHidden/>
    <w:rsid w:val="0001211B"/>
    <w:rPr>
      <w:b/>
      <w:bCs/>
      <w:lang w:val="en-US" w:eastAsia="en-US"/>
    </w:rPr>
  </w:style>
  <w:style w:type="table" w:styleId="TableGrid">
    <w:name w:val="Table Grid"/>
    <w:basedOn w:val="TableNormal"/>
    <w:uiPriority w:val="39"/>
    <w:rsid w:val="009F6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6EEA"/>
    <w:pPr>
      <w:tabs>
        <w:tab w:val="center" w:pos="4513"/>
        <w:tab w:val="right" w:pos="9026"/>
      </w:tabs>
    </w:pPr>
  </w:style>
  <w:style w:type="character" w:customStyle="1" w:styleId="HeaderChar">
    <w:name w:val="Header Char"/>
    <w:basedOn w:val="DefaultParagraphFont"/>
    <w:link w:val="Header"/>
    <w:uiPriority w:val="99"/>
    <w:rsid w:val="00C76EEA"/>
    <w:rPr>
      <w:sz w:val="24"/>
      <w:szCs w:val="24"/>
      <w:lang w:eastAsia="en-US"/>
    </w:rPr>
  </w:style>
  <w:style w:type="paragraph" w:styleId="Footer">
    <w:name w:val="footer"/>
    <w:basedOn w:val="Normal"/>
    <w:link w:val="FooterChar"/>
    <w:uiPriority w:val="99"/>
    <w:unhideWhenUsed/>
    <w:rsid w:val="00C76EEA"/>
    <w:pPr>
      <w:tabs>
        <w:tab w:val="center" w:pos="4513"/>
        <w:tab w:val="right" w:pos="9026"/>
      </w:tabs>
    </w:pPr>
  </w:style>
  <w:style w:type="character" w:customStyle="1" w:styleId="FooterChar">
    <w:name w:val="Footer Char"/>
    <w:basedOn w:val="DefaultParagraphFont"/>
    <w:link w:val="Footer"/>
    <w:uiPriority w:val="99"/>
    <w:rsid w:val="00C76EE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dc.gov/vaccines/covid-19/clinical-considerations/covid-19-vaccines-us.html" TargetMode="External"/><Relationship Id="rId3" Type="http://schemas.openxmlformats.org/officeDocument/2006/relationships/settings" Target="settings.xml"/><Relationship Id="rId7" Type="http://schemas.openxmlformats.org/officeDocument/2006/relationships/hyperlink" Target="mailto:stephanie.kayode@gstt.nhs.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v.uk/government/publications/immunisation-against-infectious-disease-the-green-book-front-cover-and-contents-page"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4807</Words>
  <Characters>27884</Characters>
  <Application>Microsoft Office Word</Application>
  <DocSecurity>0</DocSecurity>
  <Lines>464</Lines>
  <Paragraphs>161</Paragraphs>
  <ScaleCrop>false</ScaleCrop>
  <HeadingPairs>
    <vt:vector size="2" baseType="variant">
      <vt:variant>
        <vt:lpstr>Title</vt:lpstr>
      </vt:variant>
      <vt:variant>
        <vt:i4>1</vt:i4>
      </vt:variant>
    </vt:vector>
  </HeadingPairs>
  <TitlesOfParts>
    <vt:vector size="1" baseType="lpstr">
      <vt:lpstr/>
    </vt:vector>
  </TitlesOfParts>
  <Company>GSTT</Company>
  <LinksUpToDate>false</LinksUpToDate>
  <CharactersWithSpaces>32530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Kayode Stephanie</dc:creator>
  <cp:lastModifiedBy>Stephanie Kayode</cp:lastModifiedBy>
  <cp:revision>11</cp:revision>
  <dcterms:created xsi:type="dcterms:W3CDTF">2024-01-24T16:58:00Z</dcterms:created>
  <dcterms:modified xsi:type="dcterms:W3CDTF">2024-01-28T09:50:00Z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a4f268e2-52d1-49fe-875c-5759d4cb3325</vt:lpwstr>
  </property>
  <property fmtid="{D5CDD505-2E9C-101B-9397-08002B2CF9AE}" pid="3" name="GrammarlyDocumentId">
    <vt:lpwstr>bd2de8636ca43236729c3dcc639ebd166537d4c36387b5ab90af81aed64b64b6</vt:lpwstr>
  </property>
</Properties>
</file>