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B16002" w14:textId="77777777" w:rsidR="00B675D5" w:rsidRDefault="00B675D5" w:rsidP="00256846">
      <w:pPr>
        <w:jc w:val="center"/>
        <w:rPr>
          <w:rFonts w:cstheme="minorHAnsi"/>
          <w:b/>
          <w:bCs/>
          <w:sz w:val="24"/>
          <w:szCs w:val="24"/>
        </w:rPr>
      </w:pPr>
      <w:bookmarkStart w:id="0" w:name="_Hlk157075921"/>
    </w:p>
    <w:p w14:paraId="1E53E3AE" w14:textId="77777777" w:rsidR="00B675D5" w:rsidRDefault="00B675D5" w:rsidP="00256846">
      <w:pPr>
        <w:jc w:val="center"/>
        <w:rPr>
          <w:rFonts w:cstheme="minorHAnsi"/>
          <w:b/>
          <w:bCs/>
          <w:sz w:val="24"/>
          <w:szCs w:val="24"/>
        </w:rPr>
      </w:pPr>
    </w:p>
    <w:p w14:paraId="547D0176" w14:textId="77777777" w:rsidR="00B675D5" w:rsidRDefault="00B675D5" w:rsidP="00256846">
      <w:pPr>
        <w:jc w:val="center"/>
        <w:rPr>
          <w:rFonts w:cstheme="minorHAnsi"/>
          <w:b/>
          <w:bCs/>
          <w:sz w:val="24"/>
          <w:szCs w:val="24"/>
        </w:rPr>
      </w:pPr>
    </w:p>
    <w:p w14:paraId="603D554A" w14:textId="77777777" w:rsidR="00B675D5" w:rsidRDefault="00B675D5" w:rsidP="00256846">
      <w:pPr>
        <w:jc w:val="center"/>
        <w:rPr>
          <w:rFonts w:cstheme="minorHAnsi"/>
          <w:b/>
          <w:bCs/>
          <w:sz w:val="24"/>
          <w:szCs w:val="24"/>
        </w:rPr>
      </w:pPr>
    </w:p>
    <w:p w14:paraId="464076E7" w14:textId="77777777" w:rsidR="00B675D5" w:rsidRDefault="00B675D5" w:rsidP="00256846">
      <w:pPr>
        <w:jc w:val="center"/>
        <w:rPr>
          <w:rFonts w:cstheme="minorHAnsi"/>
          <w:b/>
          <w:bCs/>
          <w:sz w:val="24"/>
          <w:szCs w:val="24"/>
        </w:rPr>
      </w:pPr>
    </w:p>
    <w:p w14:paraId="4E79BFEB" w14:textId="77777777" w:rsidR="00B675D5" w:rsidRDefault="00B675D5" w:rsidP="00256846">
      <w:pPr>
        <w:jc w:val="center"/>
        <w:rPr>
          <w:rFonts w:cstheme="minorHAnsi"/>
          <w:b/>
          <w:bCs/>
          <w:sz w:val="24"/>
          <w:szCs w:val="24"/>
        </w:rPr>
      </w:pPr>
    </w:p>
    <w:p w14:paraId="1FF59E6B" w14:textId="77777777" w:rsidR="00B675D5" w:rsidRDefault="00B675D5" w:rsidP="00256846">
      <w:pPr>
        <w:jc w:val="center"/>
        <w:rPr>
          <w:rFonts w:cstheme="minorHAnsi"/>
          <w:b/>
          <w:bCs/>
          <w:sz w:val="24"/>
          <w:szCs w:val="24"/>
        </w:rPr>
      </w:pPr>
    </w:p>
    <w:p w14:paraId="0B97B7FA" w14:textId="77777777" w:rsidR="00B675D5" w:rsidRDefault="00B675D5" w:rsidP="00256846">
      <w:pPr>
        <w:jc w:val="center"/>
        <w:rPr>
          <w:rFonts w:cstheme="minorHAnsi"/>
          <w:b/>
          <w:bCs/>
          <w:sz w:val="24"/>
          <w:szCs w:val="24"/>
        </w:rPr>
      </w:pPr>
    </w:p>
    <w:p w14:paraId="1437413E" w14:textId="77777777" w:rsidR="00B675D5" w:rsidRDefault="00B675D5" w:rsidP="00256846">
      <w:pPr>
        <w:jc w:val="center"/>
        <w:rPr>
          <w:rFonts w:cstheme="minorHAnsi"/>
          <w:b/>
          <w:bCs/>
          <w:sz w:val="24"/>
          <w:szCs w:val="24"/>
        </w:rPr>
      </w:pPr>
    </w:p>
    <w:p w14:paraId="0AA4E4E6" w14:textId="09F9172E" w:rsidR="00765ACD" w:rsidRPr="00B675D5" w:rsidRDefault="00765ACD" w:rsidP="00256846">
      <w:pPr>
        <w:jc w:val="center"/>
        <w:rPr>
          <w:rFonts w:cstheme="minorHAnsi"/>
          <w:b/>
          <w:bCs/>
          <w:sz w:val="40"/>
          <w:szCs w:val="40"/>
        </w:rPr>
      </w:pPr>
      <w:r w:rsidRPr="00B675D5">
        <w:rPr>
          <w:rFonts w:cstheme="minorHAnsi"/>
          <w:b/>
          <w:bCs/>
          <w:sz w:val="40"/>
          <w:szCs w:val="40"/>
        </w:rPr>
        <w:t xml:space="preserve">Lindane and Cetrimide </w:t>
      </w:r>
      <w:r w:rsidR="00B675D5">
        <w:rPr>
          <w:rFonts w:cstheme="minorHAnsi"/>
          <w:b/>
          <w:bCs/>
          <w:sz w:val="40"/>
          <w:szCs w:val="40"/>
        </w:rPr>
        <w:t>l</w:t>
      </w:r>
      <w:r w:rsidRPr="00B675D5">
        <w:rPr>
          <w:rFonts w:cstheme="minorHAnsi"/>
          <w:b/>
          <w:bCs/>
          <w:sz w:val="40"/>
          <w:szCs w:val="40"/>
        </w:rPr>
        <w:t>otion</w:t>
      </w:r>
      <w:r w:rsidR="0059166C" w:rsidRPr="00B675D5">
        <w:rPr>
          <w:rFonts w:cstheme="minorHAnsi"/>
          <w:b/>
          <w:bCs/>
          <w:sz w:val="40"/>
          <w:szCs w:val="40"/>
        </w:rPr>
        <w:t xml:space="preserve"> </w:t>
      </w:r>
      <w:r w:rsidR="00B675D5">
        <w:rPr>
          <w:rFonts w:cstheme="minorHAnsi"/>
          <w:b/>
          <w:bCs/>
          <w:sz w:val="40"/>
          <w:szCs w:val="40"/>
        </w:rPr>
        <w:t>p</w:t>
      </w:r>
      <w:r w:rsidRPr="00B675D5">
        <w:rPr>
          <w:rFonts w:cstheme="minorHAnsi"/>
          <w:b/>
          <w:bCs/>
          <w:sz w:val="40"/>
          <w:szCs w:val="40"/>
        </w:rPr>
        <w:t xml:space="preserve">oisoning in an </w:t>
      </w:r>
      <w:r w:rsidR="00B675D5">
        <w:rPr>
          <w:rFonts w:cstheme="minorHAnsi"/>
          <w:b/>
          <w:bCs/>
          <w:sz w:val="40"/>
          <w:szCs w:val="40"/>
        </w:rPr>
        <w:t>a</w:t>
      </w:r>
      <w:r w:rsidRPr="00B675D5">
        <w:rPr>
          <w:rFonts w:cstheme="minorHAnsi"/>
          <w:b/>
          <w:bCs/>
          <w:sz w:val="40"/>
          <w:szCs w:val="40"/>
        </w:rPr>
        <w:t xml:space="preserve">dult </w:t>
      </w:r>
      <w:r w:rsidR="00B675D5">
        <w:rPr>
          <w:rFonts w:cstheme="minorHAnsi"/>
          <w:b/>
          <w:bCs/>
          <w:sz w:val="40"/>
          <w:szCs w:val="40"/>
        </w:rPr>
        <w:t>p</w:t>
      </w:r>
      <w:r w:rsidRPr="00B675D5">
        <w:rPr>
          <w:rFonts w:cstheme="minorHAnsi"/>
          <w:b/>
          <w:bCs/>
          <w:sz w:val="40"/>
          <w:szCs w:val="40"/>
        </w:rPr>
        <w:t>atient</w:t>
      </w:r>
      <w:r w:rsidR="00783A02" w:rsidRPr="00B675D5">
        <w:rPr>
          <w:rFonts w:cstheme="minorHAnsi"/>
          <w:b/>
          <w:bCs/>
          <w:sz w:val="40"/>
          <w:szCs w:val="40"/>
        </w:rPr>
        <w:t>: A case report on an uncommon ingestion</w:t>
      </w:r>
    </w:p>
    <w:bookmarkEnd w:id="0"/>
    <w:p w14:paraId="2DD6B92B" w14:textId="2D231D8D" w:rsidR="00765ACD" w:rsidRDefault="0043360E" w:rsidP="0087667D">
      <w:pPr>
        <w:ind w:left="720"/>
        <w:jc w:val="center"/>
        <w:rPr>
          <w:rFonts w:cstheme="minorHAnsi"/>
          <w:sz w:val="28"/>
          <w:szCs w:val="28"/>
          <w:vertAlign w:val="superscript"/>
        </w:rPr>
      </w:pPr>
      <w:r w:rsidRPr="00B675D5">
        <w:rPr>
          <w:rFonts w:cstheme="minorHAnsi"/>
          <w:sz w:val="28"/>
          <w:szCs w:val="28"/>
        </w:rPr>
        <w:t>Pragya Rai</w:t>
      </w:r>
      <w:r w:rsidRPr="00B675D5">
        <w:rPr>
          <w:rFonts w:cstheme="minorHAnsi"/>
          <w:sz w:val="28"/>
          <w:szCs w:val="28"/>
          <w:vertAlign w:val="superscript"/>
        </w:rPr>
        <w:t>1</w:t>
      </w:r>
      <w:r w:rsidR="00783A02" w:rsidRPr="00B675D5">
        <w:rPr>
          <w:rFonts w:cstheme="minorHAnsi"/>
          <w:sz w:val="28"/>
          <w:szCs w:val="28"/>
          <w:vertAlign w:val="superscript"/>
        </w:rPr>
        <w:t>,</w:t>
      </w:r>
      <w:r w:rsidR="0087667D" w:rsidRPr="00B675D5">
        <w:rPr>
          <w:rFonts w:cstheme="minorHAnsi"/>
          <w:sz w:val="28"/>
          <w:szCs w:val="28"/>
          <w:vertAlign w:val="superscript"/>
        </w:rPr>
        <w:t>2, *</w:t>
      </w:r>
      <w:r w:rsidRPr="00B675D5">
        <w:rPr>
          <w:rFonts w:cstheme="minorHAnsi"/>
          <w:sz w:val="28"/>
          <w:szCs w:val="28"/>
        </w:rPr>
        <w:t xml:space="preserve">, </w:t>
      </w:r>
      <w:proofErr w:type="spellStart"/>
      <w:r w:rsidRPr="00B675D5">
        <w:rPr>
          <w:rFonts w:cstheme="minorHAnsi"/>
          <w:sz w:val="28"/>
          <w:szCs w:val="28"/>
        </w:rPr>
        <w:t>Shrijan</w:t>
      </w:r>
      <w:proofErr w:type="spellEnd"/>
      <w:r w:rsidRPr="00B675D5">
        <w:rPr>
          <w:rFonts w:cstheme="minorHAnsi"/>
          <w:sz w:val="28"/>
          <w:szCs w:val="28"/>
        </w:rPr>
        <w:t xml:space="preserve"> Shrestha</w:t>
      </w:r>
      <w:r w:rsidRPr="00B675D5">
        <w:rPr>
          <w:rFonts w:cstheme="minorHAnsi"/>
          <w:sz w:val="28"/>
          <w:szCs w:val="28"/>
          <w:vertAlign w:val="superscript"/>
        </w:rPr>
        <w:t>1</w:t>
      </w:r>
      <w:r w:rsidR="00783A02" w:rsidRPr="00B675D5">
        <w:rPr>
          <w:rFonts w:cstheme="minorHAnsi"/>
          <w:sz w:val="28"/>
          <w:szCs w:val="28"/>
          <w:vertAlign w:val="superscript"/>
        </w:rPr>
        <w:t>,2</w:t>
      </w:r>
      <w:r w:rsidRPr="00B675D5">
        <w:rPr>
          <w:rFonts w:cstheme="minorHAnsi"/>
          <w:sz w:val="28"/>
          <w:szCs w:val="28"/>
        </w:rPr>
        <w:t>, Suman Rijal</w:t>
      </w:r>
      <w:r w:rsidR="00246B73" w:rsidRPr="00B675D5">
        <w:rPr>
          <w:rFonts w:cstheme="minorHAnsi"/>
          <w:sz w:val="28"/>
          <w:szCs w:val="28"/>
          <w:vertAlign w:val="superscript"/>
        </w:rPr>
        <w:t>1</w:t>
      </w:r>
      <w:r w:rsidR="00783A02" w:rsidRPr="00B675D5">
        <w:rPr>
          <w:rFonts w:cstheme="minorHAnsi"/>
          <w:sz w:val="28"/>
          <w:szCs w:val="28"/>
          <w:vertAlign w:val="superscript"/>
        </w:rPr>
        <w:t>,2</w:t>
      </w:r>
      <w:r w:rsidRPr="00B675D5">
        <w:rPr>
          <w:rFonts w:cstheme="minorHAnsi"/>
          <w:sz w:val="28"/>
          <w:szCs w:val="28"/>
        </w:rPr>
        <w:t xml:space="preserve">, </w:t>
      </w:r>
      <w:r w:rsidR="001D76A9" w:rsidRPr="00B675D5">
        <w:rPr>
          <w:rFonts w:cstheme="minorHAnsi"/>
          <w:sz w:val="28"/>
          <w:szCs w:val="28"/>
        </w:rPr>
        <w:t>Rakesh Singh</w:t>
      </w:r>
      <w:r w:rsidR="00783A02" w:rsidRPr="00B675D5">
        <w:rPr>
          <w:rFonts w:cstheme="minorHAnsi"/>
          <w:sz w:val="28"/>
          <w:szCs w:val="28"/>
          <w:vertAlign w:val="superscript"/>
        </w:rPr>
        <w:t>3,4</w:t>
      </w:r>
    </w:p>
    <w:p w14:paraId="22D7799E" w14:textId="77777777" w:rsidR="001470EF" w:rsidRPr="00B675D5" w:rsidRDefault="001470EF" w:rsidP="0087667D">
      <w:pPr>
        <w:ind w:left="720"/>
        <w:jc w:val="center"/>
        <w:rPr>
          <w:rFonts w:cstheme="minorHAnsi"/>
          <w:sz w:val="28"/>
          <w:szCs w:val="28"/>
          <w:vertAlign w:val="superscript"/>
        </w:rPr>
      </w:pPr>
    </w:p>
    <w:p w14:paraId="0B6FC550" w14:textId="00DF5C9D" w:rsidR="00783A02" w:rsidRPr="00B675D5" w:rsidRDefault="00783A02" w:rsidP="0087667D">
      <w:pPr>
        <w:pStyle w:val="ListParagraph"/>
        <w:numPr>
          <w:ilvl w:val="0"/>
          <w:numId w:val="7"/>
        </w:numPr>
        <w:jc w:val="both"/>
        <w:rPr>
          <w:rFonts w:cstheme="minorHAnsi"/>
          <w:sz w:val="28"/>
          <w:szCs w:val="28"/>
          <w:vertAlign w:val="superscript"/>
        </w:rPr>
      </w:pPr>
      <w:r w:rsidRPr="00B675D5">
        <w:rPr>
          <w:rFonts w:cstheme="minorHAnsi"/>
          <w:sz w:val="28"/>
          <w:szCs w:val="28"/>
          <w:vertAlign w:val="superscript"/>
        </w:rPr>
        <w:t>School of Medicine, Patan Academy of Health Sciences, Lalitpur, Nepal</w:t>
      </w:r>
    </w:p>
    <w:p w14:paraId="466730B2" w14:textId="0E7CB4A3" w:rsidR="00783A02" w:rsidRPr="00B675D5" w:rsidRDefault="00783A02" w:rsidP="0087667D">
      <w:pPr>
        <w:pStyle w:val="ListParagraph"/>
        <w:numPr>
          <w:ilvl w:val="0"/>
          <w:numId w:val="7"/>
        </w:numPr>
        <w:jc w:val="both"/>
        <w:rPr>
          <w:rFonts w:cstheme="minorHAnsi"/>
          <w:sz w:val="28"/>
          <w:szCs w:val="28"/>
          <w:vertAlign w:val="superscript"/>
        </w:rPr>
      </w:pPr>
      <w:r w:rsidRPr="00B675D5">
        <w:rPr>
          <w:rFonts w:cstheme="minorHAnsi"/>
          <w:sz w:val="28"/>
          <w:szCs w:val="28"/>
          <w:vertAlign w:val="superscript"/>
        </w:rPr>
        <w:t xml:space="preserve">Department of intensive care, National Hospital and cancer research </w:t>
      </w:r>
      <w:r w:rsidR="0087667D" w:rsidRPr="00B675D5">
        <w:rPr>
          <w:rFonts w:cstheme="minorHAnsi"/>
          <w:sz w:val="28"/>
          <w:szCs w:val="28"/>
          <w:vertAlign w:val="superscript"/>
        </w:rPr>
        <w:t>centre</w:t>
      </w:r>
      <w:r w:rsidRPr="00B675D5">
        <w:rPr>
          <w:rFonts w:cstheme="minorHAnsi"/>
          <w:sz w:val="28"/>
          <w:szCs w:val="28"/>
          <w:vertAlign w:val="superscript"/>
        </w:rPr>
        <w:t xml:space="preserve">, </w:t>
      </w:r>
      <w:r w:rsidR="0087667D" w:rsidRPr="00B675D5">
        <w:rPr>
          <w:rFonts w:cstheme="minorHAnsi"/>
          <w:sz w:val="28"/>
          <w:szCs w:val="28"/>
          <w:vertAlign w:val="superscript"/>
        </w:rPr>
        <w:t>Lalitpur, Nepal</w:t>
      </w:r>
    </w:p>
    <w:p w14:paraId="7F8E34C7" w14:textId="77777777" w:rsidR="00783A02" w:rsidRPr="00B675D5" w:rsidRDefault="00783A02" w:rsidP="0087667D">
      <w:pPr>
        <w:pStyle w:val="ListParagraph"/>
        <w:numPr>
          <w:ilvl w:val="0"/>
          <w:numId w:val="7"/>
        </w:numPr>
        <w:jc w:val="both"/>
        <w:rPr>
          <w:rFonts w:cstheme="minorHAnsi"/>
          <w:sz w:val="28"/>
          <w:szCs w:val="28"/>
          <w:vertAlign w:val="superscript"/>
        </w:rPr>
      </w:pPr>
      <w:r w:rsidRPr="00B675D5">
        <w:rPr>
          <w:rFonts w:cstheme="minorHAnsi"/>
          <w:sz w:val="28"/>
          <w:szCs w:val="28"/>
          <w:vertAlign w:val="superscript"/>
        </w:rPr>
        <w:t>Department of Research, Transcultural Psychosocial Organization Nepal, Kathmandu, Nepal</w:t>
      </w:r>
    </w:p>
    <w:p w14:paraId="43611459" w14:textId="77777777" w:rsidR="00783A02" w:rsidRPr="00B675D5" w:rsidRDefault="00783A02" w:rsidP="0087667D">
      <w:pPr>
        <w:pStyle w:val="ListParagraph"/>
        <w:numPr>
          <w:ilvl w:val="0"/>
          <w:numId w:val="7"/>
        </w:numPr>
        <w:jc w:val="both"/>
        <w:rPr>
          <w:rFonts w:cstheme="minorHAnsi"/>
          <w:sz w:val="28"/>
          <w:szCs w:val="28"/>
          <w:vertAlign w:val="superscript"/>
        </w:rPr>
      </w:pPr>
      <w:r w:rsidRPr="00B675D5">
        <w:rPr>
          <w:rFonts w:cstheme="minorHAnsi"/>
          <w:sz w:val="28"/>
          <w:szCs w:val="28"/>
          <w:vertAlign w:val="superscript"/>
        </w:rPr>
        <w:t>Centre for Global Mental Health, Institute of Psychiatry, Psychology and Neuroscience, King’s College London, London, United Kingdom</w:t>
      </w:r>
    </w:p>
    <w:p w14:paraId="41F77078" w14:textId="0EDAE799" w:rsidR="0043360E" w:rsidRPr="00B675D5" w:rsidRDefault="00783A02" w:rsidP="00153009">
      <w:pPr>
        <w:pStyle w:val="ListParagraph"/>
        <w:numPr>
          <w:ilvl w:val="0"/>
          <w:numId w:val="8"/>
        </w:numPr>
        <w:jc w:val="both"/>
        <w:rPr>
          <w:rFonts w:cstheme="minorHAnsi"/>
          <w:sz w:val="28"/>
          <w:szCs w:val="28"/>
          <w:vertAlign w:val="superscript"/>
        </w:rPr>
      </w:pPr>
      <w:r w:rsidRPr="00B675D5">
        <w:rPr>
          <w:rFonts w:cstheme="minorHAnsi"/>
          <w:sz w:val="28"/>
          <w:szCs w:val="28"/>
          <w:vertAlign w:val="superscript"/>
        </w:rPr>
        <w:t xml:space="preserve">Correspondence: Dr Pragya Rai, School of Medicine, Patan Academy of Health Sciences, Lalitpur, Nepal, Email: </w:t>
      </w:r>
      <w:hyperlink r:id="rId6" w:history="1">
        <w:r w:rsidR="00153009" w:rsidRPr="00B675D5">
          <w:rPr>
            <w:rStyle w:val="Hyperlink"/>
            <w:rFonts w:cstheme="minorHAnsi"/>
            <w:sz w:val="28"/>
            <w:szCs w:val="28"/>
            <w:vertAlign w:val="superscript"/>
          </w:rPr>
          <w:t>pragyarainov07@gmail.com</w:t>
        </w:r>
      </w:hyperlink>
    </w:p>
    <w:p w14:paraId="4149DF5C" w14:textId="77777777" w:rsidR="00153009" w:rsidRPr="00B675D5" w:rsidRDefault="00153009" w:rsidP="00153009">
      <w:pPr>
        <w:pStyle w:val="ListParagraph"/>
        <w:jc w:val="both"/>
        <w:rPr>
          <w:rFonts w:cstheme="minorHAnsi"/>
          <w:sz w:val="24"/>
          <w:szCs w:val="24"/>
          <w:vertAlign w:val="superscript"/>
        </w:rPr>
      </w:pPr>
    </w:p>
    <w:p w14:paraId="0AB0CEB7" w14:textId="77777777" w:rsidR="00B675D5" w:rsidRDefault="00B675D5" w:rsidP="00153009">
      <w:pPr>
        <w:pStyle w:val="ListParagraph"/>
        <w:jc w:val="both"/>
        <w:rPr>
          <w:rFonts w:cstheme="minorHAnsi"/>
          <w:sz w:val="18"/>
          <w:szCs w:val="18"/>
          <w:vertAlign w:val="superscript"/>
        </w:rPr>
      </w:pPr>
    </w:p>
    <w:p w14:paraId="2518B2B5" w14:textId="77777777" w:rsidR="00B675D5" w:rsidRDefault="00B675D5" w:rsidP="00153009">
      <w:pPr>
        <w:pStyle w:val="ListParagraph"/>
        <w:jc w:val="both"/>
        <w:rPr>
          <w:rFonts w:cstheme="minorHAnsi"/>
          <w:sz w:val="18"/>
          <w:szCs w:val="18"/>
          <w:vertAlign w:val="superscript"/>
        </w:rPr>
      </w:pPr>
    </w:p>
    <w:p w14:paraId="1086DA3D" w14:textId="77777777" w:rsidR="00B675D5" w:rsidRDefault="00B675D5" w:rsidP="00153009">
      <w:pPr>
        <w:pStyle w:val="ListParagraph"/>
        <w:jc w:val="both"/>
        <w:rPr>
          <w:rFonts w:cstheme="minorHAnsi"/>
          <w:sz w:val="18"/>
          <w:szCs w:val="18"/>
          <w:vertAlign w:val="superscript"/>
        </w:rPr>
      </w:pPr>
    </w:p>
    <w:p w14:paraId="622A1D59" w14:textId="77777777" w:rsidR="00B675D5" w:rsidRDefault="00B675D5" w:rsidP="00153009">
      <w:pPr>
        <w:pStyle w:val="ListParagraph"/>
        <w:jc w:val="both"/>
        <w:rPr>
          <w:rFonts w:cstheme="minorHAnsi"/>
          <w:sz w:val="18"/>
          <w:szCs w:val="18"/>
          <w:vertAlign w:val="superscript"/>
        </w:rPr>
      </w:pPr>
    </w:p>
    <w:p w14:paraId="240E2036" w14:textId="77777777" w:rsidR="00B675D5" w:rsidRDefault="00B675D5" w:rsidP="00153009">
      <w:pPr>
        <w:pStyle w:val="ListParagraph"/>
        <w:jc w:val="both"/>
        <w:rPr>
          <w:rFonts w:cstheme="minorHAnsi"/>
          <w:sz w:val="18"/>
          <w:szCs w:val="18"/>
          <w:vertAlign w:val="superscript"/>
        </w:rPr>
      </w:pPr>
    </w:p>
    <w:p w14:paraId="260F7707" w14:textId="77777777" w:rsidR="00B675D5" w:rsidRDefault="00B675D5" w:rsidP="00153009">
      <w:pPr>
        <w:pStyle w:val="ListParagraph"/>
        <w:jc w:val="both"/>
        <w:rPr>
          <w:rFonts w:cstheme="minorHAnsi"/>
          <w:sz w:val="18"/>
          <w:szCs w:val="18"/>
          <w:vertAlign w:val="superscript"/>
        </w:rPr>
      </w:pPr>
    </w:p>
    <w:p w14:paraId="13C48FDD" w14:textId="77777777" w:rsidR="00B675D5" w:rsidRDefault="00B675D5" w:rsidP="00153009">
      <w:pPr>
        <w:pStyle w:val="ListParagraph"/>
        <w:jc w:val="both"/>
        <w:rPr>
          <w:rFonts w:cstheme="minorHAnsi"/>
          <w:sz w:val="18"/>
          <w:szCs w:val="18"/>
          <w:vertAlign w:val="superscript"/>
        </w:rPr>
      </w:pPr>
    </w:p>
    <w:p w14:paraId="1F2BD6F1" w14:textId="77777777" w:rsidR="00B675D5" w:rsidRDefault="00B675D5" w:rsidP="00153009">
      <w:pPr>
        <w:pStyle w:val="ListParagraph"/>
        <w:jc w:val="both"/>
        <w:rPr>
          <w:rFonts w:cstheme="minorHAnsi"/>
          <w:sz w:val="18"/>
          <w:szCs w:val="18"/>
          <w:vertAlign w:val="superscript"/>
        </w:rPr>
      </w:pPr>
    </w:p>
    <w:p w14:paraId="3BE54975" w14:textId="77777777" w:rsidR="00B675D5" w:rsidRDefault="00B675D5" w:rsidP="00153009">
      <w:pPr>
        <w:pStyle w:val="ListParagraph"/>
        <w:jc w:val="both"/>
        <w:rPr>
          <w:rFonts w:cstheme="minorHAnsi"/>
          <w:sz w:val="18"/>
          <w:szCs w:val="18"/>
          <w:vertAlign w:val="superscript"/>
        </w:rPr>
      </w:pPr>
    </w:p>
    <w:p w14:paraId="3A000AA5" w14:textId="77777777" w:rsidR="00B675D5" w:rsidRDefault="00B675D5" w:rsidP="00153009">
      <w:pPr>
        <w:pStyle w:val="ListParagraph"/>
        <w:jc w:val="both"/>
        <w:rPr>
          <w:rFonts w:cstheme="minorHAnsi"/>
          <w:sz w:val="18"/>
          <w:szCs w:val="18"/>
          <w:vertAlign w:val="superscript"/>
        </w:rPr>
      </w:pPr>
    </w:p>
    <w:p w14:paraId="1288D148" w14:textId="77777777" w:rsidR="00B675D5" w:rsidRDefault="00B675D5" w:rsidP="00153009">
      <w:pPr>
        <w:pStyle w:val="ListParagraph"/>
        <w:jc w:val="both"/>
        <w:rPr>
          <w:rFonts w:cstheme="minorHAnsi"/>
          <w:sz w:val="18"/>
          <w:szCs w:val="18"/>
          <w:vertAlign w:val="superscript"/>
        </w:rPr>
      </w:pPr>
    </w:p>
    <w:p w14:paraId="6D8D1F2D" w14:textId="77777777" w:rsidR="00B675D5" w:rsidRDefault="00B675D5" w:rsidP="00153009">
      <w:pPr>
        <w:pStyle w:val="ListParagraph"/>
        <w:jc w:val="both"/>
        <w:rPr>
          <w:rFonts w:cstheme="minorHAnsi"/>
          <w:sz w:val="18"/>
          <w:szCs w:val="18"/>
          <w:vertAlign w:val="superscript"/>
        </w:rPr>
      </w:pPr>
    </w:p>
    <w:p w14:paraId="335D998A" w14:textId="77777777" w:rsidR="00B675D5" w:rsidRDefault="00B675D5" w:rsidP="00153009">
      <w:pPr>
        <w:pStyle w:val="ListParagraph"/>
        <w:jc w:val="both"/>
        <w:rPr>
          <w:rFonts w:cstheme="minorHAnsi"/>
          <w:sz w:val="18"/>
          <w:szCs w:val="18"/>
          <w:vertAlign w:val="superscript"/>
        </w:rPr>
      </w:pPr>
    </w:p>
    <w:p w14:paraId="068BA63E" w14:textId="77777777" w:rsidR="00B675D5" w:rsidRDefault="00B675D5" w:rsidP="00153009">
      <w:pPr>
        <w:pStyle w:val="ListParagraph"/>
        <w:jc w:val="both"/>
        <w:rPr>
          <w:rFonts w:cstheme="minorHAnsi"/>
          <w:sz w:val="18"/>
          <w:szCs w:val="18"/>
          <w:vertAlign w:val="superscript"/>
        </w:rPr>
      </w:pPr>
    </w:p>
    <w:p w14:paraId="596F2990" w14:textId="77777777" w:rsidR="00B675D5" w:rsidRDefault="00B675D5" w:rsidP="00153009">
      <w:pPr>
        <w:pStyle w:val="ListParagraph"/>
        <w:jc w:val="both"/>
        <w:rPr>
          <w:rFonts w:cstheme="minorHAnsi"/>
          <w:sz w:val="18"/>
          <w:szCs w:val="18"/>
          <w:vertAlign w:val="superscript"/>
        </w:rPr>
      </w:pPr>
    </w:p>
    <w:p w14:paraId="13F1A682" w14:textId="77777777" w:rsidR="001470EF" w:rsidRDefault="001470EF" w:rsidP="00153009">
      <w:pPr>
        <w:pStyle w:val="ListParagraph"/>
        <w:jc w:val="both"/>
        <w:rPr>
          <w:rFonts w:cstheme="minorHAnsi"/>
          <w:sz w:val="18"/>
          <w:szCs w:val="18"/>
          <w:vertAlign w:val="superscript"/>
        </w:rPr>
      </w:pPr>
    </w:p>
    <w:p w14:paraId="774BE49B" w14:textId="77777777" w:rsidR="00B675D5" w:rsidRDefault="00B675D5" w:rsidP="00153009">
      <w:pPr>
        <w:pStyle w:val="ListParagraph"/>
        <w:jc w:val="both"/>
        <w:rPr>
          <w:rFonts w:cstheme="minorHAnsi"/>
          <w:sz w:val="18"/>
          <w:szCs w:val="18"/>
          <w:vertAlign w:val="superscript"/>
        </w:rPr>
      </w:pPr>
    </w:p>
    <w:p w14:paraId="273F78C9" w14:textId="77777777" w:rsidR="00B675D5" w:rsidRPr="00153009" w:rsidRDefault="00B675D5" w:rsidP="00153009">
      <w:pPr>
        <w:pStyle w:val="ListParagraph"/>
        <w:jc w:val="both"/>
        <w:rPr>
          <w:rFonts w:cstheme="minorHAnsi"/>
          <w:sz w:val="18"/>
          <w:szCs w:val="18"/>
          <w:vertAlign w:val="superscript"/>
        </w:rPr>
      </w:pPr>
    </w:p>
    <w:p w14:paraId="218A712D" w14:textId="36C1AE67" w:rsidR="00765ACD" w:rsidRPr="009A0AC6" w:rsidRDefault="00765ACD" w:rsidP="009A0AC6">
      <w:pPr>
        <w:pStyle w:val="ListParagraph"/>
        <w:numPr>
          <w:ilvl w:val="0"/>
          <w:numId w:val="1"/>
        </w:numPr>
        <w:jc w:val="both"/>
        <w:rPr>
          <w:rFonts w:cstheme="minorHAnsi"/>
          <w:sz w:val="24"/>
          <w:szCs w:val="24"/>
        </w:rPr>
      </w:pPr>
      <w:r w:rsidRPr="009A0AC6">
        <w:rPr>
          <w:rFonts w:cstheme="minorHAnsi"/>
          <w:sz w:val="24"/>
          <w:szCs w:val="24"/>
        </w:rPr>
        <w:lastRenderedPageBreak/>
        <w:t>Introduction</w:t>
      </w:r>
    </w:p>
    <w:p w14:paraId="5CF79C93" w14:textId="3FC3D7C5" w:rsidR="00D528E4" w:rsidRPr="009A0AC6" w:rsidRDefault="001F0B8A" w:rsidP="009A0AC6">
      <w:pPr>
        <w:pStyle w:val="ListParagraph"/>
        <w:jc w:val="both"/>
        <w:rPr>
          <w:rFonts w:cstheme="minorHAnsi"/>
          <w:sz w:val="24"/>
          <w:szCs w:val="24"/>
        </w:rPr>
      </w:pPr>
      <w:r w:rsidRPr="009A0AC6">
        <w:rPr>
          <w:rFonts w:cstheme="minorHAnsi"/>
          <w:sz w:val="24"/>
          <w:szCs w:val="24"/>
        </w:rPr>
        <w:t>Gamma benzene hexachloride, commonly referred to as Lindane, emerged in the 1950s as an organochloride pesticide initially intended for topical use as a scabicide among humans.</w:t>
      </w:r>
      <w:r w:rsidR="0087667D" w:rsidRPr="009A0AC6">
        <w:rPr>
          <w:rFonts w:cstheme="minorHAnsi"/>
          <w:sz w:val="24"/>
          <w:szCs w:val="24"/>
        </w:rPr>
        <w:t>(1)</w:t>
      </w:r>
      <w:r w:rsidRPr="009A0AC6">
        <w:rPr>
          <w:rFonts w:cstheme="minorHAnsi"/>
          <w:sz w:val="24"/>
          <w:szCs w:val="24"/>
        </w:rPr>
        <w:t xml:space="preserve"> Its affordability and effectiveness led to its rapid adoption as a primary treatment for scabies and head lice.</w:t>
      </w:r>
      <w:r w:rsidR="0087667D" w:rsidRPr="009A0AC6">
        <w:rPr>
          <w:rFonts w:cstheme="minorHAnsi"/>
          <w:sz w:val="24"/>
          <w:szCs w:val="24"/>
        </w:rPr>
        <w:t>(2)</w:t>
      </w:r>
      <w:r w:rsidRPr="009A0AC6">
        <w:rPr>
          <w:rFonts w:cstheme="minorHAnsi"/>
          <w:sz w:val="24"/>
          <w:szCs w:val="24"/>
        </w:rPr>
        <w:t xml:space="preserve"> However, concerns about its neurotoxic effects arose after prolonged and widespread usage.</w:t>
      </w:r>
      <w:r w:rsidR="0087667D" w:rsidRPr="009A0AC6">
        <w:rPr>
          <w:rFonts w:cstheme="minorHAnsi"/>
          <w:sz w:val="24"/>
          <w:szCs w:val="24"/>
        </w:rPr>
        <w:t>(1-2)</w:t>
      </w:r>
      <w:r w:rsidRPr="009A0AC6">
        <w:rPr>
          <w:rFonts w:cstheme="minorHAnsi"/>
          <w:sz w:val="24"/>
          <w:szCs w:val="24"/>
        </w:rPr>
        <w:t xml:space="preserve"> The severity of lindane poisoning symptoms is contingent on the absorbed dose, with reported oral </w:t>
      </w:r>
      <w:r w:rsidR="00D93998" w:rsidRPr="009A0AC6">
        <w:rPr>
          <w:rFonts w:cstheme="minorHAnsi"/>
          <w:sz w:val="24"/>
          <w:szCs w:val="24"/>
        </w:rPr>
        <w:t>lethal dose (</w:t>
      </w:r>
      <w:r w:rsidRPr="009A0AC6">
        <w:rPr>
          <w:rFonts w:cstheme="minorHAnsi"/>
          <w:sz w:val="24"/>
          <w:szCs w:val="24"/>
        </w:rPr>
        <w:t>LD50</w:t>
      </w:r>
      <w:r w:rsidR="00D93998" w:rsidRPr="009A0AC6">
        <w:rPr>
          <w:rFonts w:cstheme="minorHAnsi"/>
          <w:sz w:val="24"/>
          <w:szCs w:val="24"/>
        </w:rPr>
        <w:t>)</w:t>
      </w:r>
      <w:r w:rsidRPr="009A0AC6">
        <w:rPr>
          <w:rFonts w:cstheme="minorHAnsi"/>
          <w:sz w:val="24"/>
          <w:szCs w:val="24"/>
        </w:rPr>
        <w:t xml:space="preserve"> in rats being 60 mg/kg body weight and no </w:t>
      </w:r>
      <w:r w:rsidR="0087667D" w:rsidRPr="009A0AC6">
        <w:rPr>
          <w:rFonts w:cstheme="minorHAnsi"/>
          <w:sz w:val="24"/>
          <w:szCs w:val="24"/>
        </w:rPr>
        <w:t>clear evident</w:t>
      </w:r>
      <w:r w:rsidRPr="009A0AC6">
        <w:rPr>
          <w:rFonts w:cstheme="minorHAnsi"/>
          <w:sz w:val="24"/>
          <w:szCs w:val="24"/>
        </w:rPr>
        <w:t xml:space="preserve"> </w:t>
      </w:r>
      <w:r w:rsidR="00D93998" w:rsidRPr="009A0AC6">
        <w:rPr>
          <w:rFonts w:cstheme="minorHAnsi"/>
          <w:sz w:val="24"/>
          <w:szCs w:val="24"/>
        </w:rPr>
        <w:t>lethal dose for humans</w:t>
      </w:r>
      <w:r w:rsidRPr="009A0AC6">
        <w:rPr>
          <w:rFonts w:cstheme="minorHAnsi"/>
          <w:sz w:val="24"/>
          <w:szCs w:val="24"/>
        </w:rPr>
        <w:t>.</w:t>
      </w:r>
      <w:r w:rsidR="0087667D" w:rsidRPr="009A0AC6">
        <w:rPr>
          <w:rFonts w:cstheme="minorHAnsi"/>
          <w:sz w:val="24"/>
          <w:szCs w:val="24"/>
        </w:rPr>
        <w:t>(3)</w:t>
      </w:r>
      <w:r w:rsidR="00625CF0" w:rsidRPr="009A0AC6">
        <w:rPr>
          <w:rFonts w:cstheme="minorHAnsi"/>
          <w:sz w:val="24"/>
          <w:szCs w:val="24"/>
        </w:rPr>
        <w:t xml:space="preserve"> </w:t>
      </w:r>
      <w:r w:rsidR="00465F89" w:rsidRPr="009A0AC6">
        <w:rPr>
          <w:rFonts w:cstheme="minorHAnsi"/>
          <w:sz w:val="24"/>
          <w:szCs w:val="24"/>
        </w:rPr>
        <w:t>Acute oral poisonin</w:t>
      </w:r>
      <w:r w:rsidR="0087667D" w:rsidRPr="009A0AC6">
        <w:rPr>
          <w:rFonts w:cstheme="minorHAnsi"/>
          <w:sz w:val="24"/>
          <w:szCs w:val="24"/>
        </w:rPr>
        <w:t>g may lead to developing</w:t>
      </w:r>
      <w:r w:rsidRPr="009A0AC6">
        <w:rPr>
          <w:rFonts w:cstheme="minorHAnsi"/>
          <w:sz w:val="24"/>
          <w:szCs w:val="24"/>
        </w:rPr>
        <w:t xml:space="preserve"> primary signs includ</w:t>
      </w:r>
      <w:r w:rsidR="0087667D" w:rsidRPr="009A0AC6">
        <w:rPr>
          <w:rFonts w:cstheme="minorHAnsi"/>
          <w:sz w:val="24"/>
          <w:szCs w:val="24"/>
        </w:rPr>
        <w:t>ing</w:t>
      </w:r>
      <w:r w:rsidRPr="009A0AC6">
        <w:rPr>
          <w:rFonts w:cstheme="minorHAnsi"/>
          <w:sz w:val="24"/>
          <w:szCs w:val="24"/>
        </w:rPr>
        <w:t xml:space="preserve"> vomiting and manifestations of central nervous system stimulation, such as convulsions and hyperexcitability</w:t>
      </w:r>
      <w:r w:rsidR="0087667D" w:rsidRPr="009A0AC6">
        <w:rPr>
          <w:rFonts w:cstheme="minorHAnsi"/>
          <w:sz w:val="24"/>
          <w:szCs w:val="24"/>
        </w:rPr>
        <w:t xml:space="preserve">. (4) </w:t>
      </w:r>
      <w:r w:rsidRPr="009A0AC6">
        <w:rPr>
          <w:rFonts w:cstheme="minorHAnsi"/>
          <w:sz w:val="24"/>
          <w:szCs w:val="24"/>
        </w:rPr>
        <w:t>Seizures typically commence within 1-2 hours and may persist for several days, accompanied by side effects such as skin irritation, dizziness, muscular cramps, and rarely, aplastic anemia and megaloblastic anemia.</w:t>
      </w:r>
      <w:r w:rsidR="0087667D" w:rsidRPr="009A0AC6">
        <w:rPr>
          <w:rFonts w:cstheme="minorHAnsi"/>
          <w:sz w:val="24"/>
          <w:szCs w:val="24"/>
        </w:rPr>
        <w:t xml:space="preserve">(4-5) </w:t>
      </w:r>
      <w:r w:rsidRPr="009A0AC6">
        <w:rPr>
          <w:rFonts w:cstheme="minorHAnsi"/>
          <w:sz w:val="24"/>
          <w:szCs w:val="24"/>
        </w:rPr>
        <w:t xml:space="preserve">Lindane, despite its potential life-threatening side effects, exhibited the slowest pediculicidal and least effective </w:t>
      </w:r>
      <w:r w:rsidR="00F648A5" w:rsidRPr="009A0AC6">
        <w:rPr>
          <w:rFonts w:cstheme="minorHAnsi"/>
          <w:sz w:val="24"/>
          <w:szCs w:val="24"/>
        </w:rPr>
        <w:t>ovoidal</w:t>
      </w:r>
      <w:r w:rsidRPr="009A0AC6">
        <w:rPr>
          <w:rFonts w:cstheme="minorHAnsi"/>
          <w:sz w:val="24"/>
          <w:szCs w:val="24"/>
        </w:rPr>
        <w:t xml:space="preserve"> activity among</w:t>
      </w:r>
      <w:r w:rsidR="0087667D" w:rsidRPr="009A0AC6">
        <w:rPr>
          <w:rFonts w:cstheme="minorHAnsi"/>
          <w:sz w:val="24"/>
          <w:szCs w:val="24"/>
        </w:rPr>
        <w:t xml:space="preserve"> Food and Drug Administration (</w:t>
      </w:r>
      <w:r w:rsidRPr="009A0AC6">
        <w:rPr>
          <w:rFonts w:cstheme="minorHAnsi"/>
          <w:sz w:val="24"/>
          <w:szCs w:val="24"/>
        </w:rPr>
        <w:t>FDA</w:t>
      </w:r>
      <w:r w:rsidR="0087667D" w:rsidRPr="009A0AC6">
        <w:rPr>
          <w:rFonts w:cstheme="minorHAnsi"/>
          <w:sz w:val="24"/>
          <w:szCs w:val="24"/>
        </w:rPr>
        <w:t>)</w:t>
      </w:r>
      <w:r w:rsidRPr="009A0AC6">
        <w:rPr>
          <w:rFonts w:cstheme="minorHAnsi"/>
          <w:sz w:val="24"/>
          <w:szCs w:val="24"/>
        </w:rPr>
        <w:t xml:space="preserve">-approved pediculicides, prompting its reclassification to a second-line therapy for pediculosis in 1995 in </w:t>
      </w:r>
      <w:r w:rsidR="00F648A5" w:rsidRPr="009A0AC6">
        <w:rPr>
          <w:rFonts w:cstheme="minorHAnsi"/>
          <w:sz w:val="24"/>
          <w:szCs w:val="24"/>
        </w:rPr>
        <w:t>favour</w:t>
      </w:r>
      <w:r w:rsidRPr="009A0AC6">
        <w:rPr>
          <w:rFonts w:cstheme="minorHAnsi"/>
          <w:sz w:val="24"/>
          <w:szCs w:val="24"/>
        </w:rPr>
        <w:t xml:space="preserve"> of safer alternatives.</w:t>
      </w:r>
      <w:r w:rsidR="0087667D" w:rsidRPr="009A0AC6">
        <w:rPr>
          <w:rFonts w:cstheme="minorHAnsi"/>
          <w:sz w:val="24"/>
          <w:szCs w:val="24"/>
        </w:rPr>
        <w:t>(6)</w:t>
      </w:r>
    </w:p>
    <w:p w14:paraId="7332EFBA" w14:textId="145E8CF2" w:rsidR="001F0B8A" w:rsidRPr="009A0AC6" w:rsidRDefault="002E6586" w:rsidP="009A0AC6">
      <w:pPr>
        <w:pStyle w:val="ListParagraph"/>
        <w:jc w:val="both"/>
        <w:rPr>
          <w:rFonts w:cstheme="minorHAnsi"/>
          <w:sz w:val="24"/>
          <w:szCs w:val="24"/>
          <w:vertAlign w:val="superscript"/>
        </w:rPr>
      </w:pPr>
      <w:bookmarkStart w:id="1" w:name="_Hlk156047551"/>
      <w:r w:rsidRPr="009A0AC6">
        <w:rPr>
          <w:rFonts w:cstheme="minorHAnsi"/>
          <w:sz w:val="24"/>
          <w:szCs w:val="24"/>
        </w:rPr>
        <w:t>Similarly,</w:t>
      </w:r>
      <w:r w:rsidR="001F0B8A" w:rsidRPr="009A0AC6">
        <w:rPr>
          <w:rFonts w:cstheme="minorHAnsi"/>
          <w:sz w:val="24"/>
          <w:szCs w:val="24"/>
        </w:rPr>
        <w:t xml:space="preserve"> Cetrimide,</w:t>
      </w:r>
      <w:r w:rsidR="00D93998" w:rsidRPr="009A0AC6">
        <w:rPr>
          <w:rFonts w:cstheme="minorHAnsi"/>
          <w:sz w:val="24"/>
          <w:szCs w:val="24"/>
        </w:rPr>
        <w:t xml:space="preserve"> a quaternary ammonium compound,</w:t>
      </w:r>
      <w:r w:rsidR="001F0B8A" w:rsidRPr="009A0AC6">
        <w:rPr>
          <w:rFonts w:cstheme="minorHAnsi"/>
          <w:sz w:val="24"/>
          <w:szCs w:val="24"/>
        </w:rPr>
        <w:t xml:space="preserve"> commonly found in sterilizing and detergent fluids for skin antisepsis, hair shampooing, and instrument cleaning in hospitals and communities</w:t>
      </w:r>
      <w:bookmarkEnd w:id="1"/>
      <w:r w:rsidR="001F0B8A" w:rsidRPr="009A0AC6">
        <w:rPr>
          <w:rFonts w:cstheme="minorHAnsi"/>
          <w:sz w:val="24"/>
          <w:szCs w:val="24"/>
        </w:rPr>
        <w:t>,</w:t>
      </w:r>
      <w:r w:rsidR="00DE4975" w:rsidRPr="009A0AC6">
        <w:rPr>
          <w:rFonts w:cstheme="minorHAnsi"/>
          <w:sz w:val="24"/>
          <w:szCs w:val="24"/>
          <w:vertAlign w:val="superscript"/>
        </w:rPr>
        <w:t xml:space="preserve"> </w:t>
      </w:r>
      <w:r w:rsidR="001F0B8A" w:rsidRPr="009A0AC6">
        <w:rPr>
          <w:rFonts w:cstheme="minorHAnsi"/>
          <w:sz w:val="24"/>
          <w:szCs w:val="24"/>
        </w:rPr>
        <w:t>poses risks when ingested, causing nausea, vomiting, and potential oesophageal damage and necrosis with strong solutions.</w:t>
      </w:r>
      <w:r w:rsidRPr="009A0AC6">
        <w:rPr>
          <w:rFonts w:cstheme="minorHAnsi"/>
          <w:sz w:val="24"/>
          <w:szCs w:val="24"/>
        </w:rPr>
        <w:t xml:space="preserve">(7) </w:t>
      </w:r>
      <w:r w:rsidR="001F0B8A" w:rsidRPr="009A0AC6">
        <w:rPr>
          <w:rFonts w:cstheme="minorHAnsi"/>
          <w:sz w:val="24"/>
          <w:szCs w:val="24"/>
        </w:rPr>
        <w:t>Cetrimide poisoning typically manifests with mild symptoms, including nausea, vomiting, sore throat, and abdominal pain, while aspiration of Cetrimide mixed with 'Dettol' liquid can lead to acute respiratory distress syndrome (ARDS).</w:t>
      </w:r>
      <w:r w:rsidRPr="009A0AC6">
        <w:rPr>
          <w:rFonts w:cstheme="minorHAnsi"/>
          <w:sz w:val="24"/>
          <w:szCs w:val="24"/>
        </w:rPr>
        <w:t>(8)</w:t>
      </w:r>
      <w:r w:rsidR="001F0B8A" w:rsidRPr="009A0AC6">
        <w:rPr>
          <w:rFonts w:cstheme="minorHAnsi"/>
          <w:sz w:val="24"/>
          <w:szCs w:val="24"/>
        </w:rPr>
        <w:t xml:space="preserve"> With no specific antidote identified</w:t>
      </w:r>
      <w:r w:rsidR="00DE4975" w:rsidRPr="009A0AC6">
        <w:rPr>
          <w:rFonts w:cstheme="minorHAnsi"/>
          <w:sz w:val="24"/>
          <w:szCs w:val="24"/>
        </w:rPr>
        <w:t xml:space="preserve"> </w:t>
      </w:r>
      <w:r w:rsidRPr="009A0AC6">
        <w:rPr>
          <w:rFonts w:cstheme="minorHAnsi"/>
          <w:sz w:val="24"/>
          <w:szCs w:val="24"/>
        </w:rPr>
        <w:t>(9)</w:t>
      </w:r>
      <w:r w:rsidR="001F0B8A" w:rsidRPr="009A0AC6">
        <w:rPr>
          <w:rFonts w:cstheme="minorHAnsi"/>
          <w:sz w:val="24"/>
          <w:szCs w:val="24"/>
        </w:rPr>
        <w:t>, the treatment for both Lindane and Cetrimide poisoning primarily involves symptomatic and supportive management in the Intensive Care Unit (ICU).</w:t>
      </w:r>
    </w:p>
    <w:p w14:paraId="682C6C12" w14:textId="77777777" w:rsidR="001F0B8A" w:rsidRPr="009A0AC6" w:rsidRDefault="001F0B8A" w:rsidP="009A0AC6">
      <w:pPr>
        <w:pStyle w:val="ListParagraph"/>
        <w:jc w:val="both"/>
        <w:rPr>
          <w:rFonts w:cstheme="minorHAnsi"/>
          <w:sz w:val="24"/>
          <w:szCs w:val="24"/>
        </w:rPr>
      </w:pPr>
    </w:p>
    <w:p w14:paraId="621104AD" w14:textId="21C7E5A0" w:rsidR="00765ACD" w:rsidRPr="009A0AC6" w:rsidRDefault="00765ACD" w:rsidP="009A0AC6">
      <w:pPr>
        <w:pStyle w:val="ListParagraph"/>
        <w:numPr>
          <w:ilvl w:val="0"/>
          <w:numId w:val="1"/>
        </w:numPr>
        <w:jc w:val="both"/>
        <w:rPr>
          <w:rFonts w:cstheme="minorHAnsi"/>
          <w:sz w:val="24"/>
          <w:szCs w:val="24"/>
        </w:rPr>
      </w:pPr>
      <w:r w:rsidRPr="009A0AC6">
        <w:rPr>
          <w:rFonts w:cstheme="minorHAnsi"/>
          <w:sz w:val="24"/>
          <w:szCs w:val="24"/>
        </w:rPr>
        <w:t xml:space="preserve">Case </w:t>
      </w:r>
      <w:r w:rsidR="002E6586" w:rsidRPr="009A0AC6">
        <w:rPr>
          <w:rFonts w:cstheme="minorHAnsi"/>
          <w:sz w:val="24"/>
          <w:szCs w:val="24"/>
        </w:rPr>
        <w:t>History</w:t>
      </w:r>
      <w:r w:rsidR="00256846">
        <w:rPr>
          <w:rFonts w:cstheme="minorHAnsi"/>
          <w:sz w:val="24"/>
          <w:szCs w:val="24"/>
        </w:rPr>
        <w:t xml:space="preserve"> and examination</w:t>
      </w:r>
    </w:p>
    <w:p w14:paraId="1F158EFB" w14:textId="263C7A93" w:rsidR="001D76A9" w:rsidRPr="009A0AC6" w:rsidRDefault="001F0B8A" w:rsidP="009A0AC6">
      <w:pPr>
        <w:pStyle w:val="ListParagraph"/>
        <w:jc w:val="both"/>
        <w:rPr>
          <w:rFonts w:cstheme="minorHAnsi"/>
          <w:sz w:val="24"/>
          <w:szCs w:val="24"/>
        </w:rPr>
      </w:pPr>
      <w:r w:rsidRPr="009A0AC6">
        <w:rPr>
          <w:rFonts w:cstheme="minorHAnsi"/>
          <w:sz w:val="24"/>
          <w:szCs w:val="24"/>
        </w:rPr>
        <w:t>An 18-year-old female arrived at the Emergency Department (ED) of a local hospital</w:t>
      </w:r>
      <w:r w:rsidR="001D76A9" w:rsidRPr="009A0AC6">
        <w:rPr>
          <w:rFonts w:cstheme="minorHAnsi"/>
          <w:sz w:val="24"/>
          <w:szCs w:val="24"/>
        </w:rPr>
        <w:t xml:space="preserve"> </w:t>
      </w:r>
      <w:r w:rsidRPr="009A0AC6">
        <w:rPr>
          <w:rFonts w:cstheme="minorHAnsi"/>
          <w:sz w:val="24"/>
          <w:szCs w:val="24"/>
        </w:rPr>
        <w:t xml:space="preserve">shivering and </w:t>
      </w:r>
      <w:r w:rsidR="002E6586" w:rsidRPr="009A0AC6">
        <w:rPr>
          <w:rFonts w:cstheme="minorHAnsi"/>
          <w:sz w:val="24"/>
          <w:szCs w:val="24"/>
        </w:rPr>
        <w:t xml:space="preserve">with </w:t>
      </w:r>
      <w:r w:rsidRPr="009A0AC6">
        <w:rPr>
          <w:rFonts w:cstheme="minorHAnsi"/>
          <w:sz w:val="24"/>
          <w:szCs w:val="24"/>
        </w:rPr>
        <w:t>decreased level of consciousness, approximately 30 minutes after reportedly ingesting Lindane and Cetrimide lotion at home. The lotion</w:t>
      </w:r>
      <w:r w:rsidR="009A5247" w:rsidRPr="009A0AC6">
        <w:rPr>
          <w:rFonts w:cstheme="minorHAnsi"/>
          <w:sz w:val="24"/>
          <w:szCs w:val="24"/>
        </w:rPr>
        <w:t xml:space="preserve"> was </w:t>
      </w:r>
      <w:r w:rsidRPr="009A0AC6">
        <w:rPr>
          <w:rFonts w:cstheme="minorHAnsi"/>
          <w:sz w:val="24"/>
          <w:szCs w:val="24"/>
        </w:rPr>
        <w:t xml:space="preserve">obtained from a nearby pharmacy for </w:t>
      </w:r>
      <w:r w:rsidR="009A5247" w:rsidRPr="009A0AC6">
        <w:rPr>
          <w:rFonts w:cstheme="minorHAnsi"/>
          <w:sz w:val="24"/>
          <w:szCs w:val="24"/>
        </w:rPr>
        <w:t xml:space="preserve">lice </w:t>
      </w:r>
      <w:r w:rsidRPr="009A0AC6">
        <w:rPr>
          <w:rFonts w:cstheme="minorHAnsi"/>
          <w:sz w:val="24"/>
          <w:szCs w:val="24"/>
        </w:rPr>
        <w:t>treatment</w:t>
      </w:r>
      <w:r w:rsidR="009A5247" w:rsidRPr="009A0AC6">
        <w:rPr>
          <w:rFonts w:cstheme="minorHAnsi"/>
          <w:sz w:val="24"/>
          <w:szCs w:val="24"/>
        </w:rPr>
        <w:t>.</w:t>
      </w:r>
    </w:p>
    <w:p w14:paraId="3D2E7818" w14:textId="77777777" w:rsidR="001D76A9" w:rsidRPr="009A0AC6" w:rsidRDefault="001D76A9" w:rsidP="009A0AC6">
      <w:pPr>
        <w:pStyle w:val="ListParagraph"/>
        <w:jc w:val="both"/>
        <w:rPr>
          <w:rFonts w:cstheme="minorHAnsi"/>
          <w:sz w:val="24"/>
          <w:szCs w:val="24"/>
        </w:rPr>
      </w:pPr>
    </w:p>
    <w:p w14:paraId="23E1D248" w14:textId="77777777" w:rsidR="00153009" w:rsidRDefault="001D76A9" w:rsidP="009A0AC6">
      <w:pPr>
        <w:pStyle w:val="ListParagraph"/>
        <w:jc w:val="both"/>
        <w:rPr>
          <w:rFonts w:cstheme="minorHAnsi"/>
          <w:sz w:val="24"/>
          <w:szCs w:val="24"/>
        </w:rPr>
      </w:pPr>
      <w:r w:rsidRPr="009A0AC6">
        <w:rPr>
          <w:rFonts w:cstheme="minorHAnsi"/>
          <w:sz w:val="24"/>
          <w:szCs w:val="24"/>
        </w:rPr>
        <w:t xml:space="preserve">On presentation, she had </w:t>
      </w:r>
      <w:r w:rsidR="001F0B8A" w:rsidRPr="009A0AC6">
        <w:rPr>
          <w:rFonts w:cstheme="minorHAnsi"/>
          <w:sz w:val="24"/>
          <w:szCs w:val="24"/>
        </w:rPr>
        <w:t>a Glassgow Coma Scale (GCS) of 10/14 (E2M4V3), a pulse rate of 110/min, blood pressure of 100/60 mmHg, respiratory rate of 24/min, temperature of 98°F, and oxygen saturation (spO2) of 94% in room air. Physical exam</w:t>
      </w:r>
      <w:r w:rsidRPr="009A0AC6">
        <w:rPr>
          <w:rFonts w:cstheme="minorHAnsi"/>
          <w:sz w:val="24"/>
          <w:szCs w:val="24"/>
        </w:rPr>
        <w:t xml:space="preserve">s along with </w:t>
      </w:r>
      <w:r w:rsidR="001F0B8A" w:rsidRPr="009A0AC6">
        <w:rPr>
          <w:rFonts w:cstheme="minorHAnsi"/>
          <w:sz w:val="24"/>
          <w:szCs w:val="24"/>
        </w:rPr>
        <w:t>respiratory, cardiovascular, abdominal, musculoskeletal, skin, and oral examinations</w:t>
      </w:r>
      <w:r w:rsidR="003A62E0" w:rsidRPr="009A0AC6">
        <w:rPr>
          <w:rFonts w:cstheme="minorHAnsi"/>
          <w:sz w:val="24"/>
          <w:szCs w:val="24"/>
        </w:rPr>
        <w:t xml:space="preserve"> showed no abnormalities.</w:t>
      </w:r>
      <w:r w:rsidR="001F0B8A" w:rsidRPr="009A0AC6">
        <w:rPr>
          <w:rFonts w:cstheme="minorHAnsi"/>
          <w:sz w:val="24"/>
          <w:szCs w:val="24"/>
        </w:rPr>
        <w:t xml:space="preserve"> The Central Nervous System examination showed no focal neurological deficits</w:t>
      </w:r>
      <w:r w:rsidR="002E6586" w:rsidRPr="009A0AC6">
        <w:rPr>
          <w:rFonts w:cstheme="minorHAnsi"/>
          <w:sz w:val="24"/>
          <w:szCs w:val="24"/>
        </w:rPr>
        <w:t xml:space="preserve"> or</w:t>
      </w:r>
      <w:r w:rsidR="001F0B8A" w:rsidRPr="009A0AC6">
        <w:rPr>
          <w:rFonts w:cstheme="minorHAnsi"/>
          <w:sz w:val="24"/>
          <w:szCs w:val="24"/>
        </w:rPr>
        <w:t xml:space="preserve"> signs of meningeal irritation</w:t>
      </w:r>
      <w:r w:rsidRPr="009A0AC6">
        <w:rPr>
          <w:rFonts w:cstheme="minorHAnsi"/>
          <w:sz w:val="24"/>
          <w:szCs w:val="24"/>
        </w:rPr>
        <w:t xml:space="preserve"> and had</w:t>
      </w:r>
      <w:r w:rsidR="001F0B8A" w:rsidRPr="009A0AC6">
        <w:rPr>
          <w:rFonts w:cstheme="minorHAnsi"/>
          <w:sz w:val="24"/>
          <w:szCs w:val="24"/>
        </w:rPr>
        <w:t xml:space="preserve"> intact sensory and motor functions</w:t>
      </w:r>
      <w:r w:rsidRPr="009A0AC6">
        <w:rPr>
          <w:rFonts w:cstheme="minorHAnsi"/>
          <w:sz w:val="24"/>
          <w:szCs w:val="24"/>
        </w:rPr>
        <w:t xml:space="preserve"> and</w:t>
      </w:r>
      <w:r w:rsidR="001F0B8A" w:rsidRPr="009A0AC6">
        <w:rPr>
          <w:rFonts w:cstheme="minorHAnsi"/>
          <w:sz w:val="24"/>
          <w:szCs w:val="24"/>
        </w:rPr>
        <w:t xml:space="preserve"> reflexes.</w:t>
      </w:r>
    </w:p>
    <w:p w14:paraId="02A7571D" w14:textId="77777777" w:rsidR="00153009" w:rsidRDefault="00153009" w:rsidP="009A0AC6">
      <w:pPr>
        <w:pStyle w:val="ListParagraph"/>
        <w:jc w:val="both"/>
        <w:rPr>
          <w:rFonts w:cstheme="minorHAnsi"/>
          <w:sz w:val="24"/>
          <w:szCs w:val="24"/>
        </w:rPr>
      </w:pPr>
    </w:p>
    <w:p w14:paraId="79F0E725" w14:textId="6431FE28" w:rsidR="00153009" w:rsidRPr="00153009" w:rsidRDefault="001F0B8A" w:rsidP="00153009">
      <w:pPr>
        <w:pStyle w:val="ListParagraph"/>
        <w:jc w:val="both"/>
        <w:rPr>
          <w:rFonts w:cstheme="minorHAnsi"/>
          <w:sz w:val="24"/>
          <w:szCs w:val="24"/>
        </w:rPr>
      </w:pPr>
      <w:r w:rsidRPr="009A0AC6">
        <w:rPr>
          <w:rFonts w:cstheme="minorHAnsi"/>
          <w:sz w:val="24"/>
          <w:szCs w:val="24"/>
        </w:rPr>
        <w:t xml:space="preserve"> </w:t>
      </w:r>
      <w:r w:rsidR="00153009" w:rsidRPr="00153009">
        <w:rPr>
          <w:rFonts w:cstheme="minorHAnsi"/>
          <w:sz w:val="24"/>
          <w:szCs w:val="24"/>
        </w:rPr>
        <w:t xml:space="preserve">Upon arrival at </w:t>
      </w:r>
      <w:r w:rsidR="001470EF">
        <w:rPr>
          <w:rFonts w:cstheme="minorHAnsi"/>
          <w:sz w:val="24"/>
          <w:szCs w:val="24"/>
        </w:rPr>
        <w:t>a</w:t>
      </w:r>
      <w:r w:rsidR="00153009" w:rsidRPr="00153009">
        <w:rPr>
          <w:rFonts w:cstheme="minorHAnsi"/>
          <w:sz w:val="24"/>
          <w:szCs w:val="24"/>
        </w:rPr>
        <w:t xml:space="preserve"> new hospital with ICU services, the patient disclosed a history of ingesting 70-100ml of poison with suicidal intent following a dispute with her </w:t>
      </w:r>
      <w:r w:rsidR="00153009" w:rsidRPr="00153009">
        <w:rPr>
          <w:rFonts w:cstheme="minorHAnsi"/>
          <w:sz w:val="24"/>
          <w:szCs w:val="24"/>
        </w:rPr>
        <w:lastRenderedPageBreak/>
        <w:t>boyfriend. She reported mild epigastric pain but no headache, fever, blurred vision, loss of consciousness, abnormal body movements, bleeding, or dizziness. She also had experienced one episode of vomiting at the ED. The patient had no significant past medical, surgical, menstrual, or family history and was a non-alcoholic and non-smoker. Vitals and examination findings were normal, leading to the patient's admission to the ICU for observation.</w:t>
      </w:r>
    </w:p>
    <w:p w14:paraId="3625F587" w14:textId="29E07EAA" w:rsidR="00153009" w:rsidRDefault="00153009" w:rsidP="009A0AC6">
      <w:pPr>
        <w:pStyle w:val="ListParagraph"/>
        <w:jc w:val="both"/>
        <w:rPr>
          <w:rFonts w:cstheme="minorHAnsi"/>
          <w:sz w:val="24"/>
          <w:szCs w:val="24"/>
        </w:rPr>
      </w:pPr>
    </w:p>
    <w:p w14:paraId="34E1C4E0" w14:textId="77777777" w:rsidR="00153009" w:rsidRDefault="00153009" w:rsidP="009A0AC6">
      <w:pPr>
        <w:pStyle w:val="ListParagraph"/>
        <w:jc w:val="both"/>
        <w:rPr>
          <w:rFonts w:cstheme="minorHAnsi"/>
          <w:sz w:val="24"/>
          <w:szCs w:val="24"/>
        </w:rPr>
      </w:pPr>
    </w:p>
    <w:p w14:paraId="279BAF5D" w14:textId="77777777" w:rsidR="00153009" w:rsidRDefault="00153009" w:rsidP="00153009">
      <w:pPr>
        <w:pStyle w:val="ListParagraph"/>
        <w:numPr>
          <w:ilvl w:val="0"/>
          <w:numId w:val="1"/>
        </w:numPr>
        <w:jc w:val="both"/>
        <w:rPr>
          <w:rFonts w:cstheme="minorHAnsi"/>
          <w:sz w:val="24"/>
          <w:szCs w:val="24"/>
        </w:rPr>
      </w:pPr>
      <w:r>
        <w:rPr>
          <w:rFonts w:cstheme="minorHAnsi"/>
          <w:sz w:val="24"/>
          <w:szCs w:val="24"/>
        </w:rPr>
        <w:t>Methods</w:t>
      </w:r>
    </w:p>
    <w:p w14:paraId="2A6535F3" w14:textId="49BF6305" w:rsidR="001F0B8A" w:rsidRDefault="00153009" w:rsidP="00153009">
      <w:pPr>
        <w:pStyle w:val="ListParagraph"/>
        <w:jc w:val="both"/>
        <w:rPr>
          <w:rFonts w:cstheme="minorHAnsi"/>
          <w:sz w:val="24"/>
          <w:szCs w:val="24"/>
        </w:rPr>
      </w:pPr>
      <w:r>
        <w:rPr>
          <w:rFonts w:cstheme="minorHAnsi"/>
          <w:sz w:val="24"/>
          <w:szCs w:val="24"/>
        </w:rPr>
        <w:t>In the local hospital, a</w:t>
      </w:r>
      <w:r w:rsidR="001F0B8A" w:rsidRPr="009A0AC6">
        <w:rPr>
          <w:rFonts w:cstheme="minorHAnsi"/>
          <w:sz w:val="24"/>
          <w:szCs w:val="24"/>
        </w:rPr>
        <w:t xml:space="preserve"> nasogastric (NG) tube was inserted, and gastric lavage was </w:t>
      </w:r>
      <w:r w:rsidR="001D76A9" w:rsidRPr="009A0AC6">
        <w:rPr>
          <w:rFonts w:cstheme="minorHAnsi"/>
          <w:sz w:val="24"/>
          <w:szCs w:val="24"/>
        </w:rPr>
        <w:t>performed</w:t>
      </w:r>
      <w:r w:rsidR="001F0B8A" w:rsidRPr="009A0AC6">
        <w:rPr>
          <w:rFonts w:cstheme="minorHAnsi"/>
          <w:sz w:val="24"/>
          <w:szCs w:val="24"/>
        </w:rPr>
        <w:t xml:space="preserve"> with 1.5 liters of 0.9% Normal Saline, resulting in an improvement in GCS to 15/15 after 10 minutes. The patient was subsequently referred to a higher center for Intensive Care services.</w:t>
      </w:r>
    </w:p>
    <w:p w14:paraId="06787411" w14:textId="77777777" w:rsidR="00153009" w:rsidRPr="00153009" w:rsidRDefault="00153009" w:rsidP="00153009">
      <w:pPr>
        <w:pStyle w:val="ListParagraph"/>
        <w:jc w:val="both"/>
        <w:rPr>
          <w:rFonts w:cstheme="minorHAnsi"/>
          <w:sz w:val="24"/>
          <w:szCs w:val="24"/>
        </w:rPr>
      </w:pPr>
    </w:p>
    <w:p w14:paraId="07D3735D" w14:textId="7D43E699" w:rsidR="001F0B8A" w:rsidRPr="009A0AC6" w:rsidRDefault="001F0B8A" w:rsidP="009A0AC6">
      <w:pPr>
        <w:pStyle w:val="ListParagraph"/>
        <w:jc w:val="both"/>
        <w:rPr>
          <w:rFonts w:cstheme="minorHAnsi"/>
          <w:sz w:val="24"/>
          <w:szCs w:val="24"/>
        </w:rPr>
      </w:pPr>
      <w:r w:rsidRPr="009A0AC6">
        <w:rPr>
          <w:rFonts w:cstheme="minorHAnsi"/>
          <w:sz w:val="24"/>
          <w:szCs w:val="24"/>
        </w:rPr>
        <w:t>Laboratory investigations</w:t>
      </w:r>
      <w:r w:rsidR="00153009">
        <w:rPr>
          <w:rFonts w:cstheme="minorHAnsi"/>
          <w:sz w:val="24"/>
          <w:szCs w:val="24"/>
        </w:rPr>
        <w:t xml:space="preserve"> done at the hospital with ICU services</w:t>
      </w:r>
      <w:r w:rsidRPr="009A0AC6">
        <w:rPr>
          <w:rFonts w:cstheme="minorHAnsi"/>
          <w:sz w:val="24"/>
          <w:szCs w:val="24"/>
        </w:rPr>
        <w:t xml:space="preserve">, </w:t>
      </w:r>
      <w:r w:rsidR="00153009">
        <w:rPr>
          <w:rFonts w:cstheme="minorHAnsi"/>
          <w:sz w:val="24"/>
          <w:szCs w:val="24"/>
        </w:rPr>
        <w:t xml:space="preserve">consisting </w:t>
      </w:r>
      <w:r w:rsidR="00053E88">
        <w:rPr>
          <w:rFonts w:cstheme="minorHAnsi"/>
          <w:sz w:val="24"/>
          <w:szCs w:val="24"/>
        </w:rPr>
        <w:t>of C</w:t>
      </w:r>
      <w:r w:rsidR="00053E88" w:rsidRPr="009A0AC6">
        <w:rPr>
          <w:rFonts w:cstheme="minorHAnsi"/>
          <w:sz w:val="24"/>
          <w:szCs w:val="24"/>
        </w:rPr>
        <w:t>omplete</w:t>
      </w:r>
      <w:r w:rsidRPr="009A0AC6">
        <w:rPr>
          <w:rFonts w:cstheme="minorHAnsi"/>
          <w:sz w:val="24"/>
          <w:szCs w:val="24"/>
        </w:rPr>
        <w:t xml:space="preserve"> Blood Count, Renal Function Test, Liver Function Test, Chest X-ray, PT/INR, ECG, and serology, returned normal results. </w:t>
      </w:r>
      <w:r w:rsidR="002E6586" w:rsidRPr="009A0AC6">
        <w:rPr>
          <w:rFonts w:cstheme="minorHAnsi"/>
          <w:sz w:val="24"/>
          <w:szCs w:val="24"/>
        </w:rPr>
        <w:t>However, a u</w:t>
      </w:r>
      <w:r w:rsidRPr="009A0AC6">
        <w:rPr>
          <w:rFonts w:cstheme="minorHAnsi"/>
          <w:sz w:val="24"/>
          <w:szCs w:val="24"/>
        </w:rPr>
        <w:t xml:space="preserve">rine Routine and Microscopic Examination revealed a Urinary Tract Infection </w:t>
      </w:r>
      <w:r w:rsidR="002E6586" w:rsidRPr="009A0AC6">
        <w:rPr>
          <w:rFonts w:cstheme="minorHAnsi"/>
          <w:sz w:val="24"/>
          <w:szCs w:val="24"/>
        </w:rPr>
        <w:t xml:space="preserve">(UTI) </w:t>
      </w:r>
      <w:r w:rsidRPr="009A0AC6">
        <w:rPr>
          <w:rFonts w:cstheme="minorHAnsi"/>
          <w:sz w:val="24"/>
          <w:szCs w:val="24"/>
        </w:rPr>
        <w:t>with 20-25/hpf pus cells and +++ bacteria. The patient was kept NPO for 24 hours</w:t>
      </w:r>
      <w:r w:rsidR="003A62E0" w:rsidRPr="009A0AC6">
        <w:rPr>
          <w:rFonts w:cstheme="minorHAnsi"/>
          <w:sz w:val="24"/>
          <w:szCs w:val="24"/>
        </w:rPr>
        <w:t xml:space="preserve"> </w:t>
      </w:r>
      <w:r w:rsidRPr="009A0AC6">
        <w:rPr>
          <w:rFonts w:cstheme="minorHAnsi"/>
          <w:sz w:val="24"/>
          <w:szCs w:val="24"/>
        </w:rPr>
        <w:t>and received symptomatic treatment, including Injection Pantoprazole and Ondansetron. Additionally, she was administered Syrup Sucralfate 15ml every 6 hours via N</w:t>
      </w:r>
      <w:r w:rsidR="003A62E0" w:rsidRPr="009A0AC6">
        <w:rPr>
          <w:rFonts w:cstheme="minorHAnsi"/>
          <w:sz w:val="24"/>
          <w:szCs w:val="24"/>
        </w:rPr>
        <w:t>aso</w:t>
      </w:r>
      <w:r w:rsidR="002E6586" w:rsidRPr="009A0AC6">
        <w:rPr>
          <w:rFonts w:cstheme="minorHAnsi"/>
          <w:sz w:val="24"/>
          <w:szCs w:val="24"/>
        </w:rPr>
        <w:t>g</w:t>
      </w:r>
      <w:r w:rsidR="003A62E0" w:rsidRPr="009A0AC6">
        <w:rPr>
          <w:rFonts w:cstheme="minorHAnsi"/>
          <w:sz w:val="24"/>
          <w:szCs w:val="24"/>
        </w:rPr>
        <w:t>astric tube</w:t>
      </w:r>
      <w:r w:rsidRPr="009A0AC6">
        <w:rPr>
          <w:rFonts w:cstheme="minorHAnsi"/>
          <w:sz w:val="24"/>
          <w:szCs w:val="24"/>
        </w:rPr>
        <w:t xml:space="preserve"> and prescribed Tablet Cefixime 200mg every 12 hours for the UTI.</w:t>
      </w:r>
    </w:p>
    <w:p w14:paraId="55FD6038" w14:textId="77777777" w:rsidR="001F0B8A" w:rsidRPr="009A0AC6" w:rsidRDefault="001F0B8A" w:rsidP="009A0AC6">
      <w:pPr>
        <w:pStyle w:val="ListParagraph"/>
        <w:jc w:val="both"/>
        <w:rPr>
          <w:rFonts w:cstheme="minorHAnsi"/>
          <w:sz w:val="24"/>
          <w:szCs w:val="24"/>
        </w:rPr>
      </w:pPr>
    </w:p>
    <w:p w14:paraId="6D898741" w14:textId="6C75F606" w:rsidR="00053E88" w:rsidRPr="00053E88" w:rsidRDefault="002E6586" w:rsidP="00053E88">
      <w:pPr>
        <w:pStyle w:val="ListParagraph"/>
        <w:jc w:val="both"/>
        <w:rPr>
          <w:rFonts w:cstheme="minorHAnsi"/>
          <w:sz w:val="24"/>
          <w:szCs w:val="24"/>
        </w:rPr>
      </w:pPr>
      <w:r w:rsidRPr="009A0AC6">
        <w:rPr>
          <w:rFonts w:cstheme="minorHAnsi"/>
          <w:sz w:val="24"/>
          <w:szCs w:val="24"/>
        </w:rPr>
        <w:t xml:space="preserve">The psychiatric </w:t>
      </w:r>
      <w:r w:rsidR="001F0B8A" w:rsidRPr="009A0AC6">
        <w:rPr>
          <w:rFonts w:cstheme="minorHAnsi"/>
          <w:sz w:val="24"/>
          <w:szCs w:val="24"/>
        </w:rPr>
        <w:t xml:space="preserve">evaluation uncovered a history of multiple self-harm and suicide attempts, increased emotional instability, crying spells, anxious overthinking, and irritability. The patient was prescribed Tablet Fluoxetine 10mg once daily and Tablet Clonazepam 0.25mg every 12 hours for 3 days, followed by once nightly for 5 days, indicating a possible diagnosis of </w:t>
      </w:r>
      <w:r w:rsidR="00053E88" w:rsidRPr="009A0AC6">
        <w:rPr>
          <w:rFonts w:cstheme="minorHAnsi"/>
          <w:sz w:val="24"/>
          <w:szCs w:val="24"/>
        </w:rPr>
        <w:t>bipolar disorder</w:t>
      </w:r>
      <w:r w:rsidR="001F0B8A" w:rsidRPr="009A0AC6">
        <w:rPr>
          <w:rFonts w:cstheme="minorHAnsi"/>
          <w:sz w:val="24"/>
          <w:szCs w:val="24"/>
        </w:rPr>
        <w:t xml:space="preserve"> with Anxiety symptoms. </w:t>
      </w:r>
    </w:p>
    <w:p w14:paraId="14FA8D7C" w14:textId="77777777" w:rsidR="00053E88" w:rsidRDefault="00053E88" w:rsidP="009A0AC6">
      <w:pPr>
        <w:pStyle w:val="ListParagraph"/>
        <w:jc w:val="both"/>
        <w:rPr>
          <w:rFonts w:cstheme="minorHAnsi"/>
          <w:sz w:val="24"/>
          <w:szCs w:val="24"/>
        </w:rPr>
      </w:pPr>
    </w:p>
    <w:p w14:paraId="3E9E32C6" w14:textId="45824A63" w:rsidR="00053E88" w:rsidRDefault="00053E88" w:rsidP="00053E88">
      <w:pPr>
        <w:pStyle w:val="ListParagraph"/>
        <w:numPr>
          <w:ilvl w:val="0"/>
          <w:numId w:val="1"/>
        </w:numPr>
        <w:rPr>
          <w:rFonts w:cstheme="minorHAnsi"/>
          <w:sz w:val="24"/>
          <w:szCs w:val="24"/>
        </w:rPr>
      </w:pPr>
      <w:r w:rsidRPr="00053E88">
        <w:rPr>
          <w:rFonts w:cstheme="minorHAnsi"/>
          <w:sz w:val="24"/>
          <w:szCs w:val="24"/>
        </w:rPr>
        <w:t>Conclusion</w:t>
      </w:r>
      <w:r w:rsidR="00E419D1">
        <w:rPr>
          <w:rFonts w:cstheme="minorHAnsi"/>
          <w:sz w:val="24"/>
          <w:szCs w:val="24"/>
        </w:rPr>
        <w:t xml:space="preserve"> and Results</w:t>
      </w:r>
    </w:p>
    <w:p w14:paraId="41C1541D" w14:textId="744EA351" w:rsidR="001470EF" w:rsidRDefault="00053E88" w:rsidP="001470EF">
      <w:pPr>
        <w:pStyle w:val="ListParagraph"/>
        <w:spacing w:after="120"/>
        <w:jc w:val="both"/>
        <w:rPr>
          <w:rFonts w:cstheme="minorHAnsi"/>
          <w:sz w:val="24"/>
          <w:szCs w:val="24"/>
        </w:rPr>
      </w:pPr>
      <w:r w:rsidRPr="00053E88">
        <w:rPr>
          <w:rFonts w:cstheme="minorHAnsi"/>
          <w:sz w:val="24"/>
          <w:szCs w:val="24"/>
        </w:rPr>
        <w:t xml:space="preserve">After 72 hours of normal examinations and laboratory findings, </w:t>
      </w:r>
      <w:r w:rsidR="00256846">
        <w:rPr>
          <w:rFonts w:cstheme="minorHAnsi"/>
          <w:sz w:val="24"/>
          <w:szCs w:val="24"/>
        </w:rPr>
        <w:t>patient</w:t>
      </w:r>
      <w:r w:rsidRPr="00053E88">
        <w:rPr>
          <w:rFonts w:cstheme="minorHAnsi"/>
          <w:sz w:val="24"/>
          <w:szCs w:val="24"/>
        </w:rPr>
        <w:t xml:space="preserve"> was discharged with </w:t>
      </w:r>
      <w:r w:rsidR="00E419D1">
        <w:rPr>
          <w:rFonts w:cstheme="minorHAnsi"/>
          <w:sz w:val="24"/>
          <w:szCs w:val="24"/>
        </w:rPr>
        <w:t xml:space="preserve">medications (tablets </w:t>
      </w:r>
      <w:r w:rsidR="007D7177">
        <w:rPr>
          <w:rFonts w:cstheme="minorHAnsi"/>
          <w:sz w:val="24"/>
          <w:szCs w:val="24"/>
        </w:rPr>
        <w:t xml:space="preserve">Cefixime 200mg for 4 more days, </w:t>
      </w:r>
      <w:r w:rsidR="00E419D1">
        <w:rPr>
          <w:rFonts w:cstheme="minorHAnsi"/>
          <w:sz w:val="24"/>
          <w:szCs w:val="24"/>
        </w:rPr>
        <w:t>Pantoprazole 40mg, Fluoxetine 10mg and Clonazepam 0.25 mg)</w:t>
      </w:r>
      <w:r w:rsidRPr="00053E88">
        <w:rPr>
          <w:rFonts w:cstheme="minorHAnsi"/>
          <w:sz w:val="24"/>
          <w:szCs w:val="24"/>
        </w:rPr>
        <w:t xml:space="preserve"> and advised to follow up with her treating physician and psychiatrist after 3 weeks.</w:t>
      </w:r>
      <w:r w:rsidR="00256846">
        <w:rPr>
          <w:rFonts w:cstheme="minorHAnsi"/>
          <w:sz w:val="24"/>
          <w:szCs w:val="24"/>
        </w:rPr>
        <w:t xml:space="preserve"> </w:t>
      </w:r>
    </w:p>
    <w:p w14:paraId="03B54826" w14:textId="77777777" w:rsidR="001470EF" w:rsidRDefault="001470EF" w:rsidP="001470EF">
      <w:pPr>
        <w:pStyle w:val="ListParagraph"/>
        <w:spacing w:after="120"/>
        <w:jc w:val="both"/>
        <w:rPr>
          <w:rFonts w:cstheme="minorHAnsi"/>
          <w:sz w:val="24"/>
          <w:szCs w:val="24"/>
        </w:rPr>
      </w:pPr>
    </w:p>
    <w:p w14:paraId="713B176A" w14:textId="0A4CDCDA" w:rsidR="00053E88" w:rsidRPr="001470EF" w:rsidRDefault="00053E88" w:rsidP="001470EF">
      <w:pPr>
        <w:pStyle w:val="ListParagraph"/>
        <w:spacing w:before="120"/>
        <w:jc w:val="both"/>
        <w:rPr>
          <w:rFonts w:cstheme="minorHAnsi"/>
          <w:sz w:val="24"/>
          <w:szCs w:val="24"/>
        </w:rPr>
      </w:pPr>
      <w:r w:rsidRPr="001470EF">
        <w:rPr>
          <w:rFonts w:cstheme="minorHAnsi"/>
          <w:sz w:val="24"/>
          <w:szCs w:val="24"/>
        </w:rPr>
        <w:t xml:space="preserve">Though poisoning from Lindane and Cetrimide is an infrequently reported occurrence, proactive preparedness of the case management is required from a life-saving perspective. Lindane, on its own, is associated with intentional side effects such as nausea, vomiting, dizziness, muscle cramps, </w:t>
      </w:r>
      <w:proofErr w:type="spellStart"/>
      <w:r w:rsidRPr="001470EF">
        <w:rPr>
          <w:rFonts w:cstheme="minorHAnsi"/>
          <w:sz w:val="24"/>
          <w:szCs w:val="24"/>
        </w:rPr>
        <w:t>anemia</w:t>
      </w:r>
      <w:proofErr w:type="spellEnd"/>
      <w:r w:rsidRPr="001470EF">
        <w:rPr>
          <w:rFonts w:cstheme="minorHAnsi"/>
          <w:sz w:val="24"/>
          <w:szCs w:val="24"/>
        </w:rPr>
        <w:t xml:space="preserve">, </w:t>
      </w:r>
      <w:proofErr w:type="spellStart"/>
      <w:r w:rsidRPr="001470EF">
        <w:rPr>
          <w:rFonts w:cstheme="minorHAnsi"/>
          <w:sz w:val="24"/>
          <w:szCs w:val="24"/>
        </w:rPr>
        <w:t>hyperglycemia</w:t>
      </w:r>
      <w:proofErr w:type="spellEnd"/>
      <w:r w:rsidRPr="001470EF">
        <w:rPr>
          <w:rFonts w:cstheme="minorHAnsi"/>
          <w:sz w:val="24"/>
          <w:szCs w:val="24"/>
        </w:rPr>
        <w:t xml:space="preserve">, pulmonary </w:t>
      </w:r>
      <w:proofErr w:type="spellStart"/>
      <w:r w:rsidRPr="001470EF">
        <w:rPr>
          <w:rFonts w:cstheme="minorHAnsi"/>
          <w:sz w:val="24"/>
          <w:szCs w:val="24"/>
        </w:rPr>
        <w:t>edema</w:t>
      </w:r>
      <w:proofErr w:type="spellEnd"/>
      <w:r w:rsidRPr="001470EF">
        <w:rPr>
          <w:rFonts w:cstheme="minorHAnsi"/>
          <w:sz w:val="24"/>
          <w:szCs w:val="24"/>
        </w:rPr>
        <w:t xml:space="preserve">, seizures, and even fatality. Additionally, Cetrimide exhibits side effects like nausea, vomiting, </w:t>
      </w:r>
      <w:proofErr w:type="spellStart"/>
      <w:r w:rsidRPr="001470EF">
        <w:rPr>
          <w:rFonts w:cstheme="minorHAnsi"/>
          <w:sz w:val="24"/>
          <w:szCs w:val="24"/>
        </w:rPr>
        <w:t>esophageal</w:t>
      </w:r>
      <w:proofErr w:type="spellEnd"/>
      <w:r w:rsidRPr="001470EF">
        <w:rPr>
          <w:rFonts w:cstheme="minorHAnsi"/>
          <w:sz w:val="24"/>
          <w:szCs w:val="24"/>
        </w:rPr>
        <w:t xml:space="preserve"> damage, necrosis, and abdominal pain. Notably, there exists no antidote for either of these toxins.</w:t>
      </w:r>
    </w:p>
    <w:p w14:paraId="02FE2CA1" w14:textId="77777777" w:rsidR="00053E88" w:rsidRPr="00053E88" w:rsidRDefault="00053E88" w:rsidP="00B675D5">
      <w:pPr>
        <w:pStyle w:val="ListParagraph"/>
        <w:jc w:val="both"/>
        <w:rPr>
          <w:rFonts w:cstheme="minorHAnsi"/>
          <w:sz w:val="24"/>
          <w:szCs w:val="24"/>
        </w:rPr>
      </w:pPr>
    </w:p>
    <w:p w14:paraId="6C02DE59" w14:textId="77777777" w:rsidR="00053E88" w:rsidRPr="00053E88" w:rsidRDefault="00053E88" w:rsidP="00B675D5">
      <w:pPr>
        <w:pStyle w:val="ListParagraph"/>
        <w:jc w:val="both"/>
        <w:rPr>
          <w:rFonts w:cstheme="minorHAnsi"/>
          <w:sz w:val="24"/>
          <w:szCs w:val="24"/>
        </w:rPr>
      </w:pPr>
      <w:r w:rsidRPr="00053E88">
        <w:rPr>
          <w:rFonts w:cstheme="minorHAnsi"/>
          <w:sz w:val="24"/>
          <w:szCs w:val="24"/>
        </w:rPr>
        <w:lastRenderedPageBreak/>
        <w:t>Our patient ingested approximately 70-100 ml of Lindane and Cetrimide, experiencing shivering and a decreased level of consciousness within minutes, followed by vomiting and abdominal pain within an hour. Through prompt gastric lavage and comprehensive supportive and symptomatic treatment, the patient remained free of physical symptoms for 72 hours, leading to her eventual discharge. No deviations were observed in examination and laboratory findings.</w:t>
      </w:r>
    </w:p>
    <w:p w14:paraId="4518EF93" w14:textId="77777777" w:rsidR="00053E88" w:rsidRPr="00053E88" w:rsidRDefault="00053E88" w:rsidP="00B675D5">
      <w:pPr>
        <w:pStyle w:val="ListParagraph"/>
        <w:jc w:val="both"/>
        <w:rPr>
          <w:rFonts w:cstheme="minorHAnsi"/>
          <w:sz w:val="24"/>
          <w:szCs w:val="24"/>
        </w:rPr>
      </w:pPr>
    </w:p>
    <w:p w14:paraId="68ABB2E4" w14:textId="77777777" w:rsidR="00053E88" w:rsidRPr="00053E88" w:rsidRDefault="00053E88" w:rsidP="00B675D5">
      <w:pPr>
        <w:pStyle w:val="ListParagraph"/>
        <w:jc w:val="both"/>
        <w:rPr>
          <w:rFonts w:cstheme="minorHAnsi"/>
          <w:sz w:val="24"/>
          <w:szCs w:val="24"/>
        </w:rPr>
      </w:pPr>
      <w:r w:rsidRPr="00053E88">
        <w:rPr>
          <w:rFonts w:cstheme="minorHAnsi"/>
          <w:sz w:val="24"/>
          <w:szCs w:val="24"/>
        </w:rPr>
        <w:t>Given the absence of specific antidotes for these substances, we recommend immediate gastric lavage within two hours of ingestion and rigorous symptomatic and supportive care in the Intensive Care Unit (ICU) for a minimum of 72 hours. This proactive approach aims to mitigate the potential deliberate side effects that may manifest in the future.</w:t>
      </w:r>
    </w:p>
    <w:p w14:paraId="272D540A" w14:textId="77777777" w:rsidR="001F0B8A" w:rsidRPr="00256846" w:rsidRDefault="001F0B8A" w:rsidP="00256846">
      <w:pPr>
        <w:jc w:val="both"/>
        <w:rPr>
          <w:rFonts w:cstheme="minorHAnsi"/>
          <w:sz w:val="24"/>
          <w:szCs w:val="24"/>
        </w:rPr>
      </w:pPr>
    </w:p>
    <w:p w14:paraId="41ED52F7" w14:textId="77777777" w:rsidR="00765ACD" w:rsidRPr="009A0AC6" w:rsidRDefault="00765ACD" w:rsidP="009A0AC6">
      <w:pPr>
        <w:pStyle w:val="ListParagraph"/>
        <w:numPr>
          <w:ilvl w:val="0"/>
          <w:numId w:val="1"/>
        </w:numPr>
        <w:jc w:val="both"/>
        <w:rPr>
          <w:rFonts w:cstheme="minorHAnsi"/>
          <w:sz w:val="24"/>
          <w:szCs w:val="24"/>
        </w:rPr>
      </w:pPr>
      <w:r w:rsidRPr="009A0AC6">
        <w:rPr>
          <w:rFonts w:cstheme="minorHAnsi"/>
          <w:sz w:val="24"/>
          <w:szCs w:val="24"/>
        </w:rPr>
        <w:t>Discussion</w:t>
      </w:r>
    </w:p>
    <w:p w14:paraId="48FF812C" w14:textId="1AF798B0" w:rsidR="000B0C52" w:rsidRPr="009A0AC6" w:rsidRDefault="000B0C52" w:rsidP="009A0AC6">
      <w:pPr>
        <w:pStyle w:val="ListParagraph"/>
        <w:jc w:val="both"/>
        <w:rPr>
          <w:rFonts w:cstheme="minorHAnsi"/>
          <w:sz w:val="24"/>
          <w:szCs w:val="24"/>
        </w:rPr>
      </w:pPr>
      <w:r w:rsidRPr="009A0AC6">
        <w:rPr>
          <w:rFonts w:cstheme="minorHAnsi"/>
          <w:sz w:val="24"/>
          <w:szCs w:val="24"/>
        </w:rPr>
        <w:t xml:space="preserve">Lindane, identified as the γ isomer of benzene hexachloride, is recognized for its insecticidal attributes. While banned in agricultural </w:t>
      </w:r>
      <w:r w:rsidRPr="00973912">
        <w:rPr>
          <w:rFonts w:cstheme="minorHAnsi"/>
          <w:sz w:val="24"/>
          <w:szCs w:val="24"/>
        </w:rPr>
        <w:t xml:space="preserve">applications, it persists for therapeutic use in </w:t>
      </w:r>
      <w:proofErr w:type="spellStart"/>
      <w:r w:rsidRPr="00973912">
        <w:rPr>
          <w:rFonts w:cstheme="minorHAnsi"/>
          <w:sz w:val="24"/>
          <w:szCs w:val="24"/>
        </w:rPr>
        <w:t>scabicidal</w:t>
      </w:r>
      <w:proofErr w:type="spellEnd"/>
      <w:r w:rsidRPr="00973912">
        <w:rPr>
          <w:rFonts w:cstheme="minorHAnsi"/>
          <w:sz w:val="24"/>
          <w:szCs w:val="24"/>
        </w:rPr>
        <w:t xml:space="preserve"> lotions and shampoos. Lindane is employed as a secondary measure, subject to restrictions in certain regions such as California</w:t>
      </w:r>
      <w:r w:rsidR="002E6586" w:rsidRPr="00973912">
        <w:rPr>
          <w:rFonts w:cstheme="minorHAnsi"/>
          <w:sz w:val="24"/>
          <w:szCs w:val="24"/>
        </w:rPr>
        <w:t xml:space="preserve"> (10)</w:t>
      </w:r>
      <w:r w:rsidR="009375CD" w:rsidRPr="00973912">
        <w:rPr>
          <w:rFonts w:cstheme="minorHAnsi"/>
          <w:sz w:val="24"/>
          <w:szCs w:val="24"/>
        </w:rPr>
        <w:t xml:space="preserve"> and </w:t>
      </w:r>
      <w:r w:rsidR="00900128">
        <w:rPr>
          <w:rFonts w:cstheme="minorHAnsi"/>
          <w:sz w:val="24"/>
          <w:szCs w:val="24"/>
        </w:rPr>
        <w:t xml:space="preserve">was </w:t>
      </w:r>
      <w:r w:rsidR="009375CD" w:rsidRPr="00973912">
        <w:rPr>
          <w:rFonts w:cstheme="minorHAnsi"/>
          <w:sz w:val="24"/>
          <w:szCs w:val="24"/>
        </w:rPr>
        <w:t>banned for formulat</w:t>
      </w:r>
      <w:r w:rsidR="00900128">
        <w:rPr>
          <w:rFonts w:cstheme="minorHAnsi"/>
          <w:sz w:val="24"/>
          <w:szCs w:val="24"/>
        </w:rPr>
        <w:t>ion</w:t>
      </w:r>
      <w:r w:rsidR="009375CD" w:rsidRPr="00973912">
        <w:rPr>
          <w:rFonts w:cstheme="minorHAnsi"/>
          <w:sz w:val="24"/>
          <w:szCs w:val="24"/>
        </w:rPr>
        <w:t xml:space="preserve"> and use </w:t>
      </w:r>
      <w:r w:rsidR="00900128">
        <w:rPr>
          <w:rFonts w:cstheme="minorHAnsi"/>
          <w:sz w:val="24"/>
          <w:szCs w:val="24"/>
        </w:rPr>
        <w:t xml:space="preserve">in </w:t>
      </w:r>
      <w:r w:rsidR="009375CD" w:rsidRPr="00973912">
        <w:rPr>
          <w:rFonts w:cstheme="minorHAnsi"/>
          <w:sz w:val="24"/>
          <w:szCs w:val="24"/>
        </w:rPr>
        <w:t>2022 in Nepal (11).</w:t>
      </w:r>
      <w:r w:rsidRPr="009375CD">
        <w:rPr>
          <w:rFonts w:cstheme="minorHAnsi"/>
          <w:color w:val="FF0000"/>
          <w:sz w:val="24"/>
          <w:szCs w:val="24"/>
        </w:rPr>
        <w:t xml:space="preserve"> </w:t>
      </w:r>
      <w:r w:rsidRPr="009A0AC6">
        <w:rPr>
          <w:rFonts w:cstheme="minorHAnsi"/>
          <w:sz w:val="24"/>
          <w:szCs w:val="24"/>
        </w:rPr>
        <w:t xml:space="preserve">It, along with </w:t>
      </w:r>
      <w:proofErr w:type="spellStart"/>
      <w:r w:rsidRPr="009A0AC6">
        <w:rPr>
          <w:rFonts w:cstheme="minorHAnsi"/>
          <w:sz w:val="24"/>
          <w:szCs w:val="24"/>
        </w:rPr>
        <w:t>cyclodienes</w:t>
      </w:r>
      <w:proofErr w:type="spellEnd"/>
      <w:r w:rsidRPr="009A0AC6">
        <w:rPr>
          <w:rFonts w:cstheme="minorHAnsi"/>
          <w:sz w:val="24"/>
          <w:szCs w:val="24"/>
        </w:rPr>
        <w:t>, operates by binding to the picrotoxin site on the chloride channel, impeding its opening and antagonizing the inhibitory effects of gamma-aminobutyric acid (GABA</w:t>
      </w:r>
      <w:r w:rsidR="002E6586" w:rsidRPr="009A0AC6">
        <w:rPr>
          <w:rFonts w:cstheme="minorHAnsi"/>
          <w:sz w:val="24"/>
          <w:szCs w:val="24"/>
        </w:rPr>
        <w:t>) (1</w:t>
      </w:r>
      <w:r w:rsidR="00973912">
        <w:rPr>
          <w:rFonts w:cstheme="minorHAnsi"/>
          <w:sz w:val="24"/>
          <w:szCs w:val="24"/>
        </w:rPr>
        <w:t>2</w:t>
      </w:r>
      <w:r w:rsidR="002E6586" w:rsidRPr="009A0AC6">
        <w:rPr>
          <w:rFonts w:cstheme="minorHAnsi"/>
          <w:sz w:val="24"/>
          <w:szCs w:val="24"/>
        </w:rPr>
        <w:t>).</w:t>
      </w:r>
      <w:r w:rsidRPr="009A0AC6">
        <w:rPr>
          <w:rFonts w:cstheme="minorHAnsi"/>
          <w:sz w:val="24"/>
          <w:szCs w:val="24"/>
        </w:rPr>
        <w:t xml:space="preserve"> Lindane ingestion typically leads to vomiting, central nervous system stimulation, and seizures within 1-2 hours</w:t>
      </w:r>
      <w:r w:rsidR="002E6586" w:rsidRPr="009A0AC6">
        <w:rPr>
          <w:rFonts w:cstheme="minorHAnsi"/>
          <w:sz w:val="24"/>
          <w:szCs w:val="24"/>
        </w:rPr>
        <w:t xml:space="preserve"> (4)</w:t>
      </w:r>
      <w:r w:rsidRPr="009A0AC6">
        <w:rPr>
          <w:rFonts w:cstheme="minorHAnsi"/>
          <w:sz w:val="24"/>
          <w:szCs w:val="24"/>
        </w:rPr>
        <w:t>, but these symptoms were not evident in our case.</w:t>
      </w:r>
    </w:p>
    <w:p w14:paraId="1C05B9BA" w14:textId="1A51E813" w:rsidR="000B0C52" w:rsidRPr="009A0AC6" w:rsidRDefault="000B0C52" w:rsidP="009A0AC6">
      <w:pPr>
        <w:pStyle w:val="ListParagraph"/>
        <w:jc w:val="both"/>
        <w:rPr>
          <w:rFonts w:cstheme="minorHAnsi"/>
          <w:sz w:val="24"/>
          <w:szCs w:val="24"/>
        </w:rPr>
      </w:pPr>
      <w:r w:rsidRPr="009A0AC6">
        <w:rPr>
          <w:rFonts w:cstheme="minorHAnsi"/>
          <w:sz w:val="24"/>
          <w:szCs w:val="24"/>
        </w:rPr>
        <w:t xml:space="preserve">In most instances, ingestion of </w:t>
      </w:r>
      <w:proofErr w:type="spellStart"/>
      <w:r w:rsidRPr="009A0AC6">
        <w:rPr>
          <w:rFonts w:cstheme="minorHAnsi"/>
          <w:sz w:val="24"/>
          <w:szCs w:val="24"/>
        </w:rPr>
        <w:t>Savlon</w:t>
      </w:r>
      <w:proofErr w:type="spellEnd"/>
      <w:r w:rsidR="002E6586" w:rsidRPr="009A0AC6">
        <w:rPr>
          <w:rFonts w:cstheme="minorHAnsi"/>
          <w:sz w:val="24"/>
          <w:szCs w:val="24"/>
        </w:rPr>
        <w:t xml:space="preserve">, an antiseptic liquid, </w:t>
      </w:r>
      <w:r w:rsidRPr="009A0AC6">
        <w:rPr>
          <w:rFonts w:cstheme="minorHAnsi"/>
          <w:sz w:val="24"/>
          <w:szCs w:val="24"/>
        </w:rPr>
        <w:t>results in relatively mild symptoms like nausea and vomiting</w:t>
      </w:r>
      <w:r w:rsidR="002E6586" w:rsidRPr="009A0AC6">
        <w:rPr>
          <w:rFonts w:cstheme="minorHAnsi"/>
          <w:sz w:val="24"/>
          <w:szCs w:val="24"/>
        </w:rPr>
        <w:t xml:space="preserve"> (8).</w:t>
      </w:r>
      <w:r w:rsidRPr="009A0AC6">
        <w:rPr>
          <w:rFonts w:cstheme="minorHAnsi"/>
          <w:sz w:val="24"/>
          <w:szCs w:val="24"/>
        </w:rPr>
        <w:t xml:space="preserve"> E.S. Mucklow documented cases of accidental ingestion of a dilute antiseptic solution by infants, causing caustic burns</w:t>
      </w:r>
      <w:r w:rsidR="002E6586" w:rsidRPr="009A0AC6">
        <w:rPr>
          <w:rFonts w:cstheme="minorHAnsi"/>
          <w:sz w:val="24"/>
          <w:szCs w:val="24"/>
        </w:rPr>
        <w:t xml:space="preserve"> (</w:t>
      </w:r>
      <w:r w:rsidR="009A0AC6" w:rsidRPr="009A0AC6">
        <w:rPr>
          <w:rFonts w:cstheme="minorHAnsi"/>
          <w:sz w:val="24"/>
          <w:szCs w:val="24"/>
        </w:rPr>
        <w:t>1</w:t>
      </w:r>
      <w:r w:rsidR="00973912">
        <w:rPr>
          <w:rFonts w:cstheme="minorHAnsi"/>
          <w:sz w:val="24"/>
          <w:szCs w:val="24"/>
        </w:rPr>
        <w:t>3</w:t>
      </w:r>
      <w:r w:rsidR="002E6586" w:rsidRPr="009A0AC6">
        <w:rPr>
          <w:rFonts w:cstheme="minorHAnsi"/>
          <w:sz w:val="24"/>
          <w:szCs w:val="24"/>
        </w:rPr>
        <w:t>).</w:t>
      </w:r>
      <w:r w:rsidRPr="009A0AC6">
        <w:rPr>
          <w:rFonts w:cstheme="minorHAnsi"/>
          <w:sz w:val="24"/>
          <w:szCs w:val="24"/>
        </w:rPr>
        <w:t xml:space="preserve"> Symptoms included throat pain, minor hematemesis, and abdominal pain, with one severe case marked by acute pulmonary </w:t>
      </w:r>
      <w:proofErr w:type="spellStart"/>
      <w:r w:rsidRPr="009A0AC6">
        <w:rPr>
          <w:rFonts w:cstheme="minorHAnsi"/>
          <w:sz w:val="24"/>
          <w:szCs w:val="24"/>
        </w:rPr>
        <w:t>edema</w:t>
      </w:r>
      <w:proofErr w:type="spellEnd"/>
      <w:r w:rsidRPr="009A0AC6">
        <w:rPr>
          <w:rFonts w:cstheme="minorHAnsi"/>
          <w:sz w:val="24"/>
          <w:szCs w:val="24"/>
        </w:rPr>
        <w:t xml:space="preserve">. However, </w:t>
      </w:r>
      <w:r w:rsidR="00900128">
        <w:rPr>
          <w:rFonts w:cstheme="minorHAnsi"/>
          <w:sz w:val="24"/>
          <w:szCs w:val="24"/>
        </w:rPr>
        <w:t xml:space="preserve">in </w:t>
      </w:r>
      <w:r w:rsidRPr="009A0AC6">
        <w:rPr>
          <w:rFonts w:cstheme="minorHAnsi"/>
          <w:sz w:val="24"/>
          <w:szCs w:val="24"/>
        </w:rPr>
        <w:t xml:space="preserve">our </w:t>
      </w:r>
      <w:r w:rsidR="002E6586" w:rsidRPr="009A0AC6">
        <w:rPr>
          <w:rFonts w:cstheme="minorHAnsi"/>
          <w:sz w:val="24"/>
          <w:szCs w:val="24"/>
        </w:rPr>
        <w:t>case</w:t>
      </w:r>
      <w:r w:rsidRPr="009A0AC6">
        <w:rPr>
          <w:rFonts w:cstheme="minorHAnsi"/>
          <w:sz w:val="24"/>
          <w:szCs w:val="24"/>
        </w:rPr>
        <w:t xml:space="preserve">, despite ingesting </w:t>
      </w:r>
      <w:proofErr w:type="spellStart"/>
      <w:r w:rsidRPr="009A0AC6">
        <w:rPr>
          <w:rFonts w:cstheme="minorHAnsi"/>
          <w:sz w:val="24"/>
          <w:szCs w:val="24"/>
        </w:rPr>
        <w:t>Savlon</w:t>
      </w:r>
      <w:proofErr w:type="spellEnd"/>
      <w:r w:rsidRPr="009A0AC6">
        <w:rPr>
          <w:rFonts w:cstheme="minorHAnsi"/>
          <w:sz w:val="24"/>
          <w:szCs w:val="24"/>
        </w:rPr>
        <w:t xml:space="preserve">, </w:t>
      </w:r>
      <w:r w:rsidR="00900128">
        <w:rPr>
          <w:rFonts w:cstheme="minorHAnsi"/>
          <w:sz w:val="24"/>
          <w:szCs w:val="24"/>
        </w:rPr>
        <w:t xml:space="preserve">the case </w:t>
      </w:r>
      <w:r w:rsidRPr="009A0AC6">
        <w:rPr>
          <w:rFonts w:cstheme="minorHAnsi"/>
          <w:sz w:val="24"/>
          <w:szCs w:val="24"/>
        </w:rPr>
        <w:t>experienced only vomiting and loss of consciousness, possibly due to prompt nasogastric lavage within an hour of ingestion.</w:t>
      </w:r>
    </w:p>
    <w:p w14:paraId="26E4A27D" w14:textId="6E75731A" w:rsidR="00F45378" w:rsidRPr="009A0AC6" w:rsidRDefault="00F45378" w:rsidP="009A0AC6">
      <w:pPr>
        <w:pStyle w:val="ListParagraph"/>
        <w:jc w:val="both"/>
        <w:rPr>
          <w:rFonts w:cstheme="minorHAnsi"/>
          <w:sz w:val="24"/>
          <w:szCs w:val="24"/>
        </w:rPr>
      </w:pPr>
      <w:r w:rsidRPr="009A0AC6">
        <w:rPr>
          <w:rFonts w:cstheme="minorHAnsi"/>
          <w:sz w:val="24"/>
          <w:szCs w:val="24"/>
        </w:rPr>
        <w:t>Nordt and Chew's study reported three toddlers orally ingesting lindane, resulting in nausea and central nervous system toxicity. Fortunately, all children fully recovered without complications</w:t>
      </w:r>
      <w:r w:rsidR="002E6586" w:rsidRPr="009A0AC6">
        <w:rPr>
          <w:rFonts w:cstheme="minorHAnsi"/>
          <w:sz w:val="24"/>
          <w:szCs w:val="24"/>
        </w:rPr>
        <w:t xml:space="preserve"> (</w:t>
      </w:r>
      <w:r w:rsidR="009A0AC6" w:rsidRPr="009A0AC6">
        <w:rPr>
          <w:rFonts w:cstheme="minorHAnsi"/>
          <w:sz w:val="24"/>
          <w:szCs w:val="24"/>
        </w:rPr>
        <w:t>1</w:t>
      </w:r>
      <w:r w:rsidR="00973912">
        <w:rPr>
          <w:rFonts w:cstheme="minorHAnsi"/>
          <w:sz w:val="24"/>
          <w:szCs w:val="24"/>
        </w:rPr>
        <w:t>4</w:t>
      </w:r>
      <w:r w:rsidR="002E6586" w:rsidRPr="009A0AC6">
        <w:rPr>
          <w:rFonts w:cstheme="minorHAnsi"/>
          <w:sz w:val="24"/>
          <w:szCs w:val="24"/>
        </w:rPr>
        <w:t>).</w:t>
      </w:r>
      <w:r w:rsidRPr="009A0AC6">
        <w:rPr>
          <w:rFonts w:cstheme="minorHAnsi"/>
          <w:sz w:val="24"/>
          <w:szCs w:val="24"/>
        </w:rPr>
        <w:t xml:space="preserve"> The rapid CNS recovery, despite a substantial total body burden, was attributed to lindane redistribution to the bloodstream and adipose tissue. Prompt vomiting and nasogastric lavage likely prevented convulsive episodes, presenting a contrast to the findings in a different study. In our case, immediate lavage after loss of consciousness averted further CNS complications.</w:t>
      </w:r>
    </w:p>
    <w:p w14:paraId="5596923F" w14:textId="4ADE4E43" w:rsidR="00F648A5" w:rsidRPr="009A0AC6" w:rsidRDefault="00F45378" w:rsidP="009A0AC6">
      <w:pPr>
        <w:pStyle w:val="ListParagraph"/>
        <w:jc w:val="both"/>
        <w:rPr>
          <w:rFonts w:cstheme="minorHAnsi"/>
          <w:sz w:val="24"/>
          <w:szCs w:val="24"/>
        </w:rPr>
      </w:pPr>
      <w:r w:rsidRPr="009A0AC6">
        <w:rPr>
          <w:rFonts w:cstheme="minorHAnsi"/>
          <w:sz w:val="24"/>
          <w:szCs w:val="24"/>
        </w:rPr>
        <w:t xml:space="preserve">Similar to Thomas Y.K. Chan's study on </w:t>
      </w:r>
      <w:proofErr w:type="spellStart"/>
      <w:r w:rsidRPr="009A0AC6">
        <w:rPr>
          <w:rFonts w:cstheme="minorHAnsi"/>
          <w:sz w:val="24"/>
          <w:szCs w:val="24"/>
        </w:rPr>
        <w:t>Savlon</w:t>
      </w:r>
      <w:proofErr w:type="spellEnd"/>
      <w:r w:rsidRPr="009A0AC6">
        <w:rPr>
          <w:rFonts w:cstheme="minorHAnsi"/>
          <w:sz w:val="24"/>
          <w:szCs w:val="24"/>
        </w:rPr>
        <w:t xml:space="preserve"> poisoning, our patient experienced self-limiting nausea and vomiting within 24 hours</w:t>
      </w:r>
      <w:r w:rsidR="002E6586" w:rsidRPr="009A0AC6">
        <w:rPr>
          <w:rFonts w:cstheme="minorHAnsi"/>
          <w:sz w:val="24"/>
          <w:szCs w:val="24"/>
        </w:rPr>
        <w:t xml:space="preserve"> (8)</w:t>
      </w:r>
      <w:r w:rsidRPr="009A0AC6">
        <w:rPr>
          <w:rFonts w:cstheme="minorHAnsi"/>
          <w:sz w:val="24"/>
          <w:szCs w:val="24"/>
        </w:rPr>
        <w:t>. However, the absence of hematemesis, abdominal pain, and pulmonary symptoms distinguishes our case from some in Chan's study</w:t>
      </w:r>
      <w:r w:rsidR="002E6586" w:rsidRPr="009A0AC6">
        <w:rPr>
          <w:rFonts w:cstheme="minorHAnsi"/>
          <w:sz w:val="24"/>
          <w:szCs w:val="24"/>
        </w:rPr>
        <w:t xml:space="preserve"> (8).</w:t>
      </w:r>
    </w:p>
    <w:p w14:paraId="28A50472" w14:textId="68A0DE0E" w:rsidR="00D528E4" w:rsidRDefault="00F45378" w:rsidP="00053E88">
      <w:pPr>
        <w:pStyle w:val="ListParagraph"/>
        <w:jc w:val="both"/>
        <w:rPr>
          <w:rFonts w:cstheme="minorHAnsi"/>
          <w:sz w:val="24"/>
          <w:szCs w:val="24"/>
        </w:rPr>
      </w:pPr>
      <w:r w:rsidRPr="009A0AC6">
        <w:rPr>
          <w:rFonts w:cstheme="minorHAnsi"/>
          <w:sz w:val="24"/>
          <w:szCs w:val="24"/>
        </w:rPr>
        <w:lastRenderedPageBreak/>
        <w:t>In managing lindane toxicity, seizure control takes precedence due to its impact on GABA. Benzodiazepines like diazepam or lorazepam, acting as GABA agonists, are effective in promptly managing seizures. The lack of additional complications aligns with existing studies</w:t>
      </w:r>
      <w:r w:rsidR="002E6586" w:rsidRPr="009A0AC6">
        <w:rPr>
          <w:rFonts w:cstheme="minorHAnsi"/>
          <w:sz w:val="24"/>
          <w:szCs w:val="24"/>
        </w:rPr>
        <w:t xml:space="preserve"> (</w:t>
      </w:r>
      <w:r w:rsidR="009A0AC6" w:rsidRPr="009A0AC6">
        <w:rPr>
          <w:rFonts w:cstheme="minorHAnsi"/>
          <w:sz w:val="24"/>
          <w:szCs w:val="24"/>
        </w:rPr>
        <w:t>1</w:t>
      </w:r>
      <w:r w:rsidR="00973912">
        <w:rPr>
          <w:rFonts w:cstheme="minorHAnsi"/>
          <w:sz w:val="24"/>
          <w:szCs w:val="24"/>
        </w:rPr>
        <w:t>5</w:t>
      </w:r>
      <w:r w:rsidR="002E6586" w:rsidRPr="009A0AC6">
        <w:rPr>
          <w:rFonts w:cstheme="minorHAnsi"/>
          <w:sz w:val="24"/>
          <w:szCs w:val="24"/>
        </w:rPr>
        <w:t>)</w:t>
      </w:r>
      <w:r w:rsidRPr="009A0AC6">
        <w:rPr>
          <w:rFonts w:cstheme="minorHAnsi"/>
          <w:sz w:val="24"/>
          <w:szCs w:val="24"/>
        </w:rPr>
        <w:t>,</w:t>
      </w:r>
      <w:r w:rsidRPr="009A0AC6">
        <w:rPr>
          <w:rFonts w:cstheme="minorHAnsi"/>
          <w:color w:val="FF0000"/>
          <w:sz w:val="24"/>
          <w:szCs w:val="24"/>
        </w:rPr>
        <w:t xml:space="preserve"> </w:t>
      </w:r>
      <w:r w:rsidRPr="009A0AC6">
        <w:rPr>
          <w:rFonts w:cstheme="minorHAnsi"/>
          <w:sz w:val="24"/>
          <w:szCs w:val="24"/>
        </w:rPr>
        <w:t>highlighting supportive treatment and vigilant monitoring for convulsive episodes and respiratory distress associated with Lindane and Cetrimide exposure.</w:t>
      </w:r>
    </w:p>
    <w:p w14:paraId="2B8D5B34" w14:textId="77777777" w:rsidR="00053E88" w:rsidRPr="00256846" w:rsidRDefault="00053E88" w:rsidP="00256846">
      <w:pPr>
        <w:jc w:val="both"/>
        <w:rPr>
          <w:rFonts w:cstheme="minorHAnsi"/>
          <w:sz w:val="24"/>
          <w:szCs w:val="24"/>
        </w:rPr>
      </w:pPr>
    </w:p>
    <w:p w14:paraId="07119FB9" w14:textId="3BA32D16" w:rsidR="00765ACD" w:rsidRPr="009A0AC6" w:rsidRDefault="00765ACD" w:rsidP="00E419D1">
      <w:pPr>
        <w:pStyle w:val="ListParagraph"/>
        <w:jc w:val="both"/>
        <w:rPr>
          <w:rFonts w:cstheme="minorHAnsi"/>
          <w:sz w:val="28"/>
          <w:szCs w:val="28"/>
        </w:rPr>
      </w:pPr>
      <w:r w:rsidRPr="009A0AC6">
        <w:rPr>
          <w:rFonts w:cstheme="minorHAnsi"/>
          <w:sz w:val="24"/>
          <w:szCs w:val="24"/>
        </w:rPr>
        <w:t>References</w:t>
      </w:r>
      <w:r w:rsidRPr="009A0AC6">
        <w:rPr>
          <w:rFonts w:cstheme="minorHAnsi"/>
          <w:sz w:val="28"/>
          <w:szCs w:val="28"/>
        </w:rPr>
        <w:t xml:space="preserve"> </w:t>
      </w:r>
    </w:p>
    <w:p w14:paraId="55A7544A" w14:textId="77777777" w:rsidR="004D4772" w:rsidRPr="004D4772" w:rsidRDefault="004D4772" w:rsidP="004D4772">
      <w:pPr>
        <w:pStyle w:val="ListParagraph"/>
        <w:numPr>
          <w:ilvl w:val="0"/>
          <w:numId w:val="9"/>
        </w:numPr>
        <w:jc w:val="both"/>
        <w:rPr>
          <w:rFonts w:cstheme="minorHAnsi"/>
          <w:sz w:val="24"/>
          <w:szCs w:val="24"/>
        </w:rPr>
      </w:pPr>
      <w:r w:rsidRPr="004D4772">
        <w:rPr>
          <w:rFonts w:cstheme="minorHAnsi"/>
          <w:sz w:val="24"/>
          <w:szCs w:val="24"/>
        </w:rPr>
        <w:t xml:space="preserve">Wilkinson, C. (1988). Is the treatment of scabies hazardous? </w:t>
      </w:r>
      <w:r w:rsidRPr="004D4772">
        <w:rPr>
          <w:rFonts w:cstheme="minorHAnsi"/>
          <w:i/>
          <w:iCs/>
          <w:sz w:val="24"/>
          <w:szCs w:val="24"/>
        </w:rPr>
        <w:t>The Journal of the Royal College of General Practitioners, 38</w:t>
      </w:r>
      <w:r w:rsidRPr="004D4772">
        <w:rPr>
          <w:rFonts w:cstheme="minorHAnsi"/>
          <w:sz w:val="24"/>
          <w:szCs w:val="24"/>
        </w:rPr>
        <w:t>(315), 468-469.</w:t>
      </w:r>
    </w:p>
    <w:p w14:paraId="0F596BA9" w14:textId="77777777" w:rsidR="004D4772" w:rsidRPr="004D4772" w:rsidRDefault="004D4772" w:rsidP="004D4772">
      <w:pPr>
        <w:pStyle w:val="ListParagraph"/>
        <w:numPr>
          <w:ilvl w:val="0"/>
          <w:numId w:val="9"/>
        </w:numPr>
        <w:jc w:val="both"/>
        <w:rPr>
          <w:rFonts w:cstheme="minorHAnsi"/>
          <w:sz w:val="24"/>
          <w:szCs w:val="24"/>
        </w:rPr>
      </w:pPr>
      <w:r w:rsidRPr="004D4772">
        <w:rPr>
          <w:rFonts w:cstheme="minorHAnsi"/>
          <w:sz w:val="24"/>
          <w:szCs w:val="24"/>
        </w:rPr>
        <w:t xml:space="preserve">Nolan, K., Kamrath, J., &amp; Levitt, J. (2012). Lindane Toxicity: A Comprehensive Review of the Medical Literature. </w:t>
      </w:r>
      <w:proofErr w:type="spellStart"/>
      <w:r w:rsidRPr="004D4772">
        <w:rPr>
          <w:rFonts w:cstheme="minorHAnsi"/>
          <w:i/>
          <w:iCs/>
          <w:sz w:val="24"/>
          <w:szCs w:val="24"/>
        </w:rPr>
        <w:t>Pediatric</w:t>
      </w:r>
      <w:proofErr w:type="spellEnd"/>
      <w:r w:rsidRPr="004D4772">
        <w:rPr>
          <w:rFonts w:cstheme="minorHAnsi"/>
          <w:i/>
          <w:iCs/>
          <w:sz w:val="24"/>
          <w:szCs w:val="24"/>
        </w:rPr>
        <w:t xml:space="preserve"> Dermatology, 29</w:t>
      </w:r>
      <w:r w:rsidRPr="004D4772">
        <w:rPr>
          <w:rFonts w:cstheme="minorHAnsi"/>
          <w:sz w:val="24"/>
          <w:szCs w:val="24"/>
        </w:rPr>
        <w:t xml:space="preserve">(2), 141–146. </w:t>
      </w:r>
      <w:hyperlink r:id="rId7" w:tgtFrame="_new" w:history="1">
        <w:r w:rsidRPr="004D4772">
          <w:rPr>
            <w:rStyle w:val="Hyperlink"/>
            <w:rFonts w:cstheme="minorHAnsi"/>
            <w:sz w:val="24"/>
            <w:szCs w:val="24"/>
          </w:rPr>
          <w:t>https://onlinelibrary.wiley.com/doi/abs/10.1111/j.1525-1470.2011.01519.x</w:t>
        </w:r>
      </w:hyperlink>
    </w:p>
    <w:p w14:paraId="7483DE86" w14:textId="77777777" w:rsidR="004D4772" w:rsidRPr="004D4772" w:rsidRDefault="004D4772" w:rsidP="004D4772">
      <w:pPr>
        <w:pStyle w:val="ListParagraph"/>
        <w:numPr>
          <w:ilvl w:val="0"/>
          <w:numId w:val="9"/>
        </w:numPr>
        <w:jc w:val="both"/>
        <w:rPr>
          <w:rFonts w:cstheme="minorHAnsi"/>
          <w:sz w:val="24"/>
          <w:szCs w:val="24"/>
        </w:rPr>
      </w:pPr>
      <w:proofErr w:type="spellStart"/>
      <w:r w:rsidRPr="004D4772">
        <w:rPr>
          <w:rFonts w:cstheme="minorHAnsi"/>
          <w:sz w:val="24"/>
          <w:szCs w:val="24"/>
        </w:rPr>
        <w:t>Narahashi</w:t>
      </w:r>
      <w:proofErr w:type="spellEnd"/>
      <w:r w:rsidRPr="004D4772">
        <w:rPr>
          <w:rFonts w:cstheme="minorHAnsi"/>
          <w:sz w:val="24"/>
          <w:szCs w:val="24"/>
        </w:rPr>
        <w:t xml:space="preserve">, T., Frey, J. M., Ginsburg, K. S., &amp; Roy, M. L. (1992). Sodium and GABA-activated channels as the targets of pyrethroids and </w:t>
      </w:r>
      <w:proofErr w:type="spellStart"/>
      <w:r w:rsidRPr="004D4772">
        <w:rPr>
          <w:rFonts w:cstheme="minorHAnsi"/>
          <w:sz w:val="24"/>
          <w:szCs w:val="24"/>
        </w:rPr>
        <w:t>cyclodienes</w:t>
      </w:r>
      <w:proofErr w:type="spellEnd"/>
      <w:r w:rsidRPr="004D4772">
        <w:rPr>
          <w:rFonts w:cstheme="minorHAnsi"/>
          <w:sz w:val="24"/>
          <w:szCs w:val="24"/>
        </w:rPr>
        <w:t xml:space="preserve">. </w:t>
      </w:r>
      <w:r w:rsidRPr="004D4772">
        <w:rPr>
          <w:rFonts w:cstheme="minorHAnsi"/>
          <w:i/>
          <w:iCs/>
          <w:sz w:val="24"/>
          <w:szCs w:val="24"/>
        </w:rPr>
        <w:t>Toxicology Letters, 64-65</w:t>
      </w:r>
      <w:r w:rsidRPr="004D4772">
        <w:rPr>
          <w:rFonts w:cstheme="minorHAnsi"/>
          <w:sz w:val="24"/>
          <w:szCs w:val="24"/>
        </w:rPr>
        <w:t>, 429-436.</w:t>
      </w:r>
    </w:p>
    <w:p w14:paraId="01FCBA5D" w14:textId="77777777" w:rsidR="004D4772" w:rsidRPr="004D4772" w:rsidRDefault="004D4772" w:rsidP="004D4772">
      <w:pPr>
        <w:pStyle w:val="ListParagraph"/>
        <w:numPr>
          <w:ilvl w:val="0"/>
          <w:numId w:val="9"/>
        </w:numPr>
        <w:jc w:val="both"/>
        <w:rPr>
          <w:rFonts w:cstheme="minorHAnsi"/>
          <w:sz w:val="24"/>
          <w:szCs w:val="24"/>
        </w:rPr>
      </w:pPr>
      <w:proofErr w:type="spellStart"/>
      <w:r w:rsidRPr="004D4772">
        <w:rPr>
          <w:rFonts w:cstheme="minorHAnsi"/>
          <w:sz w:val="24"/>
          <w:szCs w:val="24"/>
        </w:rPr>
        <w:t>Tenenbein</w:t>
      </w:r>
      <w:proofErr w:type="spellEnd"/>
      <w:r w:rsidRPr="004D4772">
        <w:rPr>
          <w:rFonts w:cstheme="minorHAnsi"/>
          <w:sz w:val="24"/>
          <w:szCs w:val="24"/>
        </w:rPr>
        <w:t xml:space="preserve">, M. (1991). Seizures after lindane therapy. </w:t>
      </w:r>
      <w:r w:rsidRPr="004D4772">
        <w:rPr>
          <w:rFonts w:cstheme="minorHAnsi"/>
          <w:i/>
          <w:iCs/>
          <w:sz w:val="24"/>
          <w:szCs w:val="24"/>
        </w:rPr>
        <w:t>Journal of the American Geriatrics Society, 39</w:t>
      </w:r>
      <w:r w:rsidRPr="004D4772">
        <w:rPr>
          <w:rFonts w:cstheme="minorHAnsi"/>
          <w:sz w:val="24"/>
          <w:szCs w:val="24"/>
        </w:rPr>
        <w:t>, 394-395.</w:t>
      </w:r>
    </w:p>
    <w:p w14:paraId="578622AD" w14:textId="77777777" w:rsidR="004D4772" w:rsidRPr="004D4772" w:rsidRDefault="004D4772" w:rsidP="004D4772">
      <w:pPr>
        <w:pStyle w:val="ListParagraph"/>
        <w:numPr>
          <w:ilvl w:val="0"/>
          <w:numId w:val="9"/>
        </w:numPr>
        <w:jc w:val="both"/>
        <w:rPr>
          <w:rFonts w:cstheme="minorHAnsi"/>
          <w:sz w:val="24"/>
          <w:szCs w:val="24"/>
        </w:rPr>
      </w:pPr>
      <w:proofErr w:type="spellStart"/>
      <w:r w:rsidRPr="004D4772">
        <w:rPr>
          <w:rFonts w:cstheme="minorHAnsi"/>
          <w:sz w:val="24"/>
          <w:szCs w:val="24"/>
        </w:rPr>
        <w:t>Centers</w:t>
      </w:r>
      <w:proofErr w:type="spellEnd"/>
      <w:r w:rsidRPr="004D4772">
        <w:rPr>
          <w:rFonts w:cstheme="minorHAnsi"/>
          <w:sz w:val="24"/>
          <w:szCs w:val="24"/>
        </w:rPr>
        <w:t xml:space="preserve"> for Disease Control and Prevention (CDC). (2005, May 27). Neurologic illness associated with occupational exposure to the solvent 1-bromopropane - New Jersey and Pennsylvania, 2007-2008. </w:t>
      </w:r>
      <w:r w:rsidRPr="004D4772">
        <w:rPr>
          <w:rFonts w:cstheme="minorHAnsi"/>
          <w:i/>
          <w:iCs/>
          <w:sz w:val="24"/>
          <w:szCs w:val="24"/>
        </w:rPr>
        <w:t>MMWR Morbidity and Mortality Weekly Report, 54</w:t>
      </w:r>
      <w:r w:rsidRPr="004D4772">
        <w:rPr>
          <w:rFonts w:cstheme="minorHAnsi"/>
          <w:sz w:val="24"/>
          <w:szCs w:val="24"/>
        </w:rPr>
        <w:t xml:space="preserve">(20), 513-516. </w:t>
      </w:r>
      <w:hyperlink r:id="rId8" w:tgtFrame="_new" w:history="1">
        <w:r w:rsidRPr="004D4772">
          <w:rPr>
            <w:rStyle w:val="Hyperlink"/>
            <w:rFonts w:cstheme="minorHAnsi"/>
            <w:sz w:val="24"/>
            <w:szCs w:val="24"/>
          </w:rPr>
          <w:t>https://www.cdc.gov/mmwr/preview/mmwrhtml/mm5421a2.htm</w:t>
        </w:r>
      </w:hyperlink>
    </w:p>
    <w:p w14:paraId="4FED3D16" w14:textId="77777777" w:rsidR="004D4772" w:rsidRPr="004D4772" w:rsidRDefault="004D4772" w:rsidP="004D4772">
      <w:pPr>
        <w:pStyle w:val="ListParagraph"/>
        <w:numPr>
          <w:ilvl w:val="0"/>
          <w:numId w:val="9"/>
        </w:numPr>
        <w:jc w:val="both"/>
        <w:rPr>
          <w:rFonts w:cstheme="minorHAnsi"/>
          <w:sz w:val="24"/>
          <w:szCs w:val="24"/>
        </w:rPr>
      </w:pPr>
      <w:r w:rsidRPr="004D4772">
        <w:rPr>
          <w:rFonts w:cstheme="minorHAnsi"/>
          <w:sz w:val="24"/>
          <w:szCs w:val="24"/>
        </w:rPr>
        <w:t xml:space="preserve">Shacter, B. (1981). Treatment of scabies and pediculosis with lindane preparations: an evaluation. </w:t>
      </w:r>
      <w:r w:rsidRPr="004D4772">
        <w:rPr>
          <w:rFonts w:cstheme="minorHAnsi"/>
          <w:i/>
          <w:iCs/>
          <w:sz w:val="24"/>
          <w:szCs w:val="24"/>
        </w:rPr>
        <w:t>Journal of the American Academy of Dermatology, 5</w:t>
      </w:r>
      <w:r w:rsidRPr="004D4772">
        <w:rPr>
          <w:rFonts w:cstheme="minorHAnsi"/>
          <w:sz w:val="24"/>
          <w:szCs w:val="24"/>
        </w:rPr>
        <w:t xml:space="preserve">(5), 517-527. </w:t>
      </w:r>
      <w:hyperlink r:id="rId9" w:tgtFrame="_new" w:history="1">
        <w:r w:rsidRPr="004D4772">
          <w:rPr>
            <w:rStyle w:val="Hyperlink"/>
            <w:rFonts w:cstheme="minorHAnsi"/>
            <w:sz w:val="24"/>
            <w:szCs w:val="24"/>
          </w:rPr>
          <w:t>https://doi.org/10.1016/s0190-9622(81)70111-7</w:t>
        </w:r>
      </w:hyperlink>
    </w:p>
    <w:p w14:paraId="5B4D5799" w14:textId="77777777" w:rsidR="004D4772" w:rsidRPr="004D4772" w:rsidRDefault="004D4772" w:rsidP="004D4772">
      <w:pPr>
        <w:pStyle w:val="ListParagraph"/>
        <w:numPr>
          <w:ilvl w:val="0"/>
          <w:numId w:val="9"/>
        </w:numPr>
        <w:jc w:val="both"/>
        <w:rPr>
          <w:rFonts w:cstheme="minorHAnsi"/>
          <w:sz w:val="24"/>
          <w:szCs w:val="24"/>
        </w:rPr>
      </w:pPr>
      <w:r w:rsidRPr="004D4772">
        <w:rPr>
          <w:rFonts w:cstheme="minorHAnsi"/>
          <w:sz w:val="24"/>
          <w:szCs w:val="24"/>
        </w:rPr>
        <w:t xml:space="preserve">Arnold, W. A., Blum, A., Branyan, J., et al. (2023). Quaternary Ammonium Compounds: A Chemical Class of Emerging Concern. </w:t>
      </w:r>
      <w:r w:rsidRPr="004D4772">
        <w:rPr>
          <w:rFonts w:cstheme="minorHAnsi"/>
          <w:i/>
          <w:iCs/>
          <w:sz w:val="24"/>
          <w:szCs w:val="24"/>
        </w:rPr>
        <w:t>Environmental Science &amp; Technology, 57</w:t>
      </w:r>
      <w:r w:rsidRPr="004D4772">
        <w:rPr>
          <w:rFonts w:cstheme="minorHAnsi"/>
          <w:sz w:val="24"/>
          <w:szCs w:val="24"/>
        </w:rPr>
        <w:t xml:space="preserve">(20), 7645-7665. </w:t>
      </w:r>
      <w:hyperlink r:id="rId10" w:tgtFrame="_new" w:history="1">
        <w:r w:rsidRPr="004D4772">
          <w:rPr>
            <w:rStyle w:val="Hyperlink"/>
            <w:rFonts w:cstheme="minorHAnsi"/>
            <w:sz w:val="24"/>
            <w:szCs w:val="24"/>
          </w:rPr>
          <w:t>https://doi.org/10.1021/acs.est.2c08244</w:t>
        </w:r>
      </w:hyperlink>
    </w:p>
    <w:p w14:paraId="412663EB" w14:textId="77777777" w:rsidR="004D4772" w:rsidRPr="004D4772" w:rsidRDefault="004D4772" w:rsidP="004D4772">
      <w:pPr>
        <w:pStyle w:val="ListParagraph"/>
        <w:numPr>
          <w:ilvl w:val="0"/>
          <w:numId w:val="9"/>
        </w:numPr>
        <w:jc w:val="both"/>
        <w:rPr>
          <w:rFonts w:cstheme="minorHAnsi"/>
          <w:sz w:val="24"/>
          <w:szCs w:val="24"/>
        </w:rPr>
      </w:pPr>
      <w:r w:rsidRPr="004D4772">
        <w:rPr>
          <w:rFonts w:cstheme="minorHAnsi"/>
          <w:sz w:val="24"/>
          <w:szCs w:val="24"/>
        </w:rPr>
        <w:t xml:space="preserve">Chan, T. Y. K. (1994). Poisoning due to </w:t>
      </w:r>
      <w:proofErr w:type="spellStart"/>
      <w:r w:rsidRPr="004D4772">
        <w:rPr>
          <w:rFonts w:cstheme="minorHAnsi"/>
          <w:sz w:val="24"/>
          <w:szCs w:val="24"/>
        </w:rPr>
        <w:t>Savlon</w:t>
      </w:r>
      <w:proofErr w:type="spellEnd"/>
      <w:r w:rsidRPr="004D4772">
        <w:rPr>
          <w:rFonts w:cstheme="minorHAnsi"/>
          <w:sz w:val="24"/>
          <w:szCs w:val="24"/>
        </w:rPr>
        <w:t xml:space="preserve"> (Cetrimide) Liquid. </w:t>
      </w:r>
      <w:r w:rsidRPr="004D4772">
        <w:rPr>
          <w:rFonts w:cstheme="minorHAnsi"/>
          <w:i/>
          <w:iCs/>
          <w:sz w:val="24"/>
          <w:szCs w:val="24"/>
        </w:rPr>
        <w:t>Human &amp; Experimental Toxicology, 13</w:t>
      </w:r>
      <w:r w:rsidRPr="004D4772">
        <w:rPr>
          <w:rFonts w:cstheme="minorHAnsi"/>
          <w:sz w:val="24"/>
          <w:szCs w:val="24"/>
        </w:rPr>
        <w:t>(10), 681-682. https://doi.org/10.1177/096032719401301005</w:t>
      </w:r>
    </w:p>
    <w:p w14:paraId="78D41851" w14:textId="77777777" w:rsidR="004D4772" w:rsidRPr="004D4772" w:rsidRDefault="004D4772" w:rsidP="004D4772">
      <w:pPr>
        <w:pStyle w:val="ListParagraph"/>
        <w:numPr>
          <w:ilvl w:val="0"/>
          <w:numId w:val="9"/>
        </w:numPr>
        <w:jc w:val="both"/>
        <w:rPr>
          <w:rFonts w:cstheme="minorHAnsi"/>
          <w:sz w:val="24"/>
          <w:szCs w:val="24"/>
        </w:rPr>
      </w:pPr>
      <w:r w:rsidRPr="004D4772">
        <w:rPr>
          <w:rFonts w:cstheme="minorHAnsi"/>
          <w:sz w:val="24"/>
          <w:szCs w:val="24"/>
        </w:rPr>
        <w:t xml:space="preserve">Paul, R., Talukdar, A., Bhattacharya, R., &amp; Santra, G. (2013). γ-Benzene hexachloride poisoning leading to acute hepatorenal decompensation. </w:t>
      </w:r>
      <w:r w:rsidRPr="004D4772">
        <w:rPr>
          <w:rFonts w:cstheme="minorHAnsi"/>
          <w:i/>
          <w:iCs/>
          <w:sz w:val="24"/>
          <w:szCs w:val="24"/>
        </w:rPr>
        <w:t>BMJ Case Reports, 2013</w:t>
      </w:r>
      <w:r w:rsidRPr="004D4772">
        <w:rPr>
          <w:rFonts w:cstheme="minorHAnsi"/>
          <w:sz w:val="24"/>
          <w:szCs w:val="24"/>
        </w:rPr>
        <w:t xml:space="preserve">, bcr2013009851. </w:t>
      </w:r>
      <w:hyperlink r:id="rId11" w:tgtFrame="_new" w:history="1">
        <w:r w:rsidRPr="004D4772">
          <w:rPr>
            <w:rStyle w:val="Hyperlink"/>
            <w:rFonts w:cstheme="minorHAnsi"/>
            <w:sz w:val="24"/>
            <w:szCs w:val="24"/>
          </w:rPr>
          <w:t>https://doi.org/10.1136/bcr-2013-009851</w:t>
        </w:r>
      </w:hyperlink>
    </w:p>
    <w:p w14:paraId="7BB5D57B" w14:textId="77777777" w:rsidR="004D4772" w:rsidRPr="004D4772" w:rsidRDefault="004D4772" w:rsidP="004D4772">
      <w:pPr>
        <w:pStyle w:val="ListParagraph"/>
        <w:numPr>
          <w:ilvl w:val="0"/>
          <w:numId w:val="9"/>
        </w:numPr>
        <w:jc w:val="both"/>
        <w:rPr>
          <w:rFonts w:cstheme="minorHAnsi"/>
          <w:sz w:val="24"/>
          <w:szCs w:val="24"/>
        </w:rPr>
      </w:pPr>
      <w:r w:rsidRPr="004D4772">
        <w:rPr>
          <w:rFonts w:cstheme="minorHAnsi"/>
          <w:sz w:val="24"/>
          <w:szCs w:val="24"/>
        </w:rPr>
        <w:t xml:space="preserve">Klaassen, C. D. (Ed.). (2019). </w:t>
      </w:r>
      <w:proofErr w:type="spellStart"/>
      <w:r w:rsidRPr="004D4772">
        <w:rPr>
          <w:rFonts w:cstheme="minorHAnsi"/>
          <w:i/>
          <w:iCs/>
          <w:sz w:val="24"/>
          <w:szCs w:val="24"/>
        </w:rPr>
        <w:t>Casarett</w:t>
      </w:r>
      <w:proofErr w:type="spellEnd"/>
      <w:r w:rsidRPr="004D4772">
        <w:rPr>
          <w:rFonts w:cstheme="minorHAnsi"/>
          <w:i/>
          <w:iCs/>
          <w:sz w:val="24"/>
          <w:szCs w:val="24"/>
        </w:rPr>
        <w:t xml:space="preserve"> and Doull’s Toxicology: The Basic Science of Poisons</w:t>
      </w:r>
      <w:r w:rsidRPr="004D4772">
        <w:rPr>
          <w:rFonts w:cstheme="minorHAnsi"/>
          <w:sz w:val="24"/>
          <w:szCs w:val="24"/>
        </w:rPr>
        <w:t xml:space="preserve"> (9th ed.). New York: McGraw-Hill Education.</w:t>
      </w:r>
    </w:p>
    <w:p w14:paraId="09CBCBD8" w14:textId="77777777" w:rsidR="004D4772" w:rsidRPr="004D4772" w:rsidRDefault="004D4772" w:rsidP="004D4772">
      <w:pPr>
        <w:pStyle w:val="ListParagraph"/>
        <w:numPr>
          <w:ilvl w:val="0"/>
          <w:numId w:val="9"/>
        </w:numPr>
        <w:jc w:val="both"/>
        <w:rPr>
          <w:rFonts w:cstheme="minorHAnsi"/>
          <w:sz w:val="24"/>
          <w:szCs w:val="24"/>
        </w:rPr>
      </w:pPr>
      <w:r w:rsidRPr="004D4772">
        <w:rPr>
          <w:rFonts w:cstheme="minorHAnsi"/>
          <w:sz w:val="24"/>
          <w:szCs w:val="24"/>
        </w:rPr>
        <w:t>Chlorpyrifos, Country Situation Report, Nepal. (n.d.). Retrieved from https://ipen.org/sites/default/files/documents/chlorpyrifos_nepal_exec_summary.pdf</w:t>
      </w:r>
    </w:p>
    <w:p w14:paraId="6A57D031" w14:textId="77777777" w:rsidR="004D4772" w:rsidRPr="004D4772" w:rsidRDefault="004D4772" w:rsidP="004D4772">
      <w:pPr>
        <w:pStyle w:val="ListParagraph"/>
        <w:numPr>
          <w:ilvl w:val="0"/>
          <w:numId w:val="9"/>
        </w:numPr>
        <w:jc w:val="both"/>
        <w:rPr>
          <w:rFonts w:cstheme="minorHAnsi"/>
          <w:sz w:val="24"/>
          <w:szCs w:val="24"/>
        </w:rPr>
      </w:pPr>
      <w:proofErr w:type="spellStart"/>
      <w:r w:rsidRPr="004D4772">
        <w:rPr>
          <w:rFonts w:cstheme="minorHAnsi"/>
          <w:sz w:val="24"/>
          <w:szCs w:val="24"/>
        </w:rPr>
        <w:t>Narahashi</w:t>
      </w:r>
      <w:proofErr w:type="spellEnd"/>
      <w:r w:rsidRPr="004D4772">
        <w:rPr>
          <w:rFonts w:cstheme="minorHAnsi"/>
          <w:sz w:val="24"/>
          <w:szCs w:val="24"/>
        </w:rPr>
        <w:t xml:space="preserve">, T. (1996). Neuronal Ion Channels as the Target Sites of Insecticides. </w:t>
      </w:r>
      <w:r w:rsidRPr="004D4772">
        <w:rPr>
          <w:rFonts w:cstheme="minorHAnsi"/>
          <w:i/>
          <w:iCs/>
          <w:sz w:val="24"/>
          <w:szCs w:val="24"/>
        </w:rPr>
        <w:t>Pharmacology &amp; Toxicology, 79</w:t>
      </w:r>
      <w:r w:rsidRPr="004D4772">
        <w:rPr>
          <w:rFonts w:cstheme="minorHAnsi"/>
          <w:sz w:val="24"/>
          <w:szCs w:val="24"/>
        </w:rPr>
        <w:t>(1), 1–14.</w:t>
      </w:r>
    </w:p>
    <w:p w14:paraId="45DAE6E1" w14:textId="77777777" w:rsidR="004D4772" w:rsidRPr="004D4772" w:rsidRDefault="004D4772" w:rsidP="004D4772">
      <w:pPr>
        <w:pStyle w:val="ListParagraph"/>
        <w:numPr>
          <w:ilvl w:val="0"/>
          <w:numId w:val="9"/>
        </w:numPr>
        <w:jc w:val="both"/>
        <w:rPr>
          <w:rFonts w:cstheme="minorHAnsi"/>
          <w:sz w:val="24"/>
          <w:szCs w:val="24"/>
        </w:rPr>
      </w:pPr>
      <w:r w:rsidRPr="004D4772">
        <w:rPr>
          <w:rFonts w:cstheme="minorHAnsi"/>
          <w:sz w:val="24"/>
          <w:szCs w:val="24"/>
        </w:rPr>
        <w:lastRenderedPageBreak/>
        <w:t xml:space="preserve">Mucklow, E. S. (1988). Accidental feeding of a dilute antiseptic solution (chlorhexidine 0.05% with cetrimide 1%) to five babies. </w:t>
      </w:r>
      <w:r w:rsidRPr="004D4772">
        <w:rPr>
          <w:rFonts w:cstheme="minorHAnsi"/>
          <w:i/>
          <w:iCs/>
          <w:sz w:val="24"/>
          <w:szCs w:val="24"/>
        </w:rPr>
        <w:t>Human Toxicology, 7</w:t>
      </w:r>
      <w:r w:rsidRPr="004D4772">
        <w:rPr>
          <w:rFonts w:cstheme="minorHAnsi"/>
          <w:sz w:val="24"/>
          <w:szCs w:val="24"/>
        </w:rPr>
        <w:t xml:space="preserve">(6), 567–569. </w:t>
      </w:r>
      <w:hyperlink r:id="rId12" w:tgtFrame="_new" w:history="1">
        <w:r w:rsidRPr="004D4772">
          <w:rPr>
            <w:rStyle w:val="Hyperlink"/>
            <w:rFonts w:cstheme="minorHAnsi"/>
            <w:sz w:val="24"/>
            <w:szCs w:val="24"/>
          </w:rPr>
          <w:t>https://doi.org/10.1177/096032718800700610</w:t>
        </w:r>
      </w:hyperlink>
    </w:p>
    <w:p w14:paraId="79D821F9" w14:textId="77777777" w:rsidR="004D4772" w:rsidRPr="004D4772" w:rsidRDefault="004D4772" w:rsidP="004D4772">
      <w:pPr>
        <w:pStyle w:val="ListParagraph"/>
        <w:numPr>
          <w:ilvl w:val="0"/>
          <w:numId w:val="9"/>
        </w:numPr>
        <w:jc w:val="both"/>
        <w:rPr>
          <w:rFonts w:cstheme="minorHAnsi"/>
          <w:sz w:val="24"/>
          <w:szCs w:val="24"/>
        </w:rPr>
      </w:pPr>
      <w:r w:rsidRPr="004D4772">
        <w:rPr>
          <w:rFonts w:cstheme="minorHAnsi"/>
          <w:sz w:val="24"/>
          <w:szCs w:val="24"/>
        </w:rPr>
        <w:t xml:space="preserve">Nordt, S. P., &amp; Chew, G. (2000). Acute lindane poisoning in three children. </w:t>
      </w:r>
      <w:r w:rsidRPr="004D4772">
        <w:rPr>
          <w:rFonts w:cstheme="minorHAnsi"/>
          <w:i/>
          <w:iCs/>
          <w:sz w:val="24"/>
          <w:szCs w:val="24"/>
        </w:rPr>
        <w:t>Journal of Emergency Medicine, 18</w:t>
      </w:r>
      <w:r w:rsidRPr="004D4772">
        <w:rPr>
          <w:rFonts w:cstheme="minorHAnsi"/>
          <w:sz w:val="24"/>
          <w:szCs w:val="24"/>
        </w:rPr>
        <w:t>(1), 51–53.</w:t>
      </w:r>
    </w:p>
    <w:p w14:paraId="44017F69" w14:textId="7B1B7808" w:rsidR="007D672B" w:rsidRPr="007D672B" w:rsidRDefault="004D4772" w:rsidP="007D672B">
      <w:pPr>
        <w:pStyle w:val="ListParagraph"/>
        <w:numPr>
          <w:ilvl w:val="0"/>
          <w:numId w:val="9"/>
        </w:numPr>
        <w:jc w:val="both"/>
        <w:rPr>
          <w:rStyle w:val="Hyperlink"/>
          <w:rFonts w:cstheme="minorHAnsi"/>
          <w:color w:val="auto"/>
          <w:sz w:val="24"/>
          <w:szCs w:val="24"/>
          <w:u w:val="none"/>
        </w:rPr>
      </w:pPr>
      <w:r w:rsidRPr="004D4772">
        <w:rPr>
          <w:rFonts w:cstheme="minorHAnsi"/>
          <w:sz w:val="24"/>
          <w:szCs w:val="24"/>
        </w:rPr>
        <w:t xml:space="preserve">Kienitz, R., Kay, L., Beuchat, I., </w:t>
      </w:r>
      <w:proofErr w:type="spellStart"/>
      <w:r w:rsidRPr="004D4772">
        <w:rPr>
          <w:rFonts w:cstheme="minorHAnsi"/>
          <w:sz w:val="24"/>
          <w:szCs w:val="24"/>
        </w:rPr>
        <w:t>Gelhard</w:t>
      </w:r>
      <w:proofErr w:type="spellEnd"/>
      <w:r w:rsidRPr="004D4772">
        <w:rPr>
          <w:rFonts w:cstheme="minorHAnsi"/>
          <w:sz w:val="24"/>
          <w:szCs w:val="24"/>
        </w:rPr>
        <w:t xml:space="preserve">, S., von Brauchitsch, S., Mann, C., ... Willems, L. M. (2022). Benzodiazepines in the Management of Seizures and Status Epilepticus: A Review of Routes of Delivery, Pharmacokinetics, Efficacy, and Tolerability. </w:t>
      </w:r>
      <w:r w:rsidRPr="004D4772">
        <w:rPr>
          <w:rFonts w:cstheme="minorHAnsi"/>
          <w:i/>
          <w:iCs/>
          <w:sz w:val="24"/>
          <w:szCs w:val="24"/>
        </w:rPr>
        <w:t>CNS Drugs, 36</w:t>
      </w:r>
      <w:r w:rsidRPr="004D4772">
        <w:rPr>
          <w:rFonts w:cstheme="minorHAnsi"/>
          <w:sz w:val="24"/>
          <w:szCs w:val="24"/>
        </w:rPr>
        <w:t xml:space="preserve">(9), 951–975. </w:t>
      </w:r>
      <w:hyperlink r:id="rId13" w:tgtFrame="_new" w:history="1">
        <w:r w:rsidRPr="004D4772">
          <w:rPr>
            <w:rStyle w:val="Hyperlink"/>
            <w:rFonts w:cstheme="minorHAnsi"/>
            <w:sz w:val="24"/>
            <w:szCs w:val="24"/>
          </w:rPr>
          <w:t>https://doi.org/10.1007/s40263-022-00940-2</w:t>
        </w:r>
      </w:hyperlink>
    </w:p>
    <w:p w14:paraId="4B7FDB5B" w14:textId="77777777" w:rsidR="007D672B" w:rsidRPr="007D672B" w:rsidRDefault="007D672B" w:rsidP="007D672B">
      <w:pPr>
        <w:pStyle w:val="ListParagraph"/>
        <w:jc w:val="both"/>
        <w:rPr>
          <w:rStyle w:val="Hyperlink"/>
          <w:rFonts w:cstheme="minorHAnsi"/>
          <w:color w:val="auto"/>
          <w:sz w:val="24"/>
          <w:szCs w:val="24"/>
          <w:u w:val="none"/>
        </w:rPr>
      </w:pPr>
    </w:p>
    <w:p w14:paraId="39A9D38B" w14:textId="711E3DC7" w:rsidR="007D672B" w:rsidRPr="007D672B" w:rsidRDefault="007D672B" w:rsidP="007D672B">
      <w:pPr>
        <w:pStyle w:val="ListParagraph"/>
        <w:numPr>
          <w:ilvl w:val="0"/>
          <w:numId w:val="1"/>
        </w:numPr>
        <w:jc w:val="both"/>
        <w:rPr>
          <w:rFonts w:cstheme="minorHAnsi"/>
          <w:sz w:val="24"/>
          <w:szCs w:val="24"/>
          <w:lang w:val="en-US"/>
        </w:rPr>
      </w:pPr>
      <w:r w:rsidRPr="007D672B">
        <w:rPr>
          <w:rFonts w:cstheme="minorHAnsi"/>
          <w:sz w:val="24"/>
          <w:szCs w:val="24"/>
          <w:lang w:val="en-US"/>
        </w:rPr>
        <w:t>Informed</w:t>
      </w:r>
      <w:r w:rsidRPr="007D672B">
        <w:rPr>
          <w:rFonts w:cstheme="minorHAnsi"/>
          <w:sz w:val="24"/>
          <w:szCs w:val="24"/>
          <w:lang w:val="en-US"/>
        </w:rPr>
        <w:t xml:space="preserve"> </w:t>
      </w:r>
      <w:r w:rsidRPr="007D672B">
        <w:rPr>
          <w:rFonts w:cstheme="minorHAnsi"/>
          <w:sz w:val="24"/>
          <w:szCs w:val="24"/>
          <w:lang w:val="en-US"/>
        </w:rPr>
        <w:t>written</w:t>
      </w:r>
      <w:r w:rsidRPr="007D672B">
        <w:rPr>
          <w:rFonts w:cstheme="minorHAnsi"/>
          <w:sz w:val="24"/>
          <w:szCs w:val="24"/>
          <w:lang w:val="en-US"/>
        </w:rPr>
        <w:t xml:space="preserve"> </w:t>
      </w:r>
      <w:r w:rsidRPr="007D672B">
        <w:rPr>
          <w:rFonts w:cstheme="minorHAnsi"/>
          <w:sz w:val="24"/>
          <w:szCs w:val="24"/>
          <w:lang w:val="en-US"/>
        </w:rPr>
        <w:t>consent</w:t>
      </w:r>
    </w:p>
    <w:p w14:paraId="3A7DB4EF" w14:textId="77777777" w:rsidR="007D672B" w:rsidRDefault="007D672B" w:rsidP="007D672B">
      <w:pPr>
        <w:pStyle w:val="ListParagraph"/>
        <w:jc w:val="both"/>
        <w:rPr>
          <w:rFonts w:cstheme="minorHAnsi"/>
          <w:i/>
          <w:sz w:val="24"/>
          <w:szCs w:val="24"/>
          <w:lang w:val="en-US"/>
        </w:rPr>
      </w:pPr>
    </w:p>
    <w:p w14:paraId="432544C7" w14:textId="54040D43" w:rsidR="007D672B" w:rsidRPr="007D672B" w:rsidRDefault="007D672B" w:rsidP="007D672B">
      <w:pPr>
        <w:pStyle w:val="ListParagraph"/>
        <w:jc w:val="center"/>
        <w:rPr>
          <w:rFonts w:cstheme="minorHAnsi"/>
          <w:i/>
          <w:sz w:val="24"/>
          <w:szCs w:val="24"/>
          <w:lang w:val="en-US"/>
        </w:rPr>
      </w:pPr>
      <w:r w:rsidRPr="007D672B">
        <w:rPr>
          <w:rFonts w:cstheme="minorHAnsi"/>
          <w:i/>
          <w:sz w:val="24"/>
          <w:szCs w:val="24"/>
          <w:lang w:val="en-US"/>
        </w:rPr>
        <w:t xml:space="preserve">Lindane and Cetrimide </w:t>
      </w:r>
      <w:r w:rsidRPr="007D672B">
        <w:rPr>
          <w:rFonts w:cstheme="minorHAnsi"/>
          <w:i/>
          <w:sz w:val="24"/>
          <w:szCs w:val="24"/>
          <w:lang w:val="en-US"/>
        </w:rPr>
        <w:t>lotion poisoning</w:t>
      </w:r>
      <w:r w:rsidRPr="007D672B">
        <w:rPr>
          <w:rFonts w:cstheme="minorHAnsi"/>
          <w:i/>
          <w:sz w:val="24"/>
          <w:szCs w:val="24"/>
          <w:lang w:val="en-US"/>
        </w:rPr>
        <w:t xml:space="preserve"> in an adult patient: A case report on an uncommon ingestion</w:t>
      </w:r>
    </w:p>
    <w:p w14:paraId="38030B55" w14:textId="77777777" w:rsidR="007D672B" w:rsidRDefault="007D672B" w:rsidP="007D672B">
      <w:pPr>
        <w:pStyle w:val="ListParagraph"/>
        <w:rPr>
          <w:rFonts w:cstheme="minorHAnsi"/>
          <w:sz w:val="24"/>
          <w:szCs w:val="24"/>
          <w:lang w:val="en-US"/>
        </w:rPr>
      </w:pPr>
    </w:p>
    <w:p w14:paraId="07CC5280" w14:textId="0392F664" w:rsidR="007D672B" w:rsidRPr="007D672B" w:rsidRDefault="007D672B" w:rsidP="007D672B">
      <w:pPr>
        <w:pStyle w:val="ListParagraph"/>
        <w:jc w:val="both"/>
        <w:rPr>
          <w:rFonts w:cstheme="minorHAnsi"/>
          <w:sz w:val="24"/>
          <w:szCs w:val="24"/>
          <w:lang w:val="en-US"/>
        </w:rPr>
      </w:pPr>
      <w:r w:rsidRPr="007D672B">
        <w:rPr>
          <w:rFonts w:cstheme="minorHAnsi"/>
          <w:sz w:val="24"/>
          <w:szCs w:val="24"/>
          <w:lang w:val="en-US"/>
        </w:rPr>
        <w:t xml:space="preserve">I, </w:t>
      </w:r>
      <w:r w:rsidRPr="007D672B">
        <w:rPr>
          <w:rFonts w:cstheme="minorHAnsi"/>
          <w:b/>
          <w:sz w:val="24"/>
          <w:szCs w:val="24"/>
          <w:lang w:val="en-US"/>
        </w:rPr>
        <w:t>Ranjana Pariyar</w:t>
      </w:r>
      <w:r w:rsidRPr="007D672B">
        <w:rPr>
          <w:rFonts w:cstheme="minorHAnsi"/>
          <w:sz w:val="24"/>
          <w:szCs w:val="24"/>
          <w:lang w:val="en-US"/>
        </w:rPr>
        <w:t>, hereby grant my voluntary and informed consent for the preparation and publication of a case report detailing my medical condition and treatment involving Lindane and cetrimide poisoning. I understand that the purpose of this case report is to contribute to medical literature, sharing valuable insights and information that may benefit healthcare professionals and researchers.</w:t>
      </w:r>
    </w:p>
    <w:p w14:paraId="4485A190" w14:textId="77777777" w:rsidR="007D672B" w:rsidRPr="007D672B" w:rsidRDefault="007D672B" w:rsidP="007D672B">
      <w:pPr>
        <w:pStyle w:val="ListParagraph"/>
        <w:jc w:val="both"/>
        <w:rPr>
          <w:rFonts w:cstheme="minorHAnsi"/>
          <w:sz w:val="24"/>
          <w:szCs w:val="24"/>
          <w:lang w:val="en-US"/>
        </w:rPr>
      </w:pPr>
      <w:r w:rsidRPr="007D672B">
        <w:rPr>
          <w:rFonts w:cstheme="minorHAnsi"/>
          <w:b/>
          <w:sz w:val="24"/>
          <w:szCs w:val="24"/>
          <w:lang w:val="en-US"/>
        </w:rPr>
        <w:t xml:space="preserve">Details of the Case Report: </w:t>
      </w:r>
      <w:r w:rsidRPr="007D672B">
        <w:rPr>
          <w:rFonts w:cstheme="minorHAnsi"/>
          <w:sz w:val="24"/>
          <w:szCs w:val="24"/>
          <w:lang w:val="en-US"/>
        </w:rPr>
        <w:t>The case report will include information about my medical history, clinical presentation, diagnostic evaluations, treatment provided, and outcomes related to the lindane and cetrimide poisoning.</w:t>
      </w:r>
    </w:p>
    <w:p w14:paraId="5593D978" w14:textId="77777777" w:rsidR="007D672B" w:rsidRPr="007D672B" w:rsidRDefault="007D672B" w:rsidP="007D672B">
      <w:pPr>
        <w:pStyle w:val="ListParagraph"/>
        <w:jc w:val="both"/>
        <w:rPr>
          <w:rFonts w:cstheme="minorHAnsi"/>
          <w:sz w:val="24"/>
          <w:szCs w:val="24"/>
          <w:lang w:val="en-US"/>
        </w:rPr>
      </w:pPr>
      <w:r w:rsidRPr="007D672B">
        <w:rPr>
          <w:rFonts w:cstheme="minorHAnsi"/>
          <w:b/>
          <w:sz w:val="24"/>
          <w:szCs w:val="24"/>
          <w:lang w:val="en-US"/>
        </w:rPr>
        <w:t xml:space="preserve">Confidentiality: </w:t>
      </w:r>
      <w:r w:rsidRPr="007D672B">
        <w:rPr>
          <w:rFonts w:cstheme="minorHAnsi"/>
          <w:sz w:val="24"/>
          <w:szCs w:val="24"/>
          <w:lang w:val="en-US"/>
        </w:rPr>
        <w:t>I acknowledge that my identity will be kept confidential, and efforts will be made to ensure that my personal information is not disclosed. Any details that could</w:t>
      </w:r>
    </w:p>
    <w:p w14:paraId="240AA75D" w14:textId="77777777" w:rsidR="007D672B" w:rsidRPr="007D672B" w:rsidRDefault="007D672B" w:rsidP="007D672B">
      <w:pPr>
        <w:pStyle w:val="ListParagraph"/>
        <w:jc w:val="both"/>
        <w:rPr>
          <w:rFonts w:cstheme="minorHAnsi"/>
          <w:sz w:val="24"/>
          <w:szCs w:val="24"/>
          <w:lang w:val="en-US"/>
        </w:rPr>
      </w:pPr>
      <w:r w:rsidRPr="007D672B">
        <w:rPr>
          <w:rFonts w:cstheme="minorHAnsi"/>
          <w:sz w:val="24"/>
          <w:szCs w:val="24"/>
          <w:lang w:val="en-US"/>
        </w:rPr>
        <w:t>potentially reveal my identity will be appropriately masked or omitted.</w:t>
      </w:r>
    </w:p>
    <w:p w14:paraId="47C35B4C" w14:textId="77777777" w:rsidR="007D672B" w:rsidRPr="007D672B" w:rsidRDefault="007D672B" w:rsidP="007D672B">
      <w:pPr>
        <w:pStyle w:val="ListParagraph"/>
        <w:jc w:val="both"/>
        <w:rPr>
          <w:rFonts w:cstheme="minorHAnsi"/>
          <w:sz w:val="24"/>
          <w:szCs w:val="24"/>
          <w:lang w:val="en-US"/>
        </w:rPr>
      </w:pPr>
      <w:r w:rsidRPr="007D672B">
        <w:rPr>
          <w:rFonts w:cstheme="minorHAnsi"/>
          <w:b/>
          <w:sz w:val="24"/>
          <w:szCs w:val="24"/>
          <w:lang w:val="en-US"/>
        </w:rPr>
        <w:t xml:space="preserve">Right to Withdraw Consent: </w:t>
      </w:r>
      <w:r w:rsidRPr="007D672B">
        <w:rPr>
          <w:rFonts w:cstheme="minorHAnsi"/>
          <w:sz w:val="24"/>
          <w:szCs w:val="24"/>
          <w:lang w:val="en-US"/>
        </w:rPr>
        <w:t>I understand that participation in this case report is entirely voluntary. I have the right to withdraw my consent at any time without any impact on my current or future medical care.</w:t>
      </w:r>
    </w:p>
    <w:p w14:paraId="2C925B83" w14:textId="77777777" w:rsidR="007D672B" w:rsidRPr="007D672B" w:rsidRDefault="007D672B" w:rsidP="007D672B">
      <w:pPr>
        <w:pStyle w:val="ListParagraph"/>
        <w:jc w:val="both"/>
        <w:rPr>
          <w:rFonts w:cstheme="minorHAnsi"/>
          <w:sz w:val="24"/>
          <w:szCs w:val="24"/>
          <w:lang w:val="en-US"/>
        </w:rPr>
      </w:pPr>
      <w:r w:rsidRPr="007D672B">
        <w:rPr>
          <w:rFonts w:cstheme="minorHAnsi"/>
          <w:b/>
          <w:sz w:val="24"/>
          <w:szCs w:val="24"/>
          <w:lang w:val="en-US"/>
        </w:rPr>
        <w:t xml:space="preserve">Publication and Distribution: </w:t>
      </w:r>
      <w:r w:rsidRPr="007D672B">
        <w:rPr>
          <w:rFonts w:cstheme="minorHAnsi"/>
          <w:sz w:val="24"/>
          <w:szCs w:val="24"/>
          <w:lang w:val="en-US"/>
        </w:rPr>
        <w:t>I authorize the publication of this case report in medical</w:t>
      </w:r>
    </w:p>
    <w:p w14:paraId="05CD6F75" w14:textId="77777777" w:rsidR="007D672B" w:rsidRPr="007D672B" w:rsidRDefault="007D672B" w:rsidP="007D672B">
      <w:pPr>
        <w:pStyle w:val="ListParagraph"/>
        <w:jc w:val="both"/>
        <w:rPr>
          <w:rFonts w:cstheme="minorHAnsi"/>
          <w:sz w:val="24"/>
          <w:szCs w:val="24"/>
          <w:lang w:val="en-US"/>
        </w:rPr>
      </w:pPr>
      <w:r w:rsidRPr="007D672B">
        <w:rPr>
          <w:rFonts w:cstheme="minorHAnsi"/>
          <w:sz w:val="24"/>
          <w:szCs w:val="24"/>
          <w:lang w:val="en-US"/>
        </w:rPr>
        <w:t>journals, conferences, or other educational platforms. I understand that the case report may be accessible to the general public through these channels.</w:t>
      </w:r>
    </w:p>
    <w:p w14:paraId="35399E31" w14:textId="77777777" w:rsidR="007D672B" w:rsidRPr="007D672B" w:rsidRDefault="007D672B" w:rsidP="007D672B">
      <w:pPr>
        <w:pStyle w:val="ListParagraph"/>
        <w:jc w:val="both"/>
        <w:rPr>
          <w:rFonts w:cstheme="minorHAnsi"/>
          <w:sz w:val="24"/>
          <w:szCs w:val="24"/>
          <w:lang w:val="en-US"/>
        </w:rPr>
      </w:pPr>
      <w:r w:rsidRPr="007D672B">
        <w:rPr>
          <w:rFonts w:cstheme="minorHAnsi"/>
          <w:b/>
          <w:sz w:val="24"/>
          <w:szCs w:val="24"/>
          <w:lang w:val="en-US"/>
        </w:rPr>
        <w:t xml:space="preserve">Contact Information: </w:t>
      </w:r>
      <w:r w:rsidRPr="007D672B">
        <w:rPr>
          <w:rFonts w:cstheme="minorHAnsi"/>
          <w:sz w:val="24"/>
          <w:szCs w:val="24"/>
          <w:lang w:val="en-US"/>
        </w:rPr>
        <w:t>For any queries or concerns related to this case report, I may contact the principal investigator or the healthcare professional overseeing my care at pragyarainov07@gmail.com</w:t>
      </w:r>
    </w:p>
    <w:p w14:paraId="2B64B2B4" w14:textId="3E79D362" w:rsidR="007D672B" w:rsidRPr="007D672B" w:rsidRDefault="007D672B" w:rsidP="007D672B">
      <w:pPr>
        <w:pStyle w:val="ListParagraph"/>
        <w:jc w:val="both"/>
        <w:rPr>
          <w:rFonts w:cstheme="minorHAnsi"/>
          <w:sz w:val="24"/>
          <w:szCs w:val="24"/>
          <w:lang w:val="en-US"/>
        </w:rPr>
      </w:pPr>
      <w:r w:rsidRPr="007D672B">
        <w:rPr>
          <w:rFonts w:cstheme="minorHAnsi"/>
          <w:sz w:val="24"/>
          <w:szCs w:val="24"/>
          <w:lang w:val="en-US"/>
        </w:rPr>
        <w:t>I have been provided with an opportunity to ask questions and have received satisfactory answers regarding the case report. I understand the nature and purpose of the case report and agree to the terms outlined in this informed consent.</w:t>
      </w:r>
    </w:p>
    <w:p w14:paraId="24B016C1" w14:textId="77777777" w:rsidR="007D672B" w:rsidRDefault="007D672B" w:rsidP="007D672B">
      <w:pPr>
        <w:pStyle w:val="ListParagraph"/>
        <w:rPr>
          <w:rFonts w:cstheme="minorHAnsi"/>
          <w:b/>
          <w:bCs/>
          <w:sz w:val="24"/>
          <w:szCs w:val="24"/>
          <w:lang w:val="en-US"/>
        </w:rPr>
      </w:pPr>
      <w:r w:rsidRPr="007D672B">
        <w:rPr>
          <w:rFonts w:cstheme="minorHAnsi"/>
          <w:b/>
          <w:bCs/>
          <w:sz w:val="24"/>
          <w:szCs w:val="24"/>
          <w:lang w:val="en-US"/>
        </w:rPr>
        <w:drawing>
          <wp:anchor distT="0" distB="0" distL="0" distR="0" simplePos="0" relativeHeight="251659264" behindDoc="0" locked="0" layoutInCell="1" allowOverlap="1" wp14:anchorId="3B56B562" wp14:editId="08794E1E">
            <wp:simplePos x="0" y="0"/>
            <wp:positionH relativeFrom="page">
              <wp:posOffset>2628900</wp:posOffset>
            </wp:positionH>
            <wp:positionV relativeFrom="paragraph">
              <wp:posOffset>232610</wp:posOffset>
            </wp:positionV>
            <wp:extent cx="495300" cy="38100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4" cstate="print"/>
                    <a:stretch>
                      <a:fillRect/>
                    </a:stretch>
                  </pic:blipFill>
                  <pic:spPr>
                    <a:xfrm>
                      <a:off x="0" y="0"/>
                      <a:ext cx="495300" cy="381000"/>
                    </a:xfrm>
                    <a:prstGeom prst="rect">
                      <a:avLst/>
                    </a:prstGeom>
                  </pic:spPr>
                </pic:pic>
              </a:graphicData>
            </a:graphic>
          </wp:anchor>
        </w:drawing>
      </w:r>
      <w:r w:rsidRPr="007D672B">
        <w:rPr>
          <w:rFonts w:cstheme="minorHAnsi"/>
          <w:b/>
          <w:bCs/>
          <w:sz w:val="24"/>
          <w:szCs w:val="24"/>
          <w:lang w:val="en-US"/>
        </w:rPr>
        <w:t>Patient's Full Name: RANJANA PARIYAR</w:t>
      </w:r>
    </w:p>
    <w:p w14:paraId="72D453E5" w14:textId="77777777" w:rsidR="007D672B" w:rsidRPr="007D672B" w:rsidRDefault="007D672B" w:rsidP="007D672B">
      <w:pPr>
        <w:pStyle w:val="ListParagraph"/>
        <w:rPr>
          <w:rFonts w:cstheme="minorHAnsi"/>
          <w:b/>
          <w:bCs/>
          <w:sz w:val="24"/>
          <w:szCs w:val="24"/>
          <w:lang w:val="en-US"/>
        </w:rPr>
      </w:pPr>
    </w:p>
    <w:p w14:paraId="1265B7AB" w14:textId="28035E1F" w:rsidR="007D672B" w:rsidRPr="007D672B" w:rsidRDefault="007D672B" w:rsidP="007D672B">
      <w:pPr>
        <w:pStyle w:val="ListParagraph"/>
        <w:rPr>
          <w:rFonts w:cstheme="minorHAnsi"/>
          <w:sz w:val="24"/>
          <w:szCs w:val="24"/>
          <w:lang w:val="en-US"/>
        </w:rPr>
      </w:pPr>
      <w:r w:rsidRPr="007D672B">
        <w:rPr>
          <w:rFonts w:cstheme="minorHAnsi"/>
          <w:b/>
          <w:sz w:val="24"/>
          <w:szCs w:val="24"/>
          <w:lang w:val="en-US"/>
        </w:rPr>
        <w:t>Patient's Signature:</w:t>
      </w:r>
      <w:r w:rsidRPr="007D672B">
        <w:rPr>
          <w:rFonts w:cstheme="minorHAnsi"/>
          <w:b/>
          <w:sz w:val="24"/>
          <w:szCs w:val="24"/>
          <w:u w:val="thick"/>
          <w:lang w:val="en-US"/>
        </w:rPr>
        <w:tab/>
      </w:r>
      <w:r>
        <w:rPr>
          <w:rFonts w:cstheme="minorHAnsi"/>
          <w:b/>
          <w:sz w:val="24"/>
          <w:szCs w:val="24"/>
          <w:u w:val="thick"/>
          <w:lang w:val="en-US"/>
        </w:rPr>
        <w:t xml:space="preserve">                               </w:t>
      </w:r>
      <w:r w:rsidRPr="007D672B">
        <w:rPr>
          <w:rFonts w:cstheme="minorHAnsi"/>
          <w:b/>
          <w:sz w:val="24"/>
          <w:szCs w:val="24"/>
          <w:lang w:val="en-US"/>
        </w:rPr>
        <w:t xml:space="preserve">Date: </w:t>
      </w:r>
      <w:r w:rsidRPr="007D672B">
        <w:rPr>
          <w:rFonts w:cstheme="minorHAnsi"/>
          <w:sz w:val="24"/>
          <w:szCs w:val="24"/>
          <w:u w:val="thick"/>
          <w:lang w:val="en-US"/>
        </w:rPr>
        <w:t xml:space="preserve">  2024-01-10</w:t>
      </w:r>
      <w:r w:rsidRPr="007D672B">
        <w:rPr>
          <w:rFonts w:cstheme="minorHAnsi"/>
          <w:sz w:val="24"/>
          <w:szCs w:val="24"/>
          <w:u w:val="thick"/>
          <w:lang w:val="en-US"/>
        </w:rPr>
        <w:tab/>
      </w:r>
    </w:p>
    <w:p w14:paraId="6343CE85" w14:textId="77777777" w:rsidR="007D672B" w:rsidRPr="007D672B" w:rsidRDefault="007D672B" w:rsidP="007D672B">
      <w:pPr>
        <w:pStyle w:val="ListParagraph"/>
        <w:rPr>
          <w:rFonts w:cstheme="minorHAnsi"/>
          <w:bCs/>
          <w:sz w:val="24"/>
          <w:szCs w:val="24"/>
          <w:lang w:val="en-US"/>
        </w:rPr>
      </w:pPr>
    </w:p>
    <w:p w14:paraId="1EB56C45" w14:textId="77777777" w:rsidR="007D672B" w:rsidRDefault="007D672B" w:rsidP="007D672B">
      <w:pPr>
        <w:pStyle w:val="ListParagraph"/>
        <w:jc w:val="both"/>
        <w:rPr>
          <w:rFonts w:cstheme="minorHAnsi"/>
          <w:sz w:val="24"/>
          <w:szCs w:val="24"/>
        </w:rPr>
      </w:pPr>
    </w:p>
    <w:p w14:paraId="7BAF6829" w14:textId="44F73949" w:rsidR="007D672B" w:rsidRDefault="007D672B" w:rsidP="007D672B">
      <w:pPr>
        <w:pStyle w:val="ListParagraph"/>
        <w:jc w:val="both"/>
        <w:rPr>
          <w:rFonts w:cstheme="minorHAnsi"/>
          <w:sz w:val="24"/>
          <w:szCs w:val="24"/>
        </w:rPr>
      </w:pPr>
      <w:r>
        <w:rPr>
          <w:rFonts w:cstheme="minorHAnsi"/>
          <w:sz w:val="24"/>
          <w:szCs w:val="24"/>
        </w:rPr>
        <w:lastRenderedPageBreak/>
        <w:t>Authors Contribution:</w:t>
      </w:r>
    </w:p>
    <w:p w14:paraId="2D111C6A" w14:textId="77777777" w:rsidR="007D672B" w:rsidRDefault="007D672B" w:rsidP="007D672B">
      <w:pPr>
        <w:pStyle w:val="ListParagraph"/>
        <w:jc w:val="both"/>
        <w:rPr>
          <w:rFonts w:cstheme="minorHAnsi"/>
          <w:sz w:val="24"/>
          <w:szCs w:val="24"/>
        </w:rPr>
      </w:pPr>
    </w:p>
    <w:p w14:paraId="1E34AB09" w14:textId="02B33C68" w:rsidR="007D672B" w:rsidRDefault="00820F39" w:rsidP="00820F39">
      <w:pPr>
        <w:pStyle w:val="ListParagraph"/>
        <w:numPr>
          <w:ilvl w:val="1"/>
          <w:numId w:val="9"/>
        </w:numPr>
        <w:jc w:val="both"/>
        <w:rPr>
          <w:rFonts w:cstheme="minorHAnsi"/>
          <w:sz w:val="24"/>
          <w:szCs w:val="24"/>
        </w:rPr>
      </w:pPr>
      <w:r>
        <w:rPr>
          <w:rFonts w:cstheme="minorHAnsi"/>
          <w:sz w:val="24"/>
          <w:szCs w:val="24"/>
        </w:rPr>
        <w:t xml:space="preserve">Dr Pragya Rai </w:t>
      </w:r>
    </w:p>
    <w:p w14:paraId="2F72CCC6" w14:textId="77777777" w:rsidR="00BE681E" w:rsidRPr="00BE681E" w:rsidRDefault="00820F39" w:rsidP="00BE681E">
      <w:pPr>
        <w:pStyle w:val="ListParagraph"/>
        <w:numPr>
          <w:ilvl w:val="2"/>
          <w:numId w:val="9"/>
        </w:numPr>
        <w:jc w:val="both"/>
        <w:rPr>
          <w:rFonts w:cstheme="minorHAnsi"/>
        </w:rPr>
      </w:pPr>
      <w:r w:rsidRPr="00BE681E">
        <w:rPr>
          <w:rFonts w:cstheme="minorHAnsi"/>
        </w:rPr>
        <w:t xml:space="preserve">First/Lead author </w:t>
      </w:r>
    </w:p>
    <w:p w14:paraId="31B2AA49" w14:textId="77777777" w:rsidR="00BE681E" w:rsidRPr="00BE681E" w:rsidRDefault="00820F39" w:rsidP="00BE681E">
      <w:pPr>
        <w:pStyle w:val="ListParagraph"/>
        <w:numPr>
          <w:ilvl w:val="2"/>
          <w:numId w:val="9"/>
        </w:numPr>
        <w:jc w:val="both"/>
        <w:rPr>
          <w:rFonts w:cstheme="minorHAnsi"/>
        </w:rPr>
      </w:pPr>
      <w:r w:rsidRPr="00BE681E">
        <w:rPr>
          <w:rFonts w:cstheme="minorHAnsi"/>
        </w:rPr>
        <w:t xml:space="preserve">corresponding author </w:t>
      </w:r>
    </w:p>
    <w:p w14:paraId="3FCED047" w14:textId="77777777" w:rsidR="00BE681E" w:rsidRPr="00BE681E" w:rsidRDefault="00820F39" w:rsidP="00BE681E">
      <w:pPr>
        <w:pStyle w:val="ListParagraph"/>
        <w:numPr>
          <w:ilvl w:val="2"/>
          <w:numId w:val="9"/>
        </w:numPr>
        <w:jc w:val="both"/>
        <w:rPr>
          <w:rFonts w:cstheme="minorHAnsi"/>
        </w:rPr>
      </w:pPr>
      <w:r w:rsidRPr="00BE681E">
        <w:rPr>
          <w:rFonts w:cstheme="minorHAnsi"/>
        </w:rPr>
        <w:t>c</w:t>
      </w:r>
      <w:r w:rsidRPr="00BE681E">
        <w:rPr>
          <w:rFonts w:cstheme="minorHAnsi"/>
        </w:rPr>
        <w:t>onceptualization</w:t>
      </w:r>
      <w:r w:rsidRPr="00BE681E">
        <w:rPr>
          <w:rFonts w:cstheme="minorHAnsi"/>
        </w:rPr>
        <w:t xml:space="preserve"> </w:t>
      </w:r>
    </w:p>
    <w:p w14:paraId="736C6D80" w14:textId="77777777" w:rsidR="00BE681E" w:rsidRPr="00BE681E" w:rsidRDefault="00820F39" w:rsidP="00BE681E">
      <w:pPr>
        <w:pStyle w:val="ListParagraph"/>
        <w:numPr>
          <w:ilvl w:val="2"/>
          <w:numId w:val="9"/>
        </w:numPr>
        <w:jc w:val="both"/>
        <w:rPr>
          <w:rFonts w:cstheme="minorHAnsi"/>
        </w:rPr>
      </w:pPr>
      <w:r w:rsidRPr="00BE681E">
        <w:rPr>
          <w:rFonts w:cstheme="minorHAnsi"/>
        </w:rPr>
        <w:t>framing of the case report</w:t>
      </w:r>
    </w:p>
    <w:p w14:paraId="304E16E4" w14:textId="77777777" w:rsidR="00BE681E" w:rsidRPr="00BE681E" w:rsidRDefault="00820F39" w:rsidP="00BE681E">
      <w:pPr>
        <w:pStyle w:val="ListParagraph"/>
        <w:numPr>
          <w:ilvl w:val="2"/>
          <w:numId w:val="9"/>
        </w:numPr>
        <w:jc w:val="both"/>
        <w:rPr>
          <w:rFonts w:cstheme="minorHAnsi"/>
        </w:rPr>
      </w:pPr>
      <w:r w:rsidRPr="00BE681E">
        <w:rPr>
          <w:rFonts w:cstheme="minorHAnsi"/>
        </w:rPr>
        <w:t>implementation of the research plan</w:t>
      </w:r>
    </w:p>
    <w:p w14:paraId="49E33B35" w14:textId="77777777" w:rsidR="00BE681E" w:rsidRPr="00BE681E" w:rsidRDefault="00BE681E" w:rsidP="00BE681E">
      <w:pPr>
        <w:pStyle w:val="ListParagraph"/>
        <w:numPr>
          <w:ilvl w:val="2"/>
          <w:numId w:val="9"/>
        </w:numPr>
        <w:jc w:val="both"/>
        <w:rPr>
          <w:rFonts w:cstheme="minorHAnsi"/>
        </w:rPr>
      </w:pPr>
      <w:r w:rsidRPr="00BE681E">
        <w:rPr>
          <w:rFonts w:cstheme="minorHAnsi"/>
        </w:rPr>
        <w:t xml:space="preserve">writing the case history </w:t>
      </w:r>
    </w:p>
    <w:p w14:paraId="1466A84E" w14:textId="77777777" w:rsidR="00BE681E" w:rsidRPr="00BE681E" w:rsidRDefault="00820F39" w:rsidP="00BE681E">
      <w:pPr>
        <w:pStyle w:val="ListParagraph"/>
        <w:numPr>
          <w:ilvl w:val="2"/>
          <w:numId w:val="9"/>
        </w:numPr>
        <w:jc w:val="both"/>
        <w:rPr>
          <w:rFonts w:cstheme="minorHAnsi"/>
        </w:rPr>
      </w:pPr>
      <w:r w:rsidRPr="00BE681E">
        <w:rPr>
          <w:rFonts w:cstheme="minorHAnsi"/>
        </w:rPr>
        <w:t>project administrat</w:t>
      </w:r>
      <w:r w:rsidR="00BE681E" w:rsidRPr="00BE681E">
        <w:rPr>
          <w:rFonts w:cstheme="minorHAnsi"/>
        </w:rPr>
        <w:t>ion</w:t>
      </w:r>
      <w:r w:rsidRPr="00BE681E">
        <w:rPr>
          <w:rFonts w:cstheme="minorHAnsi"/>
        </w:rPr>
        <w:t xml:space="preserve"> </w:t>
      </w:r>
    </w:p>
    <w:p w14:paraId="3DFE4558" w14:textId="7F6D8B42" w:rsidR="00BE681E" w:rsidRPr="00BE681E" w:rsidRDefault="00820F39" w:rsidP="00BE681E">
      <w:pPr>
        <w:pStyle w:val="ListParagraph"/>
        <w:numPr>
          <w:ilvl w:val="2"/>
          <w:numId w:val="9"/>
        </w:numPr>
        <w:jc w:val="both"/>
        <w:rPr>
          <w:rFonts w:cstheme="minorHAnsi"/>
        </w:rPr>
      </w:pPr>
      <w:r w:rsidRPr="00BE681E">
        <w:rPr>
          <w:rFonts w:cstheme="minorHAnsi"/>
        </w:rPr>
        <w:t>review and editing process</w:t>
      </w:r>
    </w:p>
    <w:p w14:paraId="7745AB41" w14:textId="77777777" w:rsidR="00BE681E" w:rsidRPr="00BE681E" w:rsidRDefault="00BE681E" w:rsidP="00BE681E">
      <w:pPr>
        <w:pStyle w:val="ListParagraph"/>
        <w:ind w:left="2160"/>
        <w:jc w:val="both"/>
        <w:rPr>
          <w:rFonts w:cstheme="minorHAnsi"/>
        </w:rPr>
      </w:pPr>
    </w:p>
    <w:p w14:paraId="5D3956A6" w14:textId="384C0322" w:rsidR="00820F39" w:rsidRDefault="00820F39" w:rsidP="00BE681E">
      <w:pPr>
        <w:pStyle w:val="ListParagraph"/>
        <w:numPr>
          <w:ilvl w:val="1"/>
          <w:numId w:val="9"/>
        </w:numPr>
        <w:jc w:val="both"/>
        <w:rPr>
          <w:rFonts w:cstheme="minorHAnsi"/>
          <w:sz w:val="24"/>
          <w:szCs w:val="24"/>
        </w:rPr>
      </w:pPr>
      <w:r>
        <w:rPr>
          <w:rFonts w:cstheme="minorHAnsi"/>
          <w:sz w:val="24"/>
          <w:szCs w:val="24"/>
        </w:rPr>
        <w:t>Dr S</w:t>
      </w:r>
      <w:proofErr w:type="spellStart"/>
      <w:r>
        <w:rPr>
          <w:rFonts w:cstheme="minorHAnsi"/>
          <w:sz w:val="24"/>
          <w:szCs w:val="24"/>
        </w:rPr>
        <w:t>hrijan</w:t>
      </w:r>
      <w:proofErr w:type="spellEnd"/>
      <w:r>
        <w:rPr>
          <w:rFonts w:cstheme="minorHAnsi"/>
          <w:sz w:val="24"/>
          <w:szCs w:val="24"/>
        </w:rPr>
        <w:t xml:space="preserve"> Shrestha </w:t>
      </w:r>
    </w:p>
    <w:p w14:paraId="2B10FB77" w14:textId="3CF9BA26" w:rsidR="00BE681E" w:rsidRPr="00BE681E" w:rsidRDefault="00BE681E" w:rsidP="00BE681E">
      <w:pPr>
        <w:pStyle w:val="ListParagraph"/>
        <w:numPr>
          <w:ilvl w:val="2"/>
          <w:numId w:val="9"/>
        </w:numPr>
        <w:rPr>
          <w:rFonts w:cstheme="minorHAnsi"/>
        </w:rPr>
      </w:pPr>
      <w:r w:rsidRPr="00BE681E">
        <w:rPr>
          <w:rFonts w:cstheme="minorHAnsi"/>
        </w:rPr>
        <w:t xml:space="preserve">Co author </w:t>
      </w:r>
    </w:p>
    <w:p w14:paraId="38D79B0D" w14:textId="77777777" w:rsidR="00BE681E" w:rsidRPr="00BE681E" w:rsidRDefault="00BE681E" w:rsidP="00BE681E">
      <w:pPr>
        <w:pStyle w:val="ListParagraph"/>
        <w:numPr>
          <w:ilvl w:val="2"/>
          <w:numId w:val="9"/>
        </w:numPr>
        <w:rPr>
          <w:rFonts w:cstheme="minorHAnsi"/>
        </w:rPr>
      </w:pPr>
      <w:r w:rsidRPr="00BE681E">
        <w:rPr>
          <w:rFonts w:cstheme="minorHAnsi"/>
        </w:rPr>
        <w:t xml:space="preserve">Framing the case report </w:t>
      </w:r>
    </w:p>
    <w:p w14:paraId="004F7F90" w14:textId="5A6A3DF4" w:rsidR="00BE681E" w:rsidRPr="00BE681E" w:rsidRDefault="00BE681E" w:rsidP="00BE681E">
      <w:pPr>
        <w:pStyle w:val="ListParagraph"/>
        <w:numPr>
          <w:ilvl w:val="2"/>
          <w:numId w:val="9"/>
        </w:numPr>
        <w:rPr>
          <w:rFonts w:cstheme="minorHAnsi"/>
        </w:rPr>
      </w:pPr>
      <w:r w:rsidRPr="00BE681E">
        <w:rPr>
          <w:rFonts w:cstheme="minorHAnsi"/>
        </w:rPr>
        <w:t xml:space="preserve">Planning </w:t>
      </w:r>
    </w:p>
    <w:p w14:paraId="3522BD8A" w14:textId="2E6553E0" w:rsidR="00BE681E" w:rsidRPr="00BE681E" w:rsidRDefault="00BE681E" w:rsidP="00BE681E">
      <w:pPr>
        <w:pStyle w:val="ListParagraph"/>
        <w:numPr>
          <w:ilvl w:val="2"/>
          <w:numId w:val="9"/>
        </w:numPr>
        <w:rPr>
          <w:rFonts w:cstheme="minorHAnsi"/>
        </w:rPr>
      </w:pPr>
      <w:r w:rsidRPr="00BE681E">
        <w:rPr>
          <w:rFonts w:cstheme="minorHAnsi"/>
        </w:rPr>
        <w:t>Implementation of research</w:t>
      </w:r>
    </w:p>
    <w:p w14:paraId="3ACCF649" w14:textId="39E2DFB7" w:rsidR="00BE681E" w:rsidRPr="00BE681E" w:rsidRDefault="00BE681E" w:rsidP="00BE681E">
      <w:pPr>
        <w:pStyle w:val="ListParagraph"/>
        <w:numPr>
          <w:ilvl w:val="2"/>
          <w:numId w:val="9"/>
        </w:numPr>
        <w:rPr>
          <w:rFonts w:cstheme="minorHAnsi"/>
        </w:rPr>
      </w:pPr>
      <w:r w:rsidRPr="00BE681E">
        <w:rPr>
          <w:rFonts w:cstheme="minorHAnsi"/>
        </w:rPr>
        <w:t xml:space="preserve">Writing discussion of the report </w:t>
      </w:r>
    </w:p>
    <w:p w14:paraId="5D12F489" w14:textId="3110ED0E" w:rsidR="00BE681E" w:rsidRPr="00BE681E" w:rsidRDefault="00BE681E" w:rsidP="00BE681E">
      <w:pPr>
        <w:pStyle w:val="ListParagraph"/>
        <w:numPr>
          <w:ilvl w:val="2"/>
          <w:numId w:val="9"/>
        </w:numPr>
        <w:rPr>
          <w:rFonts w:cstheme="minorHAnsi"/>
        </w:rPr>
      </w:pPr>
      <w:r w:rsidRPr="00BE681E">
        <w:rPr>
          <w:rFonts w:cstheme="minorHAnsi"/>
          <w:color w:val="222222"/>
          <w:shd w:val="clear" w:color="auto" w:fill="FFFFFF"/>
        </w:rPr>
        <w:t>Data curation</w:t>
      </w:r>
    </w:p>
    <w:p w14:paraId="5EF0CFCA" w14:textId="6B0B99CC" w:rsidR="00BE681E" w:rsidRPr="00BE681E" w:rsidRDefault="00BE681E" w:rsidP="00BE681E">
      <w:pPr>
        <w:pStyle w:val="ListParagraph"/>
        <w:numPr>
          <w:ilvl w:val="2"/>
          <w:numId w:val="9"/>
        </w:numPr>
        <w:rPr>
          <w:rFonts w:cstheme="minorHAnsi"/>
        </w:rPr>
      </w:pPr>
      <w:r>
        <w:rPr>
          <w:rFonts w:cstheme="minorHAnsi"/>
          <w:color w:val="222222"/>
          <w:shd w:val="clear" w:color="auto" w:fill="FFFFFF"/>
        </w:rPr>
        <w:t xml:space="preserve">Followed up the case </w:t>
      </w:r>
    </w:p>
    <w:p w14:paraId="7D4691DD" w14:textId="78B5018D" w:rsidR="00BE681E" w:rsidRPr="00BE681E" w:rsidRDefault="00BE681E" w:rsidP="00BE681E">
      <w:pPr>
        <w:pStyle w:val="ListParagraph"/>
        <w:ind w:left="2160"/>
        <w:rPr>
          <w:rFonts w:cstheme="minorHAnsi"/>
        </w:rPr>
      </w:pPr>
    </w:p>
    <w:p w14:paraId="54EE8C84" w14:textId="66A7457C" w:rsidR="00820F39" w:rsidRDefault="00820F39" w:rsidP="00820F39">
      <w:pPr>
        <w:pStyle w:val="ListParagraph"/>
        <w:numPr>
          <w:ilvl w:val="1"/>
          <w:numId w:val="9"/>
        </w:numPr>
        <w:jc w:val="both"/>
        <w:rPr>
          <w:rFonts w:cstheme="minorHAnsi"/>
          <w:sz w:val="24"/>
          <w:szCs w:val="24"/>
        </w:rPr>
      </w:pPr>
      <w:r>
        <w:rPr>
          <w:rFonts w:cstheme="minorHAnsi"/>
          <w:sz w:val="24"/>
          <w:szCs w:val="24"/>
        </w:rPr>
        <w:t>Dr Suman Rijal</w:t>
      </w:r>
    </w:p>
    <w:p w14:paraId="2A97F790" w14:textId="6D66AA1C" w:rsidR="00BE681E" w:rsidRPr="00BE681E" w:rsidRDefault="00BE681E" w:rsidP="00BE681E">
      <w:pPr>
        <w:pStyle w:val="ListParagraph"/>
        <w:numPr>
          <w:ilvl w:val="2"/>
          <w:numId w:val="9"/>
        </w:numPr>
        <w:jc w:val="both"/>
        <w:rPr>
          <w:rFonts w:cstheme="minorHAnsi"/>
        </w:rPr>
      </w:pPr>
      <w:r w:rsidRPr="00BE681E">
        <w:rPr>
          <w:rFonts w:cstheme="minorHAnsi"/>
        </w:rPr>
        <w:t xml:space="preserve">Co author </w:t>
      </w:r>
    </w:p>
    <w:p w14:paraId="035CEA37" w14:textId="2CC31C0D" w:rsidR="00BE681E" w:rsidRPr="00BE681E" w:rsidRDefault="00BE681E" w:rsidP="00BE681E">
      <w:pPr>
        <w:pStyle w:val="ListParagraph"/>
        <w:numPr>
          <w:ilvl w:val="2"/>
          <w:numId w:val="9"/>
        </w:numPr>
        <w:jc w:val="both"/>
        <w:rPr>
          <w:rFonts w:cstheme="minorHAnsi"/>
        </w:rPr>
      </w:pPr>
      <w:r w:rsidRPr="00BE681E">
        <w:rPr>
          <w:rFonts w:cstheme="minorHAnsi"/>
        </w:rPr>
        <w:t xml:space="preserve">Writing the case report </w:t>
      </w:r>
    </w:p>
    <w:p w14:paraId="35264F51" w14:textId="574D5B7D" w:rsidR="00BE681E" w:rsidRPr="00BE681E" w:rsidRDefault="00BE681E" w:rsidP="00BE681E">
      <w:pPr>
        <w:pStyle w:val="ListParagraph"/>
        <w:numPr>
          <w:ilvl w:val="2"/>
          <w:numId w:val="9"/>
        </w:numPr>
        <w:jc w:val="both"/>
        <w:rPr>
          <w:rFonts w:cstheme="minorHAnsi"/>
        </w:rPr>
      </w:pPr>
      <w:r w:rsidRPr="00BE681E">
        <w:rPr>
          <w:rFonts w:cstheme="minorHAnsi"/>
        </w:rPr>
        <w:t xml:space="preserve">Data curation </w:t>
      </w:r>
    </w:p>
    <w:p w14:paraId="356A7C76" w14:textId="3A548B19" w:rsidR="00BE681E" w:rsidRPr="00BE681E" w:rsidRDefault="00BE681E" w:rsidP="00BE681E">
      <w:pPr>
        <w:pStyle w:val="ListParagraph"/>
        <w:numPr>
          <w:ilvl w:val="2"/>
          <w:numId w:val="9"/>
        </w:numPr>
        <w:jc w:val="both"/>
        <w:rPr>
          <w:rFonts w:cstheme="minorHAnsi"/>
        </w:rPr>
      </w:pPr>
      <w:r w:rsidRPr="00BE681E">
        <w:rPr>
          <w:rFonts w:cstheme="minorHAnsi"/>
        </w:rPr>
        <w:t xml:space="preserve">Implementation of plan </w:t>
      </w:r>
    </w:p>
    <w:p w14:paraId="54207AE3" w14:textId="1D01F8FF" w:rsidR="00BE681E" w:rsidRDefault="00BE681E" w:rsidP="00BE681E">
      <w:pPr>
        <w:pStyle w:val="ListParagraph"/>
        <w:numPr>
          <w:ilvl w:val="2"/>
          <w:numId w:val="9"/>
        </w:numPr>
        <w:jc w:val="both"/>
        <w:rPr>
          <w:rFonts w:cstheme="minorHAnsi"/>
          <w:sz w:val="24"/>
          <w:szCs w:val="24"/>
        </w:rPr>
      </w:pPr>
      <w:r w:rsidRPr="00BE681E">
        <w:rPr>
          <w:rFonts w:cstheme="minorHAnsi"/>
        </w:rPr>
        <w:t>Visualization</w:t>
      </w:r>
      <w:r>
        <w:rPr>
          <w:rFonts w:cstheme="minorHAnsi"/>
          <w:sz w:val="24"/>
          <w:szCs w:val="24"/>
        </w:rPr>
        <w:t xml:space="preserve"> </w:t>
      </w:r>
    </w:p>
    <w:p w14:paraId="5187BAD2" w14:textId="77777777" w:rsidR="00BE681E" w:rsidRDefault="00BE681E" w:rsidP="00BE681E">
      <w:pPr>
        <w:pStyle w:val="ListParagraph"/>
        <w:ind w:left="2160"/>
        <w:jc w:val="both"/>
        <w:rPr>
          <w:rFonts w:cstheme="minorHAnsi"/>
          <w:sz w:val="24"/>
          <w:szCs w:val="24"/>
        </w:rPr>
      </w:pPr>
    </w:p>
    <w:p w14:paraId="3444E157" w14:textId="6F177616" w:rsidR="00820F39" w:rsidRDefault="00820F39" w:rsidP="00820F39">
      <w:pPr>
        <w:pStyle w:val="ListParagraph"/>
        <w:numPr>
          <w:ilvl w:val="1"/>
          <w:numId w:val="9"/>
        </w:numPr>
        <w:jc w:val="both"/>
        <w:rPr>
          <w:rFonts w:cstheme="minorHAnsi"/>
          <w:sz w:val="24"/>
          <w:szCs w:val="24"/>
        </w:rPr>
      </w:pPr>
      <w:r>
        <w:rPr>
          <w:rFonts w:cstheme="minorHAnsi"/>
          <w:sz w:val="24"/>
          <w:szCs w:val="24"/>
        </w:rPr>
        <w:t xml:space="preserve">Mr Rakesh Singh </w:t>
      </w:r>
    </w:p>
    <w:p w14:paraId="0FC6EECC" w14:textId="5B3CBB7D" w:rsidR="00BE681E" w:rsidRPr="00BE681E" w:rsidRDefault="00BE681E" w:rsidP="00BE681E">
      <w:pPr>
        <w:pStyle w:val="ListParagraph"/>
        <w:numPr>
          <w:ilvl w:val="2"/>
          <w:numId w:val="9"/>
        </w:numPr>
        <w:jc w:val="both"/>
        <w:rPr>
          <w:rFonts w:cstheme="minorHAnsi"/>
        </w:rPr>
      </w:pPr>
      <w:r w:rsidRPr="00BE681E">
        <w:rPr>
          <w:rFonts w:cstheme="minorHAnsi"/>
        </w:rPr>
        <w:t>Co author</w:t>
      </w:r>
    </w:p>
    <w:p w14:paraId="02D5E476" w14:textId="77777777" w:rsidR="00BE681E" w:rsidRPr="00BE681E" w:rsidRDefault="00BE681E" w:rsidP="00BE681E">
      <w:pPr>
        <w:pStyle w:val="ListParagraph"/>
        <w:numPr>
          <w:ilvl w:val="2"/>
          <w:numId w:val="9"/>
        </w:numPr>
        <w:jc w:val="both"/>
        <w:rPr>
          <w:rFonts w:cstheme="minorHAnsi"/>
        </w:rPr>
      </w:pPr>
      <w:r w:rsidRPr="00BE681E">
        <w:rPr>
          <w:rFonts w:cstheme="minorHAnsi"/>
        </w:rPr>
        <w:t>S</w:t>
      </w:r>
      <w:r w:rsidRPr="00BE681E">
        <w:rPr>
          <w:rFonts w:cstheme="minorHAnsi"/>
        </w:rPr>
        <w:t>upervision</w:t>
      </w:r>
    </w:p>
    <w:p w14:paraId="7C82B0F5" w14:textId="77777777" w:rsidR="00BE681E" w:rsidRPr="00BE681E" w:rsidRDefault="00BE681E" w:rsidP="00BE681E">
      <w:pPr>
        <w:pStyle w:val="ListParagraph"/>
        <w:numPr>
          <w:ilvl w:val="2"/>
          <w:numId w:val="9"/>
        </w:numPr>
        <w:jc w:val="both"/>
        <w:rPr>
          <w:rFonts w:cstheme="minorHAnsi"/>
        </w:rPr>
      </w:pPr>
      <w:r w:rsidRPr="00BE681E">
        <w:rPr>
          <w:rFonts w:cstheme="minorHAnsi"/>
        </w:rPr>
        <w:t>Validation</w:t>
      </w:r>
    </w:p>
    <w:p w14:paraId="267939BF" w14:textId="19F23908" w:rsidR="00BE681E" w:rsidRPr="00BE681E" w:rsidRDefault="00BE681E" w:rsidP="00BE681E">
      <w:pPr>
        <w:pStyle w:val="ListParagraph"/>
        <w:numPr>
          <w:ilvl w:val="2"/>
          <w:numId w:val="9"/>
        </w:numPr>
        <w:jc w:val="both"/>
        <w:rPr>
          <w:rFonts w:cstheme="minorHAnsi"/>
        </w:rPr>
      </w:pPr>
      <w:r w:rsidRPr="00BE681E">
        <w:rPr>
          <w:rFonts w:cstheme="minorHAnsi"/>
        </w:rPr>
        <w:t>Writing – review &amp; editing</w:t>
      </w:r>
    </w:p>
    <w:sectPr w:rsidR="00BE681E" w:rsidRPr="00BE681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E495E"/>
    <w:multiLevelType w:val="hybridMultilevel"/>
    <w:tmpl w:val="71CC31CC"/>
    <w:lvl w:ilvl="0" w:tplc="2EE20F18">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217BBE"/>
    <w:multiLevelType w:val="multilevel"/>
    <w:tmpl w:val="1EDE90DA"/>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start w:val="1"/>
      <w:numFmt w:val="bullet"/>
      <w:lvlText w:val="-"/>
      <w:lvlJc w:val="left"/>
      <w:pPr>
        <w:ind w:left="2160" w:hanging="360"/>
      </w:pPr>
      <w:rPr>
        <w:rFonts w:ascii="Calibri" w:eastAsiaTheme="minorHAnsi" w:hAnsi="Calibri" w:cs="Calibri" w:hint="default"/>
        <w:sz w:val="24"/>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9575115"/>
    <w:multiLevelType w:val="hybridMultilevel"/>
    <w:tmpl w:val="A2C27076"/>
    <w:lvl w:ilvl="0" w:tplc="C06EE05C">
      <w:start w:val="1"/>
      <w:numFmt w:val="decimal"/>
      <w:lvlText w:val="%1."/>
      <w:lvlJc w:val="left"/>
      <w:pPr>
        <w:ind w:left="720" w:hanging="360"/>
      </w:pPr>
      <w:rPr>
        <w:rFonts w:hint="default"/>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36F93F82"/>
    <w:multiLevelType w:val="hybridMultilevel"/>
    <w:tmpl w:val="1A467280"/>
    <w:lvl w:ilvl="0" w:tplc="3934F0DE">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3CE8440F"/>
    <w:multiLevelType w:val="hybridMultilevel"/>
    <w:tmpl w:val="06924EAA"/>
    <w:lvl w:ilvl="0" w:tplc="12B05778">
      <w:start w:val="2"/>
      <w:numFmt w:val="bullet"/>
      <w:lvlText w:val=""/>
      <w:lvlJc w:val="left"/>
      <w:pPr>
        <w:ind w:left="720" w:hanging="360"/>
      </w:pPr>
      <w:rPr>
        <w:rFonts w:ascii="Symbol" w:eastAsiaTheme="minorHAnsi" w:hAnsi="Symbol" w:cstheme="min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52747CD2"/>
    <w:multiLevelType w:val="hybridMultilevel"/>
    <w:tmpl w:val="87FA1E42"/>
    <w:lvl w:ilvl="0" w:tplc="01DCB14E">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 w15:restartNumberingAfterBreak="0">
    <w:nsid w:val="6CCD4E9D"/>
    <w:multiLevelType w:val="hybridMultilevel"/>
    <w:tmpl w:val="9094150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77ED0321"/>
    <w:multiLevelType w:val="hybridMultilevel"/>
    <w:tmpl w:val="20943344"/>
    <w:lvl w:ilvl="0" w:tplc="FBF6BE82">
      <w:start w:val="3"/>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7D4818A7"/>
    <w:multiLevelType w:val="hybridMultilevel"/>
    <w:tmpl w:val="2CD07C04"/>
    <w:lvl w:ilvl="0" w:tplc="4009000F">
      <w:start w:val="1"/>
      <w:numFmt w:val="decimal"/>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num w:numId="1" w16cid:durableId="1013340263">
    <w:abstractNumId w:val="2"/>
  </w:num>
  <w:num w:numId="2" w16cid:durableId="613709093">
    <w:abstractNumId w:val="5"/>
  </w:num>
  <w:num w:numId="3" w16cid:durableId="1916087962">
    <w:abstractNumId w:val="8"/>
  </w:num>
  <w:num w:numId="4" w16cid:durableId="1832022593">
    <w:abstractNumId w:val="0"/>
  </w:num>
  <w:num w:numId="5" w16cid:durableId="1893300755">
    <w:abstractNumId w:val="7"/>
  </w:num>
  <w:num w:numId="6" w16cid:durableId="142040778">
    <w:abstractNumId w:val="6"/>
  </w:num>
  <w:num w:numId="7" w16cid:durableId="1785298182">
    <w:abstractNumId w:val="3"/>
  </w:num>
  <w:num w:numId="8" w16cid:durableId="1381050737">
    <w:abstractNumId w:val="4"/>
  </w:num>
  <w:num w:numId="9" w16cid:durableId="6904225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45D"/>
    <w:rsid w:val="00046E92"/>
    <w:rsid w:val="00053E88"/>
    <w:rsid w:val="000B0C52"/>
    <w:rsid w:val="001470EF"/>
    <w:rsid w:val="00153009"/>
    <w:rsid w:val="001D76A9"/>
    <w:rsid w:val="001F0B8A"/>
    <w:rsid w:val="0021168B"/>
    <w:rsid w:val="002246A5"/>
    <w:rsid w:val="00246B73"/>
    <w:rsid w:val="00256846"/>
    <w:rsid w:val="002B0A54"/>
    <w:rsid w:val="002E6586"/>
    <w:rsid w:val="003A62E0"/>
    <w:rsid w:val="0043360E"/>
    <w:rsid w:val="00465F89"/>
    <w:rsid w:val="00467085"/>
    <w:rsid w:val="004D4772"/>
    <w:rsid w:val="00522D6E"/>
    <w:rsid w:val="0059166C"/>
    <w:rsid w:val="00625CF0"/>
    <w:rsid w:val="006721D7"/>
    <w:rsid w:val="00685EBB"/>
    <w:rsid w:val="006B3E47"/>
    <w:rsid w:val="00765ACD"/>
    <w:rsid w:val="00783A02"/>
    <w:rsid w:val="007A226B"/>
    <w:rsid w:val="007D672B"/>
    <w:rsid w:val="007D7177"/>
    <w:rsid w:val="00820F39"/>
    <w:rsid w:val="0087667D"/>
    <w:rsid w:val="008D4A87"/>
    <w:rsid w:val="00900128"/>
    <w:rsid w:val="009375CD"/>
    <w:rsid w:val="00973912"/>
    <w:rsid w:val="009A0AC6"/>
    <w:rsid w:val="009A5247"/>
    <w:rsid w:val="00AD0B3F"/>
    <w:rsid w:val="00B675D5"/>
    <w:rsid w:val="00BE681E"/>
    <w:rsid w:val="00C84009"/>
    <w:rsid w:val="00C97E78"/>
    <w:rsid w:val="00D528E4"/>
    <w:rsid w:val="00D558E6"/>
    <w:rsid w:val="00D93998"/>
    <w:rsid w:val="00DB2177"/>
    <w:rsid w:val="00DB445D"/>
    <w:rsid w:val="00DE4975"/>
    <w:rsid w:val="00E419D1"/>
    <w:rsid w:val="00E645B6"/>
    <w:rsid w:val="00F45378"/>
    <w:rsid w:val="00F648A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FBCA2"/>
  <w15:chartTrackingRefBased/>
  <w15:docId w15:val="{B7409401-650A-43B8-85E5-4CA5FC997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5ACD"/>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5ACD"/>
    <w:pPr>
      <w:ind w:left="720"/>
      <w:contextualSpacing/>
    </w:pPr>
  </w:style>
  <w:style w:type="character" w:styleId="Hyperlink">
    <w:name w:val="Hyperlink"/>
    <w:basedOn w:val="DefaultParagraphFont"/>
    <w:uiPriority w:val="99"/>
    <w:unhideWhenUsed/>
    <w:rsid w:val="00D558E6"/>
    <w:rPr>
      <w:color w:val="0563C1" w:themeColor="hyperlink"/>
      <w:u w:val="single"/>
    </w:rPr>
  </w:style>
  <w:style w:type="character" w:styleId="UnresolvedMention">
    <w:name w:val="Unresolved Mention"/>
    <w:basedOn w:val="DefaultParagraphFont"/>
    <w:uiPriority w:val="99"/>
    <w:semiHidden/>
    <w:unhideWhenUsed/>
    <w:rsid w:val="00D558E6"/>
    <w:rPr>
      <w:color w:val="605E5C"/>
      <w:shd w:val="clear" w:color="auto" w:fill="E1DFDD"/>
    </w:rPr>
  </w:style>
  <w:style w:type="paragraph" w:styleId="Bibliography">
    <w:name w:val="Bibliography"/>
    <w:basedOn w:val="Normal"/>
    <w:next w:val="Normal"/>
    <w:uiPriority w:val="37"/>
    <w:semiHidden/>
    <w:unhideWhenUsed/>
    <w:rsid w:val="006721D7"/>
  </w:style>
  <w:style w:type="character" w:styleId="FollowedHyperlink">
    <w:name w:val="FollowedHyperlink"/>
    <w:basedOn w:val="DefaultParagraphFont"/>
    <w:uiPriority w:val="99"/>
    <w:semiHidden/>
    <w:unhideWhenUsed/>
    <w:rsid w:val="00625CF0"/>
    <w:rPr>
      <w:color w:val="954F72" w:themeColor="followedHyperlink"/>
      <w:u w:val="single"/>
    </w:rPr>
  </w:style>
  <w:style w:type="paragraph" w:styleId="NormalWeb">
    <w:name w:val="Normal (Web)"/>
    <w:basedOn w:val="Normal"/>
    <w:uiPriority w:val="99"/>
    <w:semiHidden/>
    <w:unhideWhenUsed/>
    <w:rsid w:val="00820F3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91380">
      <w:bodyDiv w:val="1"/>
      <w:marLeft w:val="0"/>
      <w:marRight w:val="0"/>
      <w:marTop w:val="0"/>
      <w:marBottom w:val="0"/>
      <w:divBdr>
        <w:top w:val="none" w:sz="0" w:space="0" w:color="auto"/>
        <w:left w:val="none" w:sz="0" w:space="0" w:color="auto"/>
        <w:bottom w:val="none" w:sz="0" w:space="0" w:color="auto"/>
        <w:right w:val="none" w:sz="0" w:space="0" w:color="auto"/>
      </w:divBdr>
    </w:div>
    <w:div w:id="125395892">
      <w:bodyDiv w:val="1"/>
      <w:marLeft w:val="0"/>
      <w:marRight w:val="0"/>
      <w:marTop w:val="0"/>
      <w:marBottom w:val="0"/>
      <w:divBdr>
        <w:top w:val="none" w:sz="0" w:space="0" w:color="auto"/>
        <w:left w:val="none" w:sz="0" w:space="0" w:color="auto"/>
        <w:bottom w:val="none" w:sz="0" w:space="0" w:color="auto"/>
        <w:right w:val="none" w:sz="0" w:space="0" w:color="auto"/>
      </w:divBdr>
    </w:div>
    <w:div w:id="238639910">
      <w:bodyDiv w:val="1"/>
      <w:marLeft w:val="0"/>
      <w:marRight w:val="0"/>
      <w:marTop w:val="0"/>
      <w:marBottom w:val="0"/>
      <w:divBdr>
        <w:top w:val="none" w:sz="0" w:space="0" w:color="auto"/>
        <w:left w:val="none" w:sz="0" w:space="0" w:color="auto"/>
        <w:bottom w:val="none" w:sz="0" w:space="0" w:color="auto"/>
        <w:right w:val="none" w:sz="0" w:space="0" w:color="auto"/>
      </w:divBdr>
      <w:divsChild>
        <w:div w:id="1411922132">
          <w:marLeft w:val="0"/>
          <w:marRight w:val="0"/>
          <w:marTop w:val="0"/>
          <w:marBottom w:val="0"/>
          <w:divBdr>
            <w:top w:val="single" w:sz="2" w:space="0" w:color="D9D9E3"/>
            <w:left w:val="single" w:sz="2" w:space="0" w:color="D9D9E3"/>
            <w:bottom w:val="single" w:sz="2" w:space="0" w:color="D9D9E3"/>
            <w:right w:val="single" w:sz="2" w:space="0" w:color="D9D9E3"/>
          </w:divBdr>
          <w:divsChild>
            <w:div w:id="692196709">
              <w:marLeft w:val="0"/>
              <w:marRight w:val="0"/>
              <w:marTop w:val="0"/>
              <w:marBottom w:val="0"/>
              <w:divBdr>
                <w:top w:val="single" w:sz="2" w:space="0" w:color="D9D9E3"/>
                <w:left w:val="single" w:sz="2" w:space="0" w:color="D9D9E3"/>
                <w:bottom w:val="single" w:sz="2" w:space="0" w:color="D9D9E3"/>
                <w:right w:val="single" w:sz="2" w:space="0" w:color="D9D9E3"/>
              </w:divBdr>
              <w:divsChild>
                <w:div w:id="1416320751">
                  <w:marLeft w:val="0"/>
                  <w:marRight w:val="0"/>
                  <w:marTop w:val="0"/>
                  <w:marBottom w:val="0"/>
                  <w:divBdr>
                    <w:top w:val="single" w:sz="2" w:space="0" w:color="D9D9E3"/>
                    <w:left w:val="single" w:sz="2" w:space="0" w:color="D9D9E3"/>
                    <w:bottom w:val="single" w:sz="2" w:space="0" w:color="D9D9E3"/>
                    <w:right w:val="single" w:sz="2" w:space="0" w:color="D9D9E3"/>
                  </w:divBdr>
                  <w:divsChild>
                    <w:div w:id="779644354">
                      <w:marLeft w:val="0"/>
                      <w:marRight w:val="0"/>
                      <w:marTop w:val="0"/>
                      <w:marBottom w:val="0"/>
                      <w:divBdr>
                        <w:top w:val="single" w:sz="2" w:space="0" w:color="D9D9E3"/>
                        <w:left w:val="single" w:sz="2" w:space="0" w:color="D9D9E3"/>
                        <w:bottom w:val="single" w:sz="2" w:space="0" w:color="D9D9E3"/>
                        <w:right w:val="single" w:sz="2" w:space="0" w:color="D9D9E3"/>
                      </w:divBdr>
                      <w:divsChild>
                        <w:div w:id="303393917">
                          <w:marLeft w:val="0"/>
                          <w:marRight w:val="0"/>
                          <w:marTop w:val="0"/>
                          <w:marBottom w:val="0"/>
                          <w:divBdr>
                            <w:top w:val="single" w:sz="2" w:space="0" w:color="D9D9E3"/>
                            <w:left w:val="single" w:sz="2" w:space="0" w:color="D9D9E3"/>
                            <w:bottom w:val="single" w:sz="2" w:space="0" w:color="D9D9E3"/>
                            <w:right w:val="single" w:sz="2" w:space="0" w:color="D9D9E3"/>
                          </w:divBdr>
                          <w:divsChild>
                            <w:div w:id="1929345910">
                              <w:marLeft w:val="0"/>
                              <w:marRight w:val="0"/>
                              <w:marTop w:val="100"/>
                              <w:marBottom w:val="100"/>
                              <w:divBdr>
                                <w:top w:val="single" w:sz="2" w:space="0" w:color="D9D9E3"/>
                                <w:left w:val="single" w:sz="2" w:space="0" w:color="D9D9E3"/>
                                <w:bottom w:val="single" w:sz="2" w:space="0" w:color="D9D9E3"/>
                                <w:right w:val="single" w:sz="2" w:space="0" w:color="D9D9E3"/>
                              </w:divBdr>
                              <w:divsChild>
                                <w:div w:id="1377074962">
                                  <w:marLeft w:val="0"/>
                                  <w:marRight w:val="0"/>
                                  <w:marTop w:val="0"/>
                                  <w:marBottom w:val="0"/>
                                  <w:divBdr>
                                    <w:top w:val="single" w:sz="2" w:space="0" w:color="D9D9E3"/>
                                    <w:left w:val="single" w:sz="2" w:space="0" w:color="D9D9E3"/>
                                    <w:bottom w:val="single" w:sz="2" w:space="0" w:color="D9D9E3"/>
                                    <w:right w:val="single" w:sz="2" w:space="0" w:color="D9D9E3"/>
                                  </w:divBdr>
                                  <w:divsChild>
                                    <w:div w:id="181359030">
                                      <w:marLeft w:val="0"/>
                                      <w:marRight w:val="0"/>
                                      <w:marTop w:val="0"/>
                                      <w:marBottom w:val="0"/>
                                      <w:divBdr>
                                        <w:top w:val="single" w:sz="2" w:space="0" w:color="D9D9E3"/>
                                        <w:left w:val="single" w:sz="2" w:space="0" w:color="D9D9E3"/>
                                        <w:bottom w:val="single" w:sz="2" w:space="0" w:color="D9D9E3"/>
                                        <w:right w:val="single" w:sz="2" w:space="0" w:color="D9D9E3"/>
                                      </w:divBdr>
                                      <w:divsChild>
                                        <w:div w:id="1038550217">
                                          <w:marLeft w:val="0"/>
                                          <w:marRight w:val="0"/>
                                          <w:marTop w:val="0"/>
                                          <w:marBottom w:val="0"/>
                                          <w:divBdr>
                                            <w:top w:val="single" w:sz="2" w:space="0" w:color="D9D9E3"/>
                                            <w:left w:val="single" w:sz="2" w:space="0" w:color="D9D9E3"/>
                                            <w:bottom w:val="single" w:sz="2" w:space="0" w:color="D9D9E3"/>
                                            <w:right w:val="single" w:sz="2" w:space="0" w:color="D9D9E3"/>
                                          </w:divBdr>
                                          <w:divsChild>
                                            <w:div w:id="842282256">
                                              <w:marLeft w:val="0"/>
                                              <w:marRight w:val="0"/>
                                              <w:marTop w:val="0"/>
                                              <w:marBottom w:val="0"/>
                                              <w:divBdr>
                                                <w:top w:val="single" w:sz="2" w:space="0" w:color="D9D9E3"/>
                                                <w:left w:val="single" w:sz="2" w:space="0" w:color="D9D9E3"/>
                                                <w:bottom w:val="single" w:sz="2" w:space="0" w:color="D9D9E3"/>
                                                <w:right w:val="single" w:sz="2" w:space="0" w:color="D9D9E3"/>
                                              </w:divBdr>
                                              <w:divsChild>
                                                <w:div w:id="189420364">
                                                  <w:marLeft w:val="0"/>
                                                  <w:marRight w:val="0"/>
                                                  <w:marTop w:val="0"/>
                                                  <w:marBottom w:val="0"/>
                                                  <w:divBdr>
                                                    <w:top w:val="single" w:sz="2" w:space="0" w:color="D9D9E3"/>
                                                    <w:left w:val="single" w:sz="2" w:space="0" w:color="D9D9E3"/>
                                                    <w:bottom w:val="single" w:sz="2" w:space="0" w:color="D9D9E3"/>
                                                    <w:right w:val="single" w:sz="2" w:space="0" w:color="D9D9E3"/>
                                                  </w:divBdr>
                                                  <w:divsChild>
                                                    <w:div w:id="17260543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3275106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c.gov/mmwr/preview/mmwrhtml/mm5421a2.htm" TargetMode="External"/><Relationship Id="rId13" Type="http://schemas.openxmlformats.org/officeDocument/2006/relationships/hyperlink" Target="https://doi.org/10.1007/s40263-022-00940-2" TargetMode="External"/><Relationship Id="rId3" Type="http://schemas.openxmlformats.org/officeDocument/2006/relationships/styles" Target="styles.xml"/><Relationship Id="rId7" Type="http://schemas.openxmlformats.org/officeDocument/2006/relationships/hyperlink" Target="https://onlinelibrary.wiley.com/doi/abs/10.1111/j.1525-1470.2011.01519.x" TargetMode="External"/><Relationship Id="rId12" Type="http://schemas.openxmlformats.org/officeDocument/2006/relationships/hyperlink" Target="https://doi.org/10.1177/09603271880070061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pragyarainov07@gmail.com" TargetMode="External"/><Relationship Id="rId11" Type="http://schemas.openxmlformats.org/officeDocument/2006/relationships/hyperlink" Target="https://doi.org/10.1136/bcr-2013-00985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doi.org/10.1021/acs.est.2c08244" TargetMode="External"/><Relationship Id="rId4" Type="http://schemas.openxmlformats.org/officeDocument/2006/relationships/settings" Target="settings.xml"/><Relationship Id="rId9" Type="http://schemas.openxmlformats.org/officeDocument/2006/relationships/hyperlink" Target="https://doi.org/10.1016/s0190-9622(81)70111-7" TargetMode="Externa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483762-0805-48A7-A22E-0E903AF77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2363</Words>
  <Characters>13474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Pragya Rai</dc:creator>
  <cp:keywords/>
  <dc:description/>
  <cp:lastModifiedBy>Pragya Rai</cp:lastModifiedBy>
  <cp:revision>3</cp:revision>
  <cp:lastPrinted>2024-01-25T06:02:00Z</cp:lastPrinted>
  <dcterms:created xsi:type="dcterms:W3CDTF">2024-01-29T11:11:00Z</dcterms:created>
  <dcterms:modified xsi:type="dcterms:W3CDTF">2024-01-29T11:12:00Z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zotero-version="6.0.30"&gt;&lt;session id="p6eSkiUI"/&gt;&lt;style id="http://www.zotero.org/styles/vancouver" locale="en-GB" hasBibliography="1" bibliographyStyleHasBeenSet="0"/&gt;&lt;prefs&gt;&lt;pref name="fieldType" value="Field"/&gt;&lt;/prefs&gt;&lt;/data&gt;</vt:lpwstr>
  </property>
</Properties>
</file>