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Times New Roman" w:cs="Times New Roman"/>
          <w:b w:val="0"/>
          <w:bCs w:val="0"/>
          <w:lang w:val="en-US"/>
        </w:rPr>
      </w:pPr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drawing>
          <wp:inline distT="0" distB="0" distL="114300" distR="114300">
            <wp:extent cx="1450975" cy="1198880"/>
            <wp:effectExtent l="0" t="0" r="12065" b="5080"/>
            <wp:docPr id="22" name="Picture 22" descr="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1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drawing>
          <wp:inline distT="0" distB="0" distL="114300" distR="114300">
            <wp:extent cx="1417320" cy="1203960"/>
            <wp:effectExtent l="0" t="0" r="0" b="0"/>
            <wp:docPr id="21" name="Picture 21" descr="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1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drawing>
          <wp:inline distT="0" distB="0" distL="114300" distR="114300">
            <wp:extent cx="1382395" cy="1200785"/>
            <wp:effectExtent l="0" t="0" r="4445" b="3175"/>
            <wp:docPr id="20" name="Picture 20" descr="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1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drawing>
          <wp:inline distT="0" distB="0" distL="114300" distR="114300">
            <wp:extent cx="1261110" cy="1200150"/>
            <wp:effectExtent l="0" t="0" r="3810" b="3810"/>
            <wp:docPr id="19" name="Picture 19" descr="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1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Times New Roman" w:cs="Times New Roman"/>
          <w:b w:val="0"/>
          <w:bCs w:val="0"/>
          <w:lang w:val="en-US"/>
        </w:rPr>
      </w:pPr>
      <w:r>
        <w:rPr>
          <w:rFonts w:hint="default" w:ascii="Times New Roman" w:hAnsi="Times New Roman" w:eastAsia="Times New Roman" w:cs="Times New Roman"/>
          <w:b w:val="0"/>
          <w:bCs w:val="0"/>
          <w:lang w:val="en-US"/>
        </w:rPr>
        <w:t>Fig-3 : Pre-dilatation upper GI endoscopy showing fundus, antrum, first(D1) and second (D2)parts of duodenum respectively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8494A"/>
    <w:rsid w:val="3A18494A"/>
    <w:rsid w:val="4731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2024-04-29T18:21:00Z</dcterms:created>
  <dc:creator>Deepak Subedi</dc:creator>
  <cp:lastModifiedBy>Deepak Subedi</cp:lastModifiedBy>
  <dcterms:modified xsi:type="dcterms:W3CDTF">2024-05-01T09:12:27Z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2057-12.2.0.16731</vt:lpwstr>
  </property>
  <property fmtid="{D5CDD505-2E9C-101B-9397-08002B2CF9AE}" pid="3" name="ICV">
    <vt:lpwstr>6BE820DD95C347E98443D4EF19D5480D_11</vt:lpwstr>
  </property>
</Properties>
</file>