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left"/>
        <w:rPr>
          <w:rFonts w:hint="default" w:ascii="Times New Roman" w:hAnsi="Times New Roman" w:eastAsia="Times New Roman" w:cs="Times New Roman"/>
          <w:b w:val="0"/>
          <w:bCs w:val="0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062990" cy="1168400"/>
            <wp:effectExtent l="0" t="0" r="3810" b="5080"/>
            <wp:docPr id="23" name="Picture 23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991235" cy="1170940"/>
            <wp:effectExtent l="0" t="0" r="14605" b="2540"/>
            <wp:docPr id="26" name="Picture 26" descr="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010285" cy="1169670"/>
            <wp:effectExtent l="0" t="0" r="10795" b="3810"/>
            <wp:docPr id="24" name="Picture 24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909320" cy="1158875"/>
            <wp:effectExtent l="0" t="0" r="5080" b="14605"/>
            <wp:docPr id="25" name="Picture 25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064260" cy="1180465"/>
            <wp:effectExtent l="0" t="0" r="2540" b="8255"/>
            <wp:docPr id="27" name="Picture 27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/>
        <w:rPr>
          <w:rFonts w:hint="default" w:ascii="Times New Roman" w:hAnsi="Times New Roman" w:eastAsia="Times New Roman" w:cs="Times New Roman"/>
          <w:b w:val="0"/>
          <w:bCs w:val="0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t>Fig-4: Post pneumatic balloon dilatation upper GI endoscopy showing fundus, antrum, first and second parts of duodenum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F71F1"/>
    <w:rsid w:val="328F71F1"/>
    <w:rsid w:val="76E0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2024-04-29T18:23:00Z</dcterms:created>
  <dc:creator>Deepak Subedi</dc:creator>
  <cp:lastModifiedBy>Deepak Subedi</cp:lastModifiedBy>
  <dcterms:modified xsi:type="dcterms:W3CDTF">2024-05-01T09:13:16Z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2057-12.2.0.16731</vt:lpwstr>
  </property>
  <property fmtid="{D5CDD505-2E9C-101B-9397-08002B2CF9AE}" pid="3" name="ICV">
    <vt:lpwstr>FA7669D97D3D4B7692E7FAB5AF0AA4AD_11</vt:lpwstr>
  </property>
</Properties>
</file>