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B5EF4C" w14:textId="77777777" w:rsidR="00DD103B" w:rsidRDefault="00DD103B" w:rsidP="00DD103B">
      <w:pPr>
        <w:spacing w:line="480" w:lineRule="auto"/>
        <w:rPr>
          <w:sz w:val="22"/>
          <w:szCs w:val="22"/>
        </w:rPr>
      </w:pPr>
      <w:r>
        <w:rPr>
          <w:b/>
          <w:sz w:val="22"/>
          <w:szCs w:val="22"/>
        </w:rPr>
        <w:t>Title</w:t>
      </w:r>
      <w:r>
        <w:rPr>
          <w:sz w:val="22"/>
          <w:szCs w:val="22"/>
        </w:rPr>
        <w:t>: 3D habitat structure drives avian functional and trait diversity across North America</w:t>
      </w:r>
    </w:p>
    <w:p w14:paraId="4EA9FE17" w14:textId="77777777" w:rsidR="00DD103B" w:rsidRDefault="00DD103B" w:rsidP="00DD103B">
      <w:pPr>
        <w:spacing w:line="480" w:lineRule="auto"/>
        <w:rPr>
          <w:b/>
          <w:sz w:val="22"/>
          <w:szCs w:val="22"/>
        </w:rPr>
      </w:pPr>
    </w:p>
    <w:p w14:paraId="6A859D22" w14:textId="77777777" w:rsidR="00DD103B" w:rsidRDefault="00DD103B" w:rsidP="00DD103B">
      <w:pPr>
        <w:spacing w:line="480" w:lineRule="auto"/>
        <w:rPr>
          <w:sz w:val="22"/>
          <w:szCs w:val="22"/>
          <w:vertAlign w:val="superscript"/>
        </w:rPr>
      </w:pPr>
      <w:r>
        <w:rPr>
          <w:b/>
          <w:sz w:val="22"/>
          <w:szCs w:val="22"/>
        </w:rPr>
        <w:t>Authors</w:t>
      </w:r>
      <w:r>
        <w:rPr>
          <w:sz w:val="22"/>
          <w:szCs w:val="22"/>
        </w:rPr>
        <w:t>: Colin P. Sweeney</w:t>
      </w:r>
      <w:r>
        <w:rPr>
          <w:sz w:val="22"/>
          <w:szCs w:val="22"/>
          <w:vertAlign w:val="superscript"/>
        </w:rPr>
        <w:t>1</w:t>
      </w:r>
      <w:r>
        <w:rPr>
          <w:sz w:val="22"/>
          <w:szCs w:val="22"/>
        </w:rPr>
        <w:t>, William Peterman</w:t>
      </w:r>
      <w:r>
        <w:rPr>
          <w:sz w:val="22"/>
          <w:szCs w:val="22"/>
          <w:vertAlign w:val="superscript"/>
        </w:rPr>
        <w:t>2</w:t>
      </w:r>
      <w:r>
        <w:rPr>
          <w:sz w:val="22"/>
          <w:szCs w:val="22"/>
        </w:rPr>
        <w:t xml:space="preserve">, </w:t>
      </w:r>
      <w:proofErr w:type="spellStart"/>
      <w:r>
        <w:rPr>
          <w:sz w:val="22"/>
          <w:szCs w:val="22"/>
        </w:rPr>
        <w:t>Kaiguang</w:t>
      </w:r>
      <w:proofErr w:type="spellEnd"/>
      <w:r>
        <w:rPr>
          <w:sz w:val="22"/>
          <w:szCs w:val="22"/>
        </w:rPr>
        <w:t xml:space="preserve"> Zhao</w:t>
      </w:r>
      <w:r>
        <w:rPr>
          <w:sz w:val="22"/>
          <w:szCs w:val="22"/>
          <w:vertAlign w:val="superscript"/>
        </w:rPr>
        <w:t>2</w:t>
      </w:r>
      <w:r>
        <w:rPr>
          <w:sz w:val="22"/>
          <w:szCs w:val="22"/>
        </w:rPr>
        <w:t>, Karen Goodell</w:t>
      </w:r>
      <w:r>
        <w:rPr>
          <w:sz w:val="22"/>
          <w:szCs w:val="22"/>
          <w:vertAlign w:val="superscript"/>
        </w:rPr>
        <w:t>1</w:t>
      </w:r>
      <w:r>
        <w:rPr>
          <w:sz w:val="22"/>
          <w:szCs w:val="22"/>
        </w:rPr>
        <w:t>, Benjamin Zuckerberg</w:t>
      </w:r>
      <w:r>
        <w:rPr>
          <w:sz w:val="22"/>
          <w:szCs w:val="22"/>
          <w:vertAlign w:val="superscript"/>
        </w:rPr>
        <w:t>3</w:t>
      </w:r>
      <w:r>
        <w:rPr>
          <w:sz w:val="22"/>
          <w:szCs w:val="22"/>
        </w:rPr>
        <w:t>, and Marta A. Jarzyna</w:t>
      </w:r>
      <w:r>
        <w:rPr>
          <w:sz w:val="22"/>
          <w:szCs w:val="22"/>
          <w:vertAlign w:val="superscript"/>
        </w:rPr>
        <w:t>1,4</w:t>
      </w:r>
    </w:p>
    <w:p w14:paraId="22EA06F5" w14:textId="77777777" w:rsidR="00DD103B" w:rsidRDefault="00DD103B" w:rsidP="00DD103B">
      <w:pPr>
        <w:spacing w:line="480" w:lineRule="auto"/>
        <w:rPr>
          <w:sz w:val="22"/>
          <w:szCs w:val="22"/>
        </w:rPr>
      </w:pPr>
    </w:p>
    <w:p w14:paraId="0719A42C" w14:textId="77777777" w:rsidR="00DD103B" w:rsidRDefault="00DD103B" w:rsidP="00DD103B">
      <w:pPr>
        <w:spacing w:line="480" w:lineRule="auto"/>
        <w:rPr>
          <w:sz w:val="22"/>
          <w:szCs w:val="22"/>
        </w:rPr>
      </w:pPr>
      <w:r>
        <w:rPr>
          <w:b/>
          <w:sz w:val="22"/>
          <w:szCs w:val="22"/>
        </w:rPr>
        <w:t>Affiliations</w:t>
      </w:r>
      <w:r>
        <w:rPr>
          <w:sz w:val="22"/>
          <w:szCs w:val="22"/>
        </w:rPr>
        <w:t xml:space="preserve">: </w:t>
      </w:r>
    </w:p>
    <w:p w14:paraId="7DBBE42D" w14:textId="77777777" w:rsidR="00DD103B" w:rsidRDefault="00DD103B" w:rsidP="00DD103B">
      <w:pPr>
        <w:spacing w:line="480" w:lineRule="auto"/>
        <w:rPr>
          <w:sz w:val="22"/>
          <w:szCs w:val="22"/>
        </w:rPr>
      </w:pPr>
      <w:r>
        <w:rPr>
          <w:sz w:val="22"/>
          <w:szCs w:val="22"/>
        </w:rPr>
        <w:t>1). Department of Evolution, Ecology and Organismal Biology, The Ohio State University</w:t>
      </w:r>
    </w:p>
    <w:p w14:paraId="2C2D9B65" w14:textId="77777777" w:rsidR="00DD103B" w:rsidRDefault="00DD103B" w:rsidP="00DD103B">
      <w:pPr>
        <w:spacing w:line="480" w:lineRule="auto"/>
        <w:rPr>
          <w:sz w:val="22"/>
          <w:szCs w:val="22"/>
        </w:rPr>
      </w:pPr>
      <w:r>
        <w:rPr>
          <w:sz w:val="22"/>
          <w:szCs w:val="22"/>
        </w:rPr>
        <w:t>2). School of Environment and Natural Resources, The Ohio State University</w:t>
      </w:r>
    </w:p>
    <w:p w14:paraId="6CAF2DB5" w14:textId="77777777" w:rsidR="00DD103B" w:rsidRDefault="00DD103B" w:rsidP="00DD103B">
      <w:pPr>
        <w:spacing w:line="480" w:lineRule="auto"/>
        <w:rPr>
          <w:sz w:val="22"/>
          <w:szCs w:val="22"/>
        </w:rPr>
      </w:pPr>
      <w:r>
        <w:rPr>
          <w:sz w:val="22"/>
          <w:szCs w:val="22"/>
        </w:rPr>
        <w:t>3). Department of Forest and Wildlife Ecology, University of Wisconsin - Madison</w:t>
      </w:r>
    </w:p>
    <w:p w14:paraId="1779658D" w14:textId="77777777" w:rsidR="00DD103B" w:rsidRDefault="00DD103B" w:rsidP="00DD103B">
      <w:pPr>
        <w:spacing w:line="480" w:lineRule="auto"/>
        <w:rPr>
          <w:sz w:val="22"/>
          <w:szCs w:val="22"/>
        </w:rPr>
      </w:pPr>
      <w:r>
        <w:rPr>
          <w:sz w:val="22"/>
          <w:szCs w:val="22"/>
        </w:rPr>
        <w:t>4). Translational Data Analytics Institute, The Ohio State University</w:t>
      </w:r>
    </w:p>
    <w:p w14:paraId="2739A22C" w14:textId="77777777" w:rsidR="00DD103B" w:rsidRDefault="00DD103B" w:rsidP="00DD103B">
      <w:pPr>
        <w:spacing w:line="480" w:lineRule="auto"/>
        <w:rPr>
          <w:sz w:val="22"/>
          <w:szCs w:val="22"/>
        </w:rPr>
      </w:pPr>
    </w:p>
    <w:p w14:paraId="690F448E" w14:textId="0010E20F" w:rsidR="00DD103B" w:rsidRDefault="00EE7664" w:rsidP="00DD103B">
      <w:pPr>
        <w:spacing w:line="480" w:lineRule="auto"/>
        <w:rPr>
          <w:sz w:val="22"/>
          <w:szCs w:val="22"/>
        </w:rPr>
      </w:pPr>
      <w:r w:rsidRPr="00EE7664">
        <w:rPr>
          <w:b/>
          <w:bCs/>
          <w:sz w:val="22"/>
          <w:szCs w:val="22"/>
        </w:rPr>
        <w:t>Correspondence</w:t>
      </w:r>
      <w:r>
        <w:rPr>
          <w:sz w:val="22"/>
          <w:szCs w:val="22"/>
        </w:rPr>
        <w:t>:</w:t>
      </w:r>
    </w:p>
    <w:p w14:paraId="22BCFED7" w14:textId="385A6F3D" w:rsidR="00EE7664" w:rsidRDefault="00EE7664" w:rsidP="00DD103B">
      <w:pPr>
        <w:spacing w:line="480" w:lineRule="auto"/>
        <w:rPr>
          <w:sz w:val="22"/>
          <w:szCs w:val="22"/>
        </w:rPr>
      </w:pPr>
      <w:r>
        <w:rPr>
          <w:sz w:val="22"/>
          <w:szCs w:val="22"/>
        </w:rPr>
        <w:t xml:space="preserve">Colin P. Sweeney, The Ohio State University, 300 </w:t>
      </w:r>
      <w:proofErr w:type="spellStart"/>
      <w:r>
        <w:rPr>
          <w:sz w:val="22"/>
          <w:szCs w:val="22"/>
        </w:rPr>
        <w:t>Aronoff</w:t>
      </w:r>
      <w:proofErr w:type="spellEnd"/>
      <w:r>
        <w:rPr>
          <w:sz w:val="22"/>
          <w:szCs w:val="22"/>
        </w:rPr>
        <w:t xml:space="preserve"> Laboratory, </w:t>
      </w:r>
      <w:r>
        <w:rPr>
          <w:sz w:val="22"/>
          <w:szCs w:val="22"/>
        </w:rPr>
        <w:t>318 W. 12</w:t>
      </w:r>
      <w:r w:rsidRPr="00EE7664">
        <w:rPr>
          <w:sz w:val="22"/>
          <w:szCs w:val="22"/>
          <w:vertAlign w:val="superscript"/>
        </w:rPr>
        <w:t>th</w:t>
      </w:r>
      <w:r>
        <w:rPr>
          <w:sz w:val="22"/>
          <w:szCs w:val="22"/>
        </w:rPr>
        <w:t xml:space="preserve"> Ave.</w:t>
      </w:r>
      <w:r>
        <w:rPr>
          <w:sz w:val="22"/>
          <w:szCs w:val="22"/>
        </w:rPr>
        <w:t>,</w:t>
      </w:r>
      <w:r>
        <w:rPr>
          <w:sz w:val="22"/>
          <w:szCs w:val="22"/>
        </w:rPr>
        <w:t xml:space="preserve"> </w:t>
      </w:r>
      <w:r>
        <w:rPr>
          <w:sz w:val="22"/>
          <w:szCs w:val="22"/>
        </w:rPr>
        <w:t>Columbus, OH 43210, USA.</w:t>
      </w:r>
    </w:p>
    <w:p w14:paraId="4A96A1F4" w14:textId="3DCDC4F1" w:rsidR="00EE7664" w:rsidRDefault="00EE7664" w:rsidP="00DD103B">
      <w:pPr>
        <w:spacing w:line="480" w:lineRule="auto"/>
        <w:rPr>
          <w:sz w:val="22"/>
          <w:szCs w:val="22"/>
        </w:rPr>
      </w:pPr>
      <w:r>
        <w:rPr>
          <w:sz w:val="22"/>
          <w:szCs w:val="22"/>
        </w:rPr>
        <w:t xml:space="preserve">Email: </w:t>
      </w:r>
      <w:hyperlink r:id="rId9" w:history="1">
        <w:r w:rsidRPr="00874A60">
          <w:rPr>
            <w:rStyle w:val="Hyperlink"/>
            <w:sz w:val="22"/>
            <w:szCs w:val="22"/>
          </w:rPr>
          <w:t>sweeney.316@osu.edu</w:t>
        </w:r>
      </w:hyperlink>
      <w:r>
        <w:rPr>
          <w:sz w:val="22"/>
          <w:szCs w:val="22"/>
        </w:rPr>
        <w:t xml:space="preserve"> </w:t>
      </w:r>
    </w:p>
    <w:p w14:paraId="09C5DBDF" w14:textId="77777777" w:rsidR="00DD103B" w:rsidRDefault="00DD103B" w:rsidP="00DD103B">
      <w:pPr>
        <w:spacing w:line="480" w:lineRule="auto"/>
        <w:rPr>
          <w:sz w:val="22"/>
          <w:szCs w:val="22"/>
        </w:rPr>
      </w:pPr>
    </w:p>
    <w:p w14:paraId="0690BD27" w14:textId="77777777" w:rsidR="00DD103B" w:rsidRDefault="00DD103B" w:rsidP="00DD103B">
      <w:pPr>
        <w:spacing w:line="480" w:lineRule="auto"/>
        <w:rPr>
          <w:sz w:val="22"/>
          <w:szCs w:val="22"/>
        </w:rPr>
      </w:pPr>
    </w:p>
    <w:p w14:paraId="79B52B0D" w14:textId="77777777" w:rsidR="00DD103B" w:rsidRDefault="00DD103B" w:rsidP="00DD103B">
      <w:pPr>
        <w:spacing w:line="480" w:lineRule="auto"/>
        <w:rPr>
          <w:sz w:val="22"/>
          <w:szCs w:val="22"/>
        </w:rPr>
      </w:pPr>
    </w:p>
    <w:p w14:paraId="3641802B" w14:textId="77777777" w:rsidR="00DD103B" w:rsidRDefault="00DD103B" w:rsidP="00DD103B">
      <w:pPr>
        <w:spacing w:line="480" w:lineRule="auto"/>
        <w:rPr>
          <w:sz w:val="22"/>
          <w:szCs w:val="22"/>
        </w:rPr>
      </w:pPr>
    </w:p>
    <w:p w14:paraId="09DEC193" w14:textId="77777777" w:rsidR="00DD103B" w:rsidRDefault="00DD103B" w:rsidP="00DD103B">
      <w:pPr>
        <w:spacing w:line="480" w:lineRule="auto"/>
        <w:rPr>
          <w:sz w:val="22"/>
          <w:szCs w:val="22"/>
        </w:rPr>
      </w:pPr>
    </w:p>
    <w:p w14:paraId="41B4D09C" w14:textId="77777777" w:rsidR="00DD103B" w:rsidRDefault="00DD103B" w:rsidP="00DD103B">
      <w:pPr>
        <w:spacing w:line="480" w:lineRule="auto"/>
        <w:rPr>
          <w:sz w:val="22"/>
          <w:szCs w:val="22"/>
        </w:rPr>
      </w:pPr>
    </w:p>
    <w:p w14:paraId="50B3D0F4" w14:textId="77777777" w:rsidR="00DD103B" w:rsidRDefault="00DD103B" w:rsidP="00DD103B">
      <w:pPr>
        <w:spacing w:line="480" w:lineRule="auto"/>
        <w:rPr>
          <w:sz w:val="22"/>
          <w:szCs w:val="22"/>
        </w:rPr>
      </w:pPr>
    </w:p>
    <w:p w14:paraId="1D640A24" w14:textId="77777777" w:rsidR="00DD103B" w:rsidRDefault="00DD103B" w:rsidP="00DD103B">
      <w:pPr>
        <w:spacing w:line="480" w:lineRule="auto"/>
        <w:rPr>
          <w:sz w:val="22"/>
          <w:szCs w:val="22"/>
        </w:rPr>
      </w:pPr>
    </w:p>
    <w:p w14:paraId="21E5D754" w14:textId="77777777" w:rsidR="00DD103B" w:rsidRDefault="00DD103B" w:rsidP="00DD103B">
      <w:pPr>
        <w:spacing w:line="480" w:lineRule="auto"/>
        <w:rPr>
          <w:sz w:val="22"/>
          <w:szCs w:val="22"/>
        </w:rPr>
      </w:pPr>
    </w:p>
    <w:p w14:paraId="0982799A" w14:textId="77777777" w:rsidR="00DD103B" w:rsidRDefault="00DD103B" w:rsidP="00DD103B">
      <w:pPr>
        <w:spacing w:line="480" w:lineRule="auto"/>
        <w:rPr>
          <w:sz w:val="22"/>
          <w:szCs w:val="22"/>
        </w:rPr>
      </w:pPr>
    </w:p>
    <w:p w14:paraId="317FB436" w14:textId="77777777" w:rsidR="00DD103B" w:rsidRDefault="00DD103B">
      <w:pPr>
        <w:spacing w:line="480" w:lineRule="auto"/>
        <w:rPr>
          <w:b/>
          <w:sz w:val="22"/>
          <w:szCs w:val="22"/>
        </w:rPr>
      </w:pPr>
    </w:p>
    <w:p w14:paraId="0000001C" w14:textId="64372B3F" w:rsidR="006B16C2" w:rsidRDefault="00EB0728">
      <w:pPr>
        <w:spacing w:line="480" w:lineRule="auto"/>
        <w:rPr>
          <w:sz w:val="22"/>
          <w:szCs w:val="22"/>
        </w:rPr>
      </w:pPr>
      <w:r>
        <w:rPr>
          <w:b/>
          <w:sz w:val="22"/>
          <w:szCs w:val="22"/>
        </w:rPr>
        <w:lastRenderedPageBreak/>
        <w:t>Abstract</w:t>
      </w:r>
      <w:r>
        <w:rPr>
          <w:sz w:val="22"/>
          <w:szCs w:val="22"/>
        </w:rPr>
        <w:t xml:space="preserve">: </w:t>
      </w:r>
    </w:p>
    <w:p w14:paraId="0000001D" w14:textId="7DAF39C0" w:rsidR="006B16C2" w:rsidRDefault="00EB0728" w:rsidP="00EB0728">
      <w:pPr>
        <w:spacing w:line="480" w:lineRule="auto"/>
        <w:ind w:firstLine="720"/>
        <w:rPr>
          <w:sz w:val="22"/>
          <w:szCs w:val="22"/>
        </w:rPr>
      </w:pPr>
      <w:r>
        <w:rPr>
          <w:sz w:val="22"/>
          <w:szCs w:val="22"/>
        </w:rPr>
        <w:t xml:space="preserve">Understanding how </w:t>
      </w:r>
      <w:r w:rsidR="00BB1A4E">
        <w:rPr>
          <w:sz w:val="22"/>
          <w:szCs w:val="22"/>
        </w:rPr>
        <w:t>three-dimensional (</w:t>
      </w:r>
      <w:r>
        <w:rPr>
          <w:sz w:val="22"/>
          <w:szCs w:val="22"/>
        </w:rPr>
        <w:t>3D</w:t>
      </w:r>
      <w:r w:rsidR="00BB1A4E">
        <w:rPr>
          <w:sz w:val="22"/>
          <w:szCs w:val="22"/>
        </w:rPr>
        <w:t>)</w:t>
      </w:r>
      <w:r>
        <w:rPr>
          <w:sz w:val="22"/>
          <w:szCs w:val="22"/>
        </w:rPr>
        <w:t xml:space="preserve"> habitat structure drives biodiversity patterns is key to predicting how habitat alteration and loss will affect species and community-level patterns in the future. To date, few studies have contrasted the effects of 3D habitat composition with those of 3D habitat configuration on biodiversity, with existing investigations often limited to measures of taxonomic diversity (i.e., species richness). Here, we examined the influence of Light Detecting and Ranging (LiDAR)-derived 3D habitat structure–both its composition and configuration–on multiple facets of bird diversity. Specifically, we used data from the National Ecological Observatory Network (NEON) to test the associations between eleven measures of 3D habitat structure and avian species richness, functional and trait diversity, and phylogenetic diversity. We found that 3D habitat structure was the most </w:t>
      </w:r>
      <w:r w:rsidR="004A6E45">
        <w:rPr>
          <w:sz w:val="22"/>
          <w:szCs w:val="22"/>
        </w:rPr>
        <w:t xml:space="preserve">consistent </w:t>
      </w:r>
      <w:r>
        <w:rPr>
          <w:sz w:val="22"/>
          <w:szCs w:val="22"/>
        </w:rPr>
        <w:t xml:space="preserve">predictor of avian functional and trait diversity, with little to no effect on species richness or phylogenetic diversity. Functional diversity and individual trait characteristics were strongly associated with both 3D habitat composition and configuration, but the magnitude and the direction of the effects varied across the canopy, subcanopy, midstory, and understory vertical strata. Our findings suggest that 3D habitat structure influences avian diversity through its effects on traits. By examining the effects of multiple aspects of habitat structure on multiple facets of avian diversity, </w:t>
      </w:r>
      <w:r w:rsidR="005B0F18">
        <w:rPr>
          <w:sz w:val="22"/>
          <w:szCs w:val="22"/>
        </w:rPr>
        <w:t xml:space="preserve">we </w:t>
      </w:r>
      <w:r>
        <w:rPr>
          <w:sz w:val="22"/>
          <w:szCs w:val="22"/>
        </w:rPr>
        <w:t>provide a broader framework for future investigations on habitat structure.</w:t>
      </w:r>
    </w:p>
    <w:p w14:paraId="0000001E" w14:textId="77777777" w:rsidR="006B16C2" w:rsidRDefault="006B16C2">
      <w:pPr>
        <w:spacing w:line="480" w:lineRule="auto"/>
        <w:rPr>
          <w:sz w:val="22"/>
          <w:szCs w:val="22"/>
        </w:rPr>
      </w:pPr>
    </w:p>
    <w:p w14:paraId="0000001F" w14:textId="716A973D" w:rsidR="006B16C2" w:rsidRDefault="00EB0728">
      <w:pPr>
        <w:spacing w:line="480" w:lineRule="auto"/>
        <w:rPr>
          <w:sz w:val="22"/>
          <w:szCs w:val="22"/>
        </w:rPr>
      </w:pPr>
      <w:r>
        <w:rPr>
          <w:b/>
          <w:sz w:val="22"/>
          <w:szCs w:val="22"/>
        </w:rPr>
        <w:t>Keywords</w:t>
      </w:r>
      <w:r>
        <w:rPr>
          <w:sz w:val="22"/>
          <w:szCs w:val="22"/>
        </w:rPr>
        <w:t>: 3D habitat structure, avian diversity, functional diversity, habitat composition, habitat configuration, LiDAR</w:t>
      </w:r>
    </w:p>
    <w:p w14:paraId="00000021" w14:textId="1BD8A5B6" w:rsidR="006B16C2" w:rsidRDefault="006B16C2">
      <w:pPr>
        <w:spacing w:line="480" w:lineRule="auto"/>
        <w:rPr>
          <w:b/>
          <w:sz w:val="22"/>
          <w:szCs w:val="22"/>
        </w:rPr>
      </w:pPr>
    </w:p>
    <w:p w14:paraId="6159E8A5" w14:textId="1B757F16" w:rsidR="004A6E45" w:rsidRDefault="004A6E45">
      <w:pPr>
        <w:spacing w:line="480" w:lineRule="auto"/>
        <w:rPr>
          <w:b/>
          <w:sz w:val="22"/>
          <w:szCs w:val="22"/>
        </w:rPr>
      </w:pPr>
    </w:p>
    <w:p w14:paraId="05993727" w14:textId="3D48188C" w:rsidR="005B0F18" w:rsidRDefault="005B0F18">
      <w:pPr>
        <w:spacing w:line="480" w:lineRule="auto"/>
        <w:rPr>
          <w:b/>
          <w:sz w:val="22"/>
          <w:szCs w:val="22"/>
        </w:rPr>
      </w:pPr>
    </w:p>
    <w:p w14:paraId="11E29265" w14:textId="28B1A7D9" w:rsidR="00DD103B" w:rsidRDefault="00DD103B">
      <w:pPr>
        <w:spacing w:line="480" w:lineRule="auto"/>
        <w:rPr>
          <w:b/>
          <w:sz w:val="22"/>
          <w:szCs w:val="22"/>
        </w:rPr>
      </w:pPr>
    </w:p>
    <w:p w14:paraId="4280EC00" w14:textId="77777777" w:rsidR="00DD103B" w:rsidRDefault="00DD103B">
      <w:pPr>
        <w:spacing w:line="480" w:lineRule="auto"/>
        <w:rPr>
          <w:b/>
          <w:sz w:val="22"/>
          <w:szCs w:val="22"/>
        </w:rPr>
      </w:pPr>
    </w:p>
    <w:p w14:paraId="00000022" w14:textId="77777777" w:rsidR="006B16C2" w:rsidRDefault="006B16C2">
      <w:pPr>
        <w:spacing w:line="480" w:lineRule="auto"/>
        <w:rPr>
          <w:b/>
          <w:sz w:val="22"/>
          <w:szCs w:val="22"/>
        </w:rPr>
      </w:pPr>
    </w:p>
    <w:p w14:paraId="00000023" w14:textId="77777777" w:rsidR="006B16C2" w:rsidRDefault="00EB0728">
      <w:pPr>
        <w:spacing w:line="480" w:lineRule="auto"/>
        <w:rPr>
          <w:sz w:val="22"/>
          <w:szCs w:val="22"/>
        </w:rPr>
      </w:pPr>
      <w:r>
        <w:rPr>
          <w:b/>
          <w:sz w:val="22"/>
          <w:szCs w:val="22"/>
        </w:rPr>
        <w:lastRenderedPageBreak/>
        <w:t>Introduction</w:t>
      </w:r>
      <w:r>
        <w:rPr>
          <w:sz w:val="22"/>
          <w:szCs w:val="22"/>
        </w:rPr>
        <w:t xml:space="preserve">: </w:t>
      </w:r>
    </w:p>
    <w:p w14:paraId="00000024" w14:textId="53C105C2" w:rsidR="006B16C2" w:rsidRDefault="00EB0728">
      <w:pPr>
        <w:spacing w:line="480" w:lineRule="auto"/>
        <w:ind w:firstLine="720"/>
        <w:rPr>
          <w:color w:val="000000"/>
          <w:sz w:val="22"/>
          <w:szCs w:val="22"/>
        </w:rPr>
      </w:pPr>
      <w:r>
        <w:rPr>
          <w:sz w:val="22"/>
          <w:szCs w:val="22"/>
        </w:rPr>
        <w:t>Habitat loss is the leading cause of terrestrial biodiversity declines globally</w:t>
      </w:r>
      <w:r w:rsidR="000921A2">
        <w:rPr>
          <w:sz w:val="22"/>
          <w:szCs w:val="22"/>
        </w:rPr>
        <w:t xml:space="preserve"> </w:t>
      </w:r>
      <w:r w:rsidR="000921A2">
        <w:rPr>
          <w:sz w:val="22"/>
          <w:szCs w:val="22"/>
        </w:rPr>
        <w:fldChar w:fldCharType="begin" w:fldLock="1"/>
      </w:r>
      <w:r w:rsidR="000921A2">
        <w:rPr>
          <w:sz w:val="22"/>
          <w:szCs w:val="22"/>
        </w:rPr>
        <w:instrText>ADDIN CSL_CITATION {"citationItems":[{"id":"ITEM-1","itemData":{"DOI":"10.1126/science.1196624","ISSN":"10959203","abstract":"Quantitative scenarios are coming of age as a tool for evaluating the impact of future socioeconomic development pathways on biodiversity and ecosystem services. We analyze global terrestrial, freshwater, and marine biodiversity scenarios using a range of measures including extinctions, changes in species abundance, habitat loss, and distribution shifts, as well as comparing model projections to observations. Scenarios consistently indicate that biodiversity will continue to decline over the 21st century. However, the range of projected changes is much broader than most studies suggest, partly because there are major opportunities to intervene through better policies, but also because of large uncertainties in projections.","author":[{"dropping-particle":"","family":"Pereira","given":"Henrique M.","non-dropping-particle":"","parse-names":false,"suffix":""},{"dropping-particle":"","family":"Leadley","given":"Paul W.","non-dropping-particle":"","parse-names":false,"suffix":""},{"dropping-particle":"","family":"Proença","given":"Vânia","non-dropping-particle":"","parse-names":false,"suffix":""},{"dropping-particle":"","family":"Alkemade","given":"Rob","non-dropping-particle":"","parse-names":false,"suffix":""},{"dropping-particle":"","family":"Scharlemann","given":"Jörn P.W.","non-dropping-particle":"","parse-names":false,"suffix":""},{"dropping-particle":"","family":"Fernandez-Manjarrés","given":"Juan F.","non-dropping-particle":"","parse-names":false,"suffix":""},{"dropping-particle":"","family":"Araújo","given":"Miguel B.","non-dropping-particle":"","parse-names":false,"suffix":""},{"dropping-particle":"","family":"Balvanera","given":"Patricia","non-dropping-particle":"","parse-names":false,"suffix":""},{"dropping-particle":"","family":"Biggs","given":"Reinette","non-dropping-particle":"","parse-names":false,"suffix":""},{"dropping-particle":"","family":"Cheung","given":"William W.L.","non-dropping-particle":"","parse-names":false,"suffix":""},{"dropping-particle":"","family":"Chini","given":"Louise","non-dropping-particle":"","parse-names":false,"suffix":""},{"dropping-particle":"","family":"Cooper","given":"H. David","non-dropping-particle":"","parse-names":false,"suffix":""},{"dropping-particle":"","family":"Gilman","given":"Eric L.","non-dropping-particle":"","parse-names":false,"suffix":""},{"dropping-particle":"","family":"Guénette","given":"Sylvie","non-dropping-particle":"","parse-names":false,"suffix":""},{"dropping-particle":"","family":"Hurtt","given":"George C.","non-dropping-particle":"","parse-names":false,"suffix":""},{"dropping-particle":"","family":"Huntington","given":"Henry P.","non-dropping-particle":"","parse-names":false,"suffix":""},{"dropping-particle":"","family":"Mace","given":"Georgina M.","non-dropping-particle":"","parse-names":false,"suffix":""},{"dropping-particle":"","family":"Oberdorff","given":"Thierry","non-dropping-particle":"","parse-names":false,"suffix":""},{"dropping-particle":"","family":"Revenga","given":"Carmen","non-dropping-particle":"","parse-names":false,"suffix":""},{"dropping-particle":"","family":"Rodrigues","given":"Patrícia","non-dropping-particle":"","parse-names":false,"suffix":""},{"dropping-particle":"","family":"Scholes","given":"Robert J.","non-dropping-particle":"","parse-names":false,"suffix":""},{"dropping-particle":"","family":"Sumaila","given":"Ussif Rashid","non-dropping-particle":"","parse-names":false,"suffix":""},{"dropping-particle":"","family":"Walpole","given":"Matt","non-dropping-particle":"","parse-names":false,"suffix":""}],"container-title":"Science","id":"ITEM-1","issue":"6010","issued":{"date-parts":[["2010"]]},"page":"1496-1501","title":"Scenarios for global biodiversity in the 21st century","type":"article-journal","volume":"330"},"uris":["http://www.mendeley.com/documents/?uuid=9454ca68-8059-4f5b-9071-bd786bb69e6b"]},{"id":"ITEM-2","itemData":{"DOI":"10.1146/annurev-environ-042911-093511","ISSN":"15435938","abstract":"Global biodiversity change is one of the most pressing environmental issues of our time. Here, we review current scientific knowledge on global biodiversity change and identify the main knowledge gaps. We discuss two components of biodiversity change-biodiversity alterations and biodiversity loss-across four dimensions of biodiversity: species extinctions, species abundances, species distributions, and genetic diversity. We briefly review the impacts that modern humans and their ancestors have had on biodiversity and discuss the recent declines and alterations in biodiversity. We analyze the direct pressures on biodiversity change: habitat change, overexploitation, exotic species, pollution, and climate change. We discuss the underlying causes, such as demographic growth and resource use, and review existing scenario projections. We identify successes and impending opportunities in biodiversity policy and management, and highlight gaps in biodiversity monitoring and models. Finally, we discuss how the ecosystem services framework can be used to identify undesirable biodiversity change and allocate conservation efforts. © Copyright ©2012 by Annual Reviews. All rights reserved.","author":[{"dropping-particle":"","family":"Pereira","given":"Henrique Miguel","non-dropping-particle":"","parse-names":false,"suffix":""},{"dropping-particle":"","family":"Navarro","given":"Laetitia Marie","non-dropping-particle":"","parse-names":false,"suffix":""},{"dropping-particle":"","family":"Martins","given":"Inês Santos","non-dropping-particle":"","parse-names":false,"suffix":""}],"container-title":"Annual Review of Environment and Resources","id":"ITEM-2","issued":{"date-parts":[["2012"]]},"page":"25-50","title":"Global biodiversity change: The Bad, the good, and the unknown","type":"article-journal","volume":"37"},"uris":["http://www.mendeley.com/documents/?uuid=c925cea7-fa60-4961-b09a-e5549f1ad75b"]},{"id":"ITEM-3","itemData":{"DOI":"10.1126/sciadv.abm9982","ISSN":"23752548","PMID":"36351024","abstract":"Effective policies to halt biodiversity loss require knowing which anthropogenic drivers are the most important direct causes. Whereas previous knowledge has been limited in scope and rigor, here we statistically synthesize empirical comparisons of recent driver impacts found through a wide-ranging review. We show that land/sea use change has been the dominant direct driver of recent biodiversity loss worldwide. Direct exploitation of natural resources ranks second and pollution third; climate change and invasive alien species have been significantly less important than the top two drivers. The oceans, where direct exploitation and climate change dominate, have a different driver hierarchy from land and fresh water. It also varies among types of biodiversity indicators. For example, climate change is a more important driver of community composition change than of changes in species populations. Stopping global biodiversity loss requires policies and actions to tackle all the major drivers and their interactions, not some of them in isolation.","author":[{"dropping-particle":"","family":"Jaureguiberry","given":"Pedro","non-dropping-particle":"","parse-names":false,"suffix":""},{"dropping-particle":"","family":"Titeux","given":"Nicolas","non-dropping-particle":"","parse-names":false,"suffix":""},{"dropping-particle":"","family":"Wiemers","given":"Martin","non-dropping-particle":"","parse-names":false,"suffix":""},{"dropping-particle":"","family":"Bowler","given":"Diana E.","non-dropping-particle":"","parse-names":false,"suffix":""},{"dropping-particle":"","family":"Coscieme","given":"Luca","non-dropping-particle":"","parse-names":false,"suffix":""},{"dropping-particle":"","family":"Golden","given":"Abigail S.","non-dropping-particle":"","parse-names":false,"suffix":""},{"dropping-particle":"","family":"Guerra","given":"Carlos A.","non-dropping-particle":"","parse-names":false,"suffix":""},{"dropping-particle":"","family":"Jacob","given":"Ute","non-dropping-particle":"","parse-names":false,"suffix":""},{"dropping-particle":"","family":"Takahashi","given":"Yasuo","non-dropping-particle":"","parse-names":false,"suffix":""},{"dropping-particle":"","family":"Settele","given":"Josef","non-dropping-particle":"","parse-names":false,"suffix":""},{"dropping-particle":"","family":"Díaz","given":"Sandra","non-dropping-particle":"","parse-names":false,"suffix":""},{"dropping-particle":"","family":"Molnár","given":"Zsolt","non-dropping-particle":"","parse-names":false,"suffix":""},{"dropping-particle":"","family":"Purvis","given":"Andy","non-dropping-particle":"","parse-names":false,"suffix":""}],"container-title":"Science Advances","id":"ITEM-3","issue":"45","issued":{"date-parts":[["2022"]]},"page":"1-12","title":"The direct drivers of recent global anthropogenic biodiversity loss","type":"article-journal","volume":"8"},"uris":["http://www.mendeley.com/documents/?uuid=257fad7d-0568-4761-8702-7e4918d2467f"]}],"mendeley":{"formattedCitation":"(Pereira et al. 2010, 2012, Jaureguiberry et al. 2022)","plainTextFormattedCitation":"(Pereira et al. 2010, 2012, Jaureguiberry et al. 2022)","previouslyFormattedCitation":"(Pereira et al. 2010, 2012, Jaureguiberry et al. 2022)"},"properties":{"noteIndex":0},"schema":"https://github.com/citation-style-language/schema/raw/master/csl-citation.json"}</w:instrText>
      </w:r>
      <w:r w:rsidR="000921A2">
        <w:rPr>
          <w:sz w:val="22"/>
          <w:szCs w:val="22"/>
        </w:rPr>
        <w:fldChar w:fldCharType="separate"/>
      </w:r>
      <w:r w:rsidR="000921A2" w:rsidRPr="000921A2">
        <w:rPr>
          <w:noProof/>
          <w:sz w:val="22"/>
          <w:szCs w:val="22"/>
        </w:rPr>
        <w:t>(Pereira et al. 2010, 2012, Jaureguiberry et al. 2022)</w:t>
      </w:r>
      <w:r w:rsidR="000921A2">
        <w:rPr>
          <w:sz w:val="22"/>
          <w:szCs w:val="22"/>
        </w:rPr>
        <w:fldChar w:fldCharType="end"/>
      </w:r>
      <w:r>
        <w:rPr>
          <w:sz w:val="22"/>
          <w:szCs w:val="22"/>
        </w:rPr>
        <w:t>,</w:t>
      </w:r>
      <w:r w:rsidR="00ED5643">
        <w:rPr>
          <w:sz w:val="22"/>
          <w:szCs w:val="22"/>
        </w:rPr>
        <w:t xml:space="preserve"> yet it remains unclear how</w:t>
      </w:r>
      <w:r>
        <w:rPr>
          <w:sz w:val="22"/>
          <w:szCs w:val="22"/>
        </w:rPr>
        <w:t xml:space="preserve"> habitat structure shapes biodiversity</w:t>
      </w:r>
      <w:r w:rsidR="000921A2">
        <w:rPr>
          <w:sz w:val="22"/>
          <w:szCs w:val="22"/>
        </w:rPr>
        <w:t xml:space="preserve"> </w:t>
      </w:r>
      <w:r w:rsidR="000921A2">
        <w:rPr>
          <w:sz w:val="22"/>
          <w:szCs w:val="22"/>
        </w:rPr>
        <w:fldChar w:fldCharType="begin" w:fldLock="1"/>
      </w:r>
      <w:r w:rsidR="00D51618">
        <w:rPr>
          <w:sz w:val="22"/>
          <w:szCs w:val="22"/>
        </w:rPr>
        <w:instrText>ADDIN CSL_CITATION {"citationItems":[{"id":"ITEM-1","itemData":{"DOI":"10.1016/j.biocon.2018.07.022","ISSN":"00063207","abstract":"Habitat loss is a primary threat to biodiversity across the planet, yet contentious debate has ensued on the importance of habitat fragmentation ‘per se’ (i.e., altered spatial configuration of habitat for a given amount of habitat loss). Based on a review of landscape-scale investigations, Fahrig (2017; Ecological responses to habitat fragmentation per se. Annual Review of Ecology, Evolution, and Systematics 48:1-23) reports that biodiversity responses to habitat fragmentation ‘per se’ are more often positive rather than negative and concludes that the widespread belief in negative fragmentation effects is a ‘zombie idea’. We show that Fahrig's conclusions are drawn from a narrow and potentially biased subset of available evidence, which ignore much of the observational, experimental and theoretical evidence for negative effects of altered habitat configuration. We therefore argue that Fahrig's conclusions should be interpreted cautiously as they could be misconstrued by policy makers and managers, and we provide six arguments why they should not be applied in conservation decision-making. Reconciling the scientific disagreement, and informing conservation more effectively, will require research that goes beyond statistical and correlative approaches. This includes a more prudent use of data and conceptual models that appropriately partition direct vs indirect influences of habitat loss and altered spatial configuration, and more clearly discriminate the mechanisms underpinning any changes. Incorporating these issues will deliver greater mechanistic understanding and more predictive power to address the conservation issues arising from habitat loss and fragmentation.","author":[{"dropping-particle":"","family":"Fletcher","given":"Robert J.","non-dropping-particle":"","parse-names":false,"suffix":""},{"dropping-particle":"","family":"Didham","given":"Raphael K.","non-dropping-particle":"","parse-names":false,"suffix":""},{"dropping-particle":"","family":"Banks-Leite","given":"Cristina","non-dropping-particle":"","parse-names":false,"suffix":""},{"dropping-particle":"","family":"Barlow","given":"Jos","non-dropping-particle":"","parse-names":false,"suffix":""},{"dropping-particle":"","family":"Ewers","given":"Robert M.","non-dropping-particle":"","parse-names":false,"suffix":""},{"dropping-particle":"","family":"Rosindell","given":"James","non-dropping-particle":"","parse-names":false,"suffix":""},{"dropping-particle":"","family":"Holt","given":"Robert D.","non-dropping-particle":"","parse-names":false,"suffix":""},{"dropping-particle":"","family":"Gonzalez","given":"Andrew","non-dropping-particle":"","parse-names":false,"suffix":""},{"dropping-particle":"","family":"Pardini","given":"Renata","non-dropping-particle":"","parse-names":false,"suffix":""},{"dropping-particle":"","family":"Damschen","given":"Ellen I.","non-dropping-particle":"","parse-names":false,"suffix":""},{"dropping-particle":"","family":"Melo","given":"Felipe P.L.","non-dropping-particle":"","parse-names":false,"suffix":""},{"dropping-particle":"","family":"Ries","given":"Leslie","non-dropping-particle":"","parse-names":false,"suffix":""},{"dropping-particle":"","family":"Prevedello","given":"Jayme A.","non-dropping-particle":"","parse-names":false,"suffix":""},{"dropping-particle":"","family":"Tscharntke","given":"Teja","non-dropping-particle":"","parse-names":false,"suffix":""},{"dropping-particle":"","family":"Laurance","given":"William F.","non-dropping-particle":"","parse-names":false,"suffix":""},{"dropping-particle":"","family":"Lovejoy","given":"Thomas","non-dropping-particle":"","parse-names":false,"suffix":""},{"dropping-particle":"","family":"Haddad","given":"Nick M.","non-dropping-particle":"","parse-names":false,"suffix":""}],"container-title":"Biological Conservation","id":"ITEM-1","issue":"July","issued":{"date-parts":[["2018"]]},"page":"9-15","publisher":"Elsevier","title":"Is habitat fragmentation good for biodiversity?","type":"article-journal","volume":"226"},"uris":["http://www.mendeley.com/documents/?uuid=8ea4d487-2b0c-4353-8aaa-69093e35689e"]},{"id":"ITEM-2","itemData":{"DOI":"10.1016/j.biocon.2018.12.026","ISSN":"00063207","abstract":"In a review of landscape-scale empirical studies, Fahrig (2017a) found that ecological responses to habitat fragmentation per se (fragmentation independent of habitat amount) were usually non-significant (&gt;70% of responses) and that 76% of significant relationships were positive, with species abundance, occurrence, richness, and other response variables increasing with habitat fragmentation per se. Fahrig concluded that to date there is no empirical evidence supporting the widespread assumption that a group of small habitat patches generally has lower ecological value than large patches of the same total area. Fletcher et al. (2018) dispute this conclusion, arguing that the literature to date indicates generally negative ecological effects of habitat fragmentation per se. They base their argument largely on extrapolation from patch-scale patterns and mechanisms (effects of patch size and isolation, and edge effects) to landscape-scale effects of habitat fragmentation. We argue that such extrapolation is unreliable because: (1) it ignores other mechanisms, especially those acting at landscape scales (e.g., increased habitat diversity, spreading of risk, landscape complementation) that can counteract effects of the documented patch-scale mechanisms; and (2) extrapolation of a small-scale mechanism to a large-scale pattern is not evidence of that pattern but, rather a prediction that must be tested at the larger scale. Such tests were the subject of Fahrig's review. We find no support for Fletcher et al.'s claim that biases in Fahrig's review would alter its conclusions. We encourage further landscape-scale empirical studies of effects of habitat fragmentation per se, and research aimed at uncovering the mechanisms that underlie positive fragmentation effects.","author":[{"dropping-particle":"","family":"Fahrig","given":"Lenore","non-dropping-particle":"","parse-names":false,"suffix":""},{"dropping-particle":"","family":"Arroyo-Rodríguez","given":"Víctor","non-dropping-particle":"","parse-names":false,"suffix":""},{"dropping-particle":"","family":"Bennett","given":"Joseph R.","non-dropping-particle":"","parse-names":false,"suffix":""},{"dropping-particle":"","family":"Boucher-Lalonde","given":"Véronique","non-dropping-particle":"","parse-names":false,"suffix":""},{"dropping-particle":"","family":"Cazetta","given":"Eliana","non-dropping-particle":"","parse-names":false,"suffix":""},{"dropping-particle":"","family":"Currie","given":"David J.","non-dropping-particle":"","parse-names":false,"suffix":""},{"dropping-particle":"","family":"Eigenbrod","given":"Felix","non-dropping-particle":"","parse-names":false,"suffix":""},{"dropping-particle":"","family":"Ford","given":"Adam T.","non-dropping-particle":"","parse-names":false,"suffix":""},{"dropping-particle":"","family":"Harrison","given":"Susan P.","non-dropping-particle":"","parse-names":false,"suffix":""},{"dropping-particle":"","family":"Jaeger","given":"Jochen A.G.","non-dropping-particle":"","parse-names":false,"suffix":""},{"dropping-particle":"","family":"Koper","given":"Nicola","non-dropping-particle":"","parse-names":false,"suffix":""},{"dropping-particle":"","family":"Martin","given":"Amanda E.","non-dropping-particle":"","parse-names":false,"suffix":""},{"dropping-particle":"","family":"Martin","given":"Jean Louis","non-dropping-particle":"","parse-names":false,"suffix":""},{"dropping-particle":"","family":"Metzger","given":"Jean Paul","non-dropping-particle":"","parse-names":false,"suffix":""},{"dropping-particle":"","family":"Morrison","given":"Peter","non-dropping-particle":"","parse-names":false,"suffix":""},{"dropping-particle":"","family":"Rhodes","given":"Jonathan R.","non-dropping-particle":"","parse-names":false,"suffix":""},{"dropping-particle":"","family":"Saunders","given":"Denis A.","non-dropping-particle":"","parse-names":false,"suffix":""},{"dropping-particle":"","family":"Simberloff","given":"Daniel","non-dropping-particle":"","parse-names":false,"suffix":""},{"dropping-particle":"","family":"Smith","given":"Adam C.","non-dropping-particle":"","parse-names":false,"suffix":""},{"dropping-particle":"","family":"Tischendorf","given":"Lutz","non-dropping-particle":"","parse-names":false,"suffix":""},{"dropping-particle":"","family":"Vellend","given":"Mark","non-dropping-particle":"","parse-names":false,"suffix":""},{"dropping-particle":"","family":"Watling","given":"James I.","non-dropping-particle":"","parse-names":false,"suffix":""}],"container-title":"Biological Conservation","id":"ITEM-2","issued":{"date-parts":[["2019","2","1"]]},"page":"179-186","publisher":"Elsevier Ltd","title":"Is habitat fragmentation bad for biodiversity?","type":"article","volume":"230"},"uris":["http://www.mendeley.com/documents/?uuid=8f2e3f0c-29d7-3f74-a175-df6c9f620218"]}],"mendeley":{"formattedCitation":"(Fletcher et al. 2018, Fahrig et al. 2019)","plainTextFormattedCitation":"(Fletcher et al. 2018, Fahrig et al. 2019)","previouslyFormattedCitation":"(Fletcher et al. 2018, Fahrig et al. 2019)"},"properties":{"noteIndex":0},"schema":"https://github.com/citation-style-language/schema/raw/master/csl-citation.json"}</w:instrText>
      </w:r>
      <w:r w:rsidR="000921A2">
        <w:rPr>
          <w:sz w:val="22"/>
          <w:szCs w:val="22"/>
        </w:rPr>
        <w:fldChar w:fldCharType="separate"/>
      </w:r>
      <w:r w:rsidR="00D51618" w:rsidRPr="00D51618">
        <w:rPr>
          <w:noProof/>
          <w:sz w:val="22"/>
          <w:szCs w:val="22"/>
        </w:rPr>
        <w:t>(Fletcher et al. 2018, Fahrig et al. 2019)</w:t>
      </w:r>
      <w:r w:rsidR="000921A2">
        <w:rPr>
          <w:sz w:val="22"/>
          <w:szCs w:val="22"/>
        </w:rPr>
        <w:fldChar w:fldCharType="end"/>
      </w:r>
      <w:r>
        <w:rPr>
          <w:color w:val="000000"/>
          <w:sz w:val="22"/>
          <w:szCs w:val="22"/>
        </w:rPr>
        <w:t xml:space="preserve">. </w:t>
      </w:r>
      <w:r>
        <w:rPr>
          <w:sz w:val="22"/>
          <w:szCs w:val="22"/>
        </w:rPr>
        <w:t xml:space="preserve">Habitat structure is an umbrella term that encompasses two main concepts: (1) habitat composition, measured as the number or amount of different habitat types and </w:t>
      </w:r>
      <w:r>
        <w:rPr>
          <w:color w:val="000000"/>
          <w:sz w:val="22"/>
          <w:szCs w:val="22"/>
        </w:rPr>
        <w:t>often considered a proxy for niche space,</w:t>
      </w:r>
      <w:r>
        <w:rPr>
          <w:sz w:val="22"/>
          <w:szCs w:val="22"/>
        </w:rPr>
        <w:t xml:space="preserve"> and (2) habitat configuration, the spatial arrangement of those habitat types and encompassing multiple axes of spatial heterogeneity</w:t>
      </w:r>
      <w:r w:rsidR="000921A2">
        <w:rPr>
          <w:sz w:val="22"/>
          <w:szCs w:val="22"/>
        </w:rPr>
        <w:t xml:space="preserve"> </w:t>
      </w:r>
      <w:r w:rsidR="000921A2">
        <w:rPr>
          <w:sz w:val="22"/>
          <w:szCs w:val="22"/>
        </w:rPr>
        <w:fldChar w:fldCharType="begin" w:fldLock="1"/>
      </w:r>
      <w:r w:rsidR="000921A2">
        <w:rPr>
          <w:sz w:val="22"/>
          <w:szCs w:val="22"/>
        </w:rPr>
        <w:instrText>ADDIN CSL_CITATION {"citationItems":[{"id":"ITEM-1","itemData":{"DOI":"10.1111/ele.13418","ISSN":"14610248","PMID":"31692214","abstract":"The hypothesis that environmental heterogeneity promotes species richness by increasing opportunities for niche partitioning is a fundamental paradigm in ecology. However, recent studies suggest that heterogeneity–diversity relationships (HDR) are more complex than expected from this niche-based perspective, and often show a decrease in richness at high levels of heterogeneity. These findings have motivated ecologists to propose new mechanisms that may explain such deviations. Here we provide an overview of currently recognised mechanisms affecting the shape of HDRs and present a conceptual model that integrates all previously proposed mechanisms within a unified framework. We also translate the proposed framework into an explicit community dynamic model and use the model as a tool for generating testable predictions concerning how landscape properties interact with species traits in determining the shape of HDRs. Our main finding is that, despite the enormous complexity of such interactions, the predicted HDRs are rather simple, ranging from positive to unimodal patterns in a highly consistent and predictable manner.","author":[{"dropping-particle":"","family":"Ben-Hur","given":"Eyal","non-dropping-particle":"","parse-names":false,"suffix":""},{"dropping-particle":"","family":"Kadmon","given":"Ronen","non-dropping-particle":"","parse-names":false,"suffix":""}],"container-title":"Ecology Letters","id":"ITEM-1","issue":"1","issued":{"date-parts":[["2020","1","1"]]},"page":"193-207","publisher":"Blackwell Publishing Ltd","title":"Heterogeneity–diversity relationships in sessile organisms: a unified framework","type":"article","volume":"23"},"uris":["http://www.mendeley.com/documents/?uuid=a5c09546-5d52-3620-b01e-a499615eeb9c"]},{"id":"ITEM-2","itemData":{"DOI":"10.1002/fee.2587","ISSN":"15409309","abstract":"The three-dimensional (3D) physical aspects of ecosystems are intrinsically linked to ecological processes. Here, we describe structural diversity as the volumetric capacity, physical arrangement, and identity/traits of biotic components in an ecosystem. Despite being recognized in earlier ecological studies, structural diversity has been largely overlooked due to an absence of not only a theoretical foundation but also effective measurement tools. We present a framework for conceptualizing structural diversity and suggest how to facilitate its broader incorporation into ecological theory and practice. We also discuss how the interplay of genetic and environmental factors underpin structural diversity, allowing for a potentially unique synthetic approach to explain ecosystem function. A practical approach is then proposed in which scientists can test the ecological role of structural diversity at biotic–environmental interfaces, along with examples of structural diversity research and future directions for integrating structural diversity into ecological theory and management across scales.","author":[{"dropping-particle":"","family":"LaRue","given":"Elizabeth A.","non-dropping-particle":"","parse-names":false,"suffix":""},{"dropping-particle":"","family":"Fahey","given":"Robert T.","non-dropping-particle":"","parse-names":false,"suffix":""},{"dropping-particle":"","family":"Alveshere","given":"Brandon C.","non-dropping-particle":"","parse-names":false,"suffix":""},{"dropping-particle":"","family":"Atkins","given":"Jeff W.","non-dropping-particle":"","parse-names":false,"suffix":""},{"dropping-particle":"","family":"Bhatt","given":"Parth","non-dropping-particle":"","parse-names":false,"suffix":""},{"dropping-particle":"","family":"Buma","given":"Brian","non-dropping-particle":"","parse-names":false,"suffix":""},{"dropping-particle":"","family":"Chen","given":"Anping","non-dropping-particle":"","parse-names":false,"suffix":""},{"dropping-particle":"","family":"Cousins","given":"Stella","non-dropping-particle":"","parse-names":false,"suffix":""},{"dropping-particle":"","family":"Elliott","given":"Jessica M.","non-dropping-particle":"","parse-names":false,"suffix":""},{"dropping-particle":"","family":"Elmore","given":"Andrew J.","non-dropping-particle":"","parse-names":false,"suffix":""},{"dropping-particle":"","family":"Hakkenberg","given":"Christopher R.","non-dropping-particle":"","parse-names":false,"suffix":""},{"dropping-particle":"","family":"Hardiman","given":"Brady S.","non-dropping-particle":"","parse-names":false,"suffix":""},{"dropping-particle":"","family":"Johnson","given":"Jeremy S.","non-dropping-particle":"","parse-names":false,"suffix":""},{"dropping-particle":"","family":"Kashian","given":"Daniel M.","non-dropping-particle":"","parse-names":false,"suffix":""},{"dropping-particle":"","family":"Koirala","given":"Anil","non-dropping-particle":"","parse-names":false,"suffix":""},{"dropping-particle":"","family":"Papeş","given":"Monica","non-dropping-particle":"","parse-names":false,"suffix":""},{"dropping-particle":"","family":"St Hilaire","given":"Jamille B.","non-dropping-particle":"","parse-names":false,"suffix":""},{"dropping-particle":"","family":"Surasinghe","given":"Thilina D.","non-dropping-particle":"","parse-names":false,"suffix":""},{"dropping-particle":"","family":"Zambrano","given":"Jenny","non-dropping-particle":"","parse-names":false,"suffix":""},{"dropping-particle":"","family":"Zhai","given":"Lu","non-dropping-particle":"","parse-names":false,"suffix":""},{"dropping-particle":"","family":"Fei","given":"Songlin","non-dropping-particle":"","parse-names":false,"suffix":""}],"container-title":"Frontiers in Ecology and the Environment","id":"ITEM-2","issue":"1","issued":{"date-parts":[["2023"]]},"page":"4-13","title":"A theoretical framework for the ecological role of three-dimensional structural diversity","type":"article-journal","volume":"21"},"uris":["http://www.mendeley.com/documents/?uuid=7eafdb08-aa2a-4c37-a687-d3f9dae49818"]},{"id":"ITEM-3","itemData":{"DOI":"10.1111/ddi.13644","ISSN":"14724642","abstract":"Ecosystem structure, especially vertical vegetation structure, is one of the six essential biodiversity variable classes and is an important aspect of habitat heterogeneity, affecting species distributions and diversity by providing shelter, foraging, and nesting sites. Point clouds from airborne laser scanning (ALS) can be used to derive such detailed information on vegetation structure. However, public agencies usually only provide digital elevation models, which do not provide information on vertical vegetation structure. Calculating vertical structure variables from ALS point clouds requires extensive data processing and remote sensing skills that most ecologists do not have. However, such information on vegetation structure is extremely valuable for many analyses of habitat use and species distribution. We here propose 10 variables that should be easily accessible to researchers and stakeholders through national data portals. In addition, we argue for a consistent selection of variables and their systematic testing, which would allow for continuous improvement of such a list to keep it up-to-date with the latest evidence. This initiative is particularly needed not only to advance ecological and biodiversity research by providing valuable open datasets but also to guide potential users in the face of increasing availability of global vegetation structure products.","author":[{"dropping-particle":"","family":"Moudrý","given":"Vítězslav","non-dropping-particle":"","parse-names":false,"suffix":""},{"dropping-particle":"","family":"Cord","given":"Anna F.","non-dropping-particle":"","parse-names":false,"suffix":""},{"dropping-particle":"","family":"Gábor","given":"Lukáš","non-dropping-particle":"","parse-names":false,"suffix":""},{"dropping-particle":"","family":"Laurin","given":"Gaia Vaglio","non-dropping-particle":"","parse-names":false,"suffix":""},{"dropping-particle":"","family":"Barták","given":"Vojtěch","non-dropping-particle":"","parse-names":false,"suffix":""},{"dropping-particle":"","family":"Gdulová","given":"Kateřina","non-dropping-particle":"","parse-names":false,"suffix":""},{"dropping-particle":"","family":"Malavasi","given":"Marco","non-dropping-particle":"","parse-names":false,"suffix":""},{"dropping-particle":"","family":"Rocchini","given":"Duccio","non-dropping-particle":"","parse-names":false,"suffix":""},{"dropping-particle":"","family":"Stereńczak","given":"Krzysztof","non-dropping-particle":"","parse-names":false,"suffix":""},{"dropping-particle":"","family":"Prošek","given":"Jiří","non-dropping-particle":"","parse-names":false,"suffix":""},{"dropping-particle":"","family":"Klápště","given":"Petr","non-dropping-particle":"","parse-names":false,"suffix":""},{"dropping-particle":"","family":"Wild","given":"Jan","non-dropping-particle":"","parse-names":false,"suffix":""}],"container-title":"Diversity and Distributions","id":"ITEM-3","issue":"1","issued":{"date-parts":[["2023"]]},"page":"39-50","title":"Vegetation structure derived from airborne laser scanning to assess species distribution and habitat suitability: The way forward","type":"article-journal","volume":"29"},"uris":["http://www.mendeley.com/documents/?uuid=4b3c6bc5-ebbc-4bb7-b4b5-0949d440a3b0"]}],"mendeley":{"formattedCitation":"(Ben-Hur and Kadmon 2020, LaRue et al. 2023, Moudrý et al. 2023)","plainTextFormattedCitation":"(Ben-Hur and Kadmon 2020, LaRue et al. 2023, Moudrý et al. 2023)","previouslyFormattedCitation":"(Ben-Hur and Kadmon 2020, LaRue et al. 2023, Moudrý et al. 2023)"},"properties":{"noteIndex":0},"schema":"https://github.com/citation-style-language/schema/raw/master/csl-citation.json"}</w:instrText>
      </w:r>
      <w:r w:rsidR="000921A2">
        <w:rPr>
          <w:sz w:val="22"/>
          <w:szCs w:val="22"/>
        </w:rPr>
        <w:fldChar w:fldCharType="separate"/>
      </w:r>
      <w:r w:rsidR="000921A2" w:rsidRPr="000921A2">
        <w:rPr>
          <w:noProof/>
          <w:sz w:val="22"/>
          <w:szCs w:val="22"/>
        </w:rPr>
        <w:t>(Ben-Hur and Kadmon 2020, LaRue et al. 2023, Moudrý et al. 2023)</w:t>
      </w:r>
      <w:r w:rsidR="000921A2">
        <w:rPr>
          <w:sz w:val="22"/>
          <w:szCs w:val="22"/>
        </w:rPr>
        <w:fldChar w:fldCharType="end"/>
      </w:r>
      <w:r>
        <w:rPr>
          <w:color w:val="000000"/>
          <w:sz w:val="22"/>
          <w:szCs w:val="22"/>
        </w:rPr>
        <w:t>. Though the number of habitat types typically has a positive and linear</w:t>
      </w:r>
      <w:r w:rsidR="000921A2">
        <w:rPr>
          <w:color w:val="000000"/>
          <w:sz w:val="22"/>
          <w:szCs w:val="22"/>
        </w:rPr>
        <w:t xml:space="preserve"> </w:t>
      </w:r>
      <w:r w:rsidR="000921A2">
        <w:rPr>
          <w:color w:val="000000"/>
          <w:sz w:val="22"/>
          <w:szCs w:val="22"/>
        </w:rPr>
        <w:fldChar w:fldCharType="begin" w:fldLock="1"/>
      </w:r>
      <w:r w:rsidR="000921A2">
        <w:rPr>
          <w:color w:val="000000"/>
          <w:sz w:val="22"/>
          <w:szCs w:val="22"/>
        </w:rPr>
        <w:instrText>ADDIN CSL_CITATION {"citationItems":[{"id":"ITEM-1","itemData":{"DOI":"10.1073/pnas.201398398","ISSN":"00278424","PMID":"11553792","abstract":"Although there is no shortage of potential explanations for the large-scale patterns of biological diversity, the hypothesis that energy-related factors are the primary determinants is perhaps most extensively supported, especially in cold-temperate regions. By using unusually high-resolution biodiversity and environmental data that have not previously been available, we demonstrate that habitat heterogeneity, as measured by remotely sensed land cover variation, explains Canadian butterfly richness better than any energy-related variable we measured across spatial scales. Although species-richness predictability declines with progressively smaller quadrat sizes, as expected, we demonstrate that most variability (&gt;90%) in butterfly richness may be explained by habitat heterogeneity with secondary contributions from climatic energy. We also find that patterns of community similarity across Canada are strongly related to patterns of habitat composition but not to differences in energy-related factors. Energy should still be considered significant but its main role may be through its effects on within-habitat diversity and perhaps, indirectly, on the sorts of habitats that may be found in a region. Effects of sampling intensity and spatial autocorrelation do not alter our findings.","author":[{"dropping-particle":"","family":"Kerr","given":"Jeremy T.","non-dropping-particle":"","parse-names":false,"suffix":""},{"dropping-particle":"","family":"Southwood","given":"T. R.E.","non-dropping-particle":"","parse-names":false,"suffix":""},{"dropping-particle":"","family":"Cihlar","given":"Josef","non-dropping-particle":"","parse-names":false,"suffix":""}],"container-title":"Proceedings of the National Academy of Sciences of the United States of America","id":"ITEM-1","issue":"20","issued":{"date-parts":[["2001"]]},"page":"11365-11370","title":"Remotely sensed habitat diversity predicts butterfly species richness and community similarity in Canada","type":"article-journal","volume":"98"},"uris":["http://www.mendeley.com/documents/?uuid=a52a094f-3d81-4896-a1f1-cf3d6176b064"]}],"mendeley":{"formattedCitation":"(Kerr et al. 2001)","plainTextFormattedCitation":"(Kerr et al. 2001)","previouslyFormattedCitation":"(Kerr et al. 2001)"},"properties":{"noteIndex":0},"schema":"https://github.com/citation-style-language/schema/raw/master/csl-citation.json"}</w:instrText>
      </w:r>
      <w:r w:rsidR="000921A2">
        <w:rPr>
          <w:color w:val="000000"/>
          <w:sz w:val="22"/>
          <w:szCs w:val="22"/>
        </w:rPr>
        <w:fldChar w:fldCharType="separate"/>
      </w:r>
      <w:r w:rsidR="000921A2" w:rsidRPr="000921A2">
        <w:rPr>
          <w:noProof/>
          <w:color w:val="000000"/>
          <w:sz w:val="22"/>
          <w:szCs w:val="22"/>
        </w:rPr>
        <w:t>(Kerr et al. 2001)</w:t>
      </w:r>
      <w:r w:rsidR="000921A2">
        <w:rPr>
          <w:color w:val="000000"/>
          <w:sz w:val="22"/>
          <w:szCs w:val="22"/>
        </w:rPr>
        <w:fldChar w:fldCharType="end"/>
      </w:r>
      <w:r w:rsidR="000921A2">
        <w:rPr>
          <w:color w:val="000000"/>
          <w:sz w:val="22"/>
          <w:szCs w:val="22"/>
        </w:rPr>
        <w:t xml:space="preserve"> </w:t>
      </w:r>
      <w:r>
        <w:rPr>
          <w:color w:val="000000"/>
          <w:sz w:val="22"/>
          <w:szCs w:val="22"/>
        </w:rPr>
        <w:t>or hump-shaped</w:t>
      </w:r>
      <w:r w:rsidR="000921A2">
        <w:rPr>
          <w:color w:val="000000"/>
          <w:sz w:val="22"/>
          <w:szCs w:val="22"/>
        </w:rPr>
        <w:t xml:space="preserve"> </w:t>
      </w:r>
      <w:r w:rsidR="000921A2">
        <w:rPr>
          <w:color w:val="000000"/>
          <w:sz w:val="22"/>
          <w:szCs w:val="22"/>
        </w:rPr>
        <w:fldChar w:fldCharType="begin" w:fldLock="1"/>
      </w:r>
      <w:r w:rsidR="000921A2">
        <w:rPr>
          <w:color w:val="000000"/>
          <w:sz w:val="22"/>
          <w:szCs w:val="22"/>
        </w:rPr>
        <w:instrText>ADDIN CSL_CITATION {"citationItems":[{"id":"ITEM-1","itemData":{"DOI":"10.1111/j.1461-0248.2010.01559.x","ISSN":"1461023X","PMID":"21087380","abstract":"Ecology Letters (2011) 14: 101-112 Biodiversity in agricultural landscapes can be increased with conversion of some production lands into 'more-natural'- unmanaged or extensively managed - lands. However, it remains unknown to what extent biodiversity can be enhanced by altering landscape pattern without reducing agricultural production. We propose a framework for this problem, considering separately compositional heterogeneity (the number and proportions of different cover types) and configurational heterogeneity (the spatial arrangement of cover types). Cover type classification and mapping is based on species requirements, such as feeding and nesting, resulting in measures of 'functional landscape heterogeneity'. We then identify three important questions: does biodiversity increase with (1) increasing heterogeneity of the more-natural areas, (2) increasing compositional heterogeneity of production cover types and (3) increasing configurational heterogeneity of production cover types? We discuss approaches for addressing these questions. Such studies should have high priority because biodiversity protection globally depends increasingly on maintaining biodiversity in human-dominated landscapes. © 2010 Blackwell Publishing Ltd/CNRS.","author":[{"dropping-particle":"","family":"Fahrig","given":"Lenore","non-dropping-particle":"","parse-names":false,"suffix":""},{"dropping-particle":"","family":"Baudry","given":"Jacques","non-dropping-particle":"","parse-names":false,"suffix":""},{"dropping-particle":"","family":"Brotons","given":"Lluís","non-dropping-particle":"","parse-names":false,"suffix":""},{"dropping-particle":"","family":"Burel","given":"Françoise G.","non-dropping-particle":"","parse-names":false,"suffix":""},{"dropping-particle":"","family":"Crist","given":"Thomas O.","non-dropping-particle":"","parse-names":false,"suffix":""},{"dropping-particle":"","family":"Fuller","given":"Robert J.","non-dropping-particle":"","parse-names":false,"suffix":""},{"dropping-particle":"","family":"Sirami","given":"Clelia","non-dropping-particle":"","parse-names":false,"suffix":""},{"dropping-particle":"","family":"Siriwardena","given":"Gavin M.","non-dropping-particle":"","parse-names":false,"suffix":""},{"dropping-particle":"","family":"Martin","given":"Jean Louis","non-dropping-particle":"","parse-names":false,"suffix":""}],"container-title":"Ecology Letters","id":"ITEM-1","issue":"2","issued":{"date-parts":[["2011"]]},"page":"101-112","title":"Functional landscape heterogeneity and animal biodiversity in agricultural landscapes","type":"article-journal","volume":"14"},"uris":["http://www.mendeley.com/documents/?uuid=1ef99387-b217-4baf-9542-bcf7540be06e"]},{"id":"ITEM-2","itemData":{"DOI":"10.1111/ele.13418","ISSN":"14610248","PMID":"31692214","abstract":"The hypothesis that environmental heterogeneity promotes species richness by increasing opportunities for niche partitioning is a fundamental paradigm in ecology. However, recent studies suggest that heterogeneity–diversity relationships (HDR) are more complex than expected from this niche-based perspective, and often show a decrease in richness at high levels of heterogeneity. These findings have motivated ecologists to propose new mechanisms that may explain such deviations. Here we provide an overview of currently recognised mechanisms affecting the shape of HDRs and present a conceptual model that integrates all previously proposed mechanisms within a unified framework. We also translate the proposed framework into an explicit community dynamic model and use the model as a tool for generating testable predictions concerning how landscape properties interact with species traits in determining the shape of HDRs. Our main finding is that, despite the enormous complexity of such interactions, the predicted HDRs are rather simple, ranging from positive to unimodal patterns in a highly consistent and predictable manner.","author":[{"dropping-particle":"","family":"Ben-Hur","given":"Eyal","non-dropping-particle":"","parse-names":false,"suffix":""},{"dropping-particle":"","family":"Kadmon","given":"Ronen","non-dropping-particle":"","parse-names":false,"suffix":""}],"container-title":"Ecology Letters","id":"ITEM-2","issue":"1","issued":{"date-parts":[["2020","1","1"]]},"page":"193-207","publisher":"Blackwell Publishing Ltd","title":"Heterogeneity–diversity relationships in sessile organisms: a unified framework","type":"article","volume":"23"},"uris":["http://www.mendeley.com/documents/?uuid=a5c09546-5d52-3620-b01e-a499615eeb9c"]}],"mendeley":{"formattedCitation":"(Fahrig et al. 2011, Ben-Hur and Kadmon 2020)","plainTextFormattedCitation":"(Fahrig et al. 2011, Ben-Hur and Kadmon 2020)","previouslyFormattedCitation":"(Fahrig et al. 2011, Ben-Hur and Kadmon 2020)"},"properties":{"noteIndex":0},"schema":"https://github.com/citation-style-language/schema/raw/master/csl-citation.json"}</w:instrText>
      </w:r>
      <w:r w:rsidR="000921A2">
        <w:rPr>
          <w:color w:val="000000"/>
          <w:sz w:val="22"/>
          <w:szCs w:val="22"/>
        </w:rPr>
        <w:fldChar w:fldCharType="separate"/>
      </w:r>
      <w:r w:rsidR="000921A2" w:rsidRPr="000921A2">
        <w:rPr>
          <w:noProof/>
          <w:color w:val="000000"/>
          <w:sz w:val="22"/>
          <w:szCs w:val="22"/>
        </w:rPr>
        <w:t>(Fahrig et al. 2011, Ben-Hur and Kadmon 2020)</w:t>
      </w:r>
      <w:r w:rsidR="000921A2">
        <w:rPr>
          <w:color w:val="000000"/>
          <w:sz w:val="22"/>
          <w:szCs w:val="22"/>
        </w:rPr>
        <w:fldChar w:fldCharType="end"/>
      </w:r>
      <w:r>
        <w:rPr>
          <w:color w:val="000000"/>
          <w:sz w:val="22"/>
          <w:szCs w:val="22"/>
        </w:rPr>
        <w:t xml:space="preserve"> relationship with species richness, the effects of habitat configuration on biodiversity remain more ambiguous. Negative, positive, or neutral associations of habitat configuration with biodiversity have all been demonstrated </w:t>
      </w:r>
      <w:r w:rsidR="000921A2">
        <w:rPr>
          <w:color w:val="000000"/>
          <w:sz w:val="22"/>
          <w:szCs w:val="22"/>
        </w:rPr>
        <w:fldChar w:fldCharType="begin" w:fldLock="1"/>
      </w:r>
      <w:r w:rsidR="00262D78">
        <w:rPr>
          <w:color w:val="000000"/>
          <w:sz w:val="22"/>
          <w:szCs w:val="22"/>
        </w:rPr>
        <w:instrText>ADDIN CSL_CITATION {"citationItems":[{"id":"ITEM-1","itemData":{"DOI":"10.1007/s10980-023-01708-9","ISBN":"0123456789","ISSN":"15729761","author":[{"dropping-particle":"","family":"Valente","given":"Jonathon J.","non-dropping-particle":"","parse-names":false,"suffix":""},{"dropping-particle":"","family":"Gannon","given":"Dustin G.","non-dropping-particle":"","parse-names":false,"suffix":""},{"dropping-particle":"","family":"Hightower","given":"Jessica","non-dropping-particle":"","parse-names":false,"suffix":""},{"dropping-particle":"","family":"Kim","given":"Hankyu","non-dropping-particle":"","parse-names":false,"suffix":""},{"dropping-particle":"","family":"Leimberger","given":"Kara G.","non-dropping-particle":"","parse-names":false,"suffix":""},{"dropping-particle":"","family":"Macedo","given":"Rossana","non-dropping-particle":"","parse-names":false,"suffix":""},{"dropping-particle":"","family":"Rousseau","given":"Josée S.","non-dropping-particle":"","parse-names":false,"suffix":""},{"dropping-particle":"","family":"Weldy","given":"Matthew J.","non-dropping-particle":"","parse-names":false,"suffix":""},{"dropping-particle":"","family":"Zitomer","given":"Rachel A.","non-dropping-particle":"","parse-names":false,"suffix":""},{"dropping-particle":"","family":"Fahrig","given":"Lenore","non-dropping-particle":"","parse-names":false,"suffix":""},{"dropping-particle":"","family":"Fletcher","given":"Robert J.","non-dropping-particle":"","parse-names":false,"suffix":""},{"dropping-particle":"","family":"Wu","given":"Jianguo","non-dropping-particle":"","parse-names":false,"suffix":""},{"dropping-particle":"","family":"Betts","given":"Matthew G.","non-dropping-particle":"","parse-names":false,"suffix":""}],"container-title":"Landscape Ecology","id":"ITEM-1","issued":{"date-parts":[["2023"]]},"page":"2717–2730","publisher":"Springer Netherlands","title":"Toward conciliation in the habitat fragmentation and biodiversity debate","type":"article-journal","volume":"Volume 38"},"uris":["http://www.mendeley.com/documents/?uuid=a3e06574-c6ae-454d-8467-f7a79ee97b45"]}],"mendeley":{"formattedCitation":"(Valente et al. 2023)","plainTextFormattedCitation":"(Valente et al. 2023)","previouslyFormattedCitation":"(Valente et al. 2023)"},"properties":{"noteIndex":0},"schema":"https://github.com/citation-style-language/schema/raw/master/csl-citation.json"}</w:instrText>
      </w:r>
      <w:r w:rsidR="000921A2">
        <w:rPr>
          <w:color w:val="000000"/>
          <w:sz w:val="22"/>
          <w:szCs w:val="22"/>
        </w:rPr>
        <w:fldChar w:fldCharType="separate"/>
      </w:r>
      <w:r w:rsidR="000921A2" w:rsidRPr="000921A2">
        <w:rPr>
          <w:noProof/>
          <w:color w:val="000000"/>
          <w:sz w:val="22"/>
          <w:szCs w:val="22"/>
        </w:rPr>
        <w:t>(Valente et al. 2023)</w:t>
      </w:r>
      <w:r w:rsidR="000921A2">
        <w:rPr>
          <w:color w:val="000000"/>
          <w:sz w:val="22"/>
          <w:szCs w:val="22"/>
        </w:rPr>
        <w:fldChar w:fldCharType="end"/>
      </w:r>
      <w:r>
        <w:rPr>
          <w:color w:val="000000"/>
          <w:sz w:val="22"/>
          <w:szCs w:val="22"/>
        </w:rPr>
        <w:t>, variation that might be a result of contextual dependencies of individual studies</w:t>
      </w:r>
      <w:r w:rsidR="000921A2">
        <w:rPr>
          <w:color w:val="000000"/>
          <w:sz w:val="22"/>
          <w:szCs w:val="22"/>
        </w:rPr>
        <w:t xml:space="preserve"> </w:t>
      </w:r>
      <w:r w:rsidR="000921A2">
        <w:rPr>
          <w:color w:val="000000"/>
          <w:sz w:val="22"/>
          <w:szCs w:val="22"/>
        </w:rPr>
        <w:fldChar w:fldCharType="begin" w:fldLock="1"/>
      </w:r>
      <w:r w:rsidR="00D51618">
        <w:rPr>
          <w:color w:val="000000"/>
          <w:sz w:val="22"/>
          <w:szCs w:val="22"/>
        </w:rPr>
        <w:instrText>ADDIN CSL_CITATION {"citationItems":[{"id":"ITEM-1","itemData":{"DOI":"10.1126/science.aax9387 Vulnerability","abstract":"Habitat loss is the primary driver of biodiversity decline worldwide, but the effects of fragmentation (the spatial arrangement of remaining habitat) are debated. We tested the hypothesis that forest fragmentation sensitivity-affected by avoidance of habitat edges-should be driven by historical exposure to, and therefore species' evolutionary responses to disturbance. Using a database containing 73 datasets collected worldwide (encompassing 4489 animal species), we found that the proportion of fragmentation-sensitive species was nearly three times as high in regions with low rates of historical disturbance compared with regions with high rates of disturbance (i.e., fires, glaciation, hurricanes, and deforestation). These disturbances coincide with a latitudinal gradient in which sensitivity increases sixfold at low versus high latitudes. We conclude that conservation efforts to limit edges created by fragmentation will be most important in the world's tropical forests.","author":[{"dropping-particle":"","family":"Betts","given":"Matthew G","non-dropping-particle":"","parse-names":false,"suffix":""},{"dropping-particle":"","family":"Wolf","given":"Christopher","non-dropping-particle":"","parse-names":false,"suffix":""},{"dropping-particle":"","family":"Pfeifer","given":"Marion","non-dropping-particle":"","parse-names":false,"suffix":""},{"dropping-particle":"","family":"Banks-Leite","given":"Cristina","non-dropping-particle":"","parse-names":false,"suffix":""},{"dropping-particle":"","family":"Arroyo-Rodríguez","given":"Víctor","non-dropping-particle":"","parse-names":false,"suffix":""},{"dropping-particle":"","family":"Bandini Ribeiro","given":"Danilo","non-dropping-particle":"","parse-names":false,"suffix":""},{"dropping-particle":"","family":"Barlow","given":"Jos","non-dropping-particle":"","parse-names":false,"suffix":""},{"dropping-particle":"","family":"Eigenbrod","given":"Felix","non-dropping-particle":"","parse-names":false,"suffix":""},{"dropping-particle":"","family":"Faria","given":"Deborah","non-dropping-particle":"","parse-names":false,"suffix":""},{"dropping-particle":"","family":"Fletcher Jr","given":"Robert J","non-dropping-particle":"","parse-names":false,"suffix":""},{"dropping-particle":"","family":"Hadley","given":"Adam S","non-dropping-particle":"","parse-names":false,"suffix":""},{"dropping-particle":"","family":"Hawes","given":"Joseph E","non-dropping-particle":"","parse-names":false,"suffix":""},{"dropping-particle":"","family":"Holt","given":"Robert D","non-dropping-particle":"","parse-names":false,"suffix":""},{"dropping-particle":"","family":"Klingbeil","given":"Brian","non-dropping-particle":"","parse-names":false,"suffix":""},{"dropping-particle":"","family":"Kormann","given":"Urs","non-dropping-particle":"","parse-names":false,"suffix":""},{"dropping-particle":"","family":"Lens","given":"Luc","non-dropping-particle":"","parse-names":false,"suffix":""},{"dropping-particle":"","family":"Levi","given":"Taal","non-dropping-particle":"","parse-names":false,"suffix":""},{"dropping-particle":"","family":"Medina-Rangel","given":"Guido F","non-dropping-particle":"","parse-names":false,"suffix":""},{"dropping-particle":"","family":"Melles","given":"Stephanie L","non-dropping-particle":"","parse-names":false,"suffix":""},{"dropping-particle":"","family":"Mezger","given":"Dirk","non-dropping-particle":"","parse-names":false,"suffix":""},{"dropping-particle":"","family":"Carlos Morante-Filho","given":"José","non-dropping-particle":"","parse-names":false,"suffix":""},{"dropping-particle":"","family":"David Orme","given":"C L","non-dropping-particle":"","parse-names":false,"suffix":""},{"dropping-particle":"","family":"Peres","given":"Carlos A","non-dropping-particle":"","parse-names":false,"suffix":""},{"dropping-particle":"","family":"Phalan","given":"Benjamin T","non-dropping-particle":"","parse-names":false,"suffix":""},{"dropping-particle":"","family":"Pidgeon","given":"Anna","non-dropping-particle":"","parse-names":false,"suffix":""},{"dropping-particle":"","family":"Possingham","given":"Hugh","non-dropping-particle":"","parse-names":false,"suffix":""},{"dropping-particle":"","family":"Ripple","given":"William J","non-dropping-particle":"","parse-names":false,"suffix":""},{"dropping-particle":"","family":"Slade","given":"Eleanor M","non-dropping-particle":"","parse-names":false,"suffix":""},{"dropping-particle":"","family":"Somarriba","given":"Eduardo","non-dropping-particle":"","parse-names":false,"suffix":""},{"dropping-particle":"","family":"Tobias","given":"Joseph A","non-dropping-particle":"","parse-names":false,"suffix":""},{"dropping-particle":"","family":"Tylianakis","given":"Jason M","non-dropping-particle":"","parse-names":false,"suffix":""},{"dropping-particle":"","family":"Nicolás Urbina-Cardona","given":"J","non-dropping-particle":"","parse-names":false,"suffix":""},{"dropping-particle":"","family":"Valente","given":"Jonathon J","non-dropping-particle":"","parse-names":false,"suffix":""},{"dropping-particle":"","family":"Watling","given":"James I","non-dropping-particle":"","parse-names":false,"suffix":""},{"dropping-particle":"","family":"Wells","given":"Konstans","non-dropping-particle":"","parse-names":false,"suffix":""},{"dropping-particle":"","family":"Wearn","given":"Oliver R","non-dropping-particle":"","parse-names":false,"suffix":""},{"dropping-particle":"","family":"Wood","given":"Eric","non-dropping-particle":"","parse-names":false,"suffix":""},{"dropping-particle":"","family":"Young","given":"Richard","non-dropping-particle":"","parse-names":false,"suffix":""},{"dropping-particle":"","family":"Ewers","given":"Robert M","non-dropping-particle":"","parse-names":false,"suffix":""}],"container-title":"Science","id":"ITEM-1","issued":{"date-parts":[["2019"]]},"page":"1236–1239","title":"Extinction filters mediate the global effects of habitat fragmentation on animals","type":"article-journal","volume":"366"},"uris":["http://www.mendeley.com/documents/?uuid=ae7b09db-6ba5-3cec-8808-a622ffca0b75"]},{"id":"ITEM-2","itemData":{"DOI":"10.1111/geb.12978","ISSN":"14668238","abstract":"Aim: Theory suggests that increasing productivity and climate stability towards the tropics favours specialization, thus contributing to the latitudinal richness gradient. A positive relationship between species richness and specialization should therefore emerge as a fundamental biogeographical pattern. However, land-use and climate changes disproportionally increase the local extirpation risk for specialists, potentially weakening the relationship between richness and specialization. Here, we quantify empirically the richness–specialization prediction and test how 50 years of climate and land-use change has affected the richness–specialization relationship. Location: USA. Time period: 1966–2015. Major taxa studied: Birds. Methods: We used the North American Breeding Bird Survey to quantify bird community richness and specialization to habitat and climate. We (a) quantify temporal change in the slope of the richness–specialization relationship, using a generalized mixed model; (b) assess how this change translates spatially, using generalized additive models; and (c) attribute spatio-temporal change in the richness–specialization relationship to land use, climate and topographic drivers. Results: We found evidence for a positive but weak richness–specialization relationship in bird communities that greatly weakened over time. Given that specialization was not the main driver of richness, this relationship did not translate spatially into a linear spatial covariation between richness and specialization. Instead, the spatial covariation in richness and specialization followed a unimodal pattern, the peak of which shifted towards less specialized communities over time. These temporal changes were associated with precipitation change, decreasing temperature stability and land use. Main conclusions: Recent climate and land-use changes have induced two contrasting types of community responses. In human-dominated areas, the decoupling of richness and specialization drove a general trend for biotic homogenization. In areas of low human impact experiencing increasing climate harshness, specialization increased, whereas richness decreased. Our results offer new support for specialization as a key driver of macroecological diversity patterns and show that global changes are weakening this fundamental macroecological pattern.","author":[{"dropping-particle":"","family":"Mimet","given":"Anne","non-dropping-particle":"","parse-names":false,"suffix":""},{"dropping-particle":"","family":"Buitenwerf","given":"Robert","non-dropping-particle":"","parse-names":false,"suffix":""},{"dropping-particle":"","family":"Sandel","given":"Brody","non-dropping-particle":"","parse-names":false,"suffix":""},{"dropping-particle":"","family":"Svenning","given":"Jens Christian","non-dropping-particle":"","parse-names":false,"suffix":""},{"dropping-particle":"","family":"Normand","given":"Signe","non-dropping-particle":"","parse-names":false,"suffix":""}],"container-title":"Global Ecology and Biogeography","id":"ITEM-2","issue":"11","issued":{"date-parts":[["2019"]]},"page":"1621-1635","title":"Recent global changes have decoupled species richness from specialization patterns in North American birds","type":"article-journal","volume":"28"},"uris":["http://www.mendeley.com/documents/?uuid=23dfb5a6-1cb0-43d2-8710-e9d6cf5e5f68"]},{"id":"ITEM-3","itemData":{"DOI":"10.1007/s10980-021-01276-w","ISBN":"0123456789","ISSN":"15729761","abstract":"Context: For many organisms, responses to climate change (CC) will be affected by land-use and land-cover changes (LULCC). However, the extent to which LULCC is concurrently considered in climate change vulnerability assessments (CCVAs) is unclear. Objectives: We identify trends in inclusion of LULCC and CC in vulnerability assessments of species and the direction and magnitude of their combined effect on biodiversity. Further, we examine the effect size of LULCC and CC in driving changes in “currencies” of response to CC, such as distribution, abundance and survival. Methods: We conducted a systematic literature review of articles published in the last 30 years that focused on CCVA and accounted for impacts of both CC and LULCC. Results: Across 116 studies, 34% assumed CC and LULCC would act additively, while 66% allowed for interactive effects. The majority of CCVAs reported similar effect sizes for CC and LULCC, although they affected different CCVA currencies. Only 14% of the studies showed larger effects of CC than of LULCC. Another 14% showed larger effects of LULCC than CC, specifically for dispersal, population viability, and reproduction, which tend to be strongly affected by fragmentation and disturbance. Although most studies found that LULCC and CC had negative effects on species currencies, in some cases effects were neutral or even positive. Conclusions: CCVAs that incorporate LULCC provided a better account of drivers of vulnerability, and highlight aspects of drivers that are generally more amenable to on-the-ground management intervention than CCVAs that focus on CC alone.","author":[{"dropping-particle":"","family":"Santos","given":"Maria J.","non-dropping-particle":"","parse-names":false,"suffix":""},{"dropping-particle":"","family":"Smith","given":"Adam B.","non-dropping-particle":"","parse-names":false,"suffix":""},{"dropping-particle":"","family":"Dekker","given":"Stefan C.","non-dropping-particle":"","parse-names":false,"suffix":""},{"dropping-particle":"","family":"Eppinga","given":"Maarten B.","non-dropping-particle":"","parse-names":false,"suffix":""},{"dropping-particle":"","family":"Leitão","given":"Pedro J.","non-dropping-particle":"","parse-names":false,"suffix":""},{"dropping-particle":"","family":"Moreno-Mateos","given":"David","non-dropping-particle":"","parse-names":false,"suffix":""},{"dropping-particle":"","family":"Morueta-Holme","given":"Naia","non-dropping-particle":"","parse-names":false,"suffix":""},{"dropping-particle":"","family":"Ruggeri","given":"Michael","non-dropping-particle":"","parse-names":false,"suffix":""}],"container-title":"Landscape Ecology","id":"ITEM-3","issue":"12","issued":{"date-parts":[["2021"]]},"page":"3367-3382","title":"The role of land use and land cover change in climate change vulnerability assessments of biodiversity: a systematic review","type":"article-journal","volume":"36"},"uris":["http://www.mendeley.com/documents/?uuid=35ae8773-b952-4594-9295-8fe59f03d7f2"]},{"id":"ITEM-4","itemData":{"DOI":"10.1016/j.tree.2022.01.005","ISSN":"01695347","abstract":"One of landscape ecology's main goals is to unveil how biodiversity is impacted by habitat transformation. However, the discipline suffers from significant context dependency in observed spatial and temporal trends, hindering progress towards understanding the mechanisms driving species declines and preventing the development of accurate estimates of future biodiversity change. Here, we discuss recent evidence that populations’ and species’ responses to habitat change at the landscape scale are modulated by factors and processes occurring at macroecological scales, such as historical disturbance rates, distance to geographic range edges, and climatic suitability. We suggest that placing landscape ecology studies in a macroecological lens will help to explain seemingly inconsistent results and will ultimately create better predictive models to help mitigate the biodiversity crisis.","author":[{"dropping-particle":"","family":"Banks-Leite","given":"Cristina","non-dropping-particle":"","parse-names":false,"suffix":""},{"dropping-particle":"","family":"Betts","given":"Matthew G.","non-dropping-particle":"","parse-names":false,"suffix":""},{"dropping-particle":"","family":"Ewers","given":"Robert M.","non-dropping-particle":"","parse-names":false,"suffix":""},{"dropping-particle":"","family":"Orme","given":"C. David L.","non-dropping-particle":"","parse-names":false,"suffix":""},{"dropping-particle":"","family":"Pigot","given":"Alex L.","non-dropping-particle":"","parse-names":false,"suffix":""}],"container-title":"Trends in Ecology and Evolution","id":"ITEM-4","issued":{"date-parts":[["2022"]]},"page":"1-8","publisher":"Elsevier Ltd","title":"The macroecology of landscape ecology","type":"article-journal","volume":"11"},"uris":["http://www.mendeley.com/documents/?uuid=6194974c-ca62-4b48-9a49-187ee000c230"]}],"mendeley":{"formattedCitation":"(Betts et al. 2019, Mimet et al. 2019, Santos et al. 2021, Banks-Leite et al. 2022)","plainTextFormattedCitation":"(Betts et al. 2019, Mimet et al. 2019, Santos et al. 2021, Banks-Leite et al. 2022)","previouslyFormattedCitation":"(Betts et al. 2019, Mimet et al. 2019, Santos et al. 2021, Banks-Leite et al. 2022)"},"properties":{"noteIndex":0},"schema":"https://github.com/citation-style-language/schema/raw/master/csl-citation.json"}</w:instrText>
      </w:r>
      <w:r w:rsidR="000921A2">
        <w:rPr>
          <w:color w:val="000000"/>
          <w:sz w:val="22"/>
          <w:szCs w:val="22"/>
        </w:rPr>
        <w:fldChar w:fldCharType="separate"/>
      </w:r>
      <w:r w:rsidR="000921A2" w:rsidRPr="000921A2">
        <w:rPr>
          <w:noProof/>
          <w:color w:val="000000"/>
          <w:sz w:val="22"/>
          <w:szCs w:val="22"/>
        </w:rPr>
        <w:t>(Betts et al. 2019, Mimet et al. 2019, Santos et al. 2021, Banks-Leite et al. 2022)</w:t>
      </w:r>
      <w:r w:rsidR="000921A2">
        <w:rPr>
          <w:color w:val="000000"/>
          <w:sz w:val="22"/>
          <w:szCs w:val="22"/>
        </w:rPr>
        <w:fldChar w:fldCharType="end"/>
      </w:r>
      <w:r>
        <w:rPr>
          <w:color w:val="000000"/>
          <w:sz w:val="22"/>
          <w:szCs w:val="22"/>
        </w:rPr>
        <w:t xml:space="preserve"> or disparities in the methods used to measure habitat configuration</w:t>
      </w:r>
      <w:r w:rsidR="000921A2">
        <w:rPr>
          <w:color w:val="000000"/>
          <w:sz w:val="22"/>
          <w:szCs w:val="22"/>
        </w:rPr>
        <w:t xml:space="preserve"> </w:t>
      </w:r>
      <w:r w:rsidR="00D51618">
        <w:rPr>
          <w:color w:val="000000"/>
          <w:sz w:val="22"/>
          <w:szCs w:val="22"/>
        </w:rPr>
        <w:fldChar w:fldCharType="begin" w:fldLock="1"/>
      </w:r>
      <w:r w:rsidR="00262D78">
        <w:rPr>
          <w:color w:val="000000"/>
          <w:sz w:val="22"/>
          <w:szCs w:val="22"/>
        </w:rPr>
        <w:instrText>ADDIN CSL_CITATION {"citationItems":[{"id":"ITEM-1","itemData":{"DOI":"10.1146/annurev-ecolsys-110316","abstract":"For this article, I reviewed empirical studies finding significant ecological responses to habitat fragmentation per se-in other words, significant responses to fragmentation independent of the effects of habitat amount (here-after referred to as habitat fragmentation). I asked these two questions: Are most significant responses to habitat fragmentation negative or positive? And do particular attributes of species or landscapes lead to a predominance of negative or positive significant responses? I found 118 studies reporting 381 significant responses to habitat fragmentation independent of habitat amount. Of these responses, 76% were positive. Most significant fragmentation effects were positive, irrespective of how the authors controlled for habitat amount, the measure of fragmentation, the taxonomic group, the type of response variable, or the degree of specialization or conservation status of the species or species group. No support was found for predictions that most significant responses to fragmentation should be negative in the tropics, for species with larger movement ranges, or when habitat amount is low; most significant fragmentation effects were positive in all of these cases. Thus, although 24% of significant responses to habitat fragmentation were negative, I found no conditions in which most responses were negative. Authors suggest a wide range of possible explanations for significant positive responses to habitat fragmentation: increased functional connectivity, habitat diversity, positive edge effects, stability of predator-prey/host-parasitoid systems, reduced competition, spreading of risk, and landscape complementation. A consistent preponderance of positive significant responses to fragmentation implies that there is no justification for assigning lower conservation value to a small patch than to an equivalent area within a large patch-instead, it implies just the opposite. This finding also suggests that land sharing will usually provide higher ecological value than land sparing.","author":[{"dropping-particle":"","family":"Fahrig","given":"Lenore","non-dropping-particle":"","parse-names":false,"suffix":""}],"container-title":"Annu. Rev. Ecol. Evol. Syst. 2017","id":"ITEM-1","issued":{"date-parts":[["2017"]]},"page":"1-23","title":"Ecological Responses to Habitat Fragmentation Per Se","type":"article-journal","volume":"48"},"uris":["http://www.mendeley.com/documents/?uuid=523c0d50-1972-369d-add1-193cfa76dd87"]},{"id":"ITEM-2","itemData":{"DOI":"10.1016/j.biocon.2018.07.022","ISSN":"00063207","abstract":"Habitat loss is a primary threat to biodiversity across the planet, yet contentious debate has ensued on the importance of habitat fragmentation ‘per se’ (i.e., altered spatial configuration of habitat for a given amount of habitat loss). Based on a review of landscape-scale investigations, Fahrig (2017; Ecological responses to habitat fragmentation per se. Annual Review of Ecology, Evolution, and Systematics 48:1-23) reports that biodiversity responses to habitat fragmentation ‘per se’ are more often positive rather than negative and concludes that the widespread belief in negative fragmentation effects is a ‘zombie idea’. We show that Fahrig's conclusions are drawn from a narrow and potentially biased subset of available evidence, which ignore much of the observational, experimental and theoretical evidence for negative effects of altered habitat configuration. We therefore argue that Fahrig's conclusions should be interpreted cautiously as they could be misconstrued by policy makers and managers, and we provide six arguments why they should not be applied in conservation decision-making. Reconciling the scientific disagreement, and informing conservation more effectively, will require research that goes beyond statistical and correlative approaches. This includes a more prudent use of data and conceptual models that appropriately partition direct vs indirect influences of habitat loss and altered spatial configuration, and more clearly discriminate the mechanisms underpinning any changes. Incorporating these issues will deliver greater mechanistic understanding and more predictive power to address the conservation issues arising from habitat loss and fragmentation.","author":[{"dropping-particle":"","family":"Fletcher","given":"Robert J.","non-dropping-particle":"","parse-names":false,"suffix":""},{"dropping-particle":"","family":"Didham","given":"Raphael K.","non-dropping-particle":"","parse-names":false,"suffix":""},{"dropping-particle":"","family":"Banks-Leite","given":"Cristina","non-dropping-particle":"","parse-names":false,"suffix":""},{"dropping-particle":"","family":"Barlow","given":"Jos","non-dropping-particle":"","parse-names":false,"suffix":""},{"dropping-particle":"","family":"Ewers","given":"Robert M.","non-dropping-particle":"","parse-names":false,"suffix":""},{"dropping-particle":"","family":"Rosindell","given":"James","non-dropping-particle":"","parse-names":false,"suffix":""},{"dropping-particle":"","family":"Holt","given":"Robert D.","non-dropping-particle":"","parse-names":false,"suffix":""},{"dropping-particle":"","family":"Gonzalez","given":"Andrew","non-dropping-particle":"","parse-names":false,"suffix":""},{"dropping-particle":"","family":"Pardini","given":"Renata","non-dropping-particle":"","parse-names":false,"suffix":""},{"dropping-particle":"","family":"Damschen","given":"Ellen I.","non-dropping-particle":"","parse-names":false,"suffix":""},{"dropping-particle":"","family":"Melo","given":"Felipe P.L.","non-dropping-particle":"","parse-names":false,"suffix":""},{"dropping-particle":"","family":"Ries","given":"Leslie","non-dropping-particle":"","parse-names":false,"suffix":""},{"dropping-particle":"","family":"Prevedello","given":"Jayme A.","non-dropping-particle":"","parse-names":false,"suffix":""},{"dropping-particle":"","family":"Tscharntke","given":"Teja","non-dropping-particle":"","parse-names":false,"suffix":""},{"dropping-particle":"","family":"Laurance","given":"William F.","non-dropping-particle":"","parse-names":false,"suffix":""},{"dropping-particle":"","family":"Lovejoy","given":"Thomas","non-dropping-particle":"","parse-names":false,"suffix":""},{"dropping-particle":"","family":"Haddad","given":"Nick M.","non-dropping-particle":"","parse-names":false,"suffix":""}],"container-title":"Biological Conservation","id":"ITEM-2","issue":"July","issued":{"date-parts":[["2018"]]},"page":"9-15","publisher":"Elsevier","title":"Is habitat fragmentation good for biodiversity?","type":"article-journal","volume":"226"},"uris":["http://www.mendeley.com/documents/?uuid=8ea4d487-2b0c-4353-8aaa-69093e35689e"]},{"id":"ITEM-3","itemData":{"DOI":"10.1016/j.biocon.2018.12.026","ISSN":"00063207","abstract":"In a review of landscape-scale empirical studies, Fahrig (2017a) found that ecological responses to habitat fragmentation per se (fragmentation independent of habitat amount) were usually non-significant (&gt;70% of responses) and that 76% of significant relationships were positive, with species abundance, occurrence, richness, and other response variables increasing with habitat fragmentation per se. Fahrig concluded that to date there is no empirical evidence supporting the widespread assumption that a group of small habitat patches generally has lower ecological value than large patches of the same total area. Fletcher et al. (2018) dispute this conclusion, arguing that the literature to date indicates generally negative ecological effects of habitat fragmentation per se. They base their argument largely on extrapolation from patch-scale patterns and mechanisms (effects of patch size and isolation, and edge effects) to landscape-scale effects of habitat fragmentation. We argue that such extrapolation is unreliable because: (1) it ignores other mechanisms, especially those acting at landscape scales (e.g., increased habitat diversity, spreading of risk, landscape complementation) that can counteract effects of the documented patch-scale mechanisms; and (2) extrapolation of a small-scale mechanism to a large-scale pattern is not evidence of that pattern but, rather a prediction that must be tested at the larger scale. Such tests were the subject of Fahrig's review. We find no support for Fletcher et al.'s claim that biases in Fahrig's review would alter its conclusions. We encourage further landscape-scale empirical studies of effects of habitat fragmentation per se, and research aimed at uncovering the mechanisms that underlie positive fragmentation effects.","author":[{"dropping-particle":"","family":"Fahrig","given":"Lenore","non-dropping-particle":"","parse-names":false,"suffix":""},{"dropping-particle":"","family":"Arroyo-Rodríguez","given":"Víctor","non-dropping-particle":"","parse-names":false,"suffix":""},{"dropping-particle":"","family":"Bennett","given":"Joseph R.","non-dropping-particle":"","parse-names":false,"suffix":""},{"dropping-particle":"","family":"Boucher-Lalonde","given":"Véronique","non-dropping-particle":"","parse-names":false,"suffix":""},{"dropping-particle":"","family":"Cazetta","given":"Eliana","non-dropping-particle":"","parse-names":false,"suffix":""},{"dropping-particle":"","family":"Currie","given":"David J.","non-dropping-particle":"","parse-names":false,"suffix":""},{"dropping-particle":"","family":"Eigenbrod","given":"Felix","non-dropping-particle":"","parse-names":false,"suffix":""},{"dropping-particle":"","family":"Ford","given":"Adam T.","non-dropping-particle":"","parse-names":false,"suffix":""},{"dropping-particle":"","family":"Harrison","given":"Susan P.","non-dropping-particle":"","parse-names":false,"suffix":""},{"dropping-particle":"","family":"Jaeger","given":"Jochen A.G.","non-dropping-particle":"","parse-names":false,"suffix":""},{"dropping-particle":"","family":"Koper","given":"Nicola","non-dropping-particle":"","parse-names":false,"suffix":""},{"dropping-particle":"","family":"Martin","given":"Amanda E.","non-dropping-particle":"","parse-names":false,"suffix":""},{"dropping-particle":"","family":"Martin","given":"Jean Louis","non-dropping-particle":"","parse-names":false,"suffix":""},{"dropping-particle":"","family":"Metzger","given":"Jean Paul","non-dropping-particle":"","parse-names":false,"suffix":""},{"dropping-particle":"","family":"Morrison","given":"Peter","non-dropping-particle":"","parse-names":false,"suffix":""},{"dropping-particle":"","family":"Rhodes","given":"Jonathan R.","non-dropping-particle":"","parse-names":false,"suffix":""},{"dropping-particle":"","family":"Saunders","given":"Denis A.","non-dropping-particle":"","parse-names":false,"suffix":""},{"dropping-particle":"","family":"Simberloff","given":"Daniel","non-dropping-particle":"","parse-names":false,"suffix":""},{"dropping-particle":"","family":"Smith","given":"Adam C.","non-dropping-particle":"","parse-names":false,"suffix":""},{"dropping-particle":"","family":"Tischendorf","given":"Lutz","non-dropping-particle":"","parse-names":false,"suffix":""},{"dropping-particle":"","family":"Vellend","given":"Mark","non-dropping-particle":"","parse-names":false,"suffix":""},{"dropping-particle":"","family":"Watling","given":"James I.","non-dropping-particle":"","parse-names":false,"suffix":""}],"container-title":"Biological Conservation","id":"ITEM-3","issued":{"date-parts":[["2019","2","1"]]},"page":"179-186","publisher":"Elsevier Ltd","title":"Is habitat fragmentation bad for biodiversity?","type":"article","volume":"230"},"uris":["http://www.mendeley.com/documents/?uuid=8f2e3f0c-29d7-3f74-a175-df6c9f620218"]},{"id":"ITEM-4","itemData":{"DOI":"10.1007/s10980-023-01708-9","ISBN":"0123456789","ISSN":"15729761","author":[{"dropping-particle":"","family":"Valente","given":"Jonathon J.","non-dropping-particle":"","parse-names":false,"suffix":""},{"dropping-particle":"","family":"Gannon","given":"Dustin G.","non-dropping-particle":"","parse-names":false,"suffix":""},{"dropping-particle":"","family":"Hightower","given":"Jessica","non-dropping-particle":"","parse-names":false,"suffix":""},{"dropping-particle":"","family":"Kim","given":"Hankyu","non-dropping-particle":"","parse-names":false,"suffix":""},{"dropping-particle":"","family":"Leimberger","given":"Kara G.","non-dropping-particle":"","parse-names":false,"suffix":""},{"dropping-particle":"","family":"Macedo","given":"Rossana","non-dropping-particle":"","parse-names":false,"suffix":""},{"dropping-particle":"","family":"Rousseau","given":"Josée S.","non-dropping-particle":"","parse-names":false,"suffix":""},{"dropping-particle":"","family":"Weldy","given":"Matthew J.","non-dropping-particle":"","parse-names":false,"suffix":""},{"dropping-particle":"","family":"Zitomer","given":"Rachel A.","non-dropping-particle":"","parse-names":false,"suffix":""},{"dropping-particle":"","family":"Fahrig","given":"Lenore","non-dropping-particle":"","parse-names":false,"suffix":""},{"dropping-particle":"","family":"Fletcher","given":"Robert J.","non-dropping-particle":"","parse-names":false,"suffix":""},{"dropping-particle":"","family":"Wu","given":"Jianguo","non-dropping-particle":"","parse-names":false,"suffix":""},{"dropping-particle":"","family":"Betts","given":"Matthew G.","non-dropping-particle":"","parse-names":false,"suffix":""}],"container-title":"Landscape Ecology","id":"ITEM-4","issued":{"date-parts":[["2023"]]},"page":"2717–2730","publisher":"Springer Netherlands","title":"Toward conciliation in the habitat fragmentation and biodiversity debate","type":"article-journal","volume":"Volume 38"},"uris":["http://www.mendeley.com/documents/?uuid=a3e06574-c6ae-454d-8467-f7a79ee97b45"]}],"mendeley":{"formattedCitation":"(Fahrig 2017, Fletcher et al. 2018, Fahrig et al. 2019, Valente et al. 2023)","plainTextFormattedCitation":"(Fahrig 2017, Fletcher et al. 2018, Fahrig et al. 2019, Valente et al. 2023)","previouslyFormattedCitation":"(Fahrig 2017, Fletcher et al. 2018, Fahrig et al. 2019, Valente et al. 2023)"},"properties":{"noteIndex":0},"schema":"https://github.com/citation-style-language/schema/raw/master/csl-citation.json"}</w:instrText>
      </w:r>
      <w:r w:rsidR="00D51618">
        <w:rPr>
          <w:color w:val="000000"/>
          <w:sz w:val="22"/>
          <w:szCs w:val="22"/>
        </w:rPr>
        <w:fldChar w:fldCharType="separate"/>
      </w:r>
      <w:r w:rsidR="00D51618" w:rsidRPr="00D51618">
        <w:rPr>
          <w:noProof/>
          <w:color w:val="000000"/>
          <w:sz w:val="22"/>
          <w:szCs w:val="22"/>
        </w:rPr>
        <w:t>(Fahrig 2017, Fletcher et al. 2018, Fahrig et al. 2019, Valente et al. 2023)</w:t>
      </w:r>
      <w:r w:rsidR="00D51618">
        <w:rPr>
          <w:color w:val="000000"/>
          <w:sz w:val="22"/>
          <w:szCs w:val="22"/>
        </w:rPr>
        <w:fldChar w:fldCharType="end"/>
      </w:r>
      <w:r w:rsidR="00D51618">
        <w:rPr>
          <w:color w:val="000000"/>
          <w:sz w:val="22"/>
          <w:szCs w:val="22"/>
        </w:rPr>
        <w:t xml:space="preserve">. </w:t>
      </w:r>
      <w:r>
        <w:rPr>
          <w:color w:val="000000"/>
          <w:sz w:val="22"/>
          <w:szCs w:val="22"/>
        </w:rPr>
        <w:t>Furthermore, though habitat composition and configuration are hypothesized to exert disparate effects on biodiversity</w:t>
      </w:r>
      <w:r w:rsidR="00D51618">
        <w:rPr>
          <w:color w:val="000000"/>
          <w:sz w:val="22"/>
          <w:szCs w:val="22"/>
        </w:rPr>
        <w:t xml:space="preserve"> </w:t>
      </w:r>
      <w:r w:rsidR="00D51618">
        <w:rPr>
          <w:color w:val="000000"/>
          <w:sz w:val="22"/>
          <w:szCs w:val="22"/>
        </w:rPr>
        <w:fldChar w:fldCharType="begin" w:fldLock="1"/>
      </w:r>
      <w:r w:rsidR="006A2CA6">
        <w:rPr>
          <w:color w:val="000000"/>
          <w:sz w:val="22"/>
          <w:szCs w:val="22"/>
        </w:rPr>
        <w:instrText>ADDIN CSL_CITATION {"citationItems":[{"id":"ITEM-1","itemData":{"DOI":"DOI: 10.1111/j.1466-8238.2006.00287.x","ISBN":"1466-822X","ISSN":"01436228","abstract":"Landscape modification and habitat fragmentation are key drivers of global species loss. Their effects may be understood by focusing on: (1) individual species and the processes threatening them, and (2) human-perceived landscape patterns and their correlation with species and assemblages. Individual species may decline as a result of interacting exogenous and endogenous threats, including habitat loss, habitat degradation, habitat isolation, changes in the biology, behaviour, and interactions of species, as well as additional, stochastic threats. Human-perceived landscape patterns that are frequently correlated with species assemblages include the amount and structure of native vegetation, the prevalence of anthropogenic edges, the degree of landscape connectivity, and the structure and heterogeneity of modified areas. Extinction cascades are particularly likely to occur in landscapes with low native vegetation cover, low landscape connectivity, degraded native vegetation and intensive land use in modified areas, especially if keystone species or entire functional groups of species are lost. This review (1) demonstrates that species-oriented and pattern- oriented approaches to understanding the ecology of modified landscapes are highly complementary, (2) clarifies the links between a wide range of interconnected themes, and (3) provides clear and consistent terminology. Tangible research and management priorities are outlined that are likely to benefit the conservation of native species in modified landscapes around the world.","author":[{"dropping-particle":"","family":"Fischer","given":"Joern","non-dropping-particle":"","parse-names":false,"suffix":""},{"dropping-particle":"","family":"Lindenmayer","given":"David B.","non-dropping-particle":"","parse-names":false,"suffix":""}],"container-title":"Global Ecology and Biogeography","id":"ITEM-1","issued":{"date-parts":[["2007"]]},"page":"265–280","title":"Landscape modification and habitat fragmentation: a synthesis","type":"article-journal","volume":"16"},"uris":["http://www.mendeley.com/documents/?uuid=36f097c6-aed0-4aee-9796-5e8a81d7cd9e"]},{"id":"ITEM-2","itemData":{"DOI":"10.1111/1365-2664.12190","ISSN":"13652664","abstract":"Summary: Research addressing the effects of habitat fragmentation on species, assemblages or ecosystems has been fraught with difficulties, from its conceptual foundation to statistical analyses and interpretation. Yet, it is critical to address such challenges as ecosystems are rapidly being altered across the world. Many studies have concluded that effects of habitat loss exceed those of fragmentation per se, that is, the degree to which a given amount of habitat is broken apart. There is also evidence from different biomes and taxa that habitat configuration, that is, the spatial arrangement of habitat at a given time, may influence several landscape processes such as functional connectivity, edge and matrix effects, and thus population viability. Instead of focusing attention on the relative influence of either habitat loss or fragmentation, we must identify portions of the gradient in habitat amount where configuration effects are most likely to be observed. Here, we suggest that all species are, to a certain degree, sensitive to landscape change and that, assuming a homogeneous matrix, habitat configuration will have a higher influence on species at intermediate values of habitat amount, where configuration has potentially the greatest variability. On the basis of empirical studies and simulations, we expect that species that are relatively tolerant to fragmentation of their habitat will exhibit a wider band where amount and configuration interact compared to species less tolerant to fragmentation. Synthesis and applications. Reducing habitat loss should be a top priority for conservation planners. However, researchers should also investigate the indirect impacts of habitat loss on biodiversity through fragmentation effects. This research aims to identify windows of opportunity where habitat configuration can mitigate to some extent the effects of habitat loss, particularly through the maintenance of functional connectivity. © 2013 The Authors. Journal of Applied Ecology © 2013 British Ecological Society.","author":[{"dropping-particle":"","family":"Villard","given":"Marc André","non-dropping-particle":"","parse-names":false,"suffix":""},{"dropping-particle":"","family":"Metzger","given":"Jean Paul","non-dropping-particle":"","parse-names":false,"suffix":""}],"container-title":"Journal of Applied Ecology","id":"ITEM-2","issue":"2","issued":{"date-parts":[["2014"]]},"page":"309-318","title":"Beyond the fragmentation debate: A conceptual model to predict when habitat configuration really matters","type":"article-journal","volume":"51"},"uris":["http://www.mendeley.com/documents/?uuid=2b609ebc-29cd-4b5f-8cdb-68431b399ba9"]}],"mendeley":{"formattedCitation":"(Fischer and Lindenmayer 2007, Villard and Metzger 2014)","plainTextFormattedCitation":"(Fischer and Lindenmayer 2007, Villard and Metzger 2014)","previouslyFormattedCitation":"(Fischer and Lindenmayer 2007, Villard and Metzger 2014)"},"properties":{"noteIndex":0},"schema":"https://github.com/citation-style-language/schema/raw/master/csl-citation.json"}</w:instrText>
      </w:r>
      <w:r w:rsidR="00D51618">
        <w:rPr>
          <w:color w:val="000000"/>
          <w:sz w:val="22"/>
          <w:szCs w:val="22"/>
        </w:rPr>
        <w:fldChar w:fldCharType="separate"/>
      </w:r>
      <w:r w:rsidR="006A2CA6" w:rsidRPr="006A2CA6">
        <w:rPr>
          <w:noProof/>
          <w:color w:val="000000"/>
          <w:sz w:val="22"/>
          <w:szCs w:val="22"/>
        </w:rPr>
        <w:t>(Fischer and Lindenmayer 2007, Villard and Metzger 2014)</w:t>
      </w:r>
      <w:r w:rsidR="00D51618">
        <w:rPr>
          <w:color w:val="000000"/>
          <w:sz w:val="22"/>
          <w:szCs w:val="22"/>
        </w:rPr>
        <w:fldChar w:fldCharType="end"/>
      </w:r>
      <w:r>
        <w:rPr>
          <w:color w:val="000000"/>
          <w:sz w:val="22"/>
          <w:szCs w:val="22"/>
        </w:rPr>
        <w:t xml:space="preserve">, their impacts are rarely disentangled in practice, </w:t>
      </w:r>
      <w:r>
        <w:rPr>
          <w:sz w:val="22"/>
          <w:szCs w:val="22"/>
        </w:rPr>
        <w:t>potentially leading to inconclusive findings</w:t>
      </w:r>
      <w:r>
        <w:rPr>
          <w:color w:val="000000"/>
          <w:sz w:val="22"/>
          <w:szCs w:val="22"/>
        </w:rPr>
        <w:t>. Finally, and perhaps crucially, habitat structure is predominantly assessed in a two-dimensional (2D) realm</w:t>
      </w:r>
      <w:r w:rsidR="00D51618">
        <w:rPr>
          <w:color w:val="000000"/>
          <w:sz w:val="22"/>
          <w:szCs w:val="22"/>
        </w:rPr>
        <w:t xml:space="preserve"> </w:t>
      </w:r>
      <w:r w:rsidR="00D51618">
        <w:rPr>
          <w:color w:val="000000"/>
          <w:sz w:val="22"/>
          <w:szCs w:val="22"/>
        </w:rPr>
        <w:fldChar w:fldCharType="begin" w:fldLock="1"/>
      </w:r>
      <w:r w:rsidR="00D95EB8">
        <w:rPr>
          <w:color w:val="000000"/>
          <w:sz w:val="22"/>
          <w:szCs w:val="22"/>
        </w:rPr>
        <w:instrText>ADDIN CSL_CITATION {"citationItems":[{"id":"ITEM-1","itemData":{"DOI":"10.1073/pnas.0800460105","ISSN":"00278424","PMID":"18375751","abstract":"Habitat edges are a ubiquitous feature of modern fragmented landscapes, but a tendency for researchers to restrict sampling designs to relatively small spatial scales means that edge effects are known to influence faunal communities over small spatial scales of only 20-250 m. However, we found striking changes in the abundance and community composition of 769 New Zealand beetle species (≈26,000 individuals) across very long edge gradients. We show that almost 90% of species respond significantly to habitat edges and that the abundances of 20% of common species were affected by edges at scales &gt;250 m. Moreover, as many as one in eight common species had edge effects that appeared to penetrate as far as 1 km into habitat patches. Even 1 km inside forest, beetle communities differed in species richness, β-diversity (spatial turnover), and composition from the deep forest interior. Spatially explicit models of fragmented landscapes have shown that such large-scale edge effects can lead to an 80% reduction in the population size of interior forest species in even very large fragments. Moreover, such large-scale edge effects can drive species that inhabit central habitat core - which are among the most threatened species in fragmented landscapes - to local extinction from habitat fragments and protected areas. In a global analysis of protected areas, we show that kilometer-scale edge effects may compromise the ability of more than three-quarters of the world's forested reserves to conserve the community biostructures that are unique to forest interiors. © 2008 by The National Academy of Sciences of the USA.","author":[{"dropping-particle":"","family":"Ewers","given":"Robert M.","non-dropping-particle":"","parse-names":false,"suffix":""},{"dropping-particle":"","family":"Didham","given":"Raphael K.","non-dropping-particle":"","parse-names":false,"suffix":""}],"container-title":"Proceedings of the National Academy of Sciences of the United States of America","id":"ITEM-1","issue":"14","issued":{"date-parts":[["2008"]]},"page":"5426-5429","title":"Pervasive impact of large-scale edge effects on a beetle community","type":"article-journal","volume":"105"},"uris":["http://www.mendeley.com/documents/?uuid=55b34a16-63df-48cb-a8fe-02d49dbe0b1d"]},{"id":"ITEM-2","itemData":{"DOI":"10.1126/sciadv.1500052","ISSN":"23752548","PMID":"26601154","abstract":"We conducted an analysis of global forest cover to reveal that 70% of remaining forest is within 1 km of the forest's edge, subject to the degrading effects of fragmentation. A synthesis of fragmentation experiments spanning multiple biomes and scales, five continents, and 35 years demonstrates that habitat fragmentation reduces biodiversity by 13 to 75% and impairs key ecosystem functions by decreasing biomass and altering nutrient cycles. Effects are greatest in the smallest and most isolated fragments, and they magnify with the passage of time. These findings indicate an urgent need for conservation and restoration measures to improve landscape connectivity, which will reduce extinction rates and help maintain ecosystem services.","author":[{"dropping-particle":"","family":"Haddad","given":"Nick M.","non-dropping-particle":"","parse-names":false,"suffix":""},{"dropping-particle":"","family":"Brudvig","given":"Lars A.","non-dropping-particle":"","parse-names":false,"suffix":""},{"dropping-particle":"","family":"Clobert","given":"Jean","non-dropping-particle":"","parse-names":false,"suffix":""},{"dropping-particle":"","family":"Davies","given":"Kendi F.","non-dropping-particle":"","parse-names":false,"suffix":""},{"dropping-particle":"","family":"Gonzalez","given":"Andrew","non-dropping-particle":"","parse-names":false,"suffix":""},{"dropping-particle":"","family":"Holt","given":"Robert D.","non-dropping-particle":"","parse-names":false,"suffix":""},{"dropping-particle":"","family":"Lovejoy","given":"Thomas E.","non-dropping-particle":"","parse-names":false,"suffix":""},{"dropping-particle":"","family":"Sexton","given":"Joseph O.","non-dropping-particle":"","parse-names":false,"suffix":""},{"dropping-particle":"","family":"Austin","given":"Mike P.","non-dropping-particle":"","parse-names":false,"suffix":""},{"dropping-particle":"","family":"Collins","given":"Cathy D.","non-dropping-particle":"","parse-names":false,"suffix":""},{"dropping-particle":"","family":"Cook","given":"William M.","non-dropping-particle":"","parse-names":false,"suffix":""},{"dropping-particle":"","family":"Damschen","given":"Ellen I.","non-dropping-particle":"","parse-names":false,"suffix":""},{"dropping-particle":"","family":"Ewers","given":"Robert M.","non-dropping-particle":"","parse-names":false,"suffix":""},{"dropping-particle":"","family":"Foster","given":"Bryan L.","non-dropping-particle":"","parse-names":false,"suffix":""},{"dropping-particle":"","family":"Jenkins","given":"Clinton N.","non-dropping-particle":"","parse-names":false,"suffix":""},{"dropping-particle":"","family":"King","given":"Andrew J.","non-dropping-particle":"","parse-names":false,"suffix":""},{"dropping-particle":"","family":"Laurance","given":"William F.","non-dropping-particle":"","parse-names":false,"suffix":""},{"dropping-particle":"","family":"Levey","given":"Douglas J.","non-dropping-particle":"","parse-names":false,"suffix":""},{"dropping-particle":"","family":"Margules","given":"Chris R.","non-dropping-particle":"","parse-names":false,"suffix":""},{"dropping-particle":"","family":"Melbourne","given":"Brett A.","non-dropping-particle":"","parse-names":false,"suffix":""},{"dropping-particle":"","family":"Nicholls","given":"A. O.","non-dropping-particle":"","parse-names":false,"suffix":""},{"dropping-particle":"","family":"Orrock","given":"John L.","non-dropping-particle":"","parse-names":false,"suffix":""},{"dropping-particle":"","family":"Song","given":"Dan Xia","non-dropping-particle":"","parse-names":false,"suffix":""},{"dropping-particle":"","family":"Townshend","given":"John R.","non-dropping-particle":"","parse-names":false,"suffix":""}],"container-title":"Science Advances","id":"ITEM-2","issue":"2","issued":{"date-parts":[["2015","3","1"]]},"page":"e1500052","publisher":"American Association for the Advancement of Science","title":"Habitat fragmentation and its lasting impact on Earth's ecosystems","type":"article-journal","volume":"1"},"uris":["http://www.mendeley.com/documents/?uuid=96a61d12-cd49-338b-841f-ae2ee5eaaf77"]}],"mendeley":{"formattedCitation":"(Ewers and Didham 2008, Haddad et al. 2015)","plainTextFormattedCitation":"(Ewers and Didham 2008, Haddad et al. 2015)","previouslyFormattedCitation":"(Ewers and Didham 2008, Haddad et al. 2015)"},"properties":{"noteIndex":0},"schema":"https://github.com/citation-style-language/schema/raw/master/csl-citation.json"}</w:instrText>
      </w:r>
      <w:r w:rsidR="00D51618">
        <w:rPr>
          <w:color w:val="000000"/>
          <w:sz w:val="22"/>
          <w:szCs w:val="22"/>
        </w:rPr>
        <w:fldChar w:fldCharType="separate"/>
      </w:r>
      <w:r w:rsidR="00D51618" w:rsidRPr="00D51618">
        <w:rPr>
          <w:noProof/>
          <w:color w:val="000000"/>
          <w:sz w:val="22"/>
          <w:szCs w:val="22"/>
        </w:rPr>
        <w:t>(Ewers and Didham 2008, Haddad et al. 2015)</w:t>
      </w:r>
      <w:r w:rsidR="00D51618">
        <w:rPr>
          <w:color w:val="000000"/>
          <w:sz w:val="22"/>
          <w:szCs w:val="22"/>
        </w:rPr>
        <w:fldChar w:fldCharType="end"/>
      </w:r>
      <w:r>
        <w:rPr>
          <w:color w:val="000000"/>
          <w:sz w:val="22"/>
          <w:szCs w:val="22"/>
        </w:rPr>
        <w:t>, even though the vertical nature of habitat structure has long been recognized to play a crucial role in the assembly and maintenance of communities</w:t>
      </w:r>
      <w:r w:rsidR="00D51618">
        <w:rPr>
          <w:color w:val="000000"/>
          <w:sz w:val="22"/>
          <w:szCs w:val="22"/>
        </w:rPr>
        <w:t xml:space="preserve"> </w:t>
      </w:r>
      <w:r w:rsidR="00D51618">
        <w:rPr>
          <w:color w:val="000000"/>
          <w:sz w:val="22"/>
          <w:szCs w:val="22"/>
        </w:rPr>
        <w:fldChar w:fldCharType="begin" w:fldLock="1"/>
      </w:r>
      <w:r w:rsidR="009F5837">
        <w:rPr>
          <w:color w:val="000000"/>
          <w:sz w:val="22"/>
          <w:szCs w:val="22"/>
        </w:rPr>
        <w:instrText>ADDIN CSL_CITATION {"citationItems":[{"id":"ITEM-1","itemData":{"DOI":"10.2307/1932254","abstract":"Suggested that Martin 1996 is wrong; that the Phylogenetic Species Concept of Cracraft will not result much chaos. There would be maybe 20,000 species rather than the current 9,000 recognized under the BSC. But most of these were recognized anyway, as subspecies, so it wouldn't result in an expansion of the size of bird guides","author":[{"dropping-particle":"","family":"MacArthur","given":"Robert H.","non-dropping-particle":"","parse-names":false,"suffix":""},{"dropping-particle":"","family":"MacArthur","given":"John W.","non-dropping-particle":"","parse-names":false,"suffix":""}],"container-title":"Ecology","id":"ITEM-1","issue":"3","issued":{"date-parts":[["1961"]]},"page":"594-598","title":"On Bird Species Diversity","type":"article-journal","volume":"42"},"uris":["http://www.mendeley.com/documents/?uuid=40c1b5f2-43b0-3eaa-83e9-f510d3bef8c1"]}],"mendeley":{"formattedCitation":"(MacArthur and MacArthur 1961)","plainTextFormattedCitation":"(MacArthur and MacArthur 1961)","previouslyFormattedCitation":"(MacArthur and MacArthur 1961)"},"properties":{"noteIndex":0},"schema":"https://github.com/citation-style-language/schema/raw/master/csl-citation.json"}</w:instrText>
      </w:r>
      <w:r w:rsidR="00D51618">
        <w:rPr>
          <w:color w:val="000000"/>
          <w:sz w:val="22"/>
          <w:szCs w:val="22"/>
        </w:rPr>
        <w:fldChar w:fldCharType="separate"/>
      </w:r>
      <w:r w:rsidR="00D51618" w:rsidRPr="00D51618">
        <w:rPr>
          <w:noProof/>
          <w:color w:val="000000"/>
          <w:sz w:val="22"/>
          <w:szCs w:val="22"/>
        </w:rPr>
        <w:t>(MacArthur and MacArthur 1961)</w:t>
      </w:r>
      <w:r w:rsidR="00D51618">
        <w:rPr>
          <w:color w:val="000000"/>
          <w:sz w:val="22"/>
          <w:szCs w:val="22"/>
        </w:rPr>
        <w:fldChar w:fldCharType="end"/>
      </w:r>
      <w:r>
        <w:rPr>
          <w:color w:val="000000"/>
          <w:sz w:val="22"/>
          <w:szCs w:val="22"/>
        </w:rPr>
        <w:t xml:space="preserve">. </w:t>
      </w:r>
    </w:p>
    <w:p w14:paraId="00000025" w14:textId="2968ED32" w:rsidR="006B16C2" w:rsidRDefault="00EB0728">
      <w:pPr>
        <w:spacing w:line="480" w:lineRule="auto"/>
        <w:ind w:firstLine="720"/>
        <w:rPr>
          <w:color w:val="000000"/>
          <w:sz w:val="22"/>
          <w:szCs w:val="22"/>
        </w:rPr>
      </w:pPr>
      <w:r>
        <w:rPr>
          <w:color w:val="000000"/>
          <w:sz w:val="22"/>
          <w:szCs w:val="22"/>
        </w:rPr>
        <w:t xml:space="preserve">Three-dimensional (3D) habitat structure incorporates the vertical dimension of habitats alongside the typical horizontal (or 2D measures) of habitat structure. Vertical height strata, such as canopy, subcanopy, midstory, and understory, can be considered different habitat types or niche spaces </w:t>
      </w:r>
      <w:r w:rsidR="009F5837">
        <w:rPr>
          <w:color w:val="000000"/>
          <w:sz w:val="22"/>
          <w:szCs w:val="22"/>
        </w:rPr>
        <w:fldChar w:fldCharType="begin" w:fldLock="1"/>
      </w:r>
      <w:r w:rsidR="00D95EB8">
        <w:rPr>
          <w:color w:val="000000"/>
          <w:sz w:val="22"/>
          <w:szCs w:val="22"/>
        </w:rPr>
        <w:instrText>ADDIN CSL_CITATION {"citationItems":[{"id":"ITEM-1","itemData":{"DOI":"10.1016/j.tree.2022.06.012","ISSN":"1872-8383","PMID":"35872027","abstract":"Spatial partitioning in ecological communities has predominantly been described in two dimensions, yet habitat is complex and 3D. Complex space use mediates community structure and interaction strength by expanding spatial, temporal, and dietary dimensions. Vertical stratification of resources provides opportunities for novel specializations, creating a 3D niche. Competition and predation are mediated by 3D space use, as individuals use the vertical axis to access prey, flee predators, or avoid competitors. The 3D niche is important for long-term conservation strategies as species must navigate tradeoffs in habitat use between strata-specific threats and suboptimal habitat patches. Ultimately, elucidating the 3D niche has implications for protected area management and corridor design that directly influence species persistence and ecosystem function in a rapidly changing world.","author":[{"dropping-particle":"","family":"Gámez","given":"Siria","non-dropping-particle":"","parse-names":false,"suffix":""},{"dropping-particle":"","family":"Harris","given":"Nyeema C","non-dropping-particle":"","parse-names":false,"suffix":""}],"container-title":"Trends in ecology &amp; evolution","id":"ITEM-1","issued":{"date-parts":[["2022"]]},"page":"1-10","title":"Conceptualizing the 3D niche and vertical space use.","type":"article-journal"},"uris":["http://www.mendeley.com/documents/?uuid=8ed9deee-e6ff-4ca5-86d2-9c895532f3c7"]},{"id":"ITEM-2","itemData":{"DOI":"10.1111/btp.13201","ISSN":"17447429","abstract":"Secondary forest has the potential to act as an important habitat for biodiversity and restoring ecological benefits. Functional diversity, which includes morphological and behavioral traits that mediate species interactions with the surrounding environment, relates to the resilience of ecosystems. To assess the relationship between habitat structural differences in primary and secondary forest and the resultant differences in functional diversity of avian species, we followed 11 mixed-species flocks at the Biological Dynamics of Forest Fragments Project, near Manaus, Brazil. We used remote sensing LiDAR to assess which three-dimensional forest structural features are most closely associated with variation in species richness and functional diversity in secondary and primary tropical forest flocks. The species richness of flocks in primary forest increased in areas with higher elevation and higher leaf area density in the understory and subcanopy but was not correlated with habitat structure in secondary forest. Functional diversity increased at lower elevations and with a denser subcanopy in both primary forest and secondary forest but only increased with greater understory leaf area density in primary forest. Together, these results indicate that a dense subcanopy and understory can be important for mixed-species flocks and that flock richness and functional diversity can be predicted by vegetation structure. Abstract in Portuguese is available with online material.","author":[{"dropping-particle":"","family":"Coddington","given":"Charles P.J.","non-dropping-particle":"","parse-names":false,"suffix":""},{"dropping-particle":"","family":"Cooper","given":"W. Justin","non-dropping-particle":"","parse-names":false,"suffix":""},{"dropping-particle":"","family":"Mokross","given":"Karl","non-dropping-particle":"","parse-names":false,"suffix":""},{"dropping-particle":"","family":"Luther","given":"David A.","non-dropping-particle":"","parse-names":false,"suffix":""}],"container-title":"Biotropica","id":"ITEM-2","issued":{"date-parts":[["2023"]]},"page":"1-13","publisher":"John Wiley and Sons Inc","title":"Forest structure predicts species richness and functional diversity in Amazonian mixed-species bird flocks","type":"article-journal","volume":"00"},"uris":["http://www.mendeley.com/documents/?uuid=fb2745c7-b87a-339a-b5a4-cbef478141d7"]}],"mendeley":{"formattedCitation":"(Gámez and Harris 2022, Coddington et al. 2023)","plainTextFormattedCitation":"(Gámez and Harris 2022, Coddington et al. 2023)","previouslyFormattedCitation":"(Gámez and Harris 2022, Coddington et al. 2023)"},"properties":{"noteIndex":0},"schema":"https://github.com/citation-style-language/schema/raw/master/csl-citation.json"}</w:instrText>
      </w:r>
      <w:r w:rsidR="009F5837">
        <w:rPr>
          <w:color w:val="000000"/>
          <w:sz w:val="22"/>
          <w:szCs w:val="22"/>
        </w:rPr>
        <w:fldChar w:fldCharType="separate"/>
      </w:r>
      <w:r w:rsidR="009F5837" w:rsidRPr="009F5837">
        <w:rPr>
          <w:noProof/>
          <w:color w:val="000000"/>
          <w:sz w:val="22"/>
          <w:szCs w:val="22"/>
        </w:rPr>
        <w:t>(Gámez and Harris 2022, Coddington et al. 2023)</w:t>
      </w:r>
      <w:r w:rsidR="009F5837">
        <w:rPr>
          <w:color w:val="000000"/>
          <w:sz w:val="22"/>
          <w:szCs w:val="22"/>
        </w:rPr>
        <w:fldChar w:fldCharType="end"/>
      </w:r>
      <w:r>
        <w:rPr>
          <w:color w:val="000000"/>
          <w:sz w:val="22"/>
          <w:szCs w:val="22"/>
        </w:rPr>
        <w:t xml:space="preserve">, analogous to different landcover types in a 2D realm. Thus, 3D habitat composition measures the volume of such height strata, analogous to total habitat amount in a 2D context. 3D habitat configuration, on the other hand, considers the horizontal arrangement of vegetation, </w:t>
      </w:r>
      <w:r>
        <w:rPr>
          <w:color w:val="000000"/>
          <w:sz w:val="22"/>
          <w:szCs w:val="22"/>
        </w:rPr>
        <w:lastRenderedPageBreak/>
        <w:t xml:space="preserve">similar to 2D habitat configuration, but also incorporates the vertical arrangement of vegetation, both within and between different height strata. </w:t>
      </w:r>
    </w:p>
    <w:p w14:paraId="00000026" w14:textId="0E99EF46" w:rsidR="006B16C2" w:rsidRDefault="00EB0728">
      <w:pPr>
        <w:spacing w:line="480" w:lineRule="auto"/>
        <w:ind w:firstLine="720"/>
        <w:rPr>
          <w:color w:val="000000"/>
          <w:sz w:val="22"/>
          <w:szCs w:val="22"/>
        </w:rPr>
      </w:pPr>
      <w:r>
        <w:rPr>
          <w:color w:val="000000"/>
          <w:sz w:val="22"/>
          <w:szCs w:val="22"/>
        </w:rPr>
        <w:t xml:space="preserve">Though 3D habitat structure is a relatively new term, it has long been thought to </w:t>
      </w:r>
      <w:r w:rsidRPr="005B0F18">
        <w:rPr>
          <w:color w:val="000000"/>
          <w:sz w:val="22"/>
          <w:szCs w:val="22"/>
        </w:rPr>
        <w:t xml:space="preserve">be </w:t>
      </w:r>
      <w:r w:rsidR="00906145" w:rsidRPr="005B0F18">
        <w:rPr>
          <w:color w:val="000000"/>
          <w:sz w:val="22"/>
          <w:szCs w:val="22"/>
        </w:rPr>
        <w:t>particularly important</w:t>
      </w:r>
      <w:r w:rsidRPr="005B0F18">
        <w:rPr>
          <w:color w:val="000000"/>
          <w:sz w:val="22"/>
          <w:szCs w:val="22"/>
        </w:rPr>
        <w:t xml:space="preserve"> for volant taxonomic groups such as birds</w:t>
      </w:r>
      <w:r w:rsidR="009F5837" w:rsidRPr="005B0F18">
        <w:rPr>
          <w:color w:val="000000"/>
          <w:sz w:val="22"/>
          <w:szCs w:val="22"/>
        </w:rPr>
        <w:t xml:space="preserve"> </w:t>
      </w:r>
      <w:r w:rsidR="009F5837" w:rsidRPr="005B0F18">
        <w:rPr>
          <w:color w:val="000000"/>
          <w:sz w:val="22"/>
          <w:szCs w:val="22"/>
        </w:rPr>
        <w:fldChar w:fldCharType="begin" w:fldLock="1"/>
      </w:r>
      <w:r w:rsidR="009F5837" w:rsidRPr="005B0F18">
        <w:rPr>
          <w:color w:val="000000"/>
          <w:sz w:val="22"/>
          <w:szCs w:val="22"/>
        </w:rPr>
        <w:instrText>ADDIN CSL_CITATION {"citationItems":[{"id":"ITEM-1","itemData":{"DOI":"10.2307/1932254","abstract":"Suggested that Martin 1996 is wrong; that the Phylogenetic Species Concept of Cracraft will not result much chaos. There would be maybe 20,000 species rather than the current 9,000 recognized under the BSC. But most of these were recognized anyway, as subspecies, so it wouldn't result in an expansion of the size of bird guides","author":[{"dropping-particle":"","family":"MacArthur","given":"Robert H.","non-dropping-particle":"","parse-names":false,"suffix":""},{"dropping-particle":"","family":"MacArthur","given":"John W.","non-dropping-particle":"","parse-names":false,"suffix":""}],"container-title":"Ecology","id":"ITEM-1","issue":"3","issued":{"date-parts":[["1961"]]},"page":"594-598","title":"On Bird Species Diversity","type":"article-journal","volume":"42"},"uris":["http://www.mendeley.com/documents/?uuid=40c1b5f2-43b0-3eaa-83e9-f510d3bef8c1"]},{"id":"ITEM-2","itemData":{"author":[{"dropping-particle":"","family":"Robinson","given":"Scott K .","non-dropping-particle":"","parse-names":false,"suffix":""},{"dropping-particle":"","family":"Holmes","given":"Richard T .","non-dropping-particle":"","parse-names":false,"suffix":""}],"container-title":"Ecology","id":"ITEM-2","issue":"6","issued":{"date-parts":[["1982"]]},"page":"1918-1931","title":"Foraging Behavior of Forest Birds : The Relationships Among Search Tactics , Diet , and Habitat Structure","type":"article-journal","volume":"63"},"uris":["http://www.mendeley.com/documents/?uuid=90a1be3d-0eb4-49cd-a07b-208a59465a29"]},{"id":"ITEM-3","itemData":{"DOI":"10.1016/j.tree.2014.10.005","ISSN":"01695347","abstract":"The advent and recent advances of Light Detection and Ranging (LiDAR) have enabled accurate measurement of 3D ecosystem structure. Here, we review insights gained through the application of LiDAR to animal ecology studies, revealing the fundamental importance of structure for animals. Structural heterogeneity is most conducive to increased animal richness and abundance, and increased complexity of vertical vegetation structure is more positively influential compared with traditionally measured canopy cover, which produces mixed results. However, different taxonomic groups interact with a variety of 3D canopy traits and some groups with 3D topography. To develop a better understanding of animal dynamics, future studies will benefit from considering 3D habitat effects in a wider variety of ecosystems and with more taxa.","author":[{"dropping-particle":"","family":"Davies","given":"Andrew B.","non-dropping-particle":"","parse-names":false,"suffix":""},{"dropping-particle":"","family":"Asner","given":"Gregory P.","non-dropping-particle":"","parse-names":false,"suffix":""}],"container-title":"Trends in Ecology and Evolution","id":"ITEM-3","issue":"12","issued":{"date-parts":[["2014","12","1"]]},"page":"681-691","publisher":"Elsevier Ltd","title":"Advances in animal ecology from 3D-LiDAR ecosystem mapping","type":"article","volume":"29"},"uris":["http://www.mendeley.com/documents/?uuid=e6372e57-29d7-3449-b256-cf56df5b8bae"]}],"mendeley":{"formattedCitation":"(MacArthur and MacArthur 1961, Robinson and Holmes 1982, Davies and Asner 2014)","plainTextFormattedCitation":"(MacArthur and MacArthur 1961, Robinson and Holmes 1982, Davies and Asner 2014)","previouslyFormattedCitation":"(MacArthur and MacArthur 1961, Robinson and Holmes 1982, Davies and Asner 2014)"},"properties":{"noteIndex":0},"schema":"https://github.com/citation-style-language/schema/raw/master/csl-citation.json"}</w:instrText>
      </w:r>
      <w:r w:rsidR="009F5837" w:rsidRPr="005B0F18">
        <w:rPr>
          <w:color w:val="000000"/>
          <w:sz w:val="22"/>
          <w:szCs w:val="22"/>
        </w:rPr>
        <w:fldChar w:fldCharType="separate"/>
      </w:r>
      <w:r w:rsidR="009F5837" w:rsidRPr="005B0F18">
        <w:rPr>
          <w:noProof/>
          <w:color w:val="000000"/>
          <w:sz w:val="22"/>
          <w:szCs w:val="22"/>
        </w:rPr>
        <w:t>(MacArthur and MacArthur 1961, Robinson and Holmes 1982, Davies and Asner 2014)</w:t>
      </w:r>
      <w:r w:rsidR="009F5837" w:rsidRPr="005B0F18">
        <w:rPr>
          <w:color w:val="000000"/>
          <w:sz w:val="22"/>
          <w:szCs w:val="22"/>
        </w:rPr>
        <w:fldChar w:fldCharType="end"/>
      </w:r>
      <w:r w:rsidRPr="005B0F18">
        <w:rPr>
          <w:color w:val="000000"/>
          <w:sz w:val="22"/>
          <w:szCs w:val="22"/>
        </w:rPr>
        <w:t>,</w:t>
      </w:r>
      <w:r w:rsidRPr="005B0F18">
        <w:rPr>
          <w:sz w:val="22"/>
          <w:szCs w:val="22"/>
        </w:rPr>
        <w:t xml:space="preserve"> </w:t>
      </w:r>
      <w:r w:rsidRPr="005B0F18">
        <w:rPr>
          <w:color w:val="000000"/>
          <w:sz w:val="22"/>
          <w:szCs w:val="22"/>
        </w:rPr>
        <w:t>likely influencing large scale patterns of avian diversity.</w:t>
      </w:r>
      <w:r>
        <w:rPr>
          <w:color w:val="000000"/>
          <w:sz w:val="22"/>
          <w:szCs w:val="22"/>
        </w:rPr>
        <w:t xml:space="preserve"> </w:t>
      </w:r>
      <w:r w:rsidR="00ED5643">
        <w:rPr>
          <w:color w:val="000000"/>
          <w:sz w:val="22"/>
          <w:szCs w:val="22"/>
        </w:rPr>
        <w:t xml:space="preserve">While </w:t>
      </w:r>
      <w:r>
        <w:rPr>
          <w:color w:val="000000"/>
          <w:sz w:val="22"/>
          <w:szCs w:val="22"/>
        </w:rPr>
        <w:t xml:space="preserve">positive associations between avian species richness and vegetation at various height strata have been previously reported </w:t>
      </w:r>
      <w:r w:rsidR="009F5837">
        <w:rPr>
          <w:color w:val="000000"/>
          <w:sz w:val="22"/>
          <w:szCs w:val="22"/>
        </w:rPr>
        <w:fldChar w:fldCharType="begin" w:fldLock="1"/>
      </w:r>
      <w:r w:rsidR="00D95EB8">
        <w:rPr>
          <w:color w:val="000000"/>
          <w:sz w:val="22"/>
          <w:szCs w:val="22"/>
        </w:rPr>
        <w:instrText>ADDIN CSL_CITATION {"citationItems":[{"id":"ITEM-1","itemData":{"DOI":"10.1016/j.rse.2011.01.025","ISSN":"00344257","abstract":"Conservation of biodiversity requires information at many spatial scales in order to detect and preserve habitat for many species, often simultaneously. Vegetation structure information is particularly important for avian habitat models and has largely been unavailable for large areas at the desired resolution. Airborne LiDAR, with its combination of relatively broad coverage and fine resolution provides existing new opportunities to map vegetation structure and hence avian habitat. Our goal was to model the richness of forest songbirds using forest structure information obtained from LiDAR data. In deciduous forests of southern Wisconsin, USA, we used discrete-return airborne LiDAR to derive forest structure metrics related to the height and density of vegetation returns, as well as composite variables that captured major forest structural elements. We conducted point counts to determine total forest songbird richness and the richness of foraging, nesting, and forest edge-related habitat guilds. A suite of 35 LiDAR variables were used to model bird species richness using best-subsets regression and we used hierarchical partitioning analysis to quantify the explanatory power of each variable in the multivariate models. Songbird species richness was correlated most strongly with LiDAR variables related to canopy and midstory height and midstory density (R2=0.204, p&lt;0.001). Richness of species that nest in the midstory was best explained by canopy height variables (R2=0.197, p&lt;0.001). Species that forage on the ground responded to mean canopy height and the height of the lower canopy (R2=0.149, p&lt;0.005) while aerial foragers had higher richness where the canopy was tall and dense and the midstory more sparse (R2=0.216, p&lt;0.001). Richness of edge-preferring species was greater where there were fewer vegetation returns but higher density in the understory (R2=0.153, p&lt;0.005). Forest interior specialists responded positively to a tall canopy, developed midstory, and a higher proportion of vegetation returns (R2=0.195, p&lt;0.001). LiDAR forest structure metrics explained between 15 and 20% of the variability in richness within deciduous forest songbird communities. This variability was associated with vertical structure alone and shows how LiDAR can provide a source of complementary predictive data that can be incorporated in models of wildlife habitat associations across broad geographical extents. © 2011 Elsevier Inc.","author":[{"dropping-particle":"","family":"Lesak","given":"Adrian A.","non-dropping-particle":"","parse-names":false,"suffix":""},{"dropping-particle":"","family":"Radeloff","given":"Volker C.","non-dropping-particle":"","parse-names":false,"suffix":""},{"dropping-particle":"","family":"Hawbaker","given":"Todd J.","non-dropping-particle":"","parse-names":false,"suffix":""},{"dropping-particle":"","family":"Pidgeon","given":"Anna M.","non-dropping-particle":"","parse-names":false,"suffix":""},{"dropping-particle":"","family":"Gobakken","given":"Terje","non-dropping-particle":"","parse-names":false,"suffix":""},{"dropping-particle":"","family":"Contrucci","given":"Kirk","non-dropping-particle":"","parse-names":false,"suffix":""}],"container-title":"Remote Sensing of Environment","id":"ITEM-1","issue":"11","issued":{"date-parts":[["2011","11","15"]]},"page":"2823-2835","title":"Modeling forest songbird species richness using LiDAR-derived measures of forest structure","type":"article-journal","volume":"115"},"uris":["http://www.mendeley.com/documents/?uuid=7ae9faef-b248-3d7f-a54a-4f685e0c9e89"]},{"id":"ITEM-2","itemData":{"DOI":"10.1016/j.rse.2014.02.006","ISSN":"00344257","abstract":"Using remotely-sensed metrics to identify regions containing high animal diversity and/or specific animal species or guilds can help prioritize forest management and conservation objectives across actively managed landscapes. We predicted avian species richness in two mixed conifer forests, Moscow Mountain and Slate Creek, containing different management contexts and located in north-central Idaho. We utilized general linear models and an AIC model selection approach to examine the relative importance of a wide range of remotely-sensed ecological variables, including LiDAR-derived metrics of vertical and horizontal structural heterogeneities of both vegetation and terrain, and Landsat-derived vegetation reflectance indices. We also examined the relative importance of these remotely sensed variables in predicting nesting guild distributions of ground/understory nesters, mid-upper canopy nesters, and cavity nesters. All top models were statistically significant, with adjusted R2s ranging from 0.05 to 0.42. Regardless of study area, the density of the understory was positively associated with total species richness and the ground/understory nesting guild. However, the relative importance of ecological predictors generally differed between the study areas and among the nesting guilds. For example, for mid-upper canopy nester richness, the best predictors at Moscow Mountain included height variability and canopy density whereas at Slate Creek they included slope, elevation, patch diversity and height variability. Topographic variables were not found to influence species richness at Moscow Mountain but were strong predictors of avian species richness at the higher elevation Slate Creek, where species richness decreased with increasing slope and elevation. A variance in responses between focal areas suggests that we expand such studies to determine the relative importance of different factors in determining species richness. It is also important to note that managers using predictive maps should realize that models from one region may not adequately represent communities in other areas. © 2014 Elsevier Inc.","author":[{"dropping-particle":"","family":"Vogeler","given":"Jody C.","non-dropping-particle":"","parse-names":false,"suffix":""},{"dropping-particle":"","family":"Hudak","given":"Andrew T.","non-dropping-particle":"","parse-names":false,"suffix":""},{"dropping-particle":"","family":"Vierling","given":"Lee A.","non-dropping-particle":"","parse-names":false,"suffix":""},{"dropping-particle":"","family":"Evans","given":"Jeffrey","non-dropping-particle":"","parse-names":false,"suffix":""},{"dropping-particle":"","family":"Green","given":"Patricia","non-dropping-particle":"","parse-names":false,"suffix":""},{"dropping-particle":"","family":"Vierling","given":"Kerri T.","non-dropping-particle":"","parse-names":false,"suffix":""}],"container-title":"Remote Sensing of Environment","id":"ITEM-2","issued":{"date-parts":[["2014"]]},"page":"13-22","publisher":"Elsevier Inc.","title":"Terrain and vegetation structural influences on local avian species richness in two mixed-conifer forests","type":"article-journal","volume":"147"},"uris":["http://www.mendeley.com/documents/?uuid=e2ad87a8-78f9-4d6f-a7fe-f52f030d3f46"]},{"id":"ITEM-3","itemData":{"DOI":"10.1111/geb.12598","ISSN":"14668238","abstract":"Aim: The aim was to investigate the relationship between climate, topography and soil pH, as well as vegetation structure and the beta diversity of plants, butterflies and birds; and to investigate the correlations of (woody) plant beta diversity with animal beta diversity. Location: Switzerland (central Europe). Methods: We used pairwise Sørensen dissimilarity as measure of total beta diversity and partitioned it into its turnover and nestedness components. Variation partitioning was used to assess the independent and cumulative effects of environmental predictors, with vegetation structure being derived from airborne light detection and ranging (LiDAR) data. We also checked for independent effects of plant and woody plant beta diversity on butterfly and bird beta diversity, respectively, and for independent effects of spatial distance on beta diversity. Results: Climate emerged as the strongest statistical predictor of beta diversity across taxonomic groups, with large independent effects on species turnover. Climate effects were most pronounced for plants, followed by butterflies and birds. We also found large independent effects of vegetation structure on total beta diversity and its turnover component across taxonomic groups, particularly for birds. Plant and woody plant beta diversity substantially improved the predictions of butterfly and bird beta diversity, respectively. Spatial distance had hardly any independent effect on beta diversity. Main conclusions: Climate is a stronger filter for plant communities than for butterfly and bird communities, which are more affected by vegetation structure, probably owing to associated resources and niches. Vegetation structure is a crucial predictor of beta diversity, and therefore contiguous and detailed 3-D habitat structure data are highly relevant to further our understanding of niche-based community assembly. Plant and animal beta diversity appear to be non-independent, suggesting that differences in the response times of interacting taxa should be accounted for in environmental change impact assessments on biodiversity.","author":[{"dropping-particle":"","family":"Zellweger","given":"Florian","non-dropping-particle":"","parse-names":false,"suffix":""},{"dropping-particle":"","family":"Roth","given":"Tobias","non-dropping-particle":"","parse-names":false,"suffix":""},{"dropping-particle":"","family":"Bugmann","given":"Harald","non-dropping-particle":"","parse-names":false,"suffix":""},{"dropping-particle":"","family":"Bollmann","given":"Kurt","non-dropping-particle":"","parse-names":false,"suffix":""}],"container-title":"Global Ecology and Biogeography","id":"ITEM-3","issue":"8","issued":{"date-parts":[["2017","8","1"]]},"page":"898-906","publisher":"Blackwell Publishing Ltd","title":"Beta diversity of plants, birds and butterflies is closely associated with climate and habitat structure","type":"article-journal","volume":"26"},"uris":["http://www.mendeley.com/documents/?uuid=b306f8d3-56b3-3d37-bef4-ff90964303e9"]},{"id":"ITEM-4","itemData":{"DOI":"10.1111/geb.13110","ISSN":"14668238","abstract":"Aims: Taller forest canopies may harbour higher biodiversity by providing more and varied resources. No previous studies have assessed whether forest canopy height shapes the taxonomic and functional diversity of terrestrial vertebrates at global and regional scales. Here, we examine the roles of forest canopy height and other environmental variables in shaping global and regional patterns of species richness and functional diversity of mammals and birds. Location: Global. Time period: Present day. Major taxa studied: Terrestrial mammals and birds. Methods: Global forest canopy height data at 1 km spatial resolution were used to measure forest vertical structure. Species richness, functional richness and functional dispersion of mammals and birds were calculated using range maps and trait data. Spatial simultaneous autoregressive error models were used to evaluate associations between species richness and functional diversity and their predictors, including mean canopy height, standard deviation of canopy height, net primary productivity, current climate and historical climate stability, topography and human activities. Results: The mean canopy height emerged as one of two predictors most associated with the species richness and functional richness of mammal. However, mean canopy height had little explanatory power for functional dispersion. Mean annual temperature and net primary productivity contributed most to explain global-scale mammal and bird functional dispersion. At the regional scale, mean canopy height, net primary productivity and mean annual temperature were the variables most associated with the species richness and functional diversity of mammals and birds. Main conclusions: Forest canopy height is an important predictor of species richness and functional diversity of terrestrial vertebrates at both global and regional scales, at a similar overall level to productivity and temperature. Our study highlights the crucial role of the complex vertical structure in shaping the global and regional patterns of vertebrate diversity.","author":[{"dropping-particle":"","family":"Feng","given":"Gang","non-dropping-particle":"","parse-names":false,"suffix":""},{"dropping-particle":"","family":"Zhang","given":"Jian","non-dropping-particle":"","parse-names":false,"suffix":""},{"dropping-particle":"","family":"Girardello","given":"Marco","non-dropping-particle":"","parse-names":false,"suffix":""},{"dropping-particle":"","family":"Pellissier","given":"Vincent","non-dropping-particle":"","parse-names":false,"suffix":""},{"dropping-particle":"","family":"Svenning","given":"Jens Christian","non-dropping-particle":"","parse-names":false,"suffix":""}],"container-title":"Global Ecology and Biogeography","id":"ITEM-4","issued":{"date-parts":[["2020"]]},"page":"1-10","publisher":"Blackwell Publishing Ltd","title":"Forest canopy height co-determines taxonomic and functional richness, but not functional dispersion of mammals and birds globally","type":"article-journal","volume":"00"},"uris":["http://www.mendeley.com/documents/?uuid=7ec23787-bfab-3870-b72d-1f78ade5ab58"]},{"id":"ITEM-5","itemData":{"DOI":"10.1088/1748-9326/ab80ee","ISSN":"17489326","abstract":"The Global Ecosystem Dynamics Investigation (GEDI) lidar began data acquisition from the International Space Station in March 2019 and is expected to make over 10 billion measurements of canopy structure and topography over two years. Previously, airborne lidar data with limited spatial coverage have been used to examine relationships between forest canopy structure and faunal diversity, most commonly bird species. GEDI's latitudinal coverage will permit these types of analyses at larger spatial extents, over the majority of the Earth's forests, and most importantly in areas where canopy structure is complex and/or poorly understood. In this regional study, we examined the impact that GEDI-derived Canopy Structure variables have on the performance of bird species distribution models (SDMs) in Sonoma County, California. We simulated GEDI waveforms for a two-year period and then interpolated derived Canopy Structure variables to three grid sizes of analysis. In addition to these variables, we also included Phenology, Climate, and other Auxiliary variables to predict the probability of occurrence of 25 common bird species. We used a weighted average ensemble of seven individual machine learning models to make predictions for each species and calculated variable importance. We found that Canopy Structure variables were, on average at our finest resolution of 250 m, the second most important group (32.5%) of predictor variables after Climate variables (35.3%). Canopy Structure variables were most important for predicting probability of occurrence of birds associated with Conifer forest habitat. Regarding spatial analysis scale, we found that finer-scale models more frequently performed better than coarser-scale models, and the importance of Canopy Structure variables was greater at finer spatial resolutions. Overall, GEDI Canopy Structure variables improved SDM performance for at least one spatial resolution for 19 of 25 species and thus show promise for improving models of bird species occurrence and mapping potential habitat.","author":[{"dropping-particle":"","family":"Burns","given":"Patrick","non-dropping-particle":"","parse-names":false,"suffix":""},{"dropping-particle":"","family":"Clark","given":"Matthew","non-dropping-particle":"","parse-names":false,"suffix":""},{"dropping-particle":"","family":"Salas","given":"Leonardo","non-dropping-particle":"","parse-names":false,"suffix":""},{"dropping-particle":"","family":"Hancock","given":"Steven","non-dropping-particle":"","parse-names":false,"suffix":""},{"dropping-particle":"","family":"Leland","given":"David","non-dropping-particle":"","parse-names":false,"suffix":""},{"dropping-particle":"","family":"Jantz","given":"Patrick","non-dropping-particle":"","parse-names":false,"suffix":""},{"dropping-particle":"","family":"Dubayah","given":"Ralph","non-dropping-particle":"","parse-names":false,"suffix":""},{"dropping-particle":"","family":"Goetz","given":"Scott J.","non-dropping-particle":"","parse-names":false,"suffix":""}],"container-title":"Environmental Research Letters","id":"ITEM-5","issue":"9","issued":{"date-parts":[["2020","3","18"]]},"page":"1-16","publisher":"IOP Publishing","title":"Incorporating canopy structure from simulated GEDI lidar into bird species distribution models","type":"article-journal","volume":"15"},"uris":["http://www.mendeley.com/documents/?uuid=0c337c54-0889-3323-a505-ebf24b12f26a"]}],"mendeley":{"formattedCitation":"(Lesak et al. 2011, Vogeler et al. 2014, Zellweger et al. 2017, Feng et al. 2020, Burns et al. 2020)","plainTextFormattedCitation":"(Lesak et al. 2011, Vogeler et al. 2014, Zellweger et al. 2017, Feng et al. 2020, Burns et al. 2020)","previouslyFormattedCitation":"(Lesak et al. 2011, Vogeler et al. 2014, Zellweger et al. 2017, Feng et al. 2020, Burns et al. 2020)"},"properties":{"noteIndex":0},"schema":"https://github.com/citation-style-language/schema/raw/master/csl-citation.json"}</w:instrText>
      </w:r>
      <w:r w:rsidR="009F5837">
        <w:rPr>
          <w:color w:val="000000"/>
          <w:sz w:val="22"/>
          <w:szCs w:val="22"/>
        </w:rPr>
        <w:fldChar w:fldCharType="separate"/>
      </w:r>
      <w:r w:rsidR="009F5837" w:rsidRPr="009F5837">
        <w:rPr>
          <w:noProof/>
          <w:color w:val="000000"/>
          <w:sz w:val="22"/>
          <w:szCs w:val="22"/>
        </w:rPr>
        <w:t>(Lesak et al. 2011, Vogeler et al. 2014, Zellweger et al. 2017, Feng et al. 2020, Burns et al. 2020)</w:t>
      </w:r>
      <w:r w:rsidR="009F5837">
        <w:rPr>
          <w:color w:val="000000"/>
          <w:sz w:val="22"/>
          <w:szCs w:val="22"/>
        </w:rPr>
        <w:fldChar w:fldCharType="end"/>
      </w:r>
      <w:r>
        <w:rPr>
          <w:color w:val="000000"/>
          <w:sz w:val="22"/>
          <w:szCs w:val="22"/>
        </w:rPr>
        <w:t>, many ascribe this relationship to an increase in available niche space, without explicitly examining the effects of 3D composition versus 3D configuration</w:t>
      </w:r>
      <w:r w:rsidR="009F5837">
        <w:rPr>
          <w:color w:val="000000"/>
          <w:sz w:val="22"/>
          <w:szCs w:val="22"/>
        </w:rPr>
        <w:t xml:space="preserve"> </w:t>
      </w:r>
      <w:r w:rsidR="009F5837">
        <w:rPr>
          <w:color w:val="000000"/>
          <w:sz w:val="22"/>
          <w:szCs w:val="22"/>
        </w:rPr>
        <w:fldChar w:fldCharType="begin" w:fldLock="1"/>
      </w:r>
      <w:r w:rsidR="00382AAA">
        <w:rPr>
          <w:color w:val="000000"/>
          <w:sz w:val="22"/>
          <w:szCs w:val="22"/>
        </w:rPr>
        <w:instrText>ADDIN CSL_CITATION {"citationItems":[{"id":"ITEM-1","itemData":{"DOI":"10.1016/j.rse.2011.05.020","ISSN":"00344257","abstract":"Changes in the structural state of forests of the semi-arid U.S.A., such as an increase in tree density, are widely believed to be leading to an ecological crisis, but accurate methods of quantifying forest density and configuration are lacking at landscape scales. An individual tree canopy (ITC) method based on aerial LiDAR has been developed to assess forest structure by estimating the density and spatial configuration of trees in four different height classes. The method has been tested against field measured forest inventory data from two geographically distinct forests with independent LiDAR acquisitions. The results show two distinct patterns: accurate, unbiased density estimates for trees taller than 20. m, and underestimation of density in trees less than 20. m tall. The underestimation of smaller trees is suggested to be a limitation of LiDAR remote sensing. Ecological applications of the method are demonstrated through landscape metrics analysis of density and configuration rasters. © 2011 Elsevier Inc.","author":[{"dropping-particle":"","family":"Richardson","given":"Jeffrey J.","non-dropping-particle":"","parse-names":false,"suffix":""},{"dropping-particle":"","family":"Moskal","given":"L. Monika","non-dropping-particle":"","parse-names":false,"suffix":""}],"container-title":"Remote Sensing of Environment","id":"ITEM-1","issue":"10","issued":{"date-parts":[["2011"]]},"page":"2640-2651","publisher":"Elsevier Inc.","title":"Strengths and limitations of assessing forest density and spatial configuration with aerial LiDAR","type":"article-journal","volume":"115"},"uris":["http://www.mendeley.com/documents/?uuid=8e0a698e-5994-4da7-b271-b8ccc18accf5"]}],"mendeley":{"formattedCitation":"(Richardson and Moskal 2011)","plainTextFormattedCitation":"(Richardson and Moskal 2011)","previouslyFormattedCitation":"(Richardson and Moskal 2011)"},"properties":{"noteIndex":0},"schema":"https://github.com/citation-style-language/schema/raw/master/csl-citation.json"}</w:instrText>
      </w:r>
      <w:r w:rsidR="009F5837">
        <w:rPr>
          <w:color w:val="000000"/>
          <w:sz w:val="22"/>
          <w:szCs w:val="22"/>
        </w:rPr>
        <w:fldChar w:fldCharType="separate"/>
      </w:r>
      <w:r w:rsidR="009F5837" w:rsidRPr="009F5837">
        <w:rPr>
          <w:noProof/>
          <w:color w:val="000000"/>
          <w:sz w:val="22"/>
          <w:szCs w:val="22"/>
        </w:rPr>
        <w:t>(Richardson and Moskal 2011)</w:t>
      </w:r>
      <w:r w:rsidR="009F5837">
        <w:rPr>
          <w:color w:val="000000"/>
          <w:sz w:val="22"/>
          <w:szCs w:val="22"/>
        </w:rPr>
        <w:fldChar w:fldCharType="end"/>
      </w:r>
      <w:r w:rsidR="00382AAA">
        <w:rPr>
          <w:color w:val="000000"/>
          <w:sz w:val="22"/>
          <w:szCs w:val="22"/>
        </w:rPr>
        <w:t xml:space="preserve">. </w:t>
      </w:r>
      <w:r>
        <w:rPr>
          <w:color w:val="000000"/>
          <w:sz w:val="22"/>
          <w:szCs w:val="22"/>
        </w:rPr>
        <w:t xml:space="preserve">The few studies that have investigated both 3D habitat composition and configuration present conflicting findings. </w:t>
      </w:r>
      <w:r>
        <w:rPr>
          <w:sz w:val="22"/>
          <w:szCs w:val="22"/>
        </w:rPr>
        <w:t>While some studies</w:t>
      </w:r>
      <w:r>
        <w:rPr>
          <w:color w:val="000000"/>
          <w:sz w:val="22"/>
          <w:szCs w:val="22"/>
        </w:rPr>
        <w:t xml:space="preserve"> find a greater effect of 3D habitat composition on avian richness</w:t>
      </w:r>
      <w:r w:rsidR="00C318E1">
        <w:rPr>
          <w:color w:val="000000"/>
          <w:sz w:val="22"/>
          <w:szCs w:val="22"/>
        </w:rPr>
        <w:t xml:space="preserve"> compared to habitat configuration</w:t>
      </w:r>
      <w:r>
        <w:rPr>
          <w:color w:val="000000"/>
          <w:sz w:val="22"/>
          <w:szCs w:val="22"/>
        </w:rPr>
        <w:t xml:space="preserve"> </w:t>
      </w:r>
      <w:r w:rsidR="00382AAA">
        <w:rPr>
          <w:color w:val="000000"/>
          <w:sz w:val="22"/>
          <w:szCs w:val="22"/>
        </w:rPr>
        <w:fldChar w:fldCharType="begin" w:fldLock="1"/>
      </w:r>
      <w:r w:rsidR="00382AAA">
        <w:rPr>
          <w:color w:val="000000"/>
          <w:sz w:val="22"/>
          <w:szCs w:val="22"/>
        </w:rPr>
        <w:instrText>ADDIN CSL_CITATION {"citationItems":[{"id":"ITEM-1","itemData":{"DOI":"10.1016/j.rse.2011.01.025","ISSN":"00344257","abstract":"Conservation of biodiversity requires information at many spatial scales in order to detect and preserve habitat for many species, often simultaneously. Vegetation structure information is particularly important for avian habitat models and has largely been unavailable for large areas at the desired resolution. Airborne LiDAR, with its combination of relatively broad coverage and fine resolution provides existing new opportunities to map vegetation structure and hence avian habitat. Our goal was to model the richness of forest songbirds using forest structure information obtained from LiDAR data. In deciduous forests of southern Wisconsin, USA, we used discrete-return airborne LiDAR to derive forest structure metrics related to the height and density of vegetation returns, as well as composite variables that captured major forest structural elements. We conducted point counts to determine total forest songbird richness and the richness of foraging, nesting, and forest edge-related habitat guilds. A suite of 35 LiDAR variables were used to model bird species richness using best-subsets regression and we used hierarchical partitioning analysis to quantify the explanatory power of each variable in the multivariate models. Songbird species richness was correlated most strongly with LiDAR variables related to canopy and midstory height and midstory density (R2=0.204, p&lt;0.001). Richness of species that nest in the midstory was best explained by canopy height variables (R2=0.197, p&lt;0.001). Species that forage on the ground responded to mean canopy height and the height of the lower canopy (R2=0.149, p&lt;0.005) while aerial foragers had higher richness where the canopy was tall and dense and the midstory more sparse (R2=0.216, p&lt;0.001). Richness of edge-preferring species was greater where there were fewer vegetation returns but higher density in the understory (R2=0.153, p&lt;0.005). Forest interior specialists responded positively to a tall canopy, developed midstory, and a higher proportion of vegetation returns (R2=0.195, p&lt;0.001). LiDAR forest structure metrics explained between 15 and 20% of the variability in richness within deciduous forest songbird communities. This variability was associated with vertical structure alone and shows how LiDAR can provide a source of complementary predictive data that can be incorporated in models of wildlife habitat associations across broad geographical extents. © 2011 Elsevier Inc.","author":[{"dropping-particle":"","family":"Lesak","given":"Adrian A.","non-dropping-particle":"","parse-names":false,"suffix":""},{"dropping-particle":"","family":"Radeloff","given":"Volker C.","non-dropping-particle":"","parse-names":false,"suffix":""},{"dropping-particle":"","family":"Hawbaker","given":"Todd J.","non-dropping-particle":"","parse-names":false,"suffix":""},{"dropping-particle":"","family":"Pidgeon","given":"Anna M.","non-dropping-particle":"","parse-names":false,"suffix":""},{"dropping-particle":"","family":"Gobakken","given":"Terje","non-dropping-particle":"","parse-names":false,"suffix":""},{"dropping-particle":"","family":"Contrucci","given":"Kirk","non-dropping-particle":"","parse-names":false,"suffix":""}],"container-title":"Remote Sensing of Environment","id":"ITEM-1","issue":"11","issued":{"date-parts":[["2011","11","15"]]},"page":"2823-2835","title":"Modeling forest songbird species richness using LiDAR-derived measures of forest structure","type":"article-journal","volume":"115"},"uris":["http://www.mendeley.com/documents/?uuid=7ae9faef-b248-3d7f-a54a-4f685e0c9e89"]},{"id":"ITEM-2","itemData":{"DOI":"10.1016/j.rse.2014.02.006","ISSN":"00344257","abstract":"Using remotely-sensed metrics to identify regions containing high animal diversity and/or specific animal species or guilds can help prioritize forest management and conservation objectives across actively managed landscapes. We predicted avian species richness in two mixed conifer forests, Moscow Mountain and Slate Creek, containing different management contexts and located in north-central Idaho. We utilized general linear models and an AIC model selection approach to examine the relative importance of a wide range of remotely-sensed ecological variables, including LiDAR-derived metrics of vertical and horizontal structural heterogeneities of both vegetation and terrain, and Landsat-derived vegetation reflectance indices. We also examined the relative importance of these remotely sensed variables in predicting nesting guild distributions of ground/understory nesters, mid-upper canopy nesters, and cavity nesters. All top models were statistically significant, with adjusted R2s ranging from 0.05 to 0.42. Regardless of study area, the density of the understory was positively associated with total species richness and the ground/understory nesting guild. However, the relative importance of ecological predictors generally differed between the study areas and among the nesting guilds. For example, for mid-upper canopy nester richness, the best predictors at Moscow Mountain included height variability and canopy density whereas at Slate Creek they included slope, elevation, patch diversity and height variability. Topographic variables were not found to influence species richness at Moscow Mountain but were strong predictors of avian species richness at the higher elevation Slate Creek, where species richness decreased with increasing slope and elevation. A variance in responses between focal areas suggests that we expand such studies to determine the relative importance of different factors in determining species richness. It is also important to note that managers using predictive maps should realize that models from one region may not adequately represent communities in other areas. © 2014 Elsevier Inc.","author":[{"dropping-particle":"","family":"Vogeler","given":"Jody C.","non-dropping-particle":"","parse-names":false,"suffix":""},{"dropping-particle":"","family":"Hudak","given":"Andrew T.","non-dropping-particle":"","parse-names":false,"suffix":""},{"dropping-particle":"","family":"Vierling","given":"Lee A.","non-dropping-particle":"","parse-names":false,"suffix":""},{"dropping-particle":"","family":"Evans","given":"Jeffrey","non-dropping-particle":"","parse-names":false,"suffix":""},{"dropping-particle":"","family":"Green","given":"Patricia","non-dropping-particle":"","parse-names":false,"suffix":""},{"dropping-particle":"","family":"Vierling","given":"Kerri T.","non-dropping-particle":"","parse-names":false,"suffix":""}],"container-title":"Remote Sensing of Environment","id":"ITEM-2","issued":{"date-parts":[["2014"]]},"page":"13-22","publisher":"Elsevier Inc.","title":"Terrain and vegetation structural influences on local avian species richness in two mixed-conifer forests","type":"article-journal","volume":"147"},"uris":["http://www.mendeley.com/documents/?uuid=e2ad87a8-78f9-4d6f-a7fe-f52f030d3f46"]}],"mendeley":{"formattedCitation":"(Lesak et al. 2011, Vogeler et al. 2014)","plainTextFormattedCitation":"(Lesak et al. 2011, Vogeler et al. 2014)","previouslyFormattedCitation":"(Lesak et al. 2011, Vogeler et al. 2014)"},"properties":{"noteIndex":0},"schema":"https://github.com/citation-style-language/schema/raw/master/csl-citation.json"}</w:instrText>
      </w:r>
      <w:r w:rsidR="00382AAA">
        <w:rPr>
          <w:color w:val="000000"/>
          <w:sz w:val="22"/>
          <w:szCs w:val="22"/>
        </w:rPr>
        <w:fldChar w:fldCharType="separate"/>
      </w:r>
      <w:r w:rsidR="00382AAA" w:rsidRPr="00382AAA">
        <w:rPr>
          <w:noProof/>
          <w:color w:val="000000"/>
          <w:sz w:val="22"/>
          <w:szCs w:val="22"/>
        </w:rPr>
        <w:t>(Lesak et al. 2011, Vogeler et al. 2014)</w:t>
      </w:r>
      <w:r w:rsidR="00382AAA">
        <w:rPr>
          <w:color w:val="000000"/>
          <w:sz w:val="22"/>
          <w:szCs w:val="22"/>
        </w:rPr>
        <w:fldChar w:fldCharType="end"/>
      </w:r>
      <w:r w:rsidR="00382AAA">
        <w:rPr>
          <w:color w:val="000000"/>
          <w:sz w:val="22"/>
          <w:szCs w:val="22"/>
        </w:rPr>
        <w:t xml:space="preserve">, </w:t>
      </w:r>
      <w:r>
        <w:rPr>
          <w:color w:val="000000"/>
          <w:sz w:val="22"/>
          <w:szCs w:val="22"/>
        </w:rPr>
        <w:t>others find 3D habitat configuration to be</w:t>
      </w:r>
      <w:r>
        <w:rPr>
          <w:sz w:val="22"/>
          <w:szCs w:val="22"/>
        </w:rPr>
        <w:t xml:space="preserve"> a more important driver of bird richness</w:t>
      </w:r>
      <w:r>
        <w:rPr>
          <w:color w:val="000000"/>
          <w:sz w:val="22"/>
          <w:szCs w:val="22"/>
        </w:rPr>
        <w:t>, with both positive</w:t>
      </w:r>
      <w:r w:rsidR="00382AAA">
        <w:rPr>
          <w:color w:val="000000"/>
          <w:sz w:val="22"/>
          <w:szCs w:val="22"/>
        </w:rPr>
        <w:t xml:space="preserve"> </w:t>
      </w:r>
      <w:r w:rsidR="00382AAA">
        <w:rPr>
          <w:color w:val="000000"/>
          <w:sz w:val="22"/>
          <w:szCs w:val="22"/>
        </w:rPr>
        <w:fldChar w:fldCharType="begin" w:fldLock="1"/>
      </w:r>
      <w:r w:rsidR="00382AAA">
        <w:rPr>
          <w:color w:val="000000"/>
          <w:sz w:val="22"/>
          <w:szCs w:val="22"/>
        </w:rPr>
        <w:instrText>ADDIN CSL_CITATION {"citationItems":[{"id":"ITEM-1","itemData":{"DOI":"10.1016/j.rse.2006.11.016","ISSN":"00344257","abstract":"Habitat heterogeneity has long been recognized as a fundamental variable indicative of species diversity, in terms of both richness and abundance. Satellite remote sensing data sets can be useful for quantifying habitat heterogeneity across a range of spatial scales. Past remote sensing analyses of species diversity have largely been limited to correlative studies based on the use of vegetation indices or derived land cover maps. A relatively new form of laser remote sensing (lidar) provides another means to acquire information on habitat heterogeneity. Here we examine the efficacy of lidar metrics of canopy structural diversity as predictors of bird species richness in the temperate forests of Maryland, USA. Canopy height, topography and the vertical distribution of canopy elements were derived from lidar imagery of the Patuxent National Wildlife Refuge and compared to bird survey data collected at referenced grid locations. The canopy vertical distribution information was consistently found to be the strongest predictor of species richness, and this was predicted best when stratified into guilds dominated by forest, scrub, suburban and wetland species. Similar lidar variables were selected as primary predictors across guilds. Generalized linear and additive models, as well as binary hierarchical regression trees produced similar results. The lidar metrics were also consistently better predictors than traditional remotely sensed variables such as canopy cover, indicating that lidar provides a valuable resource for biodiversity research applications. © 2006 Elsevier Inc. All rights reserved.","author":[{"dropping-particle":"","family":"Goetz","given":"Scott","non-dropping-particle":"","parse-names":false,"suffix":""},{"dropping-particle":"","family":"Steinberg","given":"Daniel","non-dropping-particle":"","parse-names":false,"suffix":""},{"dropping-particle":"","family":"Dubayah","given":"Ralph","non-dropping-particle":"","parse-names":false,"suffix":""},{"dropping-particle":"","family":"Blair","given":"Bryan","non-dropping-particle":"","parse-names":false,"suffix":""}],"container-title":"Remote Sensing of Environment","id":"ITEM-1","issue":"3","issued":{"date-parts":[["2007"]]},"page":"254-263","title":"Laser remote sensing of canopy habitat heterogeneity as a predictor of bird species richness in an eastern temperate forest, USA","type":"article-journal","volume":"108"},"uris":["http://www.mendeley.com/documents/?uuid=12b7af8e-3670-401d-9dc7-20d18797c67c"]}],"mendeley":{"formattedCitation":"(Goetz et al. 2007)","plainTextFormattedCitation":"(Goetz et al. 2007)","previouslyFormattedCitation":"(Goetz et al. 2007)"},"properties":{"noteIndex":0},"schema":"https://github.com/citation-style-language/schema/raw/master/csl-citation.json"}</w:instrText>
      </w:r>
      <w:r w:rsidR="00382AAA">
        <w:rPr>
          <w:color w:val="000000"/>
          <w:sz w:val="22"/>
          <w:szCs w:val="22"/>
        </w:rPr>
        <w:fldChar w:fldCharType="separate"/>
      </w:r>
      <w:r w:rsidR="00382AAA" w:rsidRPr="00382AAA">
        <w:rPr>
          <w:noProof/>
          <w:color w:val="000000"/>
          <w:sz w:val="22"/>
          <w:szCs w:val="22"/>
        </w:rPr>
        <w:t>(Goetz et al. 2007)</w:t>
      </w:r>
      <w:r w:rsidR="00382AAA">
        <w:rPr>
          <w:color w:val="000000"/>
          <w:sz w:val="22"/>
          <w:szCs w:val="22"/>
        </w:rPr>
        <w:fldChar w:fldCharType="end"/>
      </w:r>
      <w:r>
        <w:rPr>
          <w:color w:val="000000"/>
          <w:sz w:val="22"/>
          <w:szCs w:val="22"/>
        </w:rPr>
        <w:t xml:space="preserve"> and negative</w:t>
      </w:r>
      <w:r w:rsidR="00382AAA">
        <w:rPr>
          <w:color w:val="000000"/>
          <w:sz w:val="22"/>
          <w:szCs w:val="22"/>
        </w:rPr>
        <w:t xml:space="preserve"> </w:t>
      </w:r>
      <w:r w:rsidR="00382AAA">
        <w:rPr>
          <w:color w:val="000000"/>
          <w:sz w:val="22"/>
          <w:szCs w:val="22"/>
        </w:rPr>
        <w:fldChar w:fldCharType="begin" w:fldLock="1"/>
      </w:r>
      <w:r w:rsidR="00B554D3">
        <w:rPr>
          <w:color w:val="000000"/>
          <w:sz w:val="22"/>
          <w:szCs w:val="22"/>
        </w:rPr>
        <w:instrText>ADDIN CSL_CITATION {"citationItems":[{"id":"ITEM-1","itemData":{"DOI":"10.3390/rs11070743","ISSN":"20724292","abstract":"The structural heterogeneity of vegetation is a key factor for explaining animal diversitypatterns at a local scale. Improvements in airborne light detection and ranging (lidar) technologieshave enabled researchers to study forest 3D structure with increasing accuracy. Most structure-animaldiversity work has focused on structural metrics derived from lidar returns from canopy andterrain features. Here, we built new lidar structural metrics based on the Leaf Area Density (LAD)at each vegetation height layer, and used these metrics to study how different aspects of foreststructural heterogeneity explain variation in bird species richness. Our goals were to test: (1) whetherLAD-based metrics better explained bird species richness compared to metrics based on the topof the canopy; and (2) if different aspects of structural heterogeneity had diverse effects on birdrichness. We used discrete lidar data together with 61 breeding landbird points provided by theNational Ecological Observatory Network at five forest sites of the eastern US. We used the lidarmetrics as predictors of bird species richness and analyzed the shape of the response curves againsteach predictor. Metrics based on LAD measurements had better explanatory power (43% of varianceexplained) than those based on the variation of canopy heights (32% of variance explained). Dividingthe forest plots into smaller grids allowed us to study the within-plot horizontal variation of thevertical heterogeneity, as well as to analyze how the vegetation density is horizontally distributedat each height layer. Bird species richness increased with horizontal heterogeneity, while verticalheterogeneity had negative effects, contrary to previous research. The increasing capabilities of lidarwill allow researchers to characterize forest structure with higher detail. Our findings highlight theneed for structure-animal diversity studies to incorporate metrics that are able to capture differentaspects of forest 3D heterogeneity.","author":[{"dropping-particle":"","family":"Carrasco","given":"Luis","non-dropping-particle":"","parse-names":false,"suffix":""},{"dropping-particle":"","family":"Giam","given":"Xingli","non-dropping-particle":"","parse-names":false,"suffix":""},{"dropping-particle":"","family":"Papȩs","given":"Monica","non-dropping-particle":"","parse-names":false,"suffix":""},{"dropping-particle":"","family":"Sheldon","given":"Kimberly S.","non-dropping-particle":"","parse-names":false,"suffix":""}],"container-title":"Remote Sensing","id":"ITEM-1","issue":"7","issued":{"date-parts":[["2019","4","1"]]},"page":"743","publisher":"MDPI AG","title":"Metrics of lidar-derived 3D vegetation structure reveal contrasting effects of horizontal and vertical forest heterogeneity on bird species richness","type":"article-journal","volume":"11"},"uris":["http://www.mendeley.com/documents/?uuid=b6192533-7e0d-34bc-9853-dde877daf3b2"]}],"mendeley":{"formattedCitation":"(Carrasco et al. 2019)","plainTextFormattedCitation":"(Carrasco et al. 2019)","previouslyFormattedCitation":"(Carrasco et al. 2019)"},"properties":{"noteIndex":0},"schema":"https://github.com/citation-style-language/schema/raw/master/csl-citation.json"}</w:instrText>
      </w:r>
      <w:r w:rsidR="00382AAA">
        <w:rPr>
          <w:color w:val="000000"/>
          <w:sz w:val="22"/>
          <w:szCs w:val="22"/>
        </w:rPr>
        <w:fldChar w:fldCharType="separate"/>
      </w:r>
      <w:r w:rsidR="00382AAA" w:rsidRPr="00382AAA">
        <w:rPr>
          <w:noProof/>
          <w:color w:val="000000"/>
          <w:sz w:val="22"/>
          <w:szCs w:val="22"/>
        </w:rPr>
        <w:t>(Carrasco et al. 2019)</w:t>
      </w:r>
      <w:r w:rsidR="00382AAA">
        <w:rPr>
          <w:color w:val="000000"/>
          <w:sz w:val="22"/>
          <w:szCs w:val="22"/>
        </w:rPr>
        <w:fldChar w:fldCharType="end"/>
      </w:r>
      <w:r>
        <w:rPr>
          <w:color w:val="000000"/>
          <w:sz w:val="22"/>
          <w:szCs w:val="22"/>
        </w:rPr>
        <w:t xml:space="preserve"> effects reported. These inconsistencies suggest that our understanding of the effects of 3D habitat structure on avian diversity is incomplete, ultimately hampering any attempts to elucidate the mechanisms underlying vegetation structure-biodiversity associations.</w:t>
      </w:r>
    </w:p>
    <w:p w14:paraId="00000027" w14:textId="62682DDF" w:rsidR="006B16C2" w:rsidRDefault="00EB0728">
      <w:pPr>
        <w:spacing w:line="480" w:lineRule="auto"/>
        <w:ind w:firstLine="720"/>
        <w:rPr>
          <w:color w:val="000000"/>
          <w:sz w:val="22"/>
          <w:szCs w:val="22"/>
        </w:rPr>
      </w:pPr>
      <w:r>
        <w:rPr>
          <w:sz w:val="22"/>
          <w:szCs w:val="22"/>
        </w:rPr>
        <w:t xml:space="preserve">Inconsistencies in the reported effects of 3D habitat structure on biodiversity may in part stem from the exclusion of relevant dimensions of biodiversity from studies of </w:t>
      </w:r>
      <w:r>
        <w:rPr>
          <w:color w:val="000000"/>
          <w:sz w:val="22"/>
          <w:szCs w:val="22"/>
        </w:rPr>
        <w:t xml:space="preserve">vegetation-biodiversity associations. For example, </w:t>
      </w:r>
      <w:r>
        <w:rPr>
          <w:sz w:val="22"/>
          <w:szCs w:val="22"/>
        </w:rPr>
        <w:t>while habitat composition consistently emerges as the primary predictor of avian diversity, the effects of 3D habitat configuration varies across different functional groups</w:t>
      </w:r>
      <w:r w:rsidR="008D33A0">
        <w:rPr>
          <w:sz w:val="22"/>
          <w:szCs w:val="22"/>
        </w:rPr>
        <w:t xml:space="preserve"> </w:t>
      </w:r>
      <w:r w:rsidR="008D33A0">
        <w:rPr>
          <w:sz w:val="22"/>
          <w:szCs w:val="22"/>
        </w:rPr>
        <w:fldChar w:fldCharType="begin" w:fldLock="1"/>
      </w:r>
      <w:r w:rsidR="008D33A0">
        <w:rPr>
          <w:sz w:val="22"/>
          <w:szCs w:val="22"/>
        </w:rPr>
        <w:instrText>ADDIN CSL_CITATION {"citationItems":[{"id":"ITEM-1","itemData":{"DOI":"10.1111/1365-2656.13945","ISSN":"13652656","PMID":"37269186","abstract":"Classic ecological research into the determinants of biodiversity patterns emphasised the important role of three-dimensional (3D) vegetation heterogeneity. Yet, measuring vegetation structure across large areas has historically been difficult. A growing focus on large-scale research questions has caused local vegetation heterogeneity to be overlooked compared with more readily accessible habitat metrics from, for example, land cover maps. Using newly available 3D vegetation data, we investigated the relative importance of habitat and vegetation heterogeneity for explaining patterns of bird species richness and composition across Denmark (42,394 km2). We used standardised, repeated point counts of birds conducted by volunteers across Denmark alongside metrics of habitat availability from land-cover maps and vegetation structure from rasterised LiDAR data (10 m resolution). We used random forest models to relate species richness to environmental features and considered trait-specific responses by grouping species by nesting behaviour, habitat preference and primary lifestyle. Finally, we evaluated the role of habitat and vegetation heterogeneity metrics in explaining local bird assemblage composition. Overall, vegetation structure was equally as important as habitat availability for explaining bird richness patterns. However, we did not find a consistent positive relationship between species richness and habitat or vegetation heterogeneity; instead, functional groups displayed individual responses to habitat features. Meanwhile, habitat availability had the strongest correlation with the patterns of bird assemblage composition. Our results show how LiDAR and land cover data complement one another to provide insights into different facets of biodiversity patterns and demonstrate the potential of combining remote sensing and structured citizen science programmes for biodiversity research. With the growing coverage of LiDAR surveys, we are witnessing a revolution of highly detailed 3D data that will allow us to integrate vegetation heterogeneity into studies at large spatial extents and advance our understanding of species' physical niches.","author":[{"dropping-particle":"","family":"Davison","given":"Charles W.","non-dropping-particle":"","parse-names":false,"suffix":""},{"dropping-particle":"","family":"Assmann","given":"Jakob J.","non-dropping-particle":"","parse-names":false,"suffix":""},{"dropping-particle":"","family":"Normand","given":"Signe","non-dropping-particle":"","parse-names":false,"suffix":""},{"dropping-particle":"","family":"Rahbek","given":"Carsten","non-dropping-particle":"","parse-names":false,"suffix":""},{"dropping-particle":"","family":"Morueta-Holme","given":"Naia","non-dropping-particle":"","parse-names":false,"suffix":""}],"container-title":"Journal of Animal Ecology","id":"ITEM-1","issue":"7","issued":{"date-parts":[["2023"]]},"page":"1332-1344","title":"Vegetation structure from LiDAR explains the local richness of birds across Denmark","type":"article-journal","volume":"92"},"uris":["http://www.mendeley.com/documents/?uuid=33e85b6b-f692-48f0-8c57-ef6fffb61098"]}],"mendeley":{"formattedCitation":"(Davison et al. 2023)","plainTextFormattedCitation":"(Davison et al. 2023)","previouslyFormattedCitation":"(Davison et al. 2023)"},"properties":{"noteIndex":0},"schema":"https://github.com/citation-style-language/schema/raw/master/csl-citation.json"}</w:instrText>
      </w:r>
      <w:r w:rsidR="008D33A0">
        <w:rPr>
          <w:sz w:val="22"/>
          <w:szCs w:val="22"/>
        </w:rPr>
        <w:fldChar w:fldCharType="separate"/>
      </w:r>
      <w:r w:rsidR="008D33A0" w:rsidRPr="008D33A0">
        <w:rPr>
          <w:noProof/>
          <w:sz w:val="22"/>
          <w:szCs w:val="22"/>
        </w:rPr>
        <w:t>(Davison et al. 2023)</w:t>
      </w:r>
      <w:r w:rsidR="008D33A0">
        <w:rPr>
          <w:sz w:val="22"/>
          <w:szCs w:val="22"/>
        </w:rPr>
        <w:fldChar w:fldCharType="end"/>
      </w:r>
      <w:r>
        <w:rPr>
          <w:sz w:val="22"/>
          <w:szCs w:val="22"/>
        </w:rPr>
        <w:t xml:space="preserve">. </w:t>
      </w:r>
      <w:r>
        <w:rPr>
          <w:color w:val="000000"/>
          <w:sz w:val="22"/>
          <w:szCs w:val="22"/>
        </w:rPr>
        <w:t>This</w:t>
      </w:r>
      <w:r w:rsidR="00906145">
        <w:rPr>
          <w:color w:val="000000"/>
          <w:sz w:val="22"/>
          <w:szCs w:val="22"/>
        </w:rPr>
        <w:t xml:space="preserve"> pattern</w:t>
      </w:r>
      <w:r>
        <w:rPr>
          <w:color w:val="000000"/>
          <w:sz w:val="22"/>
          <w:szCs w:val="22"/>
        </w:rPr>
        <w:t xml:space="preserve"> suggest</w:t>
      </w:r>
      <w:r>
        <w:rPr>
          <w:sz w:val="22"/>
          <w:szCs w:val="22"/>
        </w:rPr>
        <w:t>s that t</w:t>
      </w:r>
      <w:r>
        <w:rPr>
          <w:color w:val="000000"/>
          <w:sz w:val="22"/>
          <w:szCs w:val="22"/>
        </w:rPr>
        <w:t xml:space="preserve">he link between habitat structure and biodiversity is likely mediated by species traits </w:t>
      </w:r>
      <w:r w:rsidR="008D33A0">
        <w:rPr>
          <w:color w:val="000000"/>
          <w:sz w:val="22"/>
          <w:szCs w:val="22"/>
        </w:rPr>
        <w:fldChar w:fldCharType="begin" w:fldLock="1"/>
      </w:r>
      <w:r w:rsidR="008D33A0">
        <w:rPr>
          <w:color w:val="000000"/>
          <w:sz w:val="22"/>
          <w:szCs w:val="22"/>
        </w:rPr>
        <w:instrText>ADDIN CSL_CITATION {"citationItems":[{"id":"ITEM-1","itemData":{"DOI":"10.1111/ddi.12837","ISSN":"14724642","abstract":"Aim: The hypothesis that habitat fragmentation negatively influences biodiversity stems from island biogeography and metapopulation theory which predict negative impacts of decreasing patch size on richness and distribution patterns. Empirical support of this idea is weak in terrestrial systems, though tests of fragmentation effects are typically confounded with landscape composition and potentially obscured by imperfect detection. Here, we used multispecies occupancy models and a mensurative experimental design to test competing hypotheses about how forest fragmentation influences distributions of breeding forest bird species and communities. Location: Southern Indiana, USA. Methods: During the breeding seasons of 2011–2013, we recorded over 80,000 bird detections in 202 forest fragments using a sampling design that isolated the effects of patch size per se from the effects of forest amount within a 2 km radius, edge distance, local vegetation and sampling area. We modelled the effects of these covariates on distributions of individual species categorized by ecological trait groups (i.e., forest, forest interior or forest edge), and evaluated how forest loss and fragmentation impact species richness. Results: Though our results indicated little effect of patch size on total species richness, decreasing patch size had a negative effect on interior species, and a positive effect on edge species. The effects of total forest amount were much more variable, and surprisingly had a negative influence on many species, particularly cavity nesters. Main conclusions: Our results do not support theoretical predictions that forest patch size should positively influence bird species richness. However, composition of bird communities shifted towards edge species from interior species with decreasing patch size. Maintaining large forest patches is thus critical for supporting forest interior species, which tend to be of the greatest conservation concern.","author":[{"dropping-particle":"","family":"Valente","given":"Jonathon J.","non-dropping-particle":"","parse-names":false,"suffix":""},{"dropping-particle":"","family":"Betts","given":"Matthew G.","non-dropping-particle":"","parse-names":false,"suffix":""}],"container-title":"Diversity and Distributions","id":"ITEM-1","issue":"1","issued":{"date-parts":[["2019"]]},"page":"48-60","title":"Response to fragmentation by avian communities is mediated by species traits","type":"article-journal","volume":"25"},"uris":["http://www.mendeley.com/documents/?uuid=2169d619-81bb-48dd-bbd4-430dee1082b6"]},{"id":"ITEM-2","itemData":{"DOI":"10.1007/s10531-023-02682-z","ISBN":"0123456789","ISSN":"15729710","abstract":"The fragmentation of tropical forests remains a major driver of avian biodiversity loss, particularly for insectivores, yet the mechanisms underlying area sensitivity remain poorly understood. Studies in lowland systems suggest that loss of food resources, changes to light microenvironments, increased nest predation, and dispersal limitation are possible mechanisms, but these are untested for montane tropical bird communities. In this study, we related avian functional traits to area sensitivity (quantified using beta estimates from a multi-species occupancy model) to test the above four hypotheses for a cloud forest bird community (both resident species and just resident insectivores) in the Colombian Western Andes. We found that species with more specialized diets and those that use the canopy and subcanopy (loss of food hypothesis), larger relative eye sizes (light microhabitat hypothesis), and larger clutch sizes (nest predation hypothesis) were significantly more area sensitive. By contrast, there was no support for the dispersal limitation hypothesis; instead, we found that insectivores with more pointed wing shapes, and more aerial lifestyles, were significantly more fragmentation sensitive. These results suggest that reduced vegetation structure, loss of late-successional plant species, and loss of epiphytic plants may reduce food availability in fragments. Similarly, the ability to tolerate higher light intensity near fragment edges, or when traversing matrix habitat, may be important for persistence in fragments and suggests that habitat configuration may be of special importance in fragmented Andean landscapes. Overall, a lack of information on foraging, movement, and breeding ecology complicates avian conservation in the Andes.","author":[{"dropping-particle":"","family":"Jones","given":"Harrison H.","non-dropping-particle":"","parse-names":false,"suffix":""},{"dropping-particle":"","family":"Bedoya-Durán","given":"María Juliana","non-dropping-particle":"","parse-names":false,"suffix":""},{"dropping-particle":"","family":"Colorado Z","given":"Gabriel J.","non-dropping-particle":"","parse-names":false,"suffix":""},{"dropping-particle":"","family":"Londoño","given":"Gustavo","non-dropping-particle":"","parse-names":false,"suffix":""},{"dropping-particle":"","family":"Robinson","given":"Scott K.","non-dropping-particle":"","parse-names":false,"suffix":""}],"container-title":"Biodiversity and Conservation","id":"ITEM-2","issue":"12","issued":{"date-parts":[["2023"]]},"page":"4057-4081","publisher":"Springer Netherlands","title":"Dietary and habitat specialization, eye size, clutch size, and aerial lifestyle predict avian fragmentation sensitivity in an Andean biodiversity hotpot","type":"article-journal","volume":"32"},"uris":["http://www.mendeley.com/documents/?uuid=99e28642-a5db-4fc1-9dc2-01d3e3f5e1ae"]}],"mendeley":{"formattedCitation":"(Valente and Betts 2019, Jones et al. 2023)","plainTextFormattedCitation":"(Valente and Betts 2019, Jones et al. 2023)","previouslyFormattedCitation":"(Valente and Betts 2019, Jones et al. 2023)"},"properties":{"noteIndex":0},"schema":"https://github.com/citation-style-language/schema/raw/master/csl-citation.json"}</w:instrText>
      </w:r>
      <w:r w:rsidR="008D33A0">
        <w:rPr>
          <w:color w:val="000000"/>
          <w:sz w:val="22"/>
          <w:szCs w:val="22"/>
        </w:rPr>
        <w:fldChar w:fldCharType="separate"/>
      </w:r>
      <w:r w:rsidR="008D33A0" w:rsidRPr="008D33A0">
        <w:rPr>
          <w:noProof/>
          <w:color w:val="000000"/>
          <w:sz w:val="22"/>
          <w:szCs w:val="22"/>
        </w:rPr>
        <w:t>(Valente and Betts 2019, Jones et al. 2023)</w:t>
      </w:r>
      <w:r w:rsidR="008D33A0">
        <w:rPr>
          <w:color w:val="000000"/>
          <w:sz w:val="22"/>
          <w:szCs w:val="22"/>
        </w:rPr>
        <w:fldChar w:fldCharType="end"/>
      </w:r>
      <w:r>
        <w:rPr>
          <w:color w:val="000000"/>
          <w:sz w:val="22"/>
          <w:szCs w:val="22"/>
        </w:rPr>
        <w:t xml:space="preserve">, </w:t>
      </w:r>
      <w:r>
        <w:rPr>
          <w:sz w:val="22"/>
          <w:szCs w:val="22"/>
        </w:rPr>
        <w:t xml:space="preserve">which is further supported by </w:t>
      </w:r>
      <w:r>
        <w:rPr>
          <w:color w:val="000000"/>
          <w:sz w:val="22"/>
          <w:szCs w:val="22"/>
        </w:rPr>
        <w:t xml:space="preserve">the documented associations between habitat heterogeneity and traits such as foraging stratum, diet, body mass, beak shape, and hand-wing index (HWI) </w:t>
      </w:r>
      <w:r w:rsidR="008D33A0">
        <w:rPr>
          <w:color w:val="000000"/>
          <w:sz w:val="22"/>
          <w:szCs w:val="22"/>
        </w:rPr>
        <w:fldChar w:fldCharType="begin" w:fldLock="1"/>
      </w:r>
      <w:r w:rsidR="00D95EB8">
        <w:rPr>
          <w:color w:val="000000"/>
          <w:sz w:val="22"/>
          <w:szCs w:val="22"/>
        </w:rPr>
        <w:instrText>ADDIN CSL_CITATION {"citationItems":[{"id":"ITEM-1","itemData":{"DOI":"10.1016/j.actao.2014.06.002","ISSN":"1146609X","abstract":"Ecological niche theory implies that more heterogeneous habitats have the potential to support greater biodiversity. Positive heterogeneity-diversity relationships have been found for most studies investigating animal taxa, although negative relationships also occur and the scale dependence of heterogeneity-diversity relationships is little known. We investigated multi-scale, heterogeneity-diversity relationships for bird communities in a semi-arid riparian landscape, using airborne LiDAR data to derive key measures of structural habitat complexity. Habitat heterogeneity-diversity relationships were generally positive, although the overall strength of relationships varied across avian life history guilds (R2 range: 0.03-0.41). Best predicted were the species richness indices of cavity nesters, habitat generalists, woodland specialists, and foliage foragers. Heterogeneity-diversity relationships were also strongly scale-dependent, with strongest associations at the 200-m scale (4ha) and weakest associations at the 50-m scale (0.25ha). Our results underscore the value of LiDAR data for fine-grained quantification of habitat structure, as well as the need for biodiversity studies to incorporate variation among life-history guilds and to simultaneously consider multiple guild functional types (e.g. nesting, foraging, habitat). Results suggest that certain life-history guilds (foliage foragers, cavity nesters, woodland specialists) are more susceptible than others (ground foragers, ground nesters, low nesters) to experiencing declines in local species richness if functional elements of habitat heterogeneity are lost. Positive heterogeneity-diversity relationships imply that riparian conservation efforts need to not only provide high-quality riparian habitat locally, but also to provide habitat heterogeneity across multiple scales. © 2014 Elsevier Masson SAS.","author":[{"dropping-particle":"","family":"Weisberg","given":"Peter J.","non-dropping-particle":"","parse-names":false,"suffix":""},{"dropping-particle":"","family":"Dilts","given":"Thomas E.","non-dropping-particle":"","parse-names":false,"suffix":""},{"dropping-particle":"","family":"Becker","given":"Miles E.","non-dropping-particle":"","parse-names":false,"suffix":""},{"dropping-particle":"","family":"Young","given":"Jock S.","non-dropping-particle":"","parse-names":false,"suffix":""},{"dropping-particle":"","family":"Wong-Kone","given":"Diane C.","non-dropping-particle":"","parse-names":false,"suffix":""},{"dropping-particle":"","family":"Newton","given":"Wesley E.","non-dropping-particle":"","parse-names":false,"suffix":""},{"dropping-particle":"","family":"Ammon","given":"Elisabeth M.","non-dropping-particle":"","parse-names":false,"suffix":""}],"container-title":"Acta Oecologica","id":"ITEM-1","issued":{"date-parts":[["2014"]]},"page":"72-83","publisher":"Elsevier Masson SAS","title":"Guild-specific responses of avian species richness to LiDAR-derived habitat heterogeneity","type":"article-journal","volume":"59"},"uris":["http://www.mendeley.com/documents/?uuid=cfebeaa8-7815-4cff-ba1e-cb72a166d373"]},{"id":"ITEM-2","itemData":{"DOI":"10.1007/s00442-014-3134-0","ISSN":"14321939","PMID":"25376157","abstract":"Fine-scale vegetation cover is a common variable used to explain animal occurrence, but we know less about the effects of fine-scale vegetation heterogeneity. Theoretically, fine-scale vegetation heterogeneity is an important driver of biodiversity because it captures the range of resources available in a given area. In this study we investigated how bird species richness and birds grouped by various ecological traits responded to vegetation cover and heterogeneity. We found that both fine-scale vegetation cover (of tall trees, medium-sized trees and shrubs) and heterogeneity (of tall trees, and shrubs) were important predictors of bird richness, but the direction of the response of bird richness to shrub heterogeneity differed between sites with different proportions of tall tree cover. For example, bird richness increased with shrub heterogeneity in sites with high levels of tall tree cover, but declined in sites with low levels of tall tree cover. Our findings indicated that an increase in vegetation heterogeneity will not always result in an increase in resources and niches, and associated higher species richness. We also found birds grouped by traits responded in a predictable way to vegetation heterogeneity. For example, we found small birds benefited from increased shrub heterogeneity supporting the textual discontinuity hypothesis and non-arboreal (ground or shrub) nesting species were associated with high vegetation cover (low heterogeneity). Our results indicated that focusing solely on increasing vegetation cover (e.g. through restoration) may be detrimental to particular animal groups. Findings from this investigation can help guide habitat management for different functional groups of birds.","author":[{"dropping-particle":"","family":"Stirnemann","given":"Ingrid A.","non-dropping-particle":"","parse-names":false,"suffix":""},{"dropping-particle":"","family":"Ikin","given":"Karen","non-dropping-particle":"","parse-names":false,"suffix":""},{"dropping-particle":"","family":"Gibbons","given":"Philip","non-dropping-particle":"","parse-names":false,"suffix":""},{"dropping-particle":"","family":"Blanchard","given":"Wade","non-dropping-particle":"","parse-names":false,"suffix":""},{"dropping-particle":"","family":"Lindenmayer","given":"David B.","non-dropping-particle":"","parse-names":false,"suffix":""}],"container-title":"Oecologia","id":"ITEM-2","issue":"3","issued":{"date-parts":[["2015"]]},"page":"733-746","title":"Measuring habitat heterogeneity reveals new insights into bird community composition","type":"article-journal","volume":"177"},"uris":["http://www.mendeley.com/documents/?uuid=aa7dd618-8705-4486-b5bd-70a64a01c5c4"]},{"id":"ITEM-3","itemData":{"DOI":"10.1111/btp.13201","ISSN":"17447429","abstract":"Secondary forest has the potential to act as an important habitat for biodiversity and restoring ecological benefits. Functional diversity, which includes morphological and behavioral traits that mediate species interactions with the surrounding environment, relates to the resilience of ecosystems. To assess the relationship between habitat structural differences in primary and secondary forest and the resultant differences in functional diversity of avian species, we followed 11 mixed-species flocks at the Biological Dynamics of Forest Fragments Project, near Manaus, Brazil. We used remote sensing LiDAR to assess which three-dimensional forest structural features are most closely associated with variation in species richness and functional diversity in secondary and primary tropical forest flocks. The species richness of flocks in primary forest increased in areas with higher elevation and higher leaf area density in the understory and subcanopy but was not correlated with habitat structure in secondary forest. Functional diversity increased at lower elevations and with a denser subcanopy in both primary forest and secondary forest but only increased with greater understory leaf area density in primary forest. Together, these results indicate that a dense subcanopy and understory can be important for mixed-species flocks and that flock richness and functional diversity can be predicted by vegetation structure. Abstract in Portuguese is available with online material.","author":[{"dropping-particle":"","family":"Coddington","given":"Charles P.J.","non-dropping-particle":"","parse-names":false,"suffix":""},{"dropping-particle":"","family":"Cooper","given":"W. Justin","non-dropping-particle":"","parse-names":false,"suffix":""},{"dropping-particle":"","family":"Mokross","given":"Karl","non-dropping-particle":"","parse-names":false,"suffix":""},{"dropping-particle":"","family":"Luther","given":"David A.","non-dropping-particle":"","parse-names":false,"suffix":""}],"container-title":"Biotropica","id":"ITEM-3","issued":{"date-parts":[["2023"]]},"page":"1-13","publisher":"John Wiley and Sons Inc","title":"Forest structure predicts species richness and functional diversity in Amazonian mixed-species bird flocks","type":"article-journal","volume":"00"},"uris":["http://www.mendeley.com/documents/?uuid=fb2745c7-b87a-339a-b5a4-cbef478141d7"]}],"mendeley":{"formattedCitation":"(Weisberg et al. 2014, Stirnemann et al. 2015, Coddington et al. 2023)","plainTextFormattedCitation":"(Weisberg et al. 2014, Stirnemann et al. 2015, Coddington et al. 2023)","previouslyFormattedCitation":"(Weisberg et al. 2014, Stirnemann et al. 2015, Coddington et al. 2023)"},"properties":{"noteIndex":0},"schema":"https://github.com/citation-style-language/schema/raw/master/csl-citation.json"}</w:instrText>
      </w:r>
      <w:r w:rsidR="008D33A0">
        <w:rPr>
          <w:color w:val="000000"/>
          <w:sz w:val="22"/>
          <w:szCs w:val="22"/>
        </w:rPr>
        <w:fldChar w:fldCharType="separate"/>
      </w:r>
      <w:r w:rsidR="008D33A0" w:rsidRPr="008D33A0">
        <w:rPr>
          <w:noProof/>
          <w:color w:val="000000"/>
          <w:sz w:val="22"/>
          <w:szCs w:val="22"/>
        </w:rPr>
        <w:t>(Weisberg et al. 2014, Stirnemann et al. 2015, Coddington et al. 2023)</w:t>
      </w:r>
      <w:r w:rsidR="008D33A0">
        <w:rPr>
          <w:color w:val="000000"/>
          <w:sz w:val="22"/>
          <w:szCs w:val="22"/>
        </w:rPr>
        <w:fldChar w:fldCharType="end"/>
      </w:r>
      <w:r>
        <w:rPr>
          <w:color w:val="000000"/>
          <w:sz w:val="22"/>
          <w:szCs w:val="22"/>
        </w:rPr>
        <w:t xml:space="preserve">. 3D habitat structure might thus directly influence trait composition of an assemblage. Biodiversity measures such as functional diversity (FD) </w:t>
      </w:r>
      <w:r>
        <w:rPr>
          <w:sz w:val="22"/>
          <w:szCs w:val="22"/>
        </w:rPr>
        <w:t>measure</w:t>
      </w:r>
      <w:r>
        <w:rPr>
          <w:color w:val="000000"/>
          <w:sz w:val="22"/>
          <w:szCs w:val="22"/>
        </w:rPr>
        <w:t xml:space="preserve"> the range of functional trait values </w:t>
      </w:r>
      <w:r>
        <w:rPr>
          <w:color w:val="000000"/>
          <w:sz w:val="22"/>
          <w:szCs w:val="22"/>
        </w:rPr>
        <w:lastRenderedPageBreak/>
        <w:t xml:space="preserve">within a community </w:t>
      </w:r>
      <w:r w:rsidR="008D33A0">
        <w:rPr>
          <w:color w:val="000000"/>
          <w:sz w:val="22"/>
          <w:szCs w:val="22"/>
        </w:rPr>
        <w:fldChar w:fldCharType="begin" w:fldLock="1"/>
      </w:r>
      <w:r w:rsidR="002010D1">
        <w:rPr>
          <w:color w:val="000000"/>
          <w:sz w:val="22"/>
          <w:szCs w:val="22"/>
        </w:rPr>
        <w:instrText>ADDIN CSL_CITATION {"citationItems":[{"id":"ITEM-1","itemData":{"DOI":"10.1046/j.1461-0248.2002.00339.x","ISSN":"1461023X","abstract":"Functional diversity is an important component of biodiversity, yet in comparison to taxonomic diversity, methods of quantifying functional diversity are less well developed. Here, we propose a means for quantifying functional diversity that may be particularly useful for determining how functional diversity is related to ecosystem functioning. This measure of functional diversity \"FD\" is defined as the total branch length of a functional dendrogram. Various characteristics of FD make it preferable to other measures of functional diversity, such as the number of functional groups in a community. Simulating species' trait values illustrates how the relative importance of richness and composition for FD depends on the effective dimensionality of the trait space in which species separate. Fewer dimensions increase the importance of community composition and functional redundancy. More dimensions increase the importance of species richness and decreases functional redundancy. Clumping of species in trait space increases the relative importance of community composition. Five natural communities show remarkably similar relationships between FD and species richness.","author":[{"dropping-particle":"","family":"Petchey","given":"Owen L.","non-dropping-particle":"","parse-names":false,"suffix":""},{"dropping-particle":"","family":"Gaston","given":"Kevin J.","non-dropping-particle":"","parse-names":false,"suffix":""}],"container-title":"Ecology Letters","id":"ITEM-1","issue":"3","issued":{"date-parts":[["2002"]]},"page":"402-411","title":"Functional diversity (FD), species richness and community composition","type":"article-journal","volume":"5"},"uris":["http://www.mendeley.com/documents/?uuid=c9611db7-7c93-4b3c-ac83-cd16be2c9873"]}],"mendeley":{"formattedCitation":"(Petchey and Gaston 2002)","plainTextFormattedCitation":"(Petchey and Gaston 2002)","previouslyFormattedCitation":"(Petchey and Gaston 2002)"},"properties":{"noteIndex":0},"schema":"https://github.com/citation-style-language/schema/raw/master/csl-citation.json"}</w:instrText>
      </w:r>
      <w:r w:rsidR="008D33A0">
        <w:rPr>
          <w:color w:val="000000"/>
          <w:sz w:val="22"/>
          <w:szCs w:val="22"/>
        </w:rPr>
        <w:fldChar w:fldCharType="separate"/>
      </w:r>
      <w:r w:rsidR="008D33A0" w:rsidRPr="008D33A0">
        <w:rPr>
          <w:noProof/>
          <w:color w:val="000000"/>
          <w:sz w:val="22"/>
          <w:szCs w:val="22"/>
        </w:rPr>
        <w:t>(Petchey and Gaston 2002)</w:t>
      </w:r>
      <w:r w:rsidR="008D33A0">
        <w:rPr>
          <w:color w:val="000000"/>
          <w:sz w:val="22"/>
          <w:szCs w:val="22"/>
        </w:rPr>
        <w:fldChar w:fldCharType="end"/>
      </w:r>
      <w:r>
        <w:rPr>
          <w:color w:val="000000"/>
          <w:sz w:val="22"/>
          <w:szCs w:val="22"/>
        </w:rPr>
        <w:t xml:space="preserve">, and might thus exhibit stronger correlations with habitat structure than trait-agnostic measures like </w:t>
      </w:r>
      <w:r>
        <w:rPr>
          <w:sz w:val="22"/>
          <w:szCs w:val="22"/>
        </w:rPr>
        <w:t>species richness</w:t>
      </w:r>
      <w:r>
        <w:rPr>
          <w:color w:val="000000"/>
          <w:sz w:val="22"/>
          <w:szCs w:val="22"/>
        </w:rPr>
        <w:t xml:space="preserve">. Likewise, phylogenetic diversity (PD), i.e., the diversity of evolutionary histories within an assemblage, has also been shown to correlate with some measures of habitat structure </w:t>
      </w:r>
      <w:r w:rsidR="002010D1">
        <w:rPr>
          <w:color w:val="000000"/>
          <w:sz w:val="22"/>
          <w:szCs w:val="22"/>
        </w:rPr>
        <w:fldChar w:fldCharType="begin" w:fldLock="1"/>
      </w:r>
      <w:r w:rsidR="002010D1">
        <w:rPr>
          <w:color w:val="000000"/>
          <w:sz w:val="22"/>
          <w:szCs w:val="22"/>
        </w:rPr>
        <w:instrText>ADDIN CSL_CITATION {"citationItems":[{"id":"ITEM-1","itemData":{"DOI":"10.1002/ece3.9024","ISSN":"20457758","abstract":"Varied strategies to alleviate the loss of farmland biodiversity have been tested, yet there is still insufficient evidence supporting their effectiveness, especially when considering phylogenetic and functional diversity alongside traditional taxonomic diversity metrics. This conservation challenge is accentuated in the Afrotropics by the rapid agricultural expansion and intensification for the production of cash crops and by a comparative lack of research. In this study, we assessed how farming practices influence avian phylogenetic and functional diversity. We conducted point-count surveys to assess avian diversity in monocultures of tea and mixed crop farming systems surrounding the Nyungwe rainforest in south-west Rwanda, allowing us to investigate the drivers of avian diversity at farm level. Species composition was found to be moderately different between farm types, with mixed crop farms supporting higher phylogenetic diversity than tea plantations. There were no significant seasonal differences in species composition, functional or phylogenetic diversity. Overall, functional diversity did not differ between farm types, but the dispersion of trophic-related traits was significantly higher in mixed crop farms. Both functional and phylogenetic diversity were influenced by floristic diversity, vegetation height, tree number, and elevation to varying degrees. Our results also (i) highlight the role of farmland heterogeneity (e.g., crop species composition, height, and tree cover extent) in encouraging avian functional and phylogenetic diversity in the Afrotropics and (ii) indicate that the generally negative biodiversity impacts of monoculture agriculture can be partially alleviated by extensive agroforestry with an emphasis on indigenous tree species.","author":[{"dropping-particle":"","family":"Rurangwa","given":"Marie Laure","non-dropping-particle":"","parse-names":false,"suffix":""},{"dropping-particle":"","family":"Niyigaba","given":"Protais","non-dropping-particle":"","parse-names":false,"suffix":""},{"dropping-particle":"","family":"Tobias","given":"Joseph A.","non-dropping-particle":"","parse-names":false,"suffix":""},{"dropping-particle":"","family":"Whittaker","given":"Robert J.","non-dropping-particle":"","parse-names":false,"suffix":""}],"container-title":"Ecology and Evolution","id":"ITEM-1","issue":"7","issued":{"date-parts":[["2022"]]},"page":"1-13","title":"Functional and phylogenetic diversity of an agricultural matrix avifauna: The role of habitat heterogeneity in Afrotropical farmland","type":"article-journal","volume":"12"},"uris":["http://www.mendeley.com/documents/?uuid=9b634863-390d-4f72-a605-4d5e71a356f9"]}],"mendeley":{"formattedCitation":"(Rurangwa et al. 2022)","plainTextFormattedCitation":"(Rurangwa et al. 2022)","previouslyFormattedCitation":"(Rurangwa et al. 2022)"},"properties":{"noteIndex":0},"schema":"https://github.com/citation-style-language/schema/raw/master/csl-citation.json"}</w:instrText>
      </w:r>
      <w:r w:rsidR="002010D1">
        <w:rPr>
          <w:color w:val="000000"/>
          <w:sz w:val="22"/>
          <w:szCs w:val="22"/>
        </w:rPr>
        <w:fldChar w:fldCharType="separate"/>
      </w:r>
      <w:r w:rsidR="002010D1" w:rsidRPr="002010D1">
        <w:rPr>
          <w:noProof/>
          <w:color w:val="000000"/>
          <w:sz w:val="22"/>
          <w:szCs w:val="22"/>
        </w:rPr>
        <w:t>(Rurangwa et al. 2022)</w:t>
      </w:r>
      <w:r w:rsidR="002010D1">
        <w:rPr>
          <w:color w:val="000000"/>
          <w:sz w:val="22"/>
          <w:szCs w:val="22"/>
        </w:rPr>
        <w:fldChar w:fldCharType="end"/>
      </w:r>
      <w:r>
        <w:rPr>
          <w:sz w:val="22"/>
          <w:szCs w:val="22"/>
        </w:rPr>
        <w:t xml:space="preserve">, possibly reflecting a degree of </w:t>
      </w:r>
      <w:r>
        <w:rPr>
          <w:color w:val="000000"/>
          <w:sz w:val="22"/>
          <w:szCs w:val="22"/>
        </w:rPr>
        <w:t xml:space="preserve">phylogenetic conservatism for traits relevant to habitat structure (but </w:t>
      </w:r>
      <w:r w:rsidRPr="00C273E2">
        <w:rPr>
          <w:color w:val="000000"/>
          <w:sz w:val="22"/>
          <w:szCs w:val="22"/>
        </w:rPr>
        <w:t xml:space="preserve">see </w:t>
      </w:r>
      <w:r w:rsidR="002010D1" w:rsidRPr="00C273E2">
        <w:rPr>
          <w:color w:val="000000"/>
          <w:sz w:val="22"/>
          <w:szCs w:val="22"/>
        </w:rPr>
        <w:fldChar w:fldCharType="begin" w:fldLock="1"/>
      </w:r>
      <w:r w:rsidR="00C273E2">
        <w:rPr>
          <w:color w:val="000000"/>
          <w:sz w:val="22"/>
          <w:szCs w:val="22"/>
        </w:rPr>
        <w:instrText>ADDIN CSL_CITATION {"citationItems":[{"id":"ITEM-1","itemData":{"DOI":"10.1111/1365-2745.14171","ISSN":"13652745","abstract":"Ecological differences between coexisting species within plant communities can be assessed by considering functional and phylogenetic dissimilarities either separately or in a complementary way. Here, we studied (a) the potential overlap between functional (FD) and phylogenetic diversities (PD) and (b) their combined and unique roles in explaining community assembly patterns across different temperate vegetation types and across functional traits representing multiple dimensions of plant strategy (plant size, leaf, floral and reproductive, clonal and bud bank traits). We tested the strength of the PD–FD relationship within and across vegetation types and functional traits (Pearson correlations) and tested whether it depended on the strength of the phylogenetic signal (Pagel's lambda and Blomberg's K). We tested deviations from random expectations in FD and ‘decoupled FD’ (i.e. functional dissimilarity after accounting for the effect of phylogenetic distances between species) to reveal the importance of ecological differences for community assembly. PD–FD correlations were predominantly significant but rarely strong, and largely depended on the studied functional trait and vegetation type. Phylogenetic signals were partially but inconsistently related to the overlap between FD and PD. Community assembly patterns tended to shift from under-dispersion (FD lower than random expectations) towards over-dispersion (FD higher than random expectations) when functional distances were decoupled from phylogenetic distances indicating that species within the same clade were dissimilar to each other regarding their traits. However, we found the opposite pattern as well, mainly for floral and below-ground traits, which indicated functional differentiation across clades. Synthesis. Decoupling functional and phylogenetic differences between species might provide further information on plant community assembly: showing cases where the strongest ecological differentiation between coexisting species occurs between phylogenetically related species rather than between phylogenetically unrelated ones.","author":[{"dropping-particle":"","family":"E-Vojtkó","given":"Anna","non-dropping-particle":"","parse-names":false,"suffix":""},{"dropping-particle":"","family":"Bello","given":"Francesco","non-dropping-particle":"de","parse-names":false,"suffix":""},{"dropping-particle":"","family":"Lososová","given":"Zdeňka","non-dropping-particle":"","parse-names":false,"suffix":""},{"dropping-particle":"","family":"Götzenberger","given":"Lars","non-dropping-particle":"","parse-names":false,"suffix":""}],"container-title":"Journal of Ecology","id":"ITEM-1","issue":"March","issued":{"date-parts":[["2023"]]},"page":"2218-2230","title":"Phylogenetic diversity is a weak proxy for functional diversity but they are complementary in explaining community assembly patterns in temperate vegetation","type":"article-journal"},"uris":["http://www.mendeley.com/documents/?uuid=1b97d177-230d-49cc-8845-03e90779a049"]}],"mendeley":{"formattedCitation":"(E-Vojtkó et al. 2023)","manualFormatting":"E-Vojtkó et al. 2023)","plainTextFormattedCitation":"(E-Vojtkó et al. 2023)","previouslyFormattedCitation":"(E-Vojtkó et al. 2023)"},"properties":{"noteIndex":0},"schema":"https://github.com/citation-style-language/schema/raw/master/csl-citation.json"}</w:instrText>
      </w:r>
      <w:r w:rsidR="002010D1" w:rsidRPr="00C273E2">
        <w:rPr>
          <w:color w:val="000000"/>
          <w:sz w:val="22"/>
          <w:szCs w:val="22"/>
        </w:rPr>
        <w:fldChar w:fldCharType="separate"/>
      </w:r>
      <w:r w:rsidR="002010D1" w:rsidRPr="00C273E2">
        <w:rPr>
          <w:noProof/>
          <w:color w:val="000000"/>
          <w:sz w:val="22"/>
          <w:szCs w:val="22"/>
        </w:rPr>
        <w:t>E-Vojtkó et al. 2023)</w:t>
      </w:r>
      <w:r w:rsidR="002010D1" w:rsidRPr="00C273E2">
        <w:rPr>
          <w:color w:val="000000"/>
          <w:sz w:val="22"/>
          <w:szCs w:val="22"/>
        </w:rPr>
        <w:fldChar w:fldCharType="end"/>
      </w:r>
      <w:r w:rsidRPr="00C273E2">
        <w:rPr>
          <w:color w:val="000000"/>
          <w:sz w:val="22"/>
          <w:szCs w:val="22"/>
        </w:rPr>
        <w:t>.</w:t>
      </w:r>
      <w:r>
        <w:rPr>
          <w:color w:val="000000"/>
          <w:sz w:val="22"/>
          <w:szCs w:val="22"/>
        </w:rPr>
        <w:t xml:space="preserve"> More research is needed, however, to understand the relationship between avian PD and 3D habitat structure.</w:t>
      </w:r>
    </w:p>
    <w:p w14:paraId="00000028" w14:textId="57649690" w:rsidR="006B16C2" w:rsidRDefault="00EB0728">
      <w:pPr>
        <w:spacing w:line="480" w:lineRule="auto"/>
        <w:rPr>
          <w:sz w:val="22"/>
          <w:szCs w:val="22"/>
          <w:highlight w:val="white"/>
        </w:rPr>
      </w:pPr>
      <w:r>
        <w:rPr>
          <w:color w:val="000000"/>
          <w:sz w:val="22"/>
          <w:szCs w:val="22"/>
        </w:rPr>
        <w:tab/>
        <w:t xml:space="preserve">Here, we leverage high-resolution Light Detecting and Ranging (LiDAR) </w:t>
      </w:r>
      <w:r w:rsidR="002010D1">
        <w:rPr>
          <w:color w:val="000000"/>
          <w:sz w:val="22"/>
          <w:szCs w:val="22"/>
        </w:rPr>
        <w:fldChar w:fldCharType="begin" w:fldLock="1"/>
      </w:r>
      <w:r w:rsidR="004E4AF5">
        <w:rPr>
          <w:color w:val="000000"/>
          <w:sz w:val="22"/>
          <w:szCs w:val="22"/>
        </w:rPr>
        <w:instrText>ADDIN CSL_CITATION {"citationItems":[{"id":"ITEM-1","itemData":{"DOI":"10.1029/2008JG000883","ISSN":"01480227","abstract":"Biodiversity and habitat face increasing pressures due to human and natural influences that alter vegetation structure. Because of the inherent difficulty of measuring forested. vegetation three-dimensional (3-D) structure on the ground, this important component of biodiversity and habitat has been, until recently, largely restricted to local measurements, or at larger scales to generalizations. New lidar and radar remote sensing instruments such as those proposed for spaceborne missions will provide the capability to fill this gap. This paper reviews the state of the art for incorporatinginformation on vegetation 3-D structure into biodiversity and habitat science and management approaches, with emphasis on use of lidar and radar data. First we review relationships between vegetation 3-D structure, biodiversity and habitat, and metrics commonly used to describe those relationships. Next, we review the technical capabilities of new lidar and radar sensors and their application to biodiversity and habitat studies to date. We then define variables that have been identified as both useful and feasible to retrieve from spaceborne lidar and radar observations and provide their accuracy and precision requirements. We conclude with a brief discussion of implications for spaceborne missions and research programs. The possibility to derive vegetation 3-D measurements from spaceborne active sensors and to integrate them into science and management comes at a critical juncture for global biodiversity conservation and opens new possibilities for advanced scientific analysis of habitat and biodiversity. Copyright 2009 by the American Geophysical Union.","author":[{"dropping-particle":"","family":"Bergen","given":"K. M.","non-dropping-particle":"","parse-names":false,"suffix":""},{"dropping-particle":"","family":"Goetz","given":"S. J.","non-dropping-particle":"","parse-names":false,"suffix":""},{"dropping-particle":"","family":"Dubayah","given":"R. O.","non-dropping-particle":"","parse-names":false,"suffix":""},{"dropping-particle":"","family":"Henebry","given":"G. M.","non-dropping-particle":"","parse-names":false,"suffix":""},{"dropping-particle":"","family":"Hunsaker","given":"C. T.","non-dropping-particle":"","parse-names":false,"suffix":""},{"dropping-particle":"","family":"Imhoff","given":"M. L.","non-dropping-particle":"","parse-names":false,"suffix":""},{"dropping-particle":"","family":"Nelson","given":"R. F.","non-dropping-particle":"","parse-names":false,"suffix":""},{"dropping-particle":"","family":"Parker","given":"G. G.","non-dropping-particle":"","parse-names":false,"suffix":""},{"dropping-particle":"","family":"Radeloff","given":"V. C.","non-dropping-particle":"","parse-names":false,"suffix":""}],"container-title":"Journal of Geophysical Research: Biogeosciences","id":"ITEM-1","issue":"4","issued":{"date-parts":[["2009"]]},"page":"1-13","publisher":"Blackwell Publishing Ltd","title":"Remote sensing of vegetation 3-D structure for biodiversity and habitat: Review and implications for lidar and radar spaceborne missions","type":"article-journal","volume":"114"},"uris":["http://www.mendeley.com/documents/?uuid=7017a4c5-6201-3c71-a4b6-e5926a9146f7"]}],"mendeley":{"formattedCitation":"(Bergen et al. 2009)","plainTextFormattedCitation":"(Bergen et al. 2009)","previouslyFormattedCitation":"(Bergen et al. 2009)"},"properties":{"noteIndex":0},"schema":"https://github.com/citation-style-language/schema/raw/master/csl-citation.json"}</w:instrText>
      </w:r>
      <w:r w:rsidR="002010D1">
        <w:rPr>
          <w:color w:val="000000"/>
          <w:sz w:val="22"/>
          <w:szCs w:val="22"/>
        </w:rPr>
        <w:fldChar w:fldCharType="separate"/>
      </w:r>
      <w:r w:rsidR="002010D1" w:rsidRPr="002010D1">
        <w:rPr>
          <w:noProof/>
          <w:color w:val="000000"/>
          <w:sz w:val="22"/>
          <w:szCs w:val="22"/>
        </w:rPr>
        <w:t>(Bergen et al. 2009)</w:t>
      </w:r>
      <w:r w:rsidR="002010D1">
        <w:rPr>
          <w:color w:val="000000"/>
          <w:sz w:val="22"/>
          <w:szCs w:val="22"/>
        </w:rPr>
        <w:fldChar w:fldCharType="end"/>
      </w:r>
      <w:r w:rsidR="002010D1">
        <w:rPr>
          <w:color w:val="000000"/>
          <w:sz w:val="22"/>
          <w:szCs w:val="22"/>
        </w:rPr>
        <w:t xml:space="preserve"> </w:t>
      </w:r>
      <w:r>
        <w:rPr>
          <w:color w:val="000000"/>
          <w:sz w:val="22"/>
          <w:szCs w:val="22"/>
        </w:rPr>
        <w:t xml:space="preserve">and avian survey data from the </w:t>
      </w:r>
      <w:r>
        <w:rPr>
          <w:sz w:val="22"/>
          <w:szCs w:val="22"/>
        </w:rPr>
        <w:t>National Ecological Observatory Network (</w:t>
      </w:r>
      <w:r>
        <w:rPr>
          <w:color w:val="000000"/>
          <w:sz w:val="22"/>
          <w:szCs w:val="22"/>
        </w:rPr>
        <w:t xml:space="preserve">NEON) </w:t>
      </w:r>
      <w:r w:rsidR="00723921">
        <w:rPr>
          <w:color w:val="000000"/>
          <w:sz w:val="22"/>
          <w:szCs w:val="22"/>
        </w:rPr>
        <w:fldChar w:fldCharType="begin" w:fldLock="1"/>
      </w:r>
      <w:r w:rsidR="00C003F9">
        <w:rPr>
          <w:color w:val="000000"/>
          <w:sz w:val="22"/>
          <w:szCs w:val="22"/>
        </w:rPr>
        <w:instrText>ADDIN CSL_CITATION {"citationItems":[{"id":"ITEM-1","itemData":{"DOI":"10.1109/5992.774837","ISSN":"15219615","abstract":"The authors'clustering technique unambiguously locates, characterizes, and visualizes ecoregions and their borders. When coded with similarity colors, it can produce planar map views with sharpness contours that are visually rich in ecological information and represent integrated visualizations of complex and massive environmental data sets.","author":[{"dropping-particle":"","family":"Hargrove","given":"William W.","non-dropping-particle":"","parse-names":false,"suffix":""},{"dropping-particle":"","family":"Hoffman","given":"Forrest M.","non-dropping-particle":"","parse-names":false,"suffix":""}],"container-title":"Computing in Science and Engineering","id":"ITEM-1","issue":"4","issued":{"date-parts":[["1999"]]},"page":"18-25","title":"Using multivariate clustering to characterize ecoregion borders","type":"article-journal","volume":"1"},"uris":["http://www.mendeley.com/documents/?uuid=432b334b-6119-49fd-8e59-b1d65b8f7221"]}],"mendeley":{"formattedCitation":"(Hargrove and Hoffman 1999)","plainTextFormattedCitation":"(Hargrove and Hoffman 1999)","previouslyFormattedCitation":"(Hargrove and Hoffman 1999)"},"properties":{"noteIndex":0},"schema":"https://github.com/citation-style-language/schema/raw/master/csl-citation.json"}</w:instrText>
      </w:r>
      <w:r w:rsidR="00723921">
        <w:rPr>
          <w:color w:val="000000"/>
          <w:sz w:val="22"/>
          <w:szCs w:val="22"/>
        </w:rPr>
        <w:fldChar w:fldCharType="separate"/>
      </w:r>
      <w:r w:rsidR="00723921" w:rsidRPr="00723921">
        <w:rPr>
          <w:noProof/>
          <w:color w:val="000000"/>
          <w:sz w:val="22"/>
          <w:szCs w:val="22"/>
        </w:rPr>
        <w:t>(Hargrove and Hoffman 1999)</w:t>
      </w:r>
      <w:r w:rsidR="00723921">
        <w:rPr>
          <w:color w:val="000000"/>
          <w:sz w:val="22"/>
          <w:szCs w:val="22"/>
        </w:rPr>
        <w:fldChar w:fldCharType="end"/>
      </w:r>
      <w:r>
        <w:rPr>
          <w:color w:val="000000"/>
          <w:sz w:val="22"/>
          <w:szCs w:val="22"/>
        </w:rPr>
        <w:t xml:space="preserve">, paired with trait and phylogenetic information to investigate the associations of 3D habitat structure with avian </w:t>
      </w:r>
      <w:r>
        <w:rPr>
          <w:sz w:val="22"/>
          <w:szCs w:val="22"/>
        </w:rPr>
        <w:t>species richness</w:t>
      </w:r>
      <w:r>
        <w:rPr>
          <w:color w:val="000000"/>
          <w:sz w:val="22"/>
          <w:szCs w:val="22"/>
        </w:rPr>
        <w:t xml:space="preserve">, trait and functional diversity, and phylogenetic diversity across North America. </w:t>
      </w:r>
      <w:r>
        <w:rPr>
          <w:sz w:val="22"/>
          <w:szCs w:val="22"/>
          <w:highlight w:val="white"/>
        </w:rPr>
        <w:t xml:space="preserve">We test the effects of a comprehensive suite of measures of 3D habitat composition and 3D habitat configuration, allowing us to </w:t>
      </w:r>
      <w:r w:rsidR="00A56885">
        <w:rPr>
          <w:sz w:val="22"/>
          <w:szCs w:val="22"/>
          <w:highlight w:val="white"/>
        </w:rPr>
        <w:t xml:space="preserve">gain deeper insights into </w:t>
      </w:r>
      <w:r>
        <w:rPr>
          <w:sz w:val="22"/>
          <w:szCs w:val="22"/>
          <w:highlight w:val="white"/>
        </w:rPr>
        <w:t>the mechanisms of avian community assembly along vegetation gradients. We hypothesize that 3D habitat composition will show more consistent relationships with avian diversity across all diversity dimensions compared to 3D habitat configuration, owing to its association with available niche space. We also hypothesize that functional diversity and individual traits will respond more strongly to 3D habitat structure compared to either species richness or phylogenetic diversity.</w:t>
      </w:r>
    </w:p>
    <w:p w14:paraId="00000029" w14:textId="77777777" w:rsidR="006B16C2" w:rsidRDefault="006B16C2">
      <w:pPr>
        <w:spacing w:line="480" w:lineRule="auto"/>
        <w:rPr>
          <w:sz w:val="22"/>
          <w:szCs w:val="22"/>
        </w:rPr>
      </w:pPr>
    </w:p>
    <w:p w14:paraId="0000002A" w14:textId="77777777" w:rsidR="006B16C2" w:rsidRDefault="00EB0728">
      <w:pPr>
        <w:spacing w:line="480" w:lineRule="auto"/>
        <w:rPr>
          <w:sz w:val="22"/>
          <w:szCs w:val="22"/>
        </w:rPr>
      </w:pPr>
      <w:r>
        <w:rPr>
          <w:b/>
          <w:sz w:val="22"/>
          <w:szCs w:val="22"/>
        </w:rPr>
        <w:t>Methods</w:t>
      </w:r>
      <w:r>
        <w:rPr>
          <w:sz w:val="22"/>
          <w:szCs w:val="22"/>
        </w:rPr>
        <w:t>:</w:t>
      </w:r>
    </w:p>
    <w:p w14:paraId="0000002B" w14:textId="42E084B2" w:rsidR="006B16C2" w:rsidRDefault="00EB0728">
      <w:pPr>
        <w:spacing w:line="480" w:lineRule="auto"/>
        <w:rPr>
          <w:sz w:val="22"/>
          <w:szCs w:val="22"/>
        </w:rPr>
      </w:pPr>
      <w:r>
        <w:rPr>
          <w:sz w:val="22"/>
          <w:szCs w:val="22"/>
          <w:u w:val="single"/>
        </w:rPr>
        <w:t>Data</w:t>
      </w:r>
    </w:p>
    <w:p w14:paraId="0000002C" w14:textId="42396801" w:rsidR="006B16C2" w:rsidRDefault="00EB0728">
      <w:pPr>
        <w:spacing w:line="480" w:lineRule="auto"/>
        <w:ind w:firstLine="720"/>
        <w:rPr>
          <w:sz w:val="22"/>
          <w:szCs w:val="22"/>
        </w:rPr>
      </w:pPr>
      <w:r>
        <w:rPr>
          <w:i/>
          <w:sz w:val="22"/>
          <w:szCs w:val="22"/>
        </w:rPr>
        <w:t>Avian Plots.</w:t>
      </w:r>
      <w:r>
        <w:rPr>
          <w:sz w:val="22"/>
          <w:szCs w:val="22"/>
        </w:rPr>
        <w:t xml:space="preserve"> To conduct our study, we used National Ecological Observatory Network data from 2017, as it was the year with the greatest number of plots used for avian point counts available. </w:t>
      </w:r>
      <w:r>
        <w:rPr>
          <w:color w:val="000000"/>
          <w:sz w:val="22"/>
          <w:szCs w:val="22"/>
        </w:rPr>
        <w:t xml:space="preserve">NEON collects multiple point count surveys for breeding </w:t>
      </w:r>
      <w:proofErr w:type="spellStart"/>
      <w:r>
        <w:rPr>
          <w:color w:val="000000"/>
          <w:sz w:val="22"/>
          <w:szCs w:val="22"/>
        </w:rPr>
        <w:t>landbirds</w:t>
      </w:r>
      <w:proofErr w:type="spellEnd"/>
      <w:r>
        <w:rPr>
          <w:color w:val="000000"/>
          <w:sz w:val="22"/>
          <w:szCs w:val="22"/>
        </w:rPr>
        <w:t xml:space="preserve"> at each of its 47 terrestrial sites, with sites located across 20 North American ecological “Domains”. At each plot, </w:t>
      </w:r>
      <w:r>
        <w:rPr>
          <w:sz w:val="22"/>
          <w:szCs w:val="22"/>
        </w:rPr>
        <w:t xml:space="preserve">observers </w:t>
      </w:r>
      <w:r>
        <w:rPr>
          <w:color w:val="000000"/>
          <w:sz w:val="22"/>
          <w:szCs w:val="22"/>
        </w:rPr>
        <w:t xml:space="preserve">record the total number of birds seen or heard within a 6-minute time period, </w:t>
      </w:r>
      <w:r>
        <w:rPr>
          <w:sz w:val="22"/>
          <w:szCs w:val="22"/>
        </w:rPr>
        <w:t xml:space="preserve">making note of the distance to each individual bird and plot-level environmental metrics. Surveys are timed to coincide with the breeding season at each </w:t>
      </w:r>
      <w:r>
        <w:rPr>
          <w:sz w:val="22"/>
          <w:szCs w:val="22"/>
        </w:rPr>
        <w:lastRenderedPageBreak/>
        <w:t xml:space="preserve">NEON site, to best capture the abundance of resident breeding birds. </w:t>
      </w:r>
      <w:r>
        <w:rPr>
          <w:color w:val="000000"/>
          <w:sz w:val="22"/>
          <w:szCs w:val="22"/>
        </w:rPr>
        <w:t>Avian plots are usually arranged in a 3x3 grid, with each plot centroid being spaced 250m apart. At smaller sites, single plots are used in lieu of a grid</w:t>
      </w:r>
      <w:r>
        <w:rPr>
          <w:sz w:val="22"/>
          <w:szCs w:val="22"/>
        </w:rPr>
        <w:t xml:space="preserve"> </w:t>
      </w:r>
      <w:r w:rsidR="00C003F9">
        <w:rPr>
          <w:sz w:val="22"/>
          <w:szCs w:val="22"/>
        </w:rPr>
        <w:fldChar w:fldCharType="begin" w:fldLock="1"/>
      </w:r>
      <w:r w:rsidR="00EA17C4">
        <w:rPr>
          <w:sz w:val="22"/>
          <w:szCs w:val="22"/>
        </w:rPr>
        <w:instrText>ADDIN CSL_CITATION {"citationItems":[{"id":"ITEM-1","itemData":{"DOI":"10.1117/1.3361375","ISSN":"1931-3195","abstract":"The National Ecological Observatory Network (NEON) is an ecological observation platform for discovering, understanding and forecasting the impacts of climate change, land use change, and invasive species on continental-scale ecology. NEON will operate for 30 years and gather long-term data on ecological response changes and on feedbacks with the geosphere, hydrosphere, and atmosphere. Local ecological measurements at sites distributed within 20 ecoclimatic domains across the contiguous United States, Alaska, Hawaii, and Puerto Rico will be coordinated with high resolution, regional airborne remote sensing observations. The Airborne Observation Platform (AOP) is an aircraft platform carrying remote sensing instrumentation designed to achieve sub-meter to meter scale ground resolution, bridging scales from organisms and individual stands to satellite-based remote sensing. AOP instrumentation consists of a VIS/SWIR imaging spectrometer, a scanning small-footprint waveform LiDAR for 3-D canopy structure measurements and a high resolution airborne digital camera. AOP data will be openly available to scientists and will provide quantitative information on land use change and changes in ecological structure and chemistry including the presence and effects of invasive species. AOP science objectives, key mission requirements, and development status are presented including an overview of near-term risk-reduction and prototyping activities.","author":[{"dropping-particle":"","family":"Kampe","given":"Thomas U.","non-dropping-particle":"","parse-names":false,"suffix":""}],"container-title":"Journal of Applied Remote Sensing","id":"ITEM-1","issue":"1","issued":{"date-parts":[["2010","3","1"]]},"page":"043510","publisher":"SPIE-Intl Soc Optical Eng","title":"NEON: the first continental-scale ecological observatory with airborne remote sensing of vegetation canopy biochemistry and structure","type":"article-journal","volume":"4"},"uris":["http://www.mendeley.com/documents/?uuid=a2a134da-a77a-3338-8b89-eec90c1bce83"]},{"id":"ITEM-2","itemData":{"DOI":"10.1890/es12-00196.1","ISSN":"2150-8925","abstract":"Rapid changes in climate and land use and the resulting shifts in species distributions and ecosystem functions have motivated the development of the National Ecological Observatory Network (NEON). Integrating across spatial scales from ground sampling to remote sensing, NEON will provide data for users to address ecological responses to changes in climate, land use, and species invasion across the United States for at least 30 years. Although NEON remote sensing and tower sensor elements are relatively well known, the biological measurements are not. This manuscript describes NEON terrestrial sampling, which targets organisms across a range of generation and turnover times, and a hierarchy of measurable biological states. Measurements encompass species diversity, abundance, phenology, demography, infectious disease, ecohydrology, and biogeochemistry. The continental-scale sampling requires collection of comparable and calibrated data using transparent methods. Data will be publicly available in a variety of formats and suitable for integration with other long-term efforts. NEON will provide users with the data necessary to address large-scale questions, challenge current ecological paradigms, and forecast ecological change.","author":[{"dropping-particle":"","family":"Kao","given":"Rebecca Hufft","non-dropping-particle":"","parse-names":false,"suffix":""},{"dropping-particle":"","family":"Gibson","given":"Cara M.","non-dropping-particle":"","parse-names":false,"suffix":""},{"dropping-particle":"","family":"Gallery","given":"Rachel E.","non-dropping-particle":"","parse-names":false,"suffix":""},{"dropping-particle":"","family":"Meier","given":"Courtney L.","non-dropping-particle":"","parse-names":false,"suffix":""},{"dropping-particle":"","family":"Barnett","given":"David T.","non-dropping-particle":"","parse-names":false,"suffix":""},{"dropping-particle":"","family":"Docherty","given":"Kathryn M.","non-dropping-particle":"","parse-names":false,"suffix":""},{"dropping-particle":"","family":"Blevins","given":"Kali K.","non-dropping-particle":"","parse-names":false,"suffix":""},{"dropping-particle":"","family":"Travers","given":"Patrick D.","non-dropping-particle":"","parse-names":false,"suffix":""},{"dropping-particle":"","family":"Azuaje","given":"Elena","non-dropping-particle":"","parse-names":false,"suffix":""},{"dropping-particle":"","family":"Springer","given":"Yuri P.","non-dropping-particle":"","parse-names":false,"suffix":""},{"dropping-particle":"","family":"Thibault","given":"Katherine M.","non-dropping-particle":"","parse-names":false,"suffix":""},{"dropping-particle":"","family":"McKenzie","given":"Valerie J.","non-dropping-particle":"","parse-names":false,"suffix":""},{"dropping-particle":"","family":"Keller","given":"Michael","non-dropping-particle":"","parse-names":false,"suffix":""},{"dropping-particle":"","family":"Alves","given":"Luciana F.","non-dropping-particle":"","parse-names":false,"suffix":""},{"dropping-particle":"","family":"Hinckley","given":"Eve-Lyn S.","non-dropping-particle":"","parse-names":false,"suffix":""},{"dropping-particle":"","family":"Parnell","given":"Jacob","non-dropping-particle":"","parse-names":false,"suffix":""},{"dropping-particle":"","family":"Schimel","given":"David","non-dropping-particle":"","parse-names":false,"suffix":""}],"container-title":"Ecosphere","id":"ITEM-2","issue":"12","issued":{"date-parts":[["2012"]]},"page":"art115","title":"NEON terrestrial field observations: designing continental-scale, standardized sampling","type":"article-journal","volume":"3"},"uris":["http://www.mendeley.com/documents/?uuid=1cd9d0c7-ef71-47bd-bb23-567368c7772e"]},{"id":"ITEM-3","itemData":{"DOI":"10.1016/j.scitotenv.2020.137782","ISSN":"18791026","PMID":"32209235","abstract":"Climate change is a pervasive and growing global threat to biodiversity and ecosystems. Here, we present the most up-to-date assessment of climate change impacts on biodiversity, ecosystems, and ecosystem services in the U.S. and implications for natural resource management. We draw from the 4th National Climate Assessment to summarize observed and projected changes to ecosystems and biodiversity, explore linkages to important ecosystem services, and discuss associated challenges and opportunities for natural resource management. We find that species are responding to climate change through changes in morphology and behavior, phenology, and geographic range shifts, and these changes are mediated by plastic and evolutionary responses. Responses by species and populations, combined with direct effects of climate change on ecosystems (including more extreme events), are resulting in widespread changes in productivity, species interactions, vulnerability to biological invasions, and other emergent properties. Collectively, these impacts alter the benefits and services that natural ecosystems can provide to society. Although not all impacts are negative, even positive changes can require costly societal adjustments. Natural resource managers need proactive, flexible adaptation strategies that consider historical and future outlooks to minimize costs over the long term. Many organizations are beginning to explore these approaches, but implementation is not yet prevalent or systematic across the nation.","author":[{"dropping-particle":"","family":"Weiskopf","given":"Sarah R.","non-dropping-particle":"","parse-names":false,"suffix":""},{"dropping-particle":"","family":"Rubenstein","given":"Madeleine A.","non-dropping-particle":"","parse-names":false,"suffix":""},{"dropping-particle":"","family":"Crozier","given":"Lisa G.","non-dropping-particle":"","parse-names":false,"suffix":""},{"dropping-particle":"","family":"Gaichas","given":"Sarah","non-dropping-particle":"","parse-names":false,"suffix":""},{"dropping-particle":"","family":"Griffis","given":"Roger","non-dropping-particle":"","parse-names":false,"suffix":""},{"dropping-particle":"","family":"Halofsky","given":"Jessica E.","non-dropping-particle":"","parse-names":false,"suffix":""},{"dropping-particle":"","family":"Hyde","given":"Kimberly J.W.","non-dropping-particle":"","parse-names":false,"suffix":""},{"dropping-particle":"","family":"Morelli","given":"Toni Lyn","non-dropping-particle":"","parse-names":false,"suffix":""},{"dropping-particle":"","family":"Morisette","given":"Jeffrey T.","non-dropping-particle":"","parse-names":false,"suffix":""},{"dropping-particle":"","family":"Muñoz","given":"Roldan C.","non-dropping-particle":"","parse-names":false,"suffix":""},{"dropping-particle":"","family":"Pershing","given":"Andrew J.","non-dropping-particle":"","parse-names":false,"suffix":""},{"dropping-particle":"","family":"Peterson","given":"David L.","non-dropping-particle":"","parse-names":false,"suffix":""},{"dropping-particle":"","family":"Poudel","given":"Rajendra","non-dropping-particle":"","parse-names":false,"suffix":""},{"dropping-particle":"","family":"Staudinger","given":"Michelle D.","non-dropping-particle":"","parse-names":false,"suffix":""},{"dropping-particle":"","family":"Sutton-Grier","given":"Ariana E.","non-dropping-particle":"","parse-names":false,"suffix":""},{"dropping-particle":"","family":"Thompson","given":"Laura","non-dropping-particle":"","parse-names":false,"suffix":""},{"dropping-particle":"","family":"Vose","given":"James","non-dropping-particle":"","parse-names":false,"suffix":""},{"dropping-particle":"","family":"Weltzin","given":"Jake F.","non-dropping-particle":"","parse-names":false,"suffix":""},{"dropping-particle":"","family":"Whyte","given":"Kyle Powys","non-dropping-particle":"","parse-names":false,"suffix":""}],"container-title":"Science of the Total Environment","id":"ITEM-3","issued":{"date-parts":[["2020"]]},"page":"137782","title":"Climate change effects on biodiversity, ecosystems, ecosystem services, and natural resource management in the United States","type":"article-journal","volume":"733"},"uris":["http://www.mendeley.com/documents/?uuid=1e63bd50-1b7c-4ca8-b78a-52531af9006b"]}],"mendeley":{"formattedCitation":"(Kampe 2010, Kao et al. 2012, Weiskopf et al. 2020)","plainTextFormattedCitation":"(Kampe 2010, Kao et al. 2012, Weiskopf et al. 2020)","previouslyFormattedCitation":"(Kampe 2010, Kao et al. 2012, Weiskopf et al. 2020)"},"properties":{"noteIndex":0},"schema":"https://github.com/citation-style-language/schema/raw/master/csl-citation.json"}</w:instrText>
      </w:r>
      <w:r w:rsidR="00C003F9">
        <w:rPr>
          <w:sz w:val="22"/>
          <w:szCs w:val="22"/>
        </w:rPr>
        <w:fldChar w:fldCharType="separate"/>
      </w:r>
      <w:r w:rsidR="00C003F9" w:rsidRPr="00C003F9">
        <w:rPr>
          <w:noProof/>
          <w:sz w:val="22"/>
          <w:szCs w:val="22"/>
        </w:rPr>
        <w:t>(Kampe 2010, Kao et al. 2012, Weiskopf et al. 2020)</w:t>
      </w:r>
      <w:r w:rsidR="00C003F9">
        <w:rPr>
          <w:sz w:val="22"/>
          <w:szCs w:val="22"/>
        </w:rPr>
        <w:fldChar w:fldCharType="end"/>
      </w:r>
      <w:r>
        <w:rPr>
          <w:sz w:val="22"/>
          <w:szCs w:val="22"/>
        </w:rPr>
        <w:t>.</w:t>
      </w:r>
      <w:r>
        <w:rPr>
          <w:color w:val="000000"/>
          <w:sz w:val="22"/>
          <w:szCs w:val="22"/>
        </w:rPr>
        <w:t xml:space="preserve"> </w:t>
      </w:r>
      <w:r>
        <w:rPr>
          <w:sz w:val="22"/>
          <w:szCs w:val="22"/>
        </w:rPr>
        <w:t xml:space="preserve">To allow for both single plots and gridded plots to be used in the analysis, we retained only the central plot at NEON sites with grids and the first sample period at NEON sites with single plots. We further retained only those plots that overlapped with NEON </w:t>
      </w:r>
      <w:r>
        <w:rPr>
          <w:color w:val="000000"/>
          <w:sz w:val="22"/>
          <w:szCs w:val="22"/>
        </w:rPr>
        <w:t>Airborne Observation Platform (</w:t>
      </w:r>
      <w:r>
        <w:rPr>
          <w:sz w:val="22"/>
          <w:szCs w:val="22"/>
        </w:rPr>
        <w:t xml:space="preserve">AOP) LiDAR data (see below) collected in 2017. In total, we used </w:t>
      </w:r>
      <w:r>
        <w:rPr>
          <w:color w:val="000000"/>
          <w:sz w:val="22"/>
          <w:szCs w:val="22"/>
        </w:rPr>
        <w:t>385 avian plots from 38 NEON terrestrial sites across 17 of the 20 NEON Domains (Figure 1a), with vegetation ranging from scrubland to forest in terms of height</w:t>
      </w:r>
      <w:r>
        <w:rPr>
          <w:sz w:val="22"/>
          <w:szCs w:val="22"/>
        </w:rPr>
        <w:t>.</w:t>
      </w:r>
      <w:r>
        <w:rPr>
          <w:color w:val="000000"/>
          <w:sz w:val="22"/>
          <w:szCs w:val="22"/>
        </w:rPr>
        <w:t xml:space="preserve"> As avian sampling occurred during the daytime, we removed all nocturnal species from all avian plot counts, which resulted in a total of 260 species being included in the analysis.</w:t>
      </w:r>
    </w:p>
    <w:p w14:paraId="0000002D" w14:textId="4064168E" w:rsidR="006B16C2" w:rsidRDefault="00EB0728">
      <w:pPr>
        <w:spacing w:line="480" w:lineRule="auto"/>
        <w:ind w:firstLine="720"/>
        <w:rPr>
          <w:color w:val="000000"/>
          <w:sz w:val="22"/>
          <w:szCs w:val="22"/>
        </w:rPr>
      </w:pPr>
      <w:r>
        <w:rPr>
          <w:i/>
          <w:color w:val="000000"/>
          <w:sz w:val="22"/>
          <w:szCs w:val="22"/>
        </w:rPr>
        <w:t>Biodiversity data</w:t>
      </w:r>
      <w:r>
        <w:rPr>
          <w:color w:val="000000"/>
          <w:sz w:val="22"/>
          <w:szCs w:val="22"/>
        </w:rPr>
        <w:t xml:space="preserve">. To calculate FD and PD, we took advantage of a number of existing datasets. </w:t>
      </w:r>
      <w:r>
        <w:rPr>
          <w:sz w:val="22"/>
          <w:szCs w:val="22"/>
        </w:rPr>
        <w:t>We collected trait data from the AVONET</w:t>
      </w:r>
      <w:r w:rsidR="00C003F9">
        <w:rPr>
          <w:sz w:val="22"/>
          <w:szCs w:val="22"/>
        </w:rPr>
        <w:t xml:space="preserve"> </w:t>
      </w:r>
      <w:r w:rsidR="00C003F9">
        <w:rPr>
          <w:sz w:val="22"/>
          <w:szCs w:val="22"/>
        </w:rPr>
        <w:fldChar w:fldCharType="begin" w:fldLock="1"/>
      </w:r>
      <w:r w:rsidR="00C003F9">
        <w:rPr>
          <w:sz w:val="22"/>
          <w:szCs w:val="22"/>
        </w:rPr>
        <w:instrText>ADDIN CSL_CITATION {"citationItems":[{"id":"ITEM-1","itemData":{"DOI":"10.1111/ele.13898","author":[{"dropping-particle":"","family":"Tobias","given":"J.A.","non-dropping-particle":"","parse-names":false,"suffix":""},{"dropping-particle":"","family":"Sheard","given":"C.","non-dropping-particle":"","parse-names":false,"suffix":""},{"dropping-particle":"","family":"Pigot","given":"A.L.","non-dropping-particle":"","parse-names":false,"suffix":""},{"dropping-particle":"","family":"Devenish","given":"A.J.M.","non-dropping-particle":"","parse-names":false,"suffix":""},{"dropping-particle":"","family":"Yang","given":"J.","non-dropping-particle":"","parse-names":false,"suffix":""},{"dropping-particle":"","family":"Neate-Clegg","given":"M.H.C.","non-dropping-particle":"","parse-names":false,"suffix":""},{"dropping-particle":"","family":"Alioravainen","given":"N.","non-dropping-particle":"","parse-names":false,"suffix":""},{"dropping-particle":"","family":"Weeks","given":"T.L.","non-dropping-particle":"","parse-names":false,"suffix":""},{"dropping-particle":"","family":"Barber","given":"R.A.","non-dropping-particle":"","parse-names":false,"suffix":""},{"dropping-particle":"","family":"Walkden","given":"P.A.","non-dropping-particle":"","parse-names":false,"suffix":""},{"dropping-particle":"","family":"MacGregor","given":"H.E.A.","non-dropping-particle":"","parse-names":false,"suffix":""},{"dropping-particle":"","family":"Jones","given":"S.E.I.","non-dropping-particle":"","parse-names":false,"suffix":""},{"dropping-particle":"","family":"Vincent","given":"C.","non-dropping-particle":"","parse-names":false,"suffix":""},{"dropping-particle":"","family":"Phillips","given":"A.G.","non-dropping-particle":"","parse-names":false,"suffix":""},{"dropping-particle":"","family":"Marples","given":"N.M.","non-dropping-particle":"","parse-names":false,"suffix":""},{"dropping-particle":"","family":"Montaño-Centellas","given":"F.","non-dropping-particle":"","parse-names":false,"suffix":""},{"dropping-particle":"","family":"Leandro-Silva","given":"V.","non-dropping-particle":"","parse-names":false,"suffix":""},{"dropping-particle":"","family":"Claramunt","given":"S.","non-dropping-particle":"","parse-names":false,"suffix":""},{"dropping-particle":"","family":"Darski","given":"B.","non-dropping-particle":"","parse-names":false,"suffix":""},{"dropping-particle":"","family":"Freeman","given":"B.G.","non-dropping-particle":"","parse-names":false,"suffix":""},{"dropping-particle":"","family":"Bregman","given":"T.P.","non-dropping-particle":"","parse-names":false,"suffix":""},{"dropping-particle":"","family":"Cooney","given":"C.R.","non-dropping-particle":"","parse-names":false,"suffix":""},{"dropping-particle":"","family":"Hughes","given":"E.C.","non-dropping-particle":"","parse-names":false,"suffix":""},{"dropping-particle":"","family":"Capp","given":"E.J.R.","non-dropping-particle":"","parse-names":false,"suffix":""},{"dropping-particle":"","family":"Varley","given":"Z.K.","non-dropping-particle":"","parse-names":false,"suffix":""},{"dropping-particle":"","family":"Friedman","given":"N.R.","non-dropping-particle":"","parse-names":false,"suffix":""},{"dropping-particle":"","family":"Korntheuer","given":"H.","non-dropping-particle":"","parse-names":false,"suffix":""},{"dropping-particle":"","family":"Corrales-Vargas","given":"A.","non-dropping-particle":"","parse-names":false,"suffix":""},{"dropping-particle":"","family":"Trisos","given":"C.H.","non-dropping-particle":"","parse-names":false,"suffix":""},{"dropping-particle":"","family":"Weeks","given":"B.C.","non-dropping-particle":"","parse-names":false,"suffix":""},{"dropping-particle":"","family":"Hanz","given":"D.M.","non-dropping-particle":"","parse-names":false,"suffix":""},{"dropping-particle":"","family":".....","given":"","non-dropping-particle":"","parse-names":false,"suffix":""},{"dropping-particle":"","family":"Schleunning","given":"M.","non-dropping-particle":"","parse-names":false,"suffix":""}],"container-title":"Ecology Letters","id":"ITEM-1","issue":"April 2021","issued":{"date-parts":[["2022"]]},"page":"1-17","title":"AVONET: morphological, ecological and geographical data for all birds","type":"article-journal"},"uris":["http://www.mendeley.com/documents/?uuid=4d2f3414-8e1a-4c22-aca4-ff9e2ce55440"]}],"mendeley":{"formattedCitation":"(Tobias et al. 2022)","plainTextFormattedCitation":"(Tobias et al. 2022)","previouslyFormattedCitation":"(Tobias et al. 2022)"},"properties":{"noteIndex":0},"schema":"https://github.com/citation-style-language/schema/raw/master/csl-citation.json"}</w:instrText>
      </w:r>
      <w:r w:rsidR="00C003F9">
        <w:rPr>
          <w:sz w:val="22"/>
          <w:szCs w:val="22"/>
        </w:rPr>
        <w:fldChar w:fldCharType="separate"/>
      </w:r>
      <w:r w:rsidR="00C003F9" w:rsidRPr="00C003F9">
        <w:rPr>
          <w:noProof/>
          <w:sz w:val="22"/>
          <w:szCs w:val="22"/>
        </w:rPr>
        <w:t>(Tobias et al. 2022)</w:t>
      </w:r>
      <w:r w:rsidR="00C003F9">
        <w:rPr>
          <w:sz w:val="22"/>
          <w:szCs w:val="22"/>
        </w:rPr>
        <w:fldChar w:fldCharType="end"/>
      </w:r>
      <w:r>
        <w:rPr>
          <w:sz w:val="22"/>
          <w:szCs w:val="22"/>
        </w:rPr>
        <w:t xml:space="preserve"> and EltonTraits 1.0 databases </w:t>
      </w:r>
      <w:r w:rsidR="00C003F9">
        <w:rPr>
          <w:sz w:val="22"/>
          <w:szCs w:val="22"/>
        </w:rPr>
        <w:fldChar w:fldCharType="begin" w:fldLock="1"/>
      </w:r>
      <w:r w:rsidR="00C003F9">
        <w:rPr>
          <w:sz w:val="22"/>
          <w:szCs w:val="22"/>
        </w:rPr>
        <w:instrText>ADDIN CSL_CITATION {"citationItems":[{"id":"ITEM-1","itemData":{"abstract":"Species are characterized by physiological, behavioral, and ecological attributes that are all subject to varying evolutionary and ecological constraints and jointly determine species’ role and function in ecosystems. Attributes such as diet, foraging strata, foraging time, and body size, in particular, characterize a large portion of the ‘‘Eltonian’’ niches of species. Here we present a global species-level compilation of these key attributes for all 9993 and 5400 extant bird and mammal species derived from key literature sources. Global handbooks and monographs allowed the consistent sourcing of attributes for most species. For diet and foraging stratum we followed a defined protocol to translate the verbal descriptions into standardized, semiquantitative information about relative importance of different categories. Together with body size (continuous) and activity time (categorical) this enables a much finer distinction of species’ foraging ecology than typical categorical guild assignments allow. Attributes lacking information for specific species are flagged, and interpolated values based on taxonomy are provided instead. The presented data set is limited by, among others, these select cases missing observed data, by errors and uncertainty in the expert assessment as presented in the literature, and by the lack of intraspecific information. However, the standardized and transparent nature and complete global coverage of the data set should support an array of potential studies in biogeography, community ecology, macroevolution, global change biology, and conservation. Potential uses include comparative work involving these traits as focal or secondary variables, ecological research on the trait or trophic structure of communities, or conservation science concerned with the loss of function among species or in ecosystems in a changing world. We hope that this publication will spur the sharing, collaborative curation, and extension of data to the benefit of a more integrative, rigorous, and global biodiversity science.","author":[{"dropping-particle":"","family":"Wilman","given":"H.","non-dropping-particle":"","parse-names":false,"suffix":""},{"dropping-particle":"","family":"J.","given":"Belmaker","non-dropping-particle":"","parse-names":false,"suffix":""},{"dropping-particle":"","family":"J.","given":"Simpson","non-dropping-particle":"","parse-names":false,"suffix":""},{"dropping-particle":"","family":"C.","given":"de La Rosa","non-dropping-particle":"","parse-names":false,"suffix":""},{"dropping-particle":"","family":"M.","given":"Rivadeneira","non-dropping-particle":"","parse-names":false,"suffix":""},{"dropping-particle":"","family":"W","given":"Jetz","non-dropping-particle":"","parse-names":false,"suffix":""}],"container-title":"Ecology","id":"ITEM-1","issue":"7","issued":{"date-parts":[["2014"]]},"page":"2027","title":"EltonTraits 1.0 : Species-level foraging attributes of the world’s birds and mammals","type":"article-journal","volume":"95"},"uris":["http://www.mendeley.com/documents/?uuid=4bd63903-4bd4-47ef-bb71-e3ef3ed5d516"]}],"mendeley":{"formattedCitation":"(Wilman et al. 2014)","plainTextFormattedCitation":"(Wilman et al. 2014)","previouslyFormattedCitation":"(Wilman et al. 2014)"},"properties":{"noteIndex":0},"schema":"https://github.com/citation-style-language/schema/raw/master/csl-citation.json"}</w:instrText>
      </w:r>
      <w:r w:rsidR="00C003F9">
        <w:rPr>
          <w:sz w:val="22"/>
          <w:szCs w:val="22"/>
        </w:rPr>
        <w:fldChar w:fldCharType="separate"/>
      </w:r>
      <w:r w:rsidR="00C003F9" w:rsidRPr="00C003F9">
        <w:rPr>
          <w:noProof/>
          <w:sz w:val="22"/>
          <w:szCs w:val="22"/>
        </w:rPr>
        <w:t>(Wilman et al. 2014)</w:t>
      </w:r>
      <w:r w:rsidR="00C003F9">
        <w:rPr>
          <w:sz w:val="22"/>
          <w:szCs w:val="22"/>
        </w:rPr>
        <w:fldChar w:fldCharType="end"/>
      </w:r>
      <w:r>
        <w:rPr>
          <w:sz w:val="22"/>
          <w:szCs w:val="22"/>
        </w:rPr>
        <w:t xml:space="preserve">. We used five trait categories: diet, foraging stratum, and body mass from </w:t>
      </w:r>
      <w:proofErr w:type="spellStart"/>
      <w:r>
        <w:rPr>
          <w:sz w:val="22"/>
          <w:szCs w:val="22"/>
        </w:rPr>
        <w:t>Wilman</w:t>
      </w:r>
      <w:proofErr w:type="spellEnd"/>
      <w:r>
        <w:rPr>
          <w:sz w:val="22"/>
          <w:szCs w:val="22"/>
        </w:rPr>
        <w:t xml:space="preserve"> et al. (2014) and beak measurements and hand-wing index (HWI) from Tobias et al. (2022). The diet category included ten axes: </w:t>
      </w:r>
      <w:r>
        <w:rPr>
          <w:color w:val="000000"/>
          <w:sz w:val="22"/>
          <w:szCs w:val="22"/>
        </w:rPr>
        <w:t xml:space="preserve">proportion of diet that is insects, amphibians and reptiles, mammals and birds, fish, unknown vertebrates, carrion, nectar, fruit, seeds, and other plant matter. The foraging stratum category included seven axes: proportional use of aerial, canopy, mid-height, understory, ground, water above surface, and water below surface. The </w:t>
      </w:r>
      <w:r>
        <w:rPr>
          <w:sz w:val="22"/>
          <w:szCs w:val="22"/>
        </w:rPr>
        <w:t>beak category included three axes: beak width, beak depth, and beak length. The categories of body mass and HWI both had a single trait axis. To calculate PD</w:t>
      </w:r>
      <w:r>
        <w:rPr>
          <w:color w:val="000000"/>
          <w:sz w:val="22"/>
          <w:szCs w:val="22"/>
        </w:rPr>
        <w:t xml:space="preserve">, </w:t>
      </w:r>
      <w:r>
        <w:rPr>
          <w:sz w:val="22"/>
          <w:szCs w:val="22"/>
        </w:rPr>
        <w:t xml:space="preserve">we obtained </w:t>
      </w:r>
      <w:r>
        <w:rPr>
          <w:color w:val="000000"/>
          <w:sz w:val="22"/>
          <w:szCs w:val="22"/>
        </w:rPr>
        <w:t xml:space="preserve">a random sampling of 100 </w:t>
      </w:r>
      <w:r>
        <w:rPr>
          <w:sz w:val="22"/>
          <w:szCs w:val="22"/>
        </w:rPr>
        <w:t xml:space="preserve">phylogenetic trees from the </w:t>
      </w:r>
      <w:r>
        <w:rPr>
          <w:color w:val="000000"/>
          <w:sz w:val="22"/>
          <w:szCs w:val="22"/>
        </w:rPr>
        <w:t>Bird Tree database, using the Ericson backbone</w:t>
      </w:r>
      <w:r w:rsidR="00C003F9">
        <w:rPr>
          <w:color w:val="000000"/>
          <w:sz w:val="22"/>
          <w:szCs w:val="22"/>
        </w:rPr>
        <w:t xml:space="preserve"> </w:t>
      </w:r>
      <w:r w:rsidR="00C003F9">
        <w:rPr>
          <w:color w:val="000000"/>
          <w:sz w:val="22"/>
          <w:szCs w:val="22"/>
        </w:rPr>
        <w:fldChar w:fldCharType="begin" w:fldLock="1"/>
      </w:r>
      <w:r w:rsidR="00C003F9">
        <w:rPr>
          <w:color w:val="000000"/>
          <w:sz w:val="22"/>
          <w:szCs w:val="22"/>
        </w:rPr>
        <w:instrText>ADDIN CSL_CITATION {"citationItems":[{"id":"ITEM-1","itemData":{"DOI":"10.1038/nature11631","ISSN":"00280836","PMID":"23123857","abstract":"Current global patterns of biodiversity result from processes that operate over both space and time and thus require an integrated macroecological and macroevolutionary perspective. Molecular time trees have advanced our understanding of the tempo and mode of diversification and have identified remarkable adaptive radiations across the tree of life. However, incomplete joint phylogenetic and geographic sampling has limited broad-scale inference. Thus, the relative prevalence of rapid radiations and the importance of their geographic settings in shaping global biodiversity patterns remain unclear. Here we present, analyse and map the first complete dated phylogeny of all 9,993 extant species of birds, a widely studied group showing many unique adaptations. We find that birds have undergone a strong increase in diversification rate from about 50 million years ago to the near present. This acceleration is due to a number of significant rate increases, both within songbirds and within other young and mostly temperate radiations including the waterfowl, gulls and woodpeckers. Importantly, species characterized with very high past diversification rates are interspersed throughout the avian tree and across geographic space. Geographically, the major differences in diversification rates are hemispheric rather than latitudinal, with bird assemblages in Asia, North America and southern South America containing a disproportionate number of species from recent rapid radiations. The contribution of rapidly radiating lineages to both temporal diversification dynamics and spatial distributions of species diversity illustrates the benefits of an inclusive geographical and taxonomical perspective. Overall, whereas constituent clades may exhibit slowdowns, the adaptive zone into which modern birds have diversified since the Cretaceous may still offer opportunities for diversification. © 2012 Macmillan Publishers Limited. All rights reserved.","author":[{"dropping-particle":"","family":"Jetz","given":"W.","non-dropping-particle":"","parse-names":false,"suffix":""},{"dropping-particle":"","family":"Thomas","given":"G. H.","non-dropping-particle":"","parse-names":false,"suffix":""},{"dropping-particle":"","family":"Joy","given":"J. B.","non-dropping-particle":"","parse-names":false,"suffix":""},{"dropping-particle":"","family":"Hartmann","given":"K.","non-dropping-particle":"","parse-names":false,"suffix":""},{"dropping-particle":"","family":"Mooers","given":"A. O.","non-dropping-particle":"","parse-names":false,"suffix":""}],"container-title":"Nature","id":"ITEM-1","issue":"7424","issued":{"date-parts":[["2012","11","15"]]},"page":"444-448","title":"The global diversity of birds in space and time","type":"article-journal","volume":"491"},"uris":["http://www.mendeley.com/documents/?uuid=f29b3faf-e75d-3eb0-929a-3d3675cd8efe"]}],"mendeley":{"formattedCitation":"(Jetz et al. 2012)","plainTextFormattedCitation":"(Jetz et al. 2012)","previouslyFormattedCitation":"(Jetz et al. 2012)"},"properties":{"noteIndex":0},"schema":"https://github.com/citation-style-language/schema/raw/master/csl-citation.json"}</w:instrText>
      </w:r>
      <w:r w:rsidR="00C003F9">
        <w:rPr>
          <w:color w:val="000000"/>
          <w:sz w:val="22"/>
          <w:szCs w:val="22"/>
        </w:rPr>
        <w:fldChar w:fldCharType="separate"/>
      </w:r>
      <w:r w:rsidR="00C003F9" w:rsidRPr="00C003F9">
        <w:rPr>
          <w:noProof/>
          <w:color w:val="000000"/>
          <w:sz w:val="22"/>
          <w:szCs w:val="22"/>
        </w:rPr>
        <w:t>(Jetz et al. 2012)</w:t>
      </w:r>
      <w:r w:rsidR="00C003F9">
        <w:rPr>
          <w:color w:val="000000"/>
          <w:sz w:val="22"/>
          <w:szCs w:val="22"/>
        </w:rPr>
        <w:fldChar w:fldCharType="end"/>
      </w:r>
      <w:r>
        <w:rPr>
          <w:color w:val="000000"/>
          <w:sz w:val="22"/>
          <w:szCs w:val="22"/>
        </w:rPr>
        <w:t>.</w:t>
      </w:r>
    </w:p>
    <w:p w14:paraId="0000002E" w14:textId="162ABA6D" w:rsidR="006B16C2" w:rsidRDefault="00EB0728">
      <w:pPr>
        <w:spacing w:line="480" w:lineRule="auto"/>
        <w:ind w:firstLine="720"/>
        <w:rPr>
          <w:color w:val="000000"/>
          <w:sz w:val="22"/>
          <w:szCs w:val="22"/>
        </w:rPr>
      </w:pPr>
      <w:r>
        <w:rPr>
          <w:i/>
          <w:color w:val="000000"/>
          <w:sz w:val="22"/>
          <w:szCs w:val="22"/>
        </w:rPr>
        <w:t>LiDAR data</w:t>
      </w:r>
      <w:r>
        <w:rPr>
          <w:color w:val="000000"/>
          <w:sz w:val="22"/>
          <w:szCs w:val="22"/>
        </w:rPr>
        <w:t xml:space="preserve">. To quantify 3D habitat structure, we used </w:t>
      </w:r>
      <w:r>
        <w:rPr>
          <w:sz w:val="22"/>
          <w:szCs w:val="22"/>
        </w:rPr>
        <w:t xml:space="preserve">NEON’s AOP </w:t>
      </w:r>
      <w:r>
        <w:rPr>
          <w:color w:val="000000"/>
          <w:sz w:val="22"/>
          <w:szCs w:val="22"/>
        </w:rPr>
        <w:t>LiDAR data, which are flown above NEON sites during peak vegetation greenness and have a minimum density of 4 LiDAR shots per square meter (</w:t>
      </w:r>
      <w:r>
        <w:rPr>
          <w:sz w:val="22"/>
          <w:szCs w:val="22"/>
        </w:rPr>
        <w:t>data product: DP1.30003.001)</w:t>
      </w:r>
      <w:r w:rsidR="00C003F9">
        <w:rPr>
          <w:sz w:val="22"/>
          <w:szCs w:val="22"/>
        </w:rPr>
        <w:t xml:space="preserve"> </w:t>
      </w:r>
      <w:r w:rsidR="00C003F9">
        <w:rPr>
          <w:sz w:val="22"/>
          <w:szCs w:val="22"/>
        </w:rPr>
        <w:fldChar w:fldCharType="begin" w:fldLock="1"/>
      </w:r>
      <w:r w:rsidR="00C003F9">
        <w:rPr>
          <w:sz w:val="22"/>
          <w:szCs w:val="22"/>
        </w:rPr>
        <w:instrText>ADDIN CSL_CITATION {"citationItems":[{"id":"ITEM-1","itemData":{"DOI":"10.1117/1.3361375","ISSN":"1931-3195","abstract":"The National Ecological Observatory Network (NEON) is an ecological observation platform for discovering, understanding and forecasting the impacts of climate change, land use change, and invasive species on continental-scale ecology. NEON will operate for 30 years and gather long-term data on ecological response changes and on feedbacks with the geosphere, hydrosphere, and atmosphere. Local ecological measurements at sites distributed within 20 ecoclimatic domains across the contiguous United States, Alaska, Hawaii, and Puerto Rico will be coordinated with high resolution, regional airborne remote sensing observations. The Airborne Observation Platform (AOP) is an aircraft platform carrying remote sensing instrumentation designed to achieve sub-meter to meter scale ground resolution, bridging scales from organisms and individual stands to satellite-based remote sensing. AOP instrumentation consists of a VIS/SWIR imaging spectrometer, a scanning small-footprint waveform LiDAR for 3-D canopy structure measurements and a high resolution airborne digital camera. AOP data will be openly available to scientists and will provide quantitative information on land use change and changes in ecological structure and chemistry including the presence and effects of invasive species. AOP science objectives, key mission requirements, and development status are presented including an overview of near-term risk-reduction and prototyping activities.","author":[{"dropping-particle":"","family":"Kampe","given":"Thomas U.","non-dropping-particle":"","parse-names":false,"suffix":""}],"container-title":"Journal of Applied Remote Sensing","id":"ITEM-1","issue":"1","issued":{"date-parts":[["2010","3","1"]]},"page":"043510","publisher":"SPIE-Intl Soc Optical Eng","title":"NEON: the first continental-scale ecological observatory with airborne remote sensing of vegetation canopy biochemistry and structure","type":"article-journal","volume":"4"},"uris":["http://www.mendeley.com/documents/?uuid=a2a134da-a77a-3338-8b89-eec90c1bce83"]}],"mendeley":{"formattedCitation":"(Kampe 2010)","plainTextFormattedCitation":"(Kampe 2010)","previouslyFormattedCitation":"(Kampe 2010)"},"properties":{"noteIndex":0},"schema":"https://github.com/citation-style-language/schema/raw/master/csl-citation.json"}</w:instrText>
      </w:r>
      <w:r w:rsidR="00C003F9">
        <w:rPr>
          <w:sz w:val="22"/>
          <w:szCs w:val="22"/>
        </w:rPr>
        <w:fldChar w:fldCharType="separate"/>
      </w:r>
      <w:r w:rsidR="00C003F9" w:rsidRPr="00C003F9">
        <w:rPr>
          <w:noProof/>
          <w:sz w:val="22"/>
          <w:szCs w:val="22"/>
        </w:rPr>
        <w:t>(Kampe 2010)</w:t>
      </w:r>
      <w:r w:rsidR="00C003F9">
        <w:rPr>
          <w:sz w:val="22"/>
          <w:szCs w:val="22"/>
        </w:rPr>
        <w:fldChar w:fldCharType="end"/>
      </w:r>
      <w:r>
        <w:rPr>
          <w:color w:val="000000"/>
          <w:sz w:val="22"/>
          <w:szCs w:val="22"/>
        </w:rPr>
        <w:t>. We downloaded all LiDAR point cloud data that overlapped with each of the 385 plots from the NEON repository from 2007 using the R package “</w:t>
      </w:r>
      <w:proofErr w:type="spellStart"/>
      <w:r>
        <w:rPr>
          <w:color w:val="000000"/>
          <w:sz w:val="22"/>
          <w:szCs w:val="22"/>
        </w:rPr>
        <w:t>neonUtilities</w:t>
      </w:r>
      <w:proofErr w:type="spellEnd"/>
      <w:r>
        <w:rPr>
          <w:color w:val="000000"/>
          <w:sz w:val="22"/>
          <w:szCs w:val="22"/>
        </w:rPr>
        <w:t xml:space="preserve">” </w:t>
      </w:r>
      <w:r w:rsidR="00C003F9">
        <w:rPr>
          <w:color w:val="000000"/>
          <w:sz w:val="22"/>
          <w:szCs w:val="22"/>
        </w:rPr>
        <w:fldChar w:fldCharType="begin" w:fldLock="1"/>
      </w:r>
      <w:r w:rsidR="00C003F9">
        <w:rPr>
          <w:color w:val="000000"/>
          <w:sz w:val="22"/>
          <w:szCs w:val="22"/>
        </w:rPr>
        <w:instrText>ADDIN CSL_CITATION {"citationItems":[{"id":"ITEM-1","itemData":{"author":[{"dropping-particle":"","family":"Lunch","given":"Claire","non-dropping-particle":"","parse-names":false,"suffix":""},{"dropping-particle":"","family":"Laney","given":"Christine","non-dropping-particle":"","parse-names":false,"suffix":""},{"dropping-particle":"","family":"Mietkiewicz","given":"Nathan","non-dropping-particle":"","parse-names":false,"suffix":""},{"dropping-particle":"","family":"Sokol","given":"Eric","non-dropping-particle":"","parse-names":false,"suffix":""},{"dropping-particle":"","family":"Cawley","given":"Kaelin","non-dropping-particle":"","parse-names":false,"suffix":""}],"id":"ITEM-1","issued":{"date-parts":[["2024"]]},"number":"2.4.1","publisher":"NEON (National Ecological Observatory Network)","title":"neonUtilities: Utilities for Working with NEON Data","type":"article"},"uris":["http://www.mendeley.com/documents/?uuid=cf4edf19-daec-4631-ac49-2e7cd3ecc591"]}],"mendeley":{"formattedCitation":"(Lunch et al. 2024)","plainTextFormattedCitation":"(Lunch et al. 2024)","previouslyFormattedCitation":"(Lunch et al. 2024)"},"properties":{"noteIndex":0},"schema":"https://github.com/citation-style-language/schema/raw/master/csl-citation.json"}</w:instrText>
      </w:r>
      <w:r w:rsidR="00C003F9">
        <w:rPr>
          <w:color w:val="000000"/>
          <w:sz w:val="22"/>
          <w:szCs w:val="22"/>
        </w:rPr>
        <w:fldChar w:fldCharType="separate"/>
      </w:r>
      <w:r w:rsidR="00C003F9" w:rsidRPr="00C003F9">
        <w:rPr>
          <w:noProof/>
          <w:color w:val="000000"/>
          <w:sz w:val="22"/>
          <w:szCs w:val="22"/>
        </w:rPr>
        <w:t>(Lunch et al. 2024)</w:t>
      </w:r>
      <w:r w:rsidR="00C003F9">
        <w:rPr>
          <w:color w:val="000000"/>
          <w:sz w:val="22"/>
          <w:szCs w:val="22"/>
        </w:rPr>
        <w:fldChar w:fldCharType="end"/>
      </w:r>
      <w:r>
        <w:rPr>
          <w:color w:val="000000"/>
          <w:sz w:val="22"/>
          <w:szCs w:val="22"/>
        </w:rPr>
        <w:t xml:space="preserve">. </w:t>
      </w:r>
    </w:p>
    <w:p w14:paraId="0000002F" w14:textId="06AE61EF" w:rsidR="006B16C2" w:rsidRDefault="00EB0728">
      <w:pPr>
        <w:spacing w:line="480" w:lineRule="auto"/>
        <w:ind w:firstLine="720"/>
        <w:rPr>
          <w:sz w:val="22"/>
          <w:szCs w:val="22"/>
        </w:rPr>
      </w:pPr>
      <w:r>
        <w:rPr>
          <w:i/>
          <w:sz w:val="22"/>
          <w:szCs w:val="22"/>
        </w:rPr>
        <w:lastRenderedPageBreak/>
        <w:t>Environmental data.</w:t>
      </w:r>
      <w:r>
        <w:rPr>
          <w:sz w:val="22"/>
          <w:szCs w:val="22"/>
        </w:rPr>
        <w:t xml:space="preserve"> We also collected environmental data to control for variables known to drive avian diversity. </w:t>
      </w:r>
      <w:r w:rsidR="00CA1B35">
        <w:rPr>
          <w:sz w:val="22"/>
          <w:szCs w:val="22"/>
        </w:rPr>
        <w:t>Elevation and latitude of each plot were taken directly from the NEON database while</w:t>
      </w:r>
      <w:r w:rsidR="00CA1B35">
        <w:rPr>
          <w:sz w:val="22"/>
          <w:szCs w:val="22"/>
          <w:highlight w:val="white"/>
        </w:rPr>
        <w:t xml:space="preserve"> c</w:t>
      </w:r>
      <w:r>
        <w:rPr>
          <w:sz w:val="22"/>
          <w:szCs w:val="22"/>
          <w:highlight w:val="white"/>
        </w:rPr>
        <w:t xml:space="preserve">limatic data </w:t>
      </w:r>
      <w:r w:rsidR="00CA1B35">
        <w:rPr>
          <w:sz w:val="22"/>
          <w:szCs w:val="22"/>
          <w:highlight w:val="white"/>
        </w:rPr>
        <w:t xml:space="preserve">were obtained </w:t>
      </w:r>
      <w:r>
        <w:rPr>
          <w:sz w:val="22"/>
          <w:szCs w:val="22"/>
          <w:highlight w:val="white"/>
        </w:rPr>
        <w:t xml:space="preserve">from </w:t>
      </w:r>
      <w:proofErr w:type="spellStart"/>
      <w:r>
        <w:rPr>
          <w:sz w:val="22"/>
          <w:szCs w:val="22"/>
          <w:highlight w:val="white"/>
        </w:rPr>
        <w:t>Daymet</w:t>
      </w:r>
      <w:proofErr w:type="spellEnd"/>
      <w:r>
        <w:rPr>
          <w:sz w:val="22"/>
          <w:szCs w:val="22"/>
          <w:highlight w:val="white"/>
        </w:rPr>
        <w:t xml:space="preserve">, </w:t>
      </w:r>
      <w:r>
        <w:rPr>
          <w:sz w:val="22"/>
          <w:szCs w:val="22"/>
        </w:rPr>
        <w:t xml:space="preserve">which produces interpolated estimates of daily weather at a 1km x 1km gridded spatial resolution </w:t>
      </w:r>
      <w:r w:rsidR="00C003F9">
        <w:rPr>
          <w:sz w:val="22"/>
          <w:szCs w:val="22"/>
        </w:rPr>
        <w:fldChar w:fldCharType="begin" w:fldLock="1"/>
      </w:r>
      <w:r w:rsidR="00547971">
        <w:rPr>
          <w:sz w:val="22"/>
          <w:szCs w:val="22"/>
        </w:rPr>
        <w:instrText>ADDIN CSL_CITATION {"citationItems":[{"id":"ITEM-1","itemData":{"DOI":"10.3334/ORNLDAAC/2129","author":[{"dropping-particle":"","family":"Thornton","given":"M M","non-dropping-particle":"","parse-names":false,"suffix":""},{"dropping-particle":"","family":"Shrestha","given":"R","non-dropping-particle":"","parse-names":false,"suffix":""},{"dropping-particle":"","family":"Wei","given":"Y","non-dropping-particle":"","parse-names":false,"suffix":""},{"dropping-particle":"","family":"Thornton","given":"P E","non-dropping-particle":"","parse-names":false,"suffix":""},{"dropping-particle":"","family":"Kao","given":"S-C.","non-dropping-particle":"","parse-names":false,"suffix":""},{"dropping-particle":"","family":"Wilson","given":"B E","non-dropping-particle":"","parse-names":false,"suffix":""}],"id":"ITEM-1","issued":{"date-parts":[["2022"]]},"publisher":"ORNL Distributed Active Archive Center","title":"Daymet: Daily Surface Weather Data on a 1-km Grid for North America, Version 4 R1","type":"article"},"uris":["http://www.mendeley.com/documents/?uuid=cdbf4fdd-9ea4-4cbf-8574-9cda5f5bf8a0"]}],"mendeley":{"formattedCitation":"(Thornton et al. 2022)","plainTextFormattedCitation":"(Thornton et al. 2022)","previouslyFormattedCitation":"(Thornton et al. 2022)"},"properties":{"noteIndex":0},"schema":"https://github.com/citation-style-language/schema/raw/master/csl-citation.json"}</w:instrText>
      </w:r>
      <w:r w:rsidR="00C003F9">
        <w:rPr>
          <w:sz w:val="22"/>
          <w:szCs w:val="22"/>
        </w:rPr>
        <w:fldChar w:fldCharType="separate"/>
      </w:r>
      <w:r w:rsidR="00C003F9" w:rsidRPr="00C003F9">
        <w:rPr>
          <w:noProof/>
          <w:sz w:val="22"/>
          <w:szCs w:val="22"/>
        </w:rPr>
        <w:t>(Thornton et al. 2022)</w:t>
      </w:r>
      <w:r w:rsidR="00C003F9">
        <w:rPr>
          <w:sz w:val="22"/>
          <w:szCs w:val="22"/>
        </w:rPr>
        <w:fldChar w:fldCharType="end"/>
      </w:r>
      <w:r>
        <w:rPr>
          <w:sz w:val="22"/>
          <w:szCs w:val="22"/>
          <w:highlight w:val="white"/>
        </w:rPr>
        <w:t>.</w:t>
      </w:r>
      <w:r>
        <w:rPr>
          <w:sz w:val="22"/>
          <w:szCs w:val="22"/>
        </w:rPr>
        <w:t xml:space="preserve"> </w:t>
      </w:r>
      <w:r w:rsidR="00CA1B35">
        <w:rPr>
          <w:sz w:val="22"/>
          <w:szCs w:val="22"/>
        </w:rPr>
        <w:t>W</w:t>
      </w:r>
      <w:r>
        <w:rPr>
          <w:sz w:val="22"/>
          <w:szCs w:val="22"/>
        </w:rPr>
        <w:t>e selected temperature range (i.e., m</w:t>
      </w:r>
      <w:r w:rsidR="00CA1B35">
        <w:rPr>
          <w:sz w:val="22"/>
          <w:szCs w:val="22"/>
        </w:rPr>
        <w:t>in</w:t>
      </w:r>
      <w:r>
        <w:rPr>
          <w:sz w:val="22"/>
          <w:szCs w:val="22"/>
        </w:rPr>
        <w:t>-m</w:t>
      </w:r>
      <w:r w:rsidR="00CA1B35">
        <w:rPr>
          <w:sz w:val="22"/>
          <w:szCs w:val="22"/>
        </w:rPr>
        <w:t>ax</w:t>
      </w:r>
      <w:r>
        <w:rPr>
          <w:sz w:val="22"/>
          <w:szCs w:val="22"/>
        </w:rPr>
        <w:t xml:space="preserve">) of the NEON avian survey period (May-June) as </w:t>
      </w:r>
      <w:r w:rsidR="00BF3D86">
        <w:rPr>
          <w:sz w:val="22"/>
          <w:szCs w:val="22"/>
        </w:rPr>
        <w:t>our sole</w:t>
      </w:r>
      <w:r>
        <w:rPr>
          <w:sz w:val="22"/>
          <w:szCs w:val="22"/>
        </w:rPr>
        <w:t xml:space="preserve"> climatic variable</w:t>
      </w:r>
      <w:r w:rsidR="00CA1B35">
        <w:rPr>
          <w:sz w:val="22"/>
          <w:szCs w:val="22"/>
        </w:rPr>
        <w:t xml:space="preserve"> after first testing </w:t>
      </w:r>
      <w:r w:rsidR="00BF3D86">
        <w:rPr>
          <w:sz w:val="22"/>
          <w:szCs w:val="22"/>
        </w:rPr>
        <w:t>multiple candidate climatic variables and removing those highly</w:t>
      </w:r>
      <w:r w:rsidR="00CA1B35">
        <w:rPr>
          <w:sz w:val="22"/>
          <w:szCs w:val="22"/>
        </w:rPr>
        <w:t xml:space="preserve"> correla</w:t>
      </w:r>
      <w:r w:rsidR="00BF3D86">
        <w:rPr>
          <w:sz w:val="22"/>
          <w:szCs w:val="22"/>
        </w:rPr>
        <w:t>ted with</w:t>
      </w:r>
      <w:r w:rsidR="00CA1B35">
        <w:rPr>
          <w:sz w:val="22"/>
          <w:szCs w:val="22"/>
        </w:rPr>
        <w:t xml:space="preserve"> elevation/latitude</w:t>
      </w:r>
      <w:r>
        <w:rPr>
          <w:sz w:val="22"/>
          <w:szCs w:val="22"/>
        </w:rPr>
        <w:t>. Temperature range was taken at the centroid of each plot using the R package “</w:t>
      </w:r>
      <w:proofErr w:type="spellStart"/>
      <w:r>
        <w:rPr>
          <w:sz w:val="22"/>
          <w:szCs w:val="22"/>
        </w:rPr>
        <w:t>daymetr</w:t>
      </w:r>
      <w:proofErr w:type="spellEnd"/>
      <w:r>
        <w:rPr>
          <w:sz w:val="22"/>
          <w:szCs w:val="22"/>
        </w:rPr>
        <w:t xml:space="preserve">” </w:t>
      </w:r>
      <w:r w:rsidR="00547971">
        <w:rPr>
          <w:sz w:val="22"/>
          <w:szCs w:val="22"/>
        </w:rPr>
        <w:fldChar w:fldCharType="begin" w:fldLock="1"/>
      </w:r>
      <w:r w:rsidR="00AB2D5B">
        <w:rPr>
          <w:sz w:val="22"/>
          <w:szCs w:val="22"/>
        </w:rPr>
        <w:instrText>ADDIN CSL_CITATION {"citationItems":[{"id":"ITEM-1","itemData":{"DOI":"10.1111/2041-210X.12970","ISSN":"2041210X","abstract":"Phenology is a first-order control on productivity and mediates the biophysical environment by altering albedo, surface roughness length and evapotranspiration. Accurate and transparent modelling of vegetation phenology is therefore key in understanding feedbacks between the biosphere and the climate system. Here, we present the phenor r package and modelling framework. The framework leverages measurements of vegetation phenology from four common phenology observation datasets, the PhenoCam network, the USA National Phenology Network (USA-NPN), the Pan European Phenology Project (PEP725), MODIS phenology (MCD12Q2) combined with (global) retrospective and projected climate data. We show an example analysis, using the phenor modelling framework, which quickly and easily compares 20 included spring phenology models for three plant functional types. An analysis of model skill using the root mean squared (RMSE) error shows little or no difference regardless of model structure, corroborating previous studies. We argue that addressing this issue will require novel model development combined with easy data assimilation as facilitated by our framework. In conclusion, we hope the phenor phenology modelling framework in the r language and environment for statistical computing will facilitate reproducibility and community driven phenology model development, in order to increase their overall predictive power, and leverage an ever growing number of phenology data products.","author":[{"dropping-particle":"","family":"Hufkens","given":"Koen","non-dropping-particle":"","parse-names":false,"suffix":""},{"dropping-particle":"","family":"Basler","given":"David","non-dropping-particle":"","parse-names":false,"suffix":""},{"dropping-particle":"","family":"Milliman","given":"Tom","non-dropping-particle":"","parse-names":false,"suffix":""},{"dropping-particle":"","family":"Melaas","given":"Eli K.","non-dropping-particle":"","parse-names":false,"suffix":""},{"dropping-particle":"","family":"Richardson","given":"Andrew D.","non-dropping-particle":"","parse-names":false,"suffix":""}],"container-title":"Methods in Ecology and Evolution","id":"ITEM-1","issue":"5","issued":{"date-parts":[["2018"]]},"page":"1276-1285","title":"An integrated phenology modelling framework in r","type":"article-journal","volume":"9"},"uris":["http://www.mendeley.com/documents/?uuid=7e3ae96b-ca1c-4920-b42e-e3925c71aa93"]}],"mendeley":{"formattedCitation":"(Hufkens et al. 2018)","plainTextFormattedCitation":"(Hufkens et al. 2018)","previouslyFormattedCitation":"(Hufkens et al. 2018)"},"properties":{"noteIndex":0},"schema":"https://github.com/citation-style-language/schema/raw/master/csl-citation.json"}</w:instrText>
      </w:r>
      <w:r w:rsidR="00547971">
        <w:rPr>
          <w:sz w:val="22"/>
          <w:szCs w:val="22"/>
        </w:rPr>
        <w:fldChar w:fldCharType="separate"/>
      </w:r>
      <w:r w:rsidR="00547971" w:rsidRPr="00547971">
        <w:rPr>
          <w:noProof/>
          <w:sz w:val="22"/>
          <w:szCs w:val="22"/>
        </w:rPr>
        <w:t>(Hufkens et al. 2018)</w:t>
      </w:r>
      <w:r w:rsidR="00547971">
        <w:rPr>
          <w:sz w:val="22"/>
          <w:szCs w:val="22"/>
        </w:rPr>
        <w:fldChar w:fldCharType="end"/>
      </w:r>
      <w:r>
        <w:rPr>
          <w:sz w:val="22"/>
          <w:szCs w:val="22"/>
        </w:rPr>
        <w:t>.</w:t>
      </w:r>
    </w:p>
    <w:p w14:paraId="00000030" w14:textId="77777777" w:rsidR="006B16C2" w:rsidRDefault="006B16C2">
      <w:pPr>
        <w:spacing w:line="480" w:lineRule="auto"/>
        <w:rPr>
          <w:sz w:val="22"/>
          <w:szCs w:val="22"/>
        </w:rPr>
      </w:pPr>
    </w:p>
    <w:p w14:paraId="00000031" w14:textId="77777777" w:rsidR="006B16C2" w:rsidRDefault="00EB0728">
      <w:pPr>
        <w:spacing w:line="480" w:lineRule="auto"/>
        <w:rPr>
          <w:sz w:val="22"/>
          <w:szCs w:val="22"/>
        </w:rPr>
      </w:pPr>
      <w:r>
        <w:rPr>
          <w:sz w:val="22"/>
          <w:szCs w:val="22"/>
          <w:u w:val="single"/>
        </w:rPr>
        <w:t>Species abundance</w:t>
      </w:r>
      <w:r>
        <w:rPr>
          <w:sz w:val="22"/>
          <w:szCs w:val="22"/>
        </w:rPr>
        <w:t xml:space="preserve"> </w:t>
      </w:r>
    </w:p>
    <w:p w14:paraId="00000032" w14:textId="2A6080B0" w:rsidR="006B16C2" w:rsidRDefault="00EB0728">
      <w:pPr>
        <w:spacing w:line="480" w:lineRule="auto"/>
        <w:ind w:firstLine="720"/>
        <w:rPr>
          <w:sz w:val="22"/>
          <w:szCs w:val="22"/>
        </w:rPr>
      </w:pPr>
      <w:r>
        <w:rPr>
          <w:color w:val="000000"/>
          <w:sz w:val="22"/>
          <w:szCs w:val="22"/>
        </w:rPr>
        <w:t xml:space="preserve">We corrected for imperfect detection in avian count data using a Bayesian Hierarchical Distance Sampling (BHDS) model </w:t>
      </w:r>
      <w:r w:rsidR="00AB2D5B">
        <w:rPr>
          <w:color w:val="000000"/>
          <w:sz w:val="22"/>
          <w:szCs w:val="22"/>
        </w:rPr>
        <w:fldChar w:fldCharType="begin" w:fldLock="1"/>
      </w:r>
      <w:r w:rsidR="00AB2D5B">
        <w:rPr>
          <w:color w:val="000000"/>
          <w:sz w:val="22"/>
          <w:szCs w:val="22"/>
        </w:rPr>
        <w:instrText>ADDIN CSL_CITATION {"citationItems":[{"id":"ITEM-1","itemData":{"ISBN":"9780198509271","author":[{"dropping-particle":"","family":"Buckland","given":"S.","non-dropping-particle":"","parse-names":false,"suffix":""},{"dropping-particle":"","family":"Anderson","given":"D.","non-dropping-particle":"","parse-names":false,"suffix":""},{"dropping-particle":"","family":"Burnham","given":"K.","non-dropping-particle":"","parse-names":false,"suffix":""},{"dropping-particle":"","family":"Laake","given":"Jeffrey","non-dropping-particle":"","parse-names":false,"suffix":""},{"dropping-particle":"","family":"Borchers","given":"David","non-dropping-particle":"","parse-names":false,"suffix":""},{"dropping-particle":"","family":"Thomas","given":"Len.","non-dropping-particle":"","parse-names":false,"suffix":""}],"id":"ITEM-1","issued":{"date-parts":[["2001"]]},"number-of-pages":"448","title":"Introduction to Distance Sampling: Estimating Abundance of Biological Populations.","type":"book"},"uris":["http://www.mendeley.com/documents/?uuid=86993593-2228-4cbe-b680-dba0811a3b9a"]},{"id":"ITEM-2","itemData":{"DOI":"10.1007/s13253-014-0167-0","ISSN":"15372693","abstract":"The few distance sampling studies that use Bayesian methods typically consider only line transect sampling with a half-normal detection function. We present a Bayesian approach to analyse distance sampling data applicable to line and point transects, exact and interval distance data and any detection function possibly including covariates affecting detection probabilities. We use an integrated likelihood which combines the detection and density models. For the latter, densities are related to covariates in a log-linear mixed effect Poisson model which accommodates correlated counts. We use a Metropolis-Hastings algorithm for updating parameters and a reversible jump algorithm to include model selection for both the detection function and density models. The approach is applied to a large-scale experimental design study of northern bobwhite coveys where the interest was to assess the effect of establishing herbaceous buffers around agricultural fields in several states in the US on bird densities. Results were compared with those from an existing maximum likelihood approach that analyses the detection and density models in two stages. Both methods revealed an increase of covey densities on buffered fields. Our approach gave estimates with higher precision even though it does not condition on a known detection function for the density model. © 2014 International Biometric Society.","author":[{"dropping-particle":"","family":"Oedekoven","given":"C. S.","non-dropping-particle":"","parse-names":false,"suffix":""},{"dropping-particle":"","family":"Buckland","given":"S. T.","non-dropping-particle":"","parse-names":false,"suffix":""},{"dropping-particle":"","family":"Mackenzie","given":"M. L.","non-dropping-particle":"","parse-names":false,"suffix":""},{"dropping-particle":"","family":"King","given":"R.","non-dropping-particle":"","parse-names":false,"suffix":""},{"dropping-particle":"","family":"Evans","given":"K. O.","non-dropping-particle":"","parse-names":false,"suffix":""},{"dropping-particle":"","family":"Burger","given":"L. W.","non-dropping-particle":"","parse-names":false,"suffix":""}],"container-title":"Journal of Agricultural, Biological, and Environmental Statistics","id":"ITEM-2","issue":"2","issued":{"date-parts":[["2014"]]},"page":"219-239","title":"Bayesian Methods for Hierarchical Distance Sampling Models","type":"article-journal","volume":"19"},"uris":["http://www.mendeley.com/documents/?uuid=31f68a10-d6ac-4af8-aaf5-b033fdbf67ba"]}],"mendeley":{"formattedCitation":"(Buckland et al. 2001, Oedekoven et al. 2014)","plainTextFormattedCitation":"(Buckland et al. 2001, Oedekoven et al. 2014)","previouslyFormattedCitation":"(Buckland et al. 2001, Oedekoven et al. 2014)"},"properties":{"noteIndex":0},"schema":"https://github.com/citation-style-language/schema/raw/master/csl-citation.json"}</w:instrText>
      </w:r>
      <w:r w:rsidR="00AB2D5B">
        <w:rPr>
          <w:color w:val="000000"/>
          <w:sz w:val="22"/>
          <w:szCs w:val="22"/>
        </w:rPr>
        <w:fldChar w:fldCharType="separate"/>
      </w:r>
      <w:r w:rsidR="00AB2D5B" w:rsidRPr="00AB2D5B">
        <w:rPr>
          <w:noProof/>
          <w:color w:val="000000"/>
          <w:sz w:val="22"/>
          <w:szCs w:val="22"/>
        </w:rPr>
        <w:t>(Buckland et al. 2001, Oedekoven et al. 2014)</w:t>
      </w:r>
      <w:r w:rsidR="00AB2D5B">
        <w:rPr>
          <w:color w:val="000000"/>
          <w:sz w:val="22"/>
          <w:szCs w:val="22"/>
        </w:rPr>
        <w:fldChar w:fldCharType="end"/>
      </w:r>
      <w:r>
        <w:rPr>
          <w:color w:val="000000"/>
          <w:sz w:val="22"/>
          <w:szCs w:val="22"/>
        </w:rPr>
        <w:t xml:space="preserve">. The BHDS model consisted of a hierarchically linked detection model and an ecological process model (see </w:t>
      </w:r>
      <w:r>
        <w:rPr>
          <w:sz w:val="22"/>
          <w:szCs w:val="22"/>
        </w:rPr>
        <w:t>S</w:t>
      </w:r>
      <w:r>
        <w:rPr>
          <w:color w:val="000000"/>
          <w:sz w:val="22"/>
          <w:szCs w:val="22"/>
        </w:rPr>
        <w:t xml:space="preserve">upporting </w:t>
      </w:r>
      <w:r>
        <w:rPr>
          <w:sz w:val="22"/>
          <w:szCs w:val="22"/>
        </w:rPr>
        <w:t>i</w:t>
      </w:r>
      <w:r>
        <w:rPr>
          <w:color w:val="000000"/>
          <w:sz w:val="22"/>
          <w:szCs w:val="22"/>
        </w:rPr>
        <w:t xml:space="preserve">nformation for formulation). The ecological process model related environmental covariates (elevation and latitude) to species abundance via a Poisson model. The detection model was used to correct for distance-dependent observation bias by modeling the observation probability as a function of cloud cover, air temperature, windspeed, and observer identity. More specifically, we used a half normal detection function in the BHDS model to model declining rates of detection with increasing distance from the observer </w:t>
      </w:r>
      <w:r w:rsidR="00AB2D5B">
        <w:rPr>
          <w:color w:val="000000"/>
          <w:sz w:val="22"/>
          <w:szCs w:val="22"/>
        </w:rPr>
        <w:fldChar w:fldCharType="begin" w:fldLock="1"/>
      </w:r>
      <w:r w:rsidR="00AB2D5B">
        <w:rPr>
          <w:color w:val="000000"/>
          <w:sz w:val="22"/>
          <w:szCs w:val="22"/>
        </w:rPr>
        <w:instrText>ADDIN CSL_CITATION {"citationItems":[{"id":"ITEM-1","itemData":{"ISBN":"9780198509271","author":[{"dropping-particle":"","family":"Buckland","given":"S.","non-dropping-particle":"","parse-names":false,"suffix":""},{"dropping-particle":"","family":"Anderson","given":"D.","non-dropping-particle":"","parse-names":false,"suffix":""},{"dropping-particle":"","family":"Burnham","given":"K.","non-dropping-particle":"","parse-names":false,"suffix":""},{"dropping-particle":"","family":"Laake","given":"Jeffrey","non-dropping-particle":"","parse-names":false,"suffix":""},{"dropping-particle":"","family":"Borchers","given":"David","non-dropping-particle":"","parse-names":false,"suffix":""},{"dropping-particle":"","family":"Thomas","given":"Len.","non-dropping-particle":"","parse-names":false,"suffix":""}],"id":"ITEM-1","issued":{"date-parts":[["2001"]]},"number-of-pages":"448","title":"Introduction to Distance Sampling: Estimating Abundance of Biological Populations.","type":"book"},"uris":["http://www.mendeley.com/documents/?uuid=86993593-2228-4cbe-b680-dba0811a3b9a"]}],"mendeley":{"formattedCitation":"(Buckland et al. 2001)","plainTextFormattedCitation":"(Buckland et al. 2001)","previouslyFormattedCitation":"(Buckland et al. 2001)"},"properties":{"noteIndex":0},"schema":"https://github.com/citation-style-language/schema/raw/master/csl-citation.json"}</w:instrText>
      </w:r>
      <w:r w:rsidR="00AB2D5B">
        <w:rPr>
          <w:color w:val="000000"/>
          <w:sz w:val="22"/>
          <w:szCs w:val="22"/>
        </w:rPr>
        <w:fldChar w:fldCharType="separate"/>
      </w:r>
      <w:r w:rsidR="00AB2D5B" w:rsidRPr="00AB2D5B">
        <w:rPr>
          <w:noProof/>
          <w:color w:val="000000"/>
          <w:sz w:val="22"/>
          <w:szCs w:val="22"/>
        </w:rPr>
        <w:t>(Buckland et al. 2001)</w:t>
      </w:r>
      <w:r w:rsidR="00AB2D5B">
        <w:rPr>
          <w:color w:val="000000"/>
          <w:sz w:val="22"/>
          <w:szCs w:val="22"/>
        </w:rPr>
        <w:fldChar w:fldCharType="end"/>
      </w:r>
      <w:r>
        <w:rPr>
          <w:color w:val="000000"/>
          <w:sz w:val="22"/>
          <w:szCs w:val="22"/>
        </w:rPr>
        <w:t>. We used both species-level parameters and community-level hyper parameters, which allowed us to better estimate abundances (</w:t>
      </w:r>
      <m:oMath>
        <m:acc>
          <m:accPr>
            <m:ctrlPr>
              <w:rPr>
                <w:rFonts w:ascii="Cambria Math" w:eastAsia="Cambria Math" w:hAnsi="Cambria Math" w:cs="Cambria Math"/>
                <w:sz w:val="22"/>
                <w:szCs w:val="22"/>
              </w:rPr>
            </m:ctrlPr>
          </m:accPr>
          <m:e>
            <m:r>
              <w:rPr>
                <w:rFonts w:ascii="Cambria Math" w:eastAsia="Cambria Math" w:hAnsi="Cambria Math" w:cs="Cambria Math"/>
                <w:sz w:val="22"/>
                <w:szCs w:val="22"/>
              </w:rPr>
              <m:t>N</m:t>
            </m:r>
          </m:e>
        </m:acc>
      </m:oMath>
      <w:r>
        <w:rPr>
          <w:color w:val="000000"/>
          <w:sz w:val="22"/>
          <w:szCs w:val="22"/>
        </w:rPr>
        <w:t xml:space="preserve">) for rare species for a given area (here, a circular plot of 250 m radius) </w:t>
      </w:r>
      <w:r w:rsidR="00AB2D5B">
        <w:rPr>
          <w:color w:val="000000"/>
          <w:sz w:val="22"/>
          <w:szCs w:val="22"/>
        </w:rPr>
        <w:fldChar w:fldCharType="begin" w:fldLock="1"/>
      </w:r>
      <w:r w:rsidR="00AB2D5B">
        <w:rPr>
          <w:color w:val="000000"/>
          <w:sz w:val="22"/>
          <w:szCs w:val="22"/>
        </w:rPr>
        <w:instrText>ADDIN CSL_CITATION {"citationItems":[{"id":"ITEM-1","itemData":{"DOI":"10.1111/2041-210X.12518","ISSN":"2041210X","abstract":"Distance sampling is a common survey method in wildlife studies, because it allows accounting for imperfect detection. The framework has been extended to hierarchical distance sampling (HDS), which accommodates the modelling of abundance as a function of covariates, but rare and elusive species may not yield enough observations to fit such a model. We integrate HDS into a community modelling framework that accommodates multi-species spatially replicated distance sampling data. The model allows species-specific parameters, but these come from a common underlying distribution. This form of information sharing enables estimation of parameters for species with sparse data sets that would otherwise be discarded from analysis. We evaluate the performance of the model under varying community sizes with different species-specific abundances through a simulation study. We further fit the model to a seabird data set obtained from shipboard distance sampling surveys off the East Coast of the USA. Comparing communities comprised of 5, 15 or 30 species, bias of all community-level parameters and some species-level parameters decreased with increasing community size, while precision increased. Most species-level parameters were less biased for more abundant species. For larger communities, the community model increased precision in abundance estimates of rarely observed species when compared to single-species models. For the seabird application, we found a strong negative association of community and species abundance with distance to shore. Water temperature and prey density had weak effects on seabird abundance. Patterns in overall abundance were consistent with known seabird ecology. The community distance sampling model can be expanded to account for imperfect availability, imperfect species identification or other missing individual covariates. The model allowed us to make inference about ecology of species communities, including rarely observed species, which is particularly important in conservation and management. The approach holds great potential to improve inference on species communities that can be surveyed with distance sampling.","author":[{"dropping-particle":"","family":"Sollmann","given":"Rahel","non-dropping-particle":"","parse-names":false,"suffix":""},{"dropping-particle":"","family":"Gardner","given":"Beth","non-dropping-particle":"","parse-names":false,"suffix":""},{"dropping-particle":"","family":"Williams","given":"Kathryn A.","non-dropping-particle":"","parse-names":false,"suffix":""},{"dropping-particle":"","family":"Gilbert","given":"Andrew T.","non-dropping-particle":"","parse-names":false,"suffix":""},{"dropping-particle":"","family":"Veit","given":"Richard R.","non-dropping-particle":"","parse-names":false,"suffix":""}],"container-title":"Methods in Ecology and Evolution","id":"ITEM-1","issue":"5","issued":{"date-parts":[["2016"]]},"page":"529-537","title":"A hierarchical distance sampling model to estimate abundance and covariate associations of species and communities","type":"article-journal","volume":"7"},"uris":["http://www.mendeley.com/documents/?uuid=89e0916a-b4d9-4645-aee1-5f061a99abc0"]}],"mendeley":{"formattedCitation":"(Sollmann et al. 2016)","plainTextFormattedCitation":"(Sollmann et al. 2016)","previouslyFormattedCitation":"(Sollmann et al. 2016)"},"properties":{"noteIndex":0},"schema":"https://github.com/citation-style-language/schema/raw/master/csl-citation.json"}</w:instrText>
      </w:r>
      <w:r w:rsidR="00AB2D5B">
        <w:rPr>
          <w:color w:val="000000"/>
          <w:sz w:val="22"/>
          <w:szCs w:val="22"/>
        </w:rPr>
        <w:fldChar w:fldCharType="separate"/>
      </w:r>
      <w:r w:rsidR="00AB2D5B" w:rsidRPr="00AB2D5B">
        <w:rPr>
          <w:noProof/>
          <w:color w:val="000000"/>
          <w:sz w:val="22"/>
          <w:szCs w:val="22"/>
        </w:rPr>
        <w:t>(Sollmann et al. 2016)</w:t>
      </w:r>
      <w:r w:rsidR="00AB2D5B">
        <w:rPr>
          <w:color w:val="000000"/>
          <w:sz w:val="22"/>
          <w:szCs w:val="22"/>
        </w:rPr>
        <w:fldChar w:fldCharType="end"/>
      </w:r>
      <w:r>
        <w:rPr>
          <w:color w:val="000000"/>
          <w:sz w:val="22"/>
          <w:szCs w:val="22"/>
        </w:rPr>
        <w:t>. All BHDS model calculations were run using the R package “</w:t>
      </w:r>
      <w:proofErr w:type="spellStart"/>
      <w:r>
        <w:rPr>
          <w:color w:val="000000"/>
          <w:sz w:val="22"/>
          <w:szCs w:val="22"/>
        </w:rPr>
        <w:t>jagsUI</w:t>
      </w:r>
      <w:proofErr w:type="spellEnd"/>
      <w:r>
        <w:rPr>
          <w:color w:val="000000"/>
          <w:sz w:val="22"/>
          <w:szCs w:val="22"/>
        </w:rPr>
        <w:t xml:space="preserve">” </w:t>
      </w:r>
      <w:r w:rsidR="00EA17C4">
        <w:rPr>
          <w:color w:val="000000"/>
          <w:sz w:val="22"/>
          <w:szCs w:val="22"/>
        </w:rPr>
        <w:fldChar w:fldCharType="begin" w:fldLock="1"/>
      </w:r>
      <w:r w:rsidR="00C273E2">
        <w:rPr>
          <w:color w:val="000000"/>
          <w:sz w:val="22"/>
          <w:szCs w:val="22"/>
        </w:rPr>
        <w:instrText>ADDIN CSL_CITATION {"citationItems":[{"id":"ITEM-1","itemData":{"author":[{"dropping-particle":"","family":"Kellner","given":"Ken.","non-dropping-particle":"","parse-names":false,"suffix":""}],"id":"ITEM-1","issued":{"date-parts":[["2015"]]},"number":"R package version 1.1","title":"jagsUI: a wrapper around rjags to streamline JAGS analyses","type":"article"},"uris":["http://www.mendeley.com/documents/?uuid=3acebc25-7a43-4ebe-9ce0-fc8a000e7373"]},{"id":"ITEM-2","itemData":{"abstract":"JAGS is a program for Bayesian Graphical modelling which aims for compatibility with classic BUGS. The program could eventually be developed as an R package. This article explains the motivations for this program, briefly describes the architecture and then discusses some ideas for a vectorized form of the BUGS language. 1","author":[{"dropping-particle":"","family":"Plummer","given":"Martyn","non-dropping-particle":"","parse-names":false,"suffix":""}],"id":"ITEM-2","issue":"Dsc","issued":{"date-parts":[["2003"]]},"title":"JAGS : A Program for Analysis of Bayesian Graphical Models Using Gibbs Sampling JAGS : Just Another Gibbs Sampler","type":"article-journal"},"uris":["http://www.mendeley.com/documents/?uuid=1bba022e-7ac5-44e0-bcb5-85ceef7c31bc"]}],"mendeley":{"formattedCitation":"(Plummer 2003, Kellner 2015)","plainTextFormattedCitation":"(Plummer 2003, Kellner 2015)","previouslyFormattedCitation":"(Plummer 2003, Kellner 2015)"},"properties":{"noteIndex":0},"schema":"https://github.com/citation-style-language/schema/raw/master/csl-citation.json"}</w:instrText>
      </w:r>
      <w:r w:rsidR="00EA17C4">
        <w:rPr>
          <w:color w:val="000000"/>
          <w:sz w:val="22"/>
          <w:szCs w:val="22"/>
        </w:rPr>
        <w:fldChar w:fldCharType="separate"/>
      </w:r>
      <w:r w:rsidR="00EA17C4" w:rsidRPr="00EA17C4">
        <w:rPr>
          <w:noProof/>
          <w:color w:val="000000"/>
          <w:sz w:val="22"/>
          <w:szCs w:val="22"/>
        </w:rPr>
        <w:t>(Plummer 2003, Kellner 2015)</w:t>
      </w:r>
      <w:r w:rsidR="00EA17C4">
        <w:rPr>
          <w:color w:val="000000"/>
          <w:sz w:val="22"/>
          <w:szCs w:val="22"/>
        </w:rPr>
        <w:fldChar w:fldCharType="end"/>
      </w:r>
      <w:r w:rsidR="00AB2D5B">
        <w:rPr>
          <w:color w:val="000000"/>
          <w:sz w:val="22"/>
          <w:szCs w:val="22"/>
        </w:rPr>
        <w:t xml:space="preserve"> </w:t>
      </w:r>
      <w:r>
        <w:rPr>
          <w:color w:val="000000"/>
          <w:sz w:val="22"/>
          <w:szCs w:val="22"/>
        </w:rPr>
        <w:t>following model formulation similar to those outlined in</w:t>
      </w:r>
      <w:r>
        <w:rPr>
          <w:sz w:val="22"/>
          <w:szCs w:val="22"/>
        </w:rPr>
        <w:t xml:space="preserve"> </w:t>
      </w:r>
      <w:proofErr w:type="spellStart"/>
      <w:r>
        <w:rPr>
          <w:sz w:val="22"/>
          <w:szCs w:val="22"/>
        </w:rPr>
        <w:t>Kéry</w:t>
      </w:r>
      <w:proofErr w:type="spellEnd"/>
      <w:r>
        <w:rPr>
          <w:sz w:val="22"/>
          <w:szCs w:val="22"/>
        </w:rPr>
        <w:t xml:space="preserve"> and </w:t>
      </w:r>
      <w:proofErr w:type="spellStart"/>
      <w:r>
        <w:rPr>
          <w:sz w:val="22"/>
          <w:szCs w:val="22"/>
        </w:rPr>
        <w:t>Royle</w:t>
      </w:r>
      <w:proofErr w:type="spellEnd"/>
      <w:r>
        <w:rPr>
          <w:sz w:val="22"/>
          <w:szCs w:val="22"/>
        </w:rPr>
        <w:t xml:space="preserve"> (2016)</w:t>
      </w:r>
      <w:r>
        <w:rPr>
          <w:color w:val="000000"/>
          <w:sz w:val="22"/>
          <w:szCs w:val="22"/>
        </w:rPr>
        <w:t xml:space="preserve"> and </w:t>
      </w:r>
      <w:proofErr w:type="spellStart"/>
      <w:r>
        <w:rPr>
          <w:color w:val="000000"/>
          <w:sz w:val="22"/>
          <w:szCs w:val="22"/>
        </w:rPr>
        <w:t>Sollman</w:t>
      </w:r>
      <w:proofErr w:type="spellEnd"/>
      <w:r>
        <w:rPr>
          <w:color w:val="000000"/>
          <w:sz w:val="22"/>
          <w:szCs w:val="22"/>
        </w:rPr>
        <w:t xml:space="preserve"> et al (2016). </w:t>
      </w:r>
      <w:r>
        <w:rPr>
          <w:sz w:val="22"/>
          <w:szCs w:val="22"/>
        </w:rPr>
        <w:t xml:space="preserve">To avoid instances where the BHDS model estimated </w:t>
      </w:r>
      <m:oMath>
        <m:acc>
          <m:accPr>
            <m:ctrlPr>
              <w:rPr>
                <w:rFonts w:ascii="Cambria Math" w:eastAsia="Cambria Math" w:hAnsi="Cambria Math" w:cs="Cambria Math"/>
                <w:sz w:val="22"/>
                <w:szCs w:val="22"/>
              </w:rPr>
            </m:ctrlPr>
          </m:accPr>
          <m:e>
            <m:r>
              <w:rPr>
                <w:rFonts w:ascii="Cambria Math" w:eastAsia="Cambria Math" w:hAnsi="Cambria Math" w:cs="Cambria Math"/>
                <w:sz w:val="22"/>
                <w:szCs w:val="22"/>
              </w:rPr>
              <m:t>N</m:t>
            </m:r>
          </m:e>
        </m:acc>
        <m:r>
          <w:rPr>
            <w:rFonts w:ascii="Cambria Math" w:eastAsia="Cambria Math" w:hAnsi="Cambria Math" w:cs="Cambria Math"/>
            <w:sz w:val="22"/>
            <w:szCs w:val="22"/>
          </w:rPr>
          <m:t>&gt;0</m:t>
        </m:r>
      </m:oMath>
      <w:r>
        <w:rPr>
          <w:sz w:val="22"/>
          <w:szCs w:val="22"/>
        </w:rPr>
        <w:t xml:space="preserve"> for species that are unlikely to be present given their ecological constraints, we </w:t>
      </w:r>
      <w:r>
        <w:rPr>
          <w:i/>
          <w:sz w:val="22"/>
          <w:szCs w:val="22"/>
        </w:rPr>
        <w:t>post hoc</w:t>
      </w:r>
      <w:r>
        <w:rPr>
          <w:sz w:val="22"/>
          <w:szCs w:val="22"/>
        </w:rPr>
        <w:t xml:space="preserve"> filtered detection corrected species abundance estimates so that only species whose geographic ranges overlapped a NEON Domain </w:t>
      </w:r>
      <w:r>
        <w:rPr>
          <w:sz w:val="22"/>
          <w:szCs w:val="22"/>
        </w:rPr>
        <w:lastRenderedPageBreak/>
        <w:t xml:space="preserve">within which a given plot was embedded could have </w:t>
      </w:r>
      <m:oMath>
        <m:acc>
          <m:accPr>
            <m:ctrlPr>
              <w:rPr>
                <w:rFonts w:ascii="Cambria Math" w:eastAsia="Cambria Math" w:hAnsi="Cambria Math" w:cs="Cambria Math"/>
                <w:sz w:val="22"/>
                <w:szCs w:val="22"/>
              </w:rPr>
            </m:ctrlPr>
          </m:accPr>
          <m:e>
            <m:r>
              <w:rPr>
                <w:rFonts w:ascii="Cambria Math" w:eastAsia="Cambria Math" w:hAnsi="Cambria Math" w:cs="Cambria Math"/>
                <w:sz w:val="22"/>
                <w:szCs w:val="22"/>
              </w:rPr>
              <m:t>N</m:t>
            </m:r>
          </m:e>
        </m:acc>
        <m:r>
          <w:rPr>
            <w:rFonts w:ascii="Cambria Math" w:eastAsia="Cambria Math" w:hAnsi="Cambria Math" w:cs="Cambria Math"/>
            <w:sz w:val="22"/>
            <w:szCs w:val="22"/>
          </w:rPr>
          <m:t xml:space="preserve">≥1 </m:t>
        </m:r>
      </m:oMath>
      <w:r>
        <w:rPr>
          <w:sz w:val="22"/>
          <w:szCs w:val="22"/>
        </w:rPr>
        <w:t xml:space="preserve">at that plot. </w:t>
      </w:r>
      <w:r>
        <w:rPr>
          <w:color w:val="000000"/>
          <w:sz w:val="22"/>
          <w:szCs w:val="22"/>
        </w:rPr>
        <w:t xml:space="preserve">Expert range maps used for filtering were </w:t>
      </w:r>
      <w:r>
        <w:rPr>
          <w:sz w:val="22"/>
          <w:szCs w:val="22"/>
        </w:rPr>
        <w:t xml:space="preserve">obtained from </w:t>
      </w:r>
      <w:proofErr w:type="spellStart"/>
      <w:r>
        <w:rPr>
          <w:sz w:val="22"/>
          <w:szCs w:val="22"/>
        </w:rPr>
        <w:t>BirdLife</w:t>
      </w:r>
      <w:proofErr w:type="spellEnd"/>
      <w:r>
        <w:rPr>
          <w:sz w:val="22"/>
          <w:szCs w:val="22"/>
        </w:rPr>
        <w:t xml:space="preserve"> International </w:t>
      </w:r>
      <w:r w:rsidR="00AB2D5B">
        <w:rPr>
          <w:sz w:val="22"/>
          <w:szCs w:val="22"/>
        </w:rPr>
        <w:fldChar w:fldCharType="begin" w:fldLock="1"/>
      </w:r>
      <w:r w:rsidR="00604EE5">
        <w:rPr>
          <w:sz w:val="22"/>
          <w:szCs w:val="22"/>
        </w:rPr>
        <w:instrText>ADDIN CSL_CITATION {"citationItems":[{"id":"ITEM-1","itemData":{"URL":"http://datazone.birdlife.org/","author":[{"dropping-particle":"","family":"BirdLife International","given":"","non-dropping-particle":"","parse-names":false,"suffix":""}],"id":"ITEM-1","issued":{"date-parts":[["2022"]]},"title":"The International Union for Conservation of Nature (IUCN) Red List for birds","type":"webpage"},"uris":["http://www.mendeley.com/documents/?uuid=33f2b886-860f-48eb-9d0b-a7a570da18ba"]}],"mendeley":{"formattedCitation":"(BirdLife International 2022)","plainTextFormattedCitation":"(BirdLife International 2022)","previouslyFormattedCitation":"(BirdLife International 2022)"},"properties":{"noteIndex":0},"schema":"https://github.com/citation-style-language/schema/raw/master/csl-citation.json"}</w:instrText>
      </w:r>
      <w:r w:rsidR="00AB2D5B">
        <w:rPr>
          <w:sz w:val="22"/>
          <w:szCs w:val="22"/>
        </w:rPr>
        <w:fldChar w:fldCharType="separate"/>
      </w:r>
      <w:r w:rsidR="00AB2D5B" w:rsidRPr="00AB2D5B">
        <w:rPr>
          <w:noProof/>
          <w:sz w:val="22"/>
          <w:szCs w:val="22"/>
        </w:rPr>
        <w:t>(BirdLife International 2022)</w:t>
      </w:r>
      <w:r w:rsidR="00AB2D5B">
        <w:rPr>
          <w:sz w:val="22"/>
          <w:szCs w:val="22"/>
        </w:rPr>
        <w:fldChar w:fldCharType="end"/>
      </w:r>
      <w:r>
        <w:rPr>
          <w:sz w:val="22"/>
          <w:szCs w:val="22"/>
        </w:rPr>
        <w:t xml:space="preserve">. Lastly, species whose </w:t>
      </w:r>
      <m:oMath>
        <m:acc>
          <m:accPr>
            <m:ctrlPr>
              <w:rPr>
                <w:rFonts w:ascii="Cambria Math" w:eastAsia="Cambria Math" w:hAnsi="Cambria Math" w:cs="Cambria Math"/>
                <w:sz w:val="22"/>
                <w:szCs w:val="22"/>
              </w:rPr>
            </m:ctrlPr>
          </m:accPr>
          <m:e>
            <m:r>
              <w:rPr>
                <w:rFonts w:ascii="Cambria Math" w:eastAsia="Cambria Math" w:hAnsi="Cambria Math" w:cs="Cambria Math"/>
                <w:sz w:val="22"/>
                <w:szCs w:val="22"/>
              </w:rPr>
              <m:t>N</m:t>
            </m:r>
          </m:e>
        </m:acc>
        <m:r>
          <w:rPr>
            <w:rFonts w:ascii="Cambria Math" w:eastAsia="Cambria Math" w:hAnsi="Cambria Math" w:cs="Cambria Math"/>
            <w:sz w:val="22"/>
            <w:szCs w:val="22"/>
          </w:rPr>
          <m:t xml:space="preserve"> &lt;0.95</m:t>
        </m:r>
      </m:oMath>
      <w:r>
        <w:rPr>
          <w:sz w:val="22"/>
          <w:szCs w:val="22"/>
        </w:rPr>
        <w:t xml:space="preserve"> at a given plot were considered to be absent at that location, i.e., their </w:t>
      </w:r>
      <m:oMath>
        <m:acc>
          <m:accPr>
            <m:ctrlPr>
              <w:rPr>
                <w:rFonts w:ascii="Cambria Math" w:eastAsia="Cambria Math" w:hAnsi="Cambria Math" w:cs="Cambria Math"/>
                <w:sz w:val="22"/>
                <w:szCs w:val="22"/>
              </w:rPr>
            </m:ctrlPr>
          </m:accPr>
          <m:e>
            <m:r>
              <w:rPr>
                <w:rFonts w:ascii="Cambria Math" w:eastAsia="Cambria Math" w:hAnsi="Cambria Math" w:cs="Cambria Math"/>
                <w:sz w:val="22"/>
                <w:szCs w:val="22"/>
              </w:rPr>
              <m:t>N</m:t>
            </m:r>
          </m:e>
        </m:acc>
      </m:oMath>
      <w:r>
        <w:rPr>
          <w:sz w:val="22"/>
          <w:szCs w:val="22"/>
        </w:rPr>
        <w:t xml:space="preserve"> was fixed to 0, while those whose </w:t>
      </w:r>
      <m:oMath>
        <m:acc>
          <m:accPr>
            <m:ctrlPr>
              <w:rPr>
                <w:rFonts w:ascii="Cambria Math" w:eastAsia="Cambria Math" w:hAnsi="Cambria Math" w:cs="Cambria Math"/>
                <w:sz w:val="22"/>
                <w:szCs w:val="22"/>
              </w:rPr>
            </m:ctrlPr>
          </m:accPr>
          <m:e>
            <m:r>
              <w:rPr>
                <w:rFonts w:ascii="Cambria Math" w:eastAsia="Cambria Math" w:hAnsi="Cambria Math" w:cs="Cambria Math"/>
                <w:sz w:val="22"/>
                <w:szCs w:val="22"/>
              </w:rPr>
              <m:t>N</m:t>
            </m:r>
          </m:e>
        </m:acc>
        <m:r>
          <w:rPr>
            <w:rFonts w:ascii="Cambria Math" w:eastAsia="Cambria Math" w:hAnsi="Cambria Math" w:cs="Cambria Math"/>
            <w:sz w:val="22"/>
            <w:szCs w:val="22"/>
          </w:rPr>
          <m:t xml:space="preserve"> ≥0.95</m:t>
        </m:r>
      </m:oMath>
      <w:r>
        <w:rPr>
          <w:sz w:val="22"/>
          <w:szCs w:val="22"/>
        </w:rPr>
        <w:t xml:space="preserve"> were considered to be probable presences and retained for further analysis. The threshold of 0.95 rather than 1 was used to ensure inclusion of species with highly likely presences. The resulting species </w:t>
      </w:r>
      <m:oMath>
        <m:acc>
          <m:accPr>
            <m:ctrlPr>
              <w:rPr>
                <w:rFonts w:ascii="Cambria Math" w:eastAsia="Cambria Math" w:hAnsi="Cambria Math" w:cs="Cambria Math"/>
                <w:sz w:val="22"/>
                <w:szCs w:val="22"/>
              </w:rPr>
            </m:ctrlPr>
          </m:accPr>
          <m:e>
            <m:r>
              <w:rPr>
                <w:rFonts w:ascii="Cambria Math" w:eastAsia="Cambria Math" w:hAnsi="Cambria Math" w:cs="Cambria Math"/>
                <w:sz w:val="22"/>
                <w:szCs w:val="22"/>
              </w:rPr>
              <m:t>N</m:t>
            </m:r>
          </m:e>
        </m:acc>
      </m:oMath>
      <w:r>
        <w:rPr>
          <w:sz w:val="22"/>
          <w:szCs w:val="22"/>
        </w:rPr>
        <w:t xml:space="preserve"> were used as inputs for quantification of avian species richness, functional and trait, and phylogenetic diversity.</w:t>
      </w:r>
    </w:p>
    <w:p w14:paraId="00000033" w14:textId="77777777" w:rsidR="006B16C2" w:rsidRDefault="006B16C2">
      <w:pPr>
        <w:spacing w:line="480" w:lineRule="auto"/>
        <w:rPr>
          <w:sz w:val="22"/>
          <w:szCs w:val="22"/>
        </w:rPr>
      </w:pPr>
    </w:p>
    <w:p w14:paraId="00000034" w14:textId="77777777" w:rsidR="006B16C2" w:rsidRDefault="00EB0728">
      <w:pPr>
        <w:spacing w:line="480" w:lineRule="auto"/>
        <w:rPr>
          <w:sz w:val="22"/>
          <w:szCs w:val="22"/>
        </w:rPr>
      </w:pPr>
      <w:r>
        <w:rPr>
          <w:sz w:val="22"/>
          <w:szCs w:val="22"/>
          <w:u w:val="single"/>
        </w:rPr>
        <w:t>Avian diversity</w:t>
      </w:r>
    </w:p>
    <w:p w14:paraId="00000035" w14:textId="77777777" w:rsidR="006B16C2" w:rsidRDefault="00EB0728">
      <w:pPr>
        <w:spacing w:line="480" w:lineRule="auto"/>
        <w:ind w:firstLine="720"/>
        <w:rPr>
          <w:b/>
          <w:i/>
          <w:sz w:val="22"/>
          <w:szCs w:val="22"/>
        </w:rPr>
      </w:pPr>
      <w:r>
        <w:rPr>
          <w:sz w:val="22"/>
          <w:szCs w:val="22"/>
        </w:rPr>
        <w:t>Avian species richness (</w:t>
      </w:r>
      <w:proofErr w:type="spellStart"/>
      <w:r>
        <w:rPr>
          <w:sz w:val="22"/>
          <w:szCs w:val="22"/>
        </w:rPr>
        <w:t>SpRich</w:t>
      </w:r>
      <w:proofErr w:type="spellEnd"/>
      <w:r>
        <w:rPr>
          <w:sz w:val="22"/>
          <w:szCs w:val="22"/>
        </w:rPr>
        <w:t xml:space="preserve">) was calculated for each plot as the sum of all species whose abundance estimates </w:t>
      </w:r>
      <m:oMath>
        <m:acc>
          <m:accPr>
            <m:ctrlPr>
              <w:rPr>
                <w:rFonts w:ascii="Cambria Math" w:eastAsia="Cambria Math" w:hAnsi="Cambria Math" w:cs="Cambria Math"/>
                <w:sz w:val="22"/>
                <w:szCs w:val="22"/>
              </w:rPr>
            </m:ctrlPr>
          </m:accPr>
          <m:e>
            <m:r>
              <w:rPr>
                <w:rFonts w:ascii="Cambria Math" w:eastAsia="Cambria Math" w:hAnsi="Cambria Math" w:cs="Cambria Math"/>
                <w:sz w:val="22"/>
                <w:szCs w:val="22"/>
              </w:rPr>
              <m:t>N</m:t>
            </m:r>
          </m:e>
        </m:acc>
        <m:r>
          <w:rPr>
            <w:rFonts w:ascii="Cambria Math" w:eastAsia="Cambria Math" w:hAnsi="Cambria Math" w:cs="Cambria Math"/>
            <w:sz w:val="22"/>
            <w:szCs w:val="22"/>
          </w:rPr>
          <m:t xml:space="preserve"> ≥0.95</m:t>
        </m:r>
      </m:oMath>
      <w:r>
        <w:rPr>
          <w:sz w:val="22"/>
          <w:szCs w:val="22"/>
        </w:rPr>
        <w:t xml:space="preserve">, again using </w:t>
      </w:r>
      <m:oMath>
        <m:acc>
          <m:accPr>
            <m:ctrlPr>
              <w:rPr>
                <w:rFonts w:ascii="Cambria Math" w:eastAsia="Cambria Math" w:hAnsi="Cambria Math" w:cs="Cambria Math"/>
                <w:sz w:val="22"/>
                <w:szCs w:val="22"/>
              </w:rPr>
            </m:ctrlPr>
          </m:accPr>
          <m:e>
            <m:r>
              <w:rPr>
                <w:rFonts w:ascii="Cambria Math" w:eastAsia="Cambria Math" w:hAnsi="Cambria Math" w:cs="Cambria Math"/>
                <w:sz w:val="22"/>
                <w:szCs w:val="22"/>
              </w:rPr>
              <m:t>N</m:t>
            </m:r>
          </m:e>
        </m:acc>
      </m:oMath>
      <w:r>
        <w:rPr>
          <w:sz w:val="22"/>
          <w:szCs w:val="22"/>
        </w:rPr>
        <w:t xml:space="preserve"> = 0.95 as the threshold to ensure the inclusion of probable presences.</w:t>
      </w:r>
    </w:p>
    <w:p w14:paraId="00000036" w14:textId="52A32C4E" w:rsidR="006B16C2" w:rsidRDefault="00EB0728">
      <w:pPr>
        <w:spacing w:line="480" w:lineRule="auto"/>
        <w:ind w:firstLine="720"/>
        <w:rPr>
          <w:color w:val="000000"/>
          <w:sz w:val="22"/>
          <w:szCs w:val="22"/>
        </w:rPr>
      </w:pPr>
      <w:r>
        <w:rPr>
          <w:color w:val="000000"/>
          <w:sz w:val="22"/>
          <w:szCs w:val="22"/>
        </w:rPr>
        <w:t xml:space="preserve">We calculated functional diversity using three </w:t>
      </w:r>
      <w:r w:rsidR="00BF3D86">
        <w:rPr>
          <w:color w:val="000000"/>
          <w:sz w:val="22"/>
          <w:szCs w:val="22"/>
        </w:rPr>
        <w:t>c</w:t>
      </w:r>
      <w:r w:rsidR="00BF3D86" w:rsidRPr="00BF3D86">
        <w:rPr>
          <w:color w:val="000000"/>
          <w:sz w:val="22"/>
          <w:szCs w:val="22"/>
        </w:rPr>
        <w:t>omplimentary but independent functional components</w:t>
      </w:r>
      <w:r>
        <w:rPr>
          <w:color w:val="000000"/>
          <w:sz w:val="22"/>
          <w:szCs w:val="22"/>
        </w:rPr>
        <w:t xml:space="preserve">: Functional richness </w:t>
      </w:r>
      <w:r>
        <w:rPr>
          <w:sz w:val="22"/>
          <w:szCs w:val="22"/>
        </w:rPr>
        <w:t>(</w:t>
      </w:r>
      <w:proofErr w:type="spellStart"/>
      <w:r>
        <w:rPr>
          <w:sz w:val="22"/>
          <w:szCs w:val="22"/>
        </w:rPr>
        <w:t>FRich</w:t>
      </w:r>
      <w:proofErr w:type="spellEnd"/>
      <w:r>
        <w:rPr>
          <w:sz w:val="22"/>
          <w:szCs w:val="22"/>
        </w:rPr>
        <w:t>)</w:t>
      </w:r>
      <w:r>
        <w:rPr>
          <w:color w:val="000000"/>
          <w:sz w:val="22"/>
          <w:szCs w:val="22"/>
        </w:rPr>
        <w:t xml:space="preserve">, functional evenness </w:t>
      </w:r>
      <w:r>
        <w:rPr>
          <w:sz w:val="22"/>
          <w:szCs w:val="22"/>
        </w:rPr>
        <w:t>(</w:t>
      </w:r>
      <w:proofErr w:type="spellStart"/>
      <w:r>
        <w:rPr>
          <w:sz w:val="22"/>
          <w:szCs w:val="22"/>
        </w:rPr>
        <w:t>FEven</w:t>
      </w:r>
      <w:proofErr w:type="spellEnd"/>
      <w:r>
        <w:rPr>
          <w:sz w:val="22"/>
          <w:szCs w:val="22"/>
        </w:rPr>
        <w:t>)</w:t>
      </w:r>
      <w:r>
        <w:rPr>
          <w:color w:val="000000"/>
          <w:sz w:val="22"/>
          <w:szCs w:val="22"/>
        </w:rPr>
        <w:t xml:space="preserve">, and functional divergence </w:t>
      </w:r>
      <w:r>
        <w:rPr>
          <w:sz w:val="22"/>
          <w:szCs w:val="22"/>
        </w:rPr>
        <w:t>(</w:t>
      </w:r>
      <w:proofErr w:type="spellStart"/>
      <w:r>
        <w:rPr>
          <w:sz w:val="22"/>
          <w:szCs w:val="22"/>
        </w:rPr>
        <w:t>FDiv</w:t>
      </w:r>
      <w:proofErr w:type="spellEnd"/>
      <w:r>
        <w:rPr>
          <w:sz w:val="22"/>
          <w:szCs w:val="22"/>
        </w:rPr>
        <w:t>)</w:t>
      </w:r>
      <w:r>
        <w:rPr>
          <w:color w:val="000000"/>
          <w:sz w:val="22"/>
          <w:szCs w:val="22"/>
        </w:rPr>
        <w:t xml:space="preserve"> </w:t>
      </w:r>
      <w:r w:rsidR="00604EE5">
        <w:rPr>
          <w:color w:val="000000"/>
          <w:sz w:val="22"/>
          <w:szCs w:val="22"/>
        </w:rPr>
        <w:fldChar w:fldCharType="begin" w:fldLock="1"/>
      </w:r>
      <w:r w:rsidR="00604EE5">
        <w:rPr>
          <w:color w:val="000000"/>
          <w:sz w:val="22"/>
          <w:szCs w:val="22"/>
        </w:rPr>
        <w:instrText>ADDIN CSL_CITATION {"citationItems":[{"id":"ITEM-1","itemData":{"DOI":"10.1890/07-1206.1","ISSN":"00129658","PMID":"18724739","abstract":"Functional diversity is increasingly identified as an important driver of ecosystem functioning. Various indices have been proposed to measure the functional diversity of a community, but there is still no consensus on which are most suitable. Indeed, none of the existing indices meets all the criteria required for general use. The main criteria are that they must be designed to deal with several traits, take into account abundances, and measure all the facets of functional diversity. Here we propose three indices to quantify each facet of functional diversity for a community with species distributed in a multidimensional functional space: functional richness (volume of the functional space occupied by the community), functional evenness (regularity of the distribution of abundance in this volume), and functional divergence (divergence in the distribution of abundance in this volume). Functional richness is estimated using the existing convex hull volume index. The new functional evenness index is based on the minimum spanning tree which links all the species in the multidimensional functional space. Then this new index quantifies the regularity with which species abundances are distributed along the spanning tree. Functional divergence is measured using a novel index which quantifies how species diverge in their distances (weighted by their abundance) from the center of gravity in the functional space. We show that none of the indices meets all the criteria required for a functional diversity index, but instead we show that the set of three complementary indices meets these criteria. Through simulations of artificial data sets, we demonstrate that functional divergence and functional evenness are independent of species richness and that the three functional diversity indices are independent of each other. Overall, our study suggests that decomposition of functional diversity into its three primary components provides a meaningful framework for its quantification and for the classification of existing functional diversity indices. This decomposition has the potential to shed light on the role of biodiversity on ecosystem functioning and on the influence of biotic and abiotic filters on the structure of species communities. Finally, we propose a general framework for applying these three functional diversity indices. © 2008 by the Ecological Society of America.","author":[{"dropping-particle":"","family":"Villéger","given":"Sébastien","non-dropping-particle":"","parse-names":false,"suffix":""},{"dropping-particle":"","family":"Mason","given":"Norman W.H.","non-dropping-particle":"","parse-names":false,"suffix":""},{"dropping-particle":"","family":"Mouillot","given":"David","non-dropping-particle":"","parse-names":false,"suffix":""}],"container-title":"Ecology","id":"ITEM-1","issue":"8","issued":{"date-parts":[["2008"]]},"page":"2290-2301","title":"New multidimensional functional diversity indices for a multifaceted framework in functional ecology","type":"article-journal","volume":"89"},"uris":["http://www.mendeley.com/documents/?uuid=b9a6ee8b-06d1-4ba0-9caa-a7f6c9c467e0"]}],"mendeley":{"formattedCitation":"(Villéger et al. 2008)","plainTextFormattedCitation":"(Villéger et al. 2008)","previouslyFormattedCitation":"(Villéger et al. 2008)"},"properties":{"noteIndex":0},"schema":"https://github.com/citation-style-language/schema/raw/master/csl-citation.json"}</w:instrText>
      </w:r>
      <w:r w:rsidR="00604EE5">
        <w:rPr>
          <w:color w:val="000000"/>
          <w:sz w:val="22"/>
          <w:szCs w:val="22"/>
        </w:rPr>
        <w:fldChar w:fldCharType="separate"/>
      </w:r>
      <w:r w:rsidR="00604EE5" w:rsidRPr="00604EE5">
        <w:rPr>
          <w:noProof/>
          <w:color w:val="000000"/>
          <w:sz w:val="22"/>
          <w:szCs w:val="22"/>
        </w:rPr>
        <w:t>(Villéger et al. 2008)</w:t>
      </w:r>
      <w:r w:rsidR="00604EE5">
        <w:rPr>
          <w:color w:val="000000"/>
          <w:sz w:val="22"/>
          <w:szCs w:val="22"/>
        </w:rPr>
        <w:fldChar w:fldCharType="end"/>
      </w:r>
      <w:r>
        <w:rPr>
          <w:color w:val="000000"/>
          <w:sz w:val="22"/>
          <w:szCs w:val="22"/>
        </w:rPr>
        <w:t xml:space="preserve">. </w:t>
      </w:r>
      <w:proofErr w:type="spellStart"/>
      <w:r>
        <w:rPr>
          <w:color w:val="000000"/>
          <w:sz w:val="22"/>
          <w:szCs w:val="22"/>
        </w:rPr>
        <w:t>FRich</w:t>
      </w:r>
      <w:proofErr w:type="spellEnd"/>
      <w:r>
        <w:rPr>
          <w:color w:val="000000"/>
          <w:sz w:val="22"/>
          <w:szCs w:val="22"/>
        </w:rPr>
        <w:t xml:space="preserve"> measures the breadth of the trait space occupied by a given assemblage, </w:t>
      </w:r>
      <w:proofErr w:type="spellStart"/>
      <w:r>
        <w:rPr>
          <w:color w:val="000000"/>
          <w:sz w:val="22"/>
          <w:szCs w:val="22"/>
        </w:rPr>
        <w:t>FEven</w:t>
      </w:r>
      <w:proofErr w:type="spellEnd"/>
      <w:r>
        <w:rPr>
          <w:color w:val="000000"/>
          <w:sz w:val="22"/>
          <w:szCs w:val="22"/>
        </w:rPr>
        <w:t xml:space="preserve"> is a measure of regularity of the distribution of species abundances in trait space, and </w:t>
      </w:r>
      <w:proofErr w:type="spellStart"/>
      <w:r>
        <w:rPr>
          <w:color w:val="000000"/>
          <w:sz w:val="22"/>
          <w:szCs w:val="22"/>
        </w:rPr>
        <w:t>FDiv</w:t>
      </w:r>
      <w:proofErr w:type="spellEnd"/>
      <w:r>
        <w:rPr>
          <w:color w:val="000000"/>
          <w:sz w:val="22"/>
          <w:szCs w:val="22"/>
        </w:rPr>
        <w:t xml:space="preserve"> measures the proportion of the trait space represented by extreme trait values</w:t>
      </w:r>
      <w:r w:rsidR="00604EE5">
        <w:rPr>
          <w:color w:val="000000"/>
          <w:sz w:val="22"/>
          <w:szCs w:val="22"/>
        </w:rPr>
        <w:t xml:space="preserve"> </w:t>
      </w:r>
      <w:r w:rsidR="00604EE5">
        <w:rPr>
          <w:color w:val="000000"/>
          <w:sz w:val="22"/>
          <w:szCs w:val="22"/>
        </w:rPr>
        <w:fldChar w:fldCharType="begin" w:fldLock="1"/>
      </w:r>
      <w:r w:rsidR="00604EE5">
        <w:rPr>
          <w:color w:val="000000"/>
          <w:sz w:val="22"/>
          <w:szCs w:val="22"/>
        </w:rPr>
        <w:instrText>ADDIN CSL_CITATION {"citationItems":[{"id":"ITEM-1","itemData":{"DOI":"10.1890/07-1206.1","ISSN":"00129658","PMID":"18724739","abstract":"Functional diversity is increasingly identified as an important driver of ecosystem functioning. Various indices have been proposed to measure the functional diversity of a community, but there is still no consensus on which are most suitable. Indeed, none of the existing indices meets all the criteria required for general use. The main criteria are that they must be designed to deal with several traits, take into account abundances, and measure all the facets of functional diversity. Here we propose three indices to quantify each facet of functional diversity for a community with species distributed in a multidimensional functional space: functional richness (volume of the functional space occupied by the community), functional evenness (regularity of the distribution of abundance in this volume), and functional divergence (divergence in the distribution of abundance in this volume). Functional richness is estimated using the existing convex hull volume index. The new functional evenness index is based on the minimum spanning tree which links all the species in the multidimensional functional space. Then this new index quantifies the regularity with which species abundances are distributed along the spanning tree. Functional divergence is measured using a novel index which quantifies how species diverge in their distances (weighted by their abundance) from the center of gravity in the functional space. We show that none of the indices meets all the criteria required for a functional diversity index, but instead we show that the set of three complementary indices meets these criteria. Through simulations of artificial data sets, we demonstrate that functional divergence and functional evenness are independent of species richness and that the three functional diversity indices are independent of each other. Overall, our study suggests that decomposition of functional diversity into its three primary components provides a meaningful framework for its quantification and for the classification of existing functional diversity indices. This decomposition has the potential to shed light on the role of biodiversity on ecosystem functioning and on the influence of biotic and abiotic filters on the structure of species communities. Finally, we propose a general framework for applying these three functional diversity indices. © 2008 by the Ecological Society of America.","author":[{"dropping-particle":"","family":"Villéger","given":"Sébastien","non-dropping-particle":"","parse-names":false,"suffix":""},{"dropping-particle":"","family":"Mason","given":"Norman W.H.","non-dropping-particle":"","parse-names":false,"suffix":""},{"dropping-particle":"","family":"Mouillot","given":"David","non-dropping-particle":"","parse-names":false,"suffix":""}],"container-title":"Ecology","id":"ITEM-1","issue":"8","issued":{"date-parts":[["2008"]]},"page":"2290-2301","title":"New multidimensional functional diversity indices for a multifaceted framework in functional ecology","type":"article-journal","volume":"89"},"uris":["http://www.mendeley.com/documents/?uuid=b9a6ee8b-06d1-4ba0-9caa-a7f6c9c467e0"]},{"id":"ITEM-2","itemData":{"DOI":"10.1016/j.tree.2012.10.004","ISSN":"01695347","PMID":"23141923","abstract":"Understanding the processes shaping biological communities under multiple disturbances is a core challenge in ecology and conservation science. Traditionally, ecologists have explored linkages between the severity and type of disturbance and the taxonomic structure of communities. Recent advances in the application of species traits, to assess the functional structure of communities, have provided an alternative approach that responds rapidly and consistently across taxa and ecosystems to multiple disturbances. Importantly, trait-based metrics may provide advanced warning of disturbance to ecosystems because they do not need species loss to be reactive. Here, we synthesize empirical evidence and present a theoretical framework, based on species positions in a functional space, as a tool to reveal the complex nature of change in disturbed ecosystems. © 2012 Elsevier Ltd.","author":[{"dropping-particle":"","family":"Mouillot","given":"David","non-dropping-particle":"","parse-names":false,"suffix":""},{"dropping-particle":"","family":"Graham","given":"Nicholas A.J.","non-dropping-particle":"","parse-names":false,"suffix":""},{"dropping-particle":"","family":"Villéger","given":"Sébastien","non-dropping-particle":"","parse-names":false,"suffix":""},{"dropping-particle":"","family":"Mason","given":"Norman W.H.","non-dropping-particle":"","parse-names":false,"suffix":""},{"dropping-particle":"","family":"Bellwood","given":"David R.","non-dropping-particle":"","parse-names":false,"suffix":""}],"container-title":"Trends in Ecology and Evolution","id":"ITEM-2","issue":"3","issued":{"date-parts":[["2013"]]},"page":"167-177","title":"A functional approach reveals community responses to disturbances","type":"article-journal","volume":"28"},"uris":["http://www.mendeley.com/documents/?uuid=28d48be2-096d-4030-a3aa-3d96ca063c4e"]}],"mendeley":{"formattedCitation":"(Villéger et al. 2008, Mouillot et al. 2013)","plainTextFormattedCitation":"(Villéger et al. 2008, Mouillot et al. 2013)","previouslyFormattedCitation":"(Villéger et al. 2008, Mouillot et al. 2013)"},"properties":{"noteIndex":0},"schema":"https://github.com/citation-style-language/schema/raw/master/csl-citation.json"}</w:instrText>
      </w:r>
      <w:r w:rsidR="00604EE5">
        <w:rPr>
          <w:color w:val="000000"/>
          <w:sz w:val="22"/>
          <w:szCs w:val="22"/>
        </w:rPr>
        <w:fldChar w:fldCharType="separate"/>
      </w:r>
      <w:r w:rsidR="00604EE5" w:rsidRPr="00604EE5">
        <w:rPr>
          <w:noProof/>
          <w:color w:val="000000"/>
          <w:sz w:val="22"/>
          <w:szCs w:val="22"/>
        </w:rPr>
        <w:t>(Villéger et al. 2008, Mouillot et al. 2013)</w:t>
      </w:r>
      <w:r w:rsidR="00604EE5">
        <w:rPr>
          <w:color w:val="000000"/>
          <w:sz w:val="22"/>
          <w:szCs w:val="22"/>
        </w:rPr>
        <w:fldChar w:fldCharType="end"/>
      </w:r>
      <w:r>
        <w:rPr>
          <w:color w:val="000000"/>
          <w:sz w:val="22"/>
          <w:szCs w:val="22"/>
        </w:rPr>
        <w:t>. To obtain these metrics, we first calculated multivariate trait dissimilarity among all species found in all plots using a corrected Gower’s distance</w:t>
      </w:r>
      <w:r w:rsidR="00604EE5">
        <w:rPr>
          <w:color w:val="000000"/>
          <w:sz w:val="22"/>
          <w:szCs w:val="22"/>
        </w:rPr>
        <w:t xml:space="preserve"> </w:t>
      </w:r>
      <w:r w:rsidR="00604EE5">
        <w:rPr>
          <w:color w:val="000000"/>
          <w:sz w:val="22"/>
          <w:szCs w:val="22"/>
        </w:rPr>
        <w:fldChar w:fldCharType="begin" w:fldLock="1"/>
      </w:r>
      <w:r w:rsidR="008473C8">
        <w:rPr>
          <w:color w:val="000000"/>
          <w:sz w:val="22"/>
          <w:szCs w:val="22"/>
        </w:rPr>
        <w:instrText>ADDIN CSL_CITATION {"citationItems":[{"id":"ITEM-1","itemData":{"author":[{"dropping-particle":"","family":"Gower","given":"J. C.","non-dropping-particle":"","parse-names":false,"suffix":""}],"container-title":"Biometrics","id":"ITEM-1","issue":"4","issued":{"date-parts":[["1971"]]},"page":"857-874","title":"A General Coefficient of Similarity and Some of Its Properties","type":"article-journal","volume":"27"},"uris":["http://www.mendeley.com/documents/?uuid=59e9fefd-4ecb-4ab0-a02c-c9f0d940936e"]},{"id":"ITEM-2","itemData":{"DOI":"10.1111/2041-210X.13537","ISSN":"2041210X","abstract":"Functional trait differences between species are key drivers of community assembly and ecosystem functioning. Quantifying these differences routinely requires using approaches like the Gower distance to combine various types of traits into a multi-trait dissimilarity. Without special care, the Gower distance can however produce a multi-trait dissimilarity with a disproportional contribution of certain traits, particularly categorical traits and bundle of correlated traits reflecting similar ecological functions. These effects persist even after applying multivariate analyses traditionally used to reduce trait dimensionality. We propose the ‘gawdis’ R function, and corresponding package, to produce multi-trait dissimilarity with more uniform contributions of different traits, including fuzzy coded ones. The approach is based on minimizing the differences in the correlation between the dissimilarity of each trait, or groups of traits, and the multi-trait dissimilarity. This is done using either an analytical or a numerical solution, both available in the function. Properly taking into account the contribution of multiple traits into multi-trait dissimilarity is key for interpreting the ecological effects of complex species differences. The gawdis r package in CRAN can be further applied to improve equitability in distance-based measures in other field of research, such as social sciences or marketing surveys, which routinely analyse mixed type data.","author":[{"dropping-particle":"","family":"Bello","given":"Francesco","non-dropping-particle":"de","parse-names":false,"suffix":""},{"dropping-particle":"","family":"Botta-Dukát","given":"Zoltán","non-dropping-particle":"","parse-names":false,"suffix":""},{"dropping-particle":"","family":"Lepš","given":"Jan","non-dropping-particle":"","parse-names":false,"suffix":""},{"dropping-particle":"","family":"Fibich","given":"Pavel","non-dropping-particle":"","parse-names":false,"suffix":""}],"container-title":"Methods in Ecology and Evolution","id":"ITEM-2","issue":"3","issued":{"date-parts":[["2021","3","1"]]},"page":"443-448","publisher":"British Ecological Society","title":"Towards a more balanced combination of multiple traits when computing functional differences between species","type":"article-journal","volume":"12"},"uris":["http://www.mendeley.com/documents/?uuid=8b8c1a65-bf64-388a-abcc-6b1fca50adcd"]}],"mendeley":{"formattedCitation":"(Gower 1971, de Bello et al. 2021)","plainTextFormattedCitation":"(Gower 1971, de Bello et al. 2021)","previouslyFormattedCitation":"(Gower 1971, de Bello et al. 2021)"},"properties":{"noteIndex":0},"schema":"https://github.com/citation-style-language/schema/raw/master/csl-citation.json"}</w:instrText>
      </w:r>
      <w:r w:rsidR="00604EE5">
        <w:rPr>
          <w:color w:val="000000"/>
          <w:sz w:val="22"/>
          <w:szCs w:val="22"/>
        </w:rPr>
        <w:fldChar w:fldCharType="separate"/>
      </w:r>
      <w:r w:rsidR="00604EE5" w:rsidRPr="00604EE5">
        <w:rPr>
          <w:noProof/>
          <w:color w:val="000000"/>
          <w:sz w:val="22"/>
          <w:szCs w:val="22"/>
        </w:rPr>
        <w:t>(Gower 1971, de Bello et al. 2021)</w:t>
      </w:r>
      <w:r w:rsidR="00604EE5">
        <w:rPr>
          <w:color w:val="000000"/>
          <w:sz w:val="22"/>
          <w:szCs w:val="22"/>
        </w:rPr>
        <w:fldChar w:fldCharType="end"/>
      </w:r>
      <w:r>
        <w:rPr>
          <w:color w:val="000000"/>
          <w:sz w:val="22"/>
          <w:szCs w:val="22"/>
        </w:rPr>
        <w:t xml:space="preserve">. A corrected Gower’s distance better balances the contribution of trait categories and axes to overall dissimilarity </w:t>
      </w:r>
      <w:r w:rsidR="008473C8">
        <w:rPr>
          <w:color w:val="000000"/>
          <w:sz w:val="22"/>
          <w:szCs w:val="22"/>
        </w:rPr>
        <w:fldChar w:fldCharType="begin" w:fldLock="1"/>
      </w:r>
      <w:r w:rsidR="008473C8">
        <w:rPr>
          <w:color w:val="000000"/>
          <w:sz w:val="22"/>
          <w:szCs w:val="22"/>
        </w:rPr>
        <w:instrText>ADDIN CSL_CITATION {"citationItems":[{"id":"ITEM-1","itemData":{"DOI":"10.1111/2041-210X.13537","ISSN":"2041210X","abstract":"Functional trait differences between species are key drivers of community assembly and ecosystem functioning. Quantifying these differences routinely requires using approaches like the Gower distance to combine various types of traits into a multi-trait dissimilarity. Without special care, the Gower distance can however produce a multi-trait dissimilarity with a disproportional contribution of certain traits, particularly categorical traits and bundle of correlated traits reflecting similar ecological functions. These effects persist even after applying multivariate analyses traditionally used to reduce trait dimensionality. We propose the ‘gawdis’ R function, and corresponding package, to produce multi-trait dissimilarity with more uniform contributions of different traits, including fuzzy coded ones. The approach is based on minimizing the differences in the correlation between the dissimilarity of each trait, or groups of traits, and the multi-trait dissimilarity. This is done using either an analytical or a numerical solution, both available in the function. Properly taking into account the contribution of multiple traits into multi-trait dissimilarity is key for interpreting the ecological effects of complex species differences. The gawdis r package in CRAN can be further applied to improve equitability in distance-based measures in other field of research, such as social sciences or marketing surveys, which routinely analyse mixed type data.","author":[{"dropping-particle":"","family":"Bello","given":"Francesco","non-dropping-particle":"de","parse-names":false,"suffix":""},{"dropping-particle":"","family":"Botta-Dukát","given":"Zoltán","non-dropping-particle":"","parse-names":false,"suffix":""},{"dropping-particle":"","family":"Lepš","given":"Jan","non-dropping-particle":"","parse-names":false,"suffix":""},{"dropping-particle":"","family":"Fibich","given":"Pavel","non-dropping-particle":"","parse-names":false,"suffix":""}],"container-title":"Methods in Ecology and Evolution","id":"ITEM-1","issue":"3","issued":{"date-parts":[["2021","3","1"]]},"page":"443-448","publisher":"British Ecological Society","title":"Towards a more balanced combination of multiple traits when computing functional differences between species","type":"article-journal","volume":"12"},"uris":["http://www.mendeley.com/documents/?uuid=8b8c1a65-bf64-388a-abcc-6b1fca50adcd"]}],"mendeley":{"formattedCitation":"(de Bello et al. 2021)","plainTextFormattedCitation":"(de Bello et al. 2021)","previouslyFormattedCitation":"(de Bello et al. 2021)"},"properties":{"noteIndex":0},"schema":"https://github.com/citation-style-language/schema/raw/master/csl-citation.json"}</w:instrText>
      </w:r>
      <w:r w:rsidR="008473C8">
        <w:rPr>
          <w:color w:val="000000"/>
          <w:sz w:val="22"/>
          <w:szCs w:val="22"/>
        </w:rPr>
        <w:fldChar w:fldCharType="separate"/>
      </w:r>
      <w:r w:rsidR="008473C8" w:rsidRPr="008473C8">
        <w:rPr>
          <w:noProof/>
          <w:color w:val="000000"/>
          <w:sz w:val="22"/>
          <w:szCs w:val="22"/>
        </w:rPr>
        <w:t>(de Bello et al. 2021)</w:t>
      </w:r>
      <w:r w:rsidR="008473C8">
        <w:rPr>
          <w:color w:val="000000"/>
          <w:sz w:val="22"/>
          <w:szCs w:val="22"/>
        </w:rPr>
        <w:fldChar w:fldCharType="end"/>
      </w:r>
      <w:r w:rsidR="008473C8">
        <w:rPr>
          <w:color w:val="000000"/>
          <w:sz w:val="22"/>
          <w:szCs w:val="22"/>
        </w:rPr>
        <w:t xml:space="preserve"> </w:t>
      </w:r>
      <w:r>
        <w:rPr>
          <w:color w:val="000000"/>
          <w:sz w:val="22"/>
          <w:szCs w:val="22"/>
        </w:rPr>
        <w:t xml:space="preserve">and can handle quantitative, semi-quantitative, and qualitative traits </w:t>
      </w:r>
      <w:r w:rsidR="008473C8">
        <w:rPr>
          <w:color w:val="000000"/>
          <w:sz w:val="22"/>
          <w:szCs w:val="22"/>
        </w:rPr>
        <w:fldChar w:fldCharType="begin" w:fldLock="1"/>
      </w:r>
      <w:r w:rsidR="008473C8">
        <w:rPr>
          <w:color w:val="000000"/>
          <w:sz w:val="22"/>
          <w:szCs w:val="22"/>
        </w:rPr>
        <w:instrText>ADDIN CSL_CITATION {"citationItems":[{"id":"ITEM-1","itemData":{"author":[{"dropping-particle":"","family":"Botta-Dukát","given":"Zoltán","non-dropping-particle":"","parse-names":false,"suffix":""}],"container-title":"Journal of Vegetation Science","id":"ITEM-1","issue":"5","issued":{"date-parts":[["2005"]]},"page":"533-540","title":"Rao ' s Quadratic Entropy as a Measure of Functional Diversity Based on Multiple Traits","type":"article-journal","volume":"16"},"uris":["http://www.mendeley.com/documents/?uuid=3627fb19-457b-4980-bfd2-c13e919c8cce"]}],"mendeley":{"formattedCitation":"(Botta-Dukát 2005)","plainTextFormattedCitation":"(Botta-Dukát 2005)","previouslyFormattedCitation":"(Botta-Dukát 2005)"},"properties":{"noteIndex":0},"schema":"https://github.com/citation-style-language/schema/raw/master/csl-citation.json"}</w:instrText>
      </w:r>
      <w:r w:rsidR="008473C8">
        <w:rPr>
          <w:color w:val="000000"/>
          <w:sz w:val="22"/>
          <w:szCs w:val="22"/>
        </w:rPr>
        <w:fldChar w:fldCharType="separate"/>
      </w:r>
      <w:r w:rsidR="008473C8" w:rsidRPr="008473C8">
        <w:rPr>
          <w:noProof/>
          <w:color w:val="000000"/>
          <w:sz w:val="22"/>
          <w:szCs w:val="22"/>
        </w:rPr>
        <w:t>(Botta-Dukát 2005)</w:t>
      </w:r>
      <w:r w:rsidR="008473C8">
        <w:rPr>
          <w:color w:val="000000"/>
          <w:sz w:val="22"/>
          <w:szCs w:val="22"/>
        </w:rPr>
        <w:fldChar w:fldCharType="end"/>
      </w:r>
      <w:r>
        <w:rPr>
          <w:color w:val="000000"/>
          <w:sz w:val="22"/>
          <w:szCs w:val="22"/>
        </w:rPr>
        <w:t>. We designated diet, foraging niche, body mass, beak measurements, and hand-wing index as distinct trait categories, and optimized traits weights for each category and their axes using 300 iterations of the optimization algorithm from the “</w:t>
      </w:r>
      <w:proofErr w:type="spellStart"/>
      <w:r>
        <w:rPr>
          <w:color w:val="000000"/>
          <w:sz w:val="22"/>
          <w:szCs w:val="22"/>
        </w:rPr>
        <w:t>gawdis</w:t>
      </w:r>
      <w:proofErr w:type="spellEnd"/>
      <w:r>
        <w:rPr>
          <w:color w:val="000000"/>
          <w:sz w:val="22"/>
          <w:szCs w:val="22"/>
        </w:rPr>
        <w:t xml:space="preserve">” package </w:t>
      </w:r>
      <w:r w:rsidR="008473C8">
        <w:rPr>
          <w:color w:val="000000"/>
          <w:sz w:val="22"/>
          <w:szCs w:val="22"/>
        </w:rPr>
        <w:fldChar w:fldCharType="begin" w:fldLock="1"/>
      </w:r>
      <w:r w:rsidR="008473C8">
        <w:rPr>
          <w:color w:val="000000"/>
          <w:sz w:val="22"/>
          <w:szCs w:val="22"/>
        </w:rPr>
        <w:instrText>ADDIN CSL_CITATION {"citationItems":[{"id":"ITEM-1","itemData":{"DOI":"10.1111/2041-210X.13537","ISSN":"2041210X","abstract":"Functional trait differences between species are key drivers of community assembly and ecosystem functioning. Quantifying these differences routinely requires using approaches like the Gower distance to combine various types of traits into a multi-trait dissimilarity. Without special care, the Gower distance can however produce a multi-trait dissimilarity with a disproportional contribution of certain traits, particularly categorical traits and bundle of correlated traits reflecting similar ecological functions. These effects persist even after applying multivariate analyses traditionally used to reduce trait dimensionality. We propose the ‘gawdis’ R function, and corresponding package, to produce multi-trait dissimilarity with more uniform contributions of different traits, including fuzzy coded ones. The approach is based on minimizing the differences in the correlation between the dissimilarity of each trait, or groups of traits, and the multi-trait dissimilarity. This is done using either an analytical or a numerical solution, both available in the function. Properly taking into account the contribution of multiple traits into multi-trait dissimilarity is key for interpreting the ecological effects of complex species differences. The gawdis r package in CRAN can be further applied to improve equitability in distance-based measures in other field of research, such as social sciences or marketing surveys, which routinely analyse mixed type data.","author":[{"dropping-particle":"","family":"Bello","given":"Francesco","non-dropping-particle":"de","parse-names":false,"suffix":""},{"dropping-particle":"","family":"Botta-Dukát","given":"Zoltán","non-dropping-particle":"","parse-names":false,"suffix":""},{"dropping-particle":"","family":"Lepš","given":"Jan","non-dropping-particle":"","parse-names":false,"suffix":""},{"dropping-particle":"","family":"Fibich","given":"Pavel","non-dropping-particle":"","parse-names":false,"suffix":""}],"container-title":"Methods in Ecology and Evolution","id":"ITEM-1","issue":"3","issued":{"date-parts":[["2021","3","1"]]},"page":"443-448","publisher":"British Ecological Society","title":"Towards a more balanced combination of multiple traits when computing functional differences between species","type":"article-journal","volume":"12"},"uris":["http://www.mendeley.com/documents/?uuid=8b8c1a65-bf64-388a-abcc-6b1fca50adcd"]}],"mendeley":{"formattedCitation":"(de Bello et al. 2021)","plainTextFormattedCitation":"(de Bello et al. 2021)","previouslyFormattedCitation":"(de Bello et al. 2021)"},"properties":{"noteIndex":0},"schema":"https://github.com/citation-style-language/schema/raw/master/csl-citation.json"}</w:instrText>
      </w:r>
      <w:r w:rsidR="008473C8">
        <w:rPr>
          <w:color w:val="000000"/>
          <w:sz w:val="22"/>
          <w:szCs w:val="22"/>
        </w:rPr>
        <w:fldChar w:fldCharType="separate"/>
      </w:r>
      <w:r w:rsidR="008473C8" w:rsidRPr="008473C8">
        <w:rPr>
          <w:noProof/>
          <w:color w:val="000000"/>
          <w:sz w:val="22"/>
          <w:szCs w:val="22"/>
        </w:rPr>
        <w:t>(de Bello et al. 2021)</w:t>
      </w:r>
      <w:r w:rsidR="008473C8">
        <w:rPr>
          <w:color w:val="000000"/>
          <w:sz w:val="22"/>
          <w:szCs w:val="22"/>
        </w:rPr>
        <w:fldChar w:fldCharType="end"/>
      </w:r>
      <w:r>
        <w:rPr>
          <w:color w:val="000000"/>
          <w:sz w:val="22"/>
          <w:szCs w:val="22"/>
        </w:rPr>
        <w:t>. The resulting multivariate trait dissimilarity matrix was then fed into the function “</w:t>
      </w:r>
      <w:proofErr w:type="spellStart"/>
      <w:r>
        <w:rPr>
          <w:color w:val="000000"/>
          <w:sz w:val="22"/>
          <w:szCs w:val="22"/>
        </w:rPr>
        <w:t>dbFD</w:t>
      </w:r>
      <w:proofErr w:type="spellEnd"/>
      <w:r>
        <w:rPr>
          <w:color w:val="000000"/>
          <w:sz w:val="22"/>
          <w:szCs w:val="22"/>
        </w:rPr>
        <w:t xml:space="preserve">” in the R package “FD”, along </w:t>
      </w:r>
      <w:r>
        <w:rPr>
          <w:color w:val="000000"/>
          <w:sz w:val="22"/>
          <w:szCs w:val="22"/>
        </w:rPr>
        <w:lastRenderedPageBreak/>
        <w:t xml:space="preserve">with a plot-level abundance matrix, to quantify </w:t>
      </w:r>
      <w:proofErr w:type="spellStart"/>
      <w:r>
        <w:rPr>
          <w:color w:val="000000"/>
          <w:sz w:val="22"/>
          <w:szCs w:val="22"/>
        </w:rPr>
        <w:t>FRich</w:t>
      </w:r>
      <w:proofErr w:type="spellEnd"/>
      <w:r>
        <w:rPr>
          <w:color w:val="000000"/>
          <w:sz w:val="22"/>
          <w:szCs w:val="22"/>
        </w:rPr>
        <w:t xml:space="preserve">, </w:t>
      </w:r>
      <w:proofErr w:type="spellStart"/>
      <w:r>
        <w:rPr>
          <w:color w:val="000000"/>
          <w:sz w:val="22"/>
          <w:szCs w:val="22"/>
        </w:rPr>
        <w:t>FEven</w:t>
      </w:r>
      <w:proofErr w:type="spellEnd"/>
      <w:r>
        <w:rPr>
          <w:color w:val="000000"/>
          <w:sz w:val="22"/>
          <w:szCs w:val="22"/>
        </w:rPr>
        <w:t xml:space="preserve">, and </w:t>
      </w:r>
      <w:proofErr w:type="spellStart"/>
      <w:r>
        <w:rPr>
          <w:color w:val="000000"/>
          <w:sz w:val="22"/>
          <w:szCs w:val="22"/>
        </w:rPr>
        <w:t>FDiv</w:t>
      </w:r>
      <w:proofErr w:type="spellEnd"/>
      <w:r>
        <w:rPr>
          <w:color w:val="000000"/>
          <w:sz w:val="22"/>
          <w:szCs w:val="22"/>
        </w:rPr>
        <w:t xml:space="preserve"> </w:t>
      </w:r>
      <w:r w:rsidR="008473C8">
        <w:rPr>
          <w:color w:val="000000"/>
          <w:sz w:val="22"/>
          <w:szCs w:val="22"/>
        </w:rPr>
        <w:fldChar w:fldCharType="begin" w:fldLock="1"/>
      </w:r>
      <w:r w:rsidR="008473C8">
        <w:rPr>
          <w:color w:val="000000"/>
          <w:sz w:val="22"/>
          <w:szCs w:val="22"/>
        </w:rPr>
        <w:instrText>ADDIN CSL_CITATION {"citationItems":[{"id":"ITEM-1","itemData":{"author":[{"dropping-particle":"","family":"Laliberté","given":"Author Etienne","non-dropping-particle":"","parse-names":false,"suffix":""},{"dropping-particle":"","family":"Legendre","given":"Pierre","non-dropping-particle":"","parse-names":false,"suffix":""},{"dropping-particle":"","family":"Shipley","given":"Bill","non-dropping-particle":"","parse-names":false,"suffix":""},{"dropping-particle":"","family":"Laliberté","given":"Maintainer Etienne","non-dropping-particle":"","parse-names":false,"suffix":""}],"id":"ITEM-1","issued":{"date-parts":[["2023"]]},"number":"1.0-12.3","title":"Package ‘ FD ’","type":"article"},"uris":["http://www.mendeley.com/documents/?uuid=f6fffafc-9b05-43ad-abf1-c5794cd45f3f"]}],"mendeley":{"formattedCitation":"(Laliberté et al. 2023)","plainTextFormattedCitation":"(Laliberté et al. 2023)","previouslyFormattedCitation":"(Laliberté et al. 2023)"},"properties":{"noteIndex":0},"schema":"https://github.com/citation-style-language/schema/raw/master/csl-citation.json"}</w:instrText>
      </w:r>
      <w:r w:rsidR="008473C8">
        <w:rPr>
          <w:color w:val="000000"/>
          <w:sz w:val="22"/>
          <w:szCs w:val="22"/>
        </w:rPr>
        <w:fldChar w:fldCharType="separate"/>
      </w:r>
      <w:r w:rsidR="008473C8" w:rsidRPr="008473C8">
        <w:rPr>
          <w:noProof/>
          <w:color w:val="000000"/>
          <w:sz w:val="22"/>
          <w:szCs w:val="22"/>
        </w:rPr>
        <w:t>(Laliberté et al. 2023)</w:t>
      </w:r>
      <w:r w:rsidR="008473C8">
        <w:rPr>
          <w:color w:val="000000"/>
          <w:sz w:val="22"/>
          <w:szCs w:val="22"/>
        </w:rPr>
        <w:fldChar w:fldCharType="end"/>
      </w:r>
      <w:r>
        <w:rPr>
          <w:color w:val="000000"/>
          <w:sz w:val="22"/>
          <w:szCs w:val="22"/>
        </w:rPr>
        <w:t xml:space="preserve">. </w:t>
      </w:r>
      <w:proofErr w:type="spellStart"/>
      <w:r>
        <w:rPr>
          <w:color w:val="000000"/>
          <w:sz w:val="22"/>
          <w:szCs w:val="22"/>
        </w:rPr>
        <w:t>FRich</w:t>
      </w:r>
      <w:proofErr w:type="spellEnd"/>
      <w:r>
        <w:rPr>
          <w:color w:val="000000"/>
          <w:sz w:val="22"/>
          <w:szCs w:val="22"/>
        </w:rPr>
        <w:t xml:space="preserve"> was quantified as a minimum convex polygon, </w:t>
      </w:r>
      <w:proofErr w:type="spellStart"/>
      <w:r>
        <w:rPr>
          <w:color w:val="000000"/>
          <w:sz w:val="22"/>
          <w:szCs w:val="22"/>
        </w:rPr>
        <w:t>FEven</w:t>
      </w:r>
      <w:proofErr w:type="spellEnd"/>
      <w:r>
        <w:rPr>
          <w:color w:val="000000"/>
          <w:sz w:val="22"/>
          <w:szCs w:val="22"/>
        </w:rPr>
        <w:t xml:space="preserve"> was quantified as the minimum spanning distance between all species in the trait space, and </w:t>
      </w:r>
      <w:proofErr w:type="spellStart"/>
      <w:r>
        <w:rPr>
          <w:color w:val="000000"/>
          <w:sz w:val="22"/>
          <w:szCs w:val="22"/>
        </w:rPr>
        <w:t>FDiv</w:t>
      </w:r>
      <w:proofErr w:type="spellEnd"/>
      <w:r>
        <w:rPr>
          <w:color w:val="000000"/>
          <w:sz w:val="22"/>
          <w:szCs w:val="22"/>
        </w:rPr>
        <w:t xml:space="preserve"> was quantified as the average distance of all species to the centroid of the trait space. </w:t>
      </w:r>
    </w:p>
    <w:p w14:paraId="00000037" w14:textId="0660E91E" w:rsidR="006B16C2" w:rsidRDefault="00EB0728">
      <w:pPr>
        <w:spacing w:line="480" w:lineRule="auto"/>
        <w:ind w:firstLine="720"/>
        <w:rPr>
          <w:color w:val="000000"/>
          <w:sz w:val="22"/>
          <w:szCs w:val="22"/>
        </w:rPr>
      </w:pPr>
      <w:proofErr w:type="spellStart"/>
      <w:r>
        <w:rPr>
          <w:color w:val="000000"/>
          <w:sz w:val="22"/>
          <w:szCs w:val="22"/>
        </w:rPr>
        <w:t>FRich</w:t>
      </w:r>
      <w:proofErr w:type="spellEnd"/>
      <w:r>
        <w:rPr>
          <w:color w:val="000000"/>
          <w:sz w:val="22"/>
          <w:szCs w:val="22"/>
        </w:rPr>
        <w:t xml:space="preserve"> is closely correlated with species richness</w:t>
      </w:r>
      <w:r w:rsidR="008E0F49">
        <w:rPr>
          <w:color w:val="000000"/>
          <w:sz w:val="22"/>
          <w:szCs w:val="22"/>
        </w:rPr>
        <w:t xml:space="preserve"> </w:t>
      </w:r>
      <w:r w:rsidR="008473C8">
        <w:rPr>
          <w:color w:val="000000"/>
          <w:sz w:val="22"/>
          <w:szCs w:val="22"/>
        </w:rPr>
        <w:fldChar w:fldCharType="begin" w:fldLock="1"/>
      </w:r>
      <w:r w:rsidR="008E0F49">
        <w:rPr>
          <w:color w:val="000000"/>
          <w:sz w:val="22"/>
          <w:szCs w:val="22"/>
        </w:rPr>
        <w:instrText>ADDIN CSL_CITATION {"citationItems":[{"id":"ITEM-1","itemData":{"DOI":"10.1890/0012-9658(2006)87[1465:ATTFHF]2.0.CO;2","ISSN":"00129658","PMID":"16869422","abstract":"Community assembly theory suggests that two processes affect the distribution of trait values within communities: competition and habitat filtering. Within a local community, competition leads to ecological differentiation of coexisting species, while habitat filtering reduces the spread of trait values, reflecting shared ecological tolerances. Many statistical tests for the effects of competition exist in the literature, but measures of habitat filtering are less well-developed. Here, we present convex hull volume, a construct from computational geometry, which provides an n-dimensional measure of the volume of trait space occupied by species in a community. Combined with ecological null models, this measure offers a useful test for habitat filtering. We use convex hull volume and a null model to analyze California woody-plant trait and community data. Our results show that observed plant communities occupy less trait space than expected from random assembly, a result consistent with habitat filtering. © 2006 by the Ecological Society of America.","author":[{"dropping-particle":"","family":"Cornwell","given":"William K.","non-dropping-particle":"","parse-names":false,"suffix":""},{"dropping-particle":"","family":"Schwilk","given":"Dylan W.","non-dropping-particle":"","parse-names":false,"suffix":""},{"dropping-particle":"","family":"Ackerly","given":"David D.","non-dropping-particle":"","parse-names":false,"suffix":""}],"container-title":"Ecology","id":"ITEM-1","issue":"6","issued":{"date-parts":[["2006"]]},"page":"1465-1471","title":"A trait-based test for habitat filtering: Convex hull volume","type":"article-journal","volume":"87"},"uris":["http://www.mendeley.com/documents/?uuid=2e5100e2-6a7e-4316-8a12-dea8f695e2b7"]}],"mendeley":{"formattedCitation":"(Cornwell et al. 2006)","plainTextFormattedCitation":"(Cornwell et al. 2006)","previouslyFormattedCitation":"(Cornwell et al. 2006)"},"properties":{"noteIndex":0},"schema":"https://github.com/citation-style-language/schema/raw/master/csl-citation.json"}</w:instrText>
      </w:r>
      <w:r w:rsidR="008473C8">
        <w:rPr>
          <w:color w:val="000000"/>
          <w:sz w:val="22"/>
          <w:szCs w:val="22"/>
        </w:rPr>
        <w:fldChar w:fldCharType="separate"/>
      </w:r>
      <w:r w:rsidR="008473C8" w:rsidRPr="008473C8">
        <w:rPr>
          <w:noProof/>
          <w:color w:val="000000"/>
          <w:sz w:val="22"/>
          <w:szCs w:val="22"/>
        </w:rPr>
        <w:t>(Cornwell et al. 2006)</w:t>
      </w:r>
      <w:r w:rsidR="008473C8">
        <w:rPr>
          <w:color w:val="000000"/>
          <w:sz w:val="22"/>
          <w:szCs w:val="22"/>
        </w:rPr>
        <w:fldChar w:fldCharType="end"/>
      </w:r>
      <w:r>
        <w:rPr>
          <w:color w:val="000000"/>
          <w:sz w:val="22"/>
          <w:szCs w:val="22"/>
        </w:rPr>
        <w:t xml:space="preserve">. To correct for this association, we generated a null model expectation for each NEON plot. We first reshuffled (100 times) species abundance estimates using random independent swaps between plots within each NEON Domain, while keeping plot-level species richness constant. For each NEON plot, only species whose range boundaries overlapped with the NEON Domain of that plot were allowed to “appear” in that assemblage. For each of the 100 null communities, we calculated the resulting null expectation of </w:t>
      </w:r>
      <w:proofErr w:type="spellStart"/>
      <w:r>
        <w:rPr>
          <w:color w:val="000000"/>
          <w:sz w:val="22"/>
          <w:szCs w:val="22"/>
        </w:rPr>
        <w:t>FRich</w:t>
      </w:r>
      <w:proofErr w:type="spellEnd"/>
      <w:r>
        <w:rPr>
          <w:color w:val="000000"/>
          <w:sz w:val="22"/>
          <w:szCs w:val="22"/>
        </w:rPr>
        <w:t xml:space="preserve">. Finally, we calculated the standardized effect sizes (SES) of the deviation of the observed values of </w:t>
      </w:r>
      <w:proofErr w:type="spellStart"/>
      <w:r>
        <w:rPr>
          <w:color w:val="000000"/>
          <w:sz w:val="22"/>
          <w:szCs w:val="22"/>
        </w:rPr>
        <w:t>FRich</w:t>
      </w:r>
      <w:proofErr w:type="spellEnd"/>
      <w:r>
        <w:rPr>
          <w:color w:val="000000"/>
          <w:sz w:val="22"/>
          <w:szCs w:val="22"/>
        </w:rPr>
        <w:t xml:space="preserve"> from those expected given species richness as </w:t>
      </w:r>
      <m:oMath>
        <m:r>
          <w:rPr>
            <w:rFonts w:ascii="Cambria Math" w:eastAsia="Cambria Math" w:hAnsi="Cambria Math" w:cs="Cambria Math"/>
            <w:sz w:val="22"/>
            <w:szCs w:val="22"/>
          </w:rPr>
          <m:t>SES=(</m:t>
        </m:r>
        <m:sSub>
          <m:sSubPr>
            <m:ctrlPr>
              <w:rPr>
                <w:rFonts w:ascii="Cambria Math" w:eastAsia="Cambria Math" w:hAnsi="Cambria Math" w:cs="Cambria Math"/>
                <w:sz w:val="22"/>
                <w:szCs w:val="22"/>
              </w:rPr>
            </m:ctrlPr>
          </m:sSubPr>
          <m:e>
            <m:r>
              <w:rPr>
                <w:rFonts w:ascii="Cambria Math" w:eastAsia="Cambria Math" w:hAnsi="Cambria Math" w:cs="Cambria Math"/>
                <w:sz w:val="22"/>
                <w:szCs w:val="22"/>
              </w:rPr>
              <m:t>μ</m:t>
            </m:r>
          </m:e>
          <m:sub>
            <m:r>
              <w:rPr>
                <w:rFonts w:ascii="Cambria Math" w:eastAsia="Cambria Math" w:hAnsi="Cambria Math" w:cs="Cambria Math"/>
                <w:sz w:val="22"/>
                <w:szCs w:val="22"/>
              </w:rPr>
              <m:t>obs</m:t>
            </m:r>
          </m:sub>
        </m:sSub>
        <m:r>
          <w:rPr>
            <w:rFonts w:ascii="Cambria Math" w:eastAsia="Cambria Math" w:hAnsi="Cambria Math" w:cs="Cambria Math"/>
            <w:sz w:val="22"/>
            <w:szCs w:val="22"/>
          </w:rPr>
          <m:t>-</m:t>
        </m:r>
        <m:sSub>
          <m:sSubPr>
            <m:ctrlPr>
              <w:rPr>
                <w:rFonts w:ascii="Cambria Math" w:eastAsia="Cambria Math" w:hAnsi="Cambria Math" w:cs="Cambria Math"/>
                <w:sz w:val="22"/>
                <w:szCs w:val="22"/>
              </w:rPr>
            </m:ctrlPr>
          </m:sSubPr>
          <m:e>
            <m:r>
              <w:rPr>
                <w:rFonts w:ascii="Cambria Math" w:eastAsia="Cambria Math" w:hAnsi="Cambria Math" w:cs="Cambria Math"/>
                <w:sz w:val="22"/>
                <w:szCs w:val="22"/>
              </w:rPr>
              <m:t>μ</m:t>
            </m:r>
          </m:e>
          <m:sub>
            <m:r>
              <w:rPr>
                <w:rFonts w:ascii="Cambria Math" w:eastAsia="Cambria Math" w:hAnsi="Cambria Math" w:cs="Cambria Math"/>
                <w:sz w:val="22"/>
                <w:szCs w:val="22"/>
              </w:rPr>
              <m:t>null</m:t>
            </m:r>
          </m:sub>
        </m:sSub>
        <m:r>
          <w:rPr>
            <w:rFonts w:ascii="Cambria Math" w:eastAsia="Cambria Math" w:hAnsi="Cambria Math" w:cs="Cambria Math"/>
            <w:sz w:val="22"/>
            <w:szCs w:val="22"/>
          </w:rPr>
          <m:t>)/</m:t>
        </m:r>
        <m:sSub>
          <m:sSubPr>
            <m:ctrlPr>
              <w:rPr>
                <w:rFonts w:ascii="Cambria Math" w:eastAsia="Cambria Math" w:hAnsi="Cambria Math" w:cs="Cambria Math"/>
                <w:sz w:val="22"/>
                <w:szCs w:val="22"/>
              </w:rPr>
            </m:ctrlPr>
          </m:sSubPr>
          <m:e>
            <m:r>
              <w:rPr>
                <w:rFonts w:ascii="Cambria Math" w:eastAsia="Cambria Math" w:hAnsi="Cambria Math" w:cs="Cambria Math"/>
                <w:sz w:val="22"/>
                <w:szCs w:val="22"/>
              </w:rPr>
              <m:t>sd</m:t>
            </m:r>
          </m:e>
          <m:sub>
            <m:r>
              <w:rPr>
                <w:rFonts w:ascii="Cambria Math" w:eastAsia="Cambria Math" w:hAnsi="Cambria Math" w:cs="Cambria Math"/>
                <w:sz w:val="22"/>
                <w:szCs w:val="22"/>
              </w:rPr>
              <m:t>null</m:t>
            </m:r>
          </m:sub>
        </m:sSub>
      </m:oMath>
      <w:r>
        <w:rPr>
          <w:sz w:val="22"/>
          <w:szCs w:val="22"/>
        </w:rPr>
        <w:t xml:space="preserve">, with </w:t>
      </w:r>
      <m:oMath>
        <m:r>
          <w:rPr>
            <w:rFonts w:ascii="Cambria Math" w:hAnsi="Cambria Math"/>
          </w:rPr>
          <m:t>μ</m:t>
        </m:r>
      </m:oMath>
      <w:r>
        <w:rPr>
          <w:sz w:val="22"/>
          <w:szCs w:val="22"/>
        </w:rPr>
        <w:t xml:space="preserve"> representing mean values and</w:t>
      </w:r>
      <m:oMath>
        <m:r>
          <w:rPr>
            <w:rFonts w:ascii="Cambria Math" w:eastAsia="Cambria Math" w:hAnsi="Cambria Math" w:cs="Cambria Math"/>
            <w:sz w:val="22"/>
            <w:szCs w:val="22"/>
          </w:rPr>
          <m:t xml:space="preserve"> sd</m:t>
        </m:r>
      </m:oMath>
      <w:r>
        <w:rPr>
          <w:sz w:val="22"/>
          <w:szCs w:val="22"/>
        </w:rPr>
        <w:t xml:space="preserve"> representing standard deviation</w:t>
      </w:r>
      <w:r>
        <w:rPr>
          <w:color w:val="000000"/>
          <w:sz w:val="22"/>
          <w:szCs w:val="22"/>
        </w:rPr>
        <w:t xml:space="preserve">. SES were considered species richness-corrected values of </w:t>
      </w:r>
      <w:proofErr w:type="spellStart"/>
      <w:r>
        <w:rPr>
          <w:color w:val="000000"/>
          <w:sz w:val="22"/>
          <w:szCs w:val="22"/>
        </w:rPr>
        <w:t>FRich</w:t>
      </w:r>
      <w:proofErr w:type="spellEnd"/>
      <w:r>
        <w:rPr>
          <w:color w:val="000000"/>
          <w:sz w:val="22"/>
          <w:szCs w:val="22"/>
        </w:rPr>
        <w:t xml:space="preserve"> (</w:t>
      </w:r>
      <w:proofErr w:type="spellStart"/>
      <w:r>
        <w:rPr>
          <w:color w:val="000000"/>
          <w:sz w:val="22"/>
          <w:szCs w:val="22"/>
        </w:rPr>
        <w:t>FRich</w:t>
      </w:r>
      <w:r>
        <w:rPr>
          <w:color w:val="000000"/>
          <w:sz w:val="22"/>
          <w:szCs w:val="22"/>
          <w:vertAlign w:val="subscript"/>
        </w:rPr>
        <w:t>SES</w:t>
      </w:r>
      <w:proofErr w:type="spellEnd"/>
      <w:r>
        <w:rPr>
          <w:color w:val="000000"/>
          <w:sz w:val="22"/>
          <w:szCs w:val="22"/>
        </w:rPr>
        <w:t xml:space="preserve">) and used in all subsequent analyses. </w:t>
      </w:r>
      <w:proofErr w:type="spellStart"/>
      <w:r>
        <w:rPr>
          <w:color w:val="000000"/>
          <w:sz w:val="22"/>
          <w:szCs w:val="22"/>
        </w:rPr>
        <w:t>FEven</w:t>
      </w:r>
      <w:proofErr w:type="spellEnd"/>
      <w:r>
        <w:rPr>
          <w:color w:val="000000"/>
          <w:sz w:val="22"/>
          <w:szCs w:val="22"/>
        </w:rPr>
        <w:t xml:space="preserve"> and </w:t>
      </w:r>
      <w:proofErr w:type="spellStart"/>
      <w:r>
        <w:rPr>
          <w:color w:val="000000"/>
          <w:sz w:val="22"/>
          <w:szCs w:val="22"/>
        </w:rPr>
        <w:t>FDiv</w:t>
      </w:r>
      <w:proofErr w:type="spellEnd"/>
      <w:r>
        <w:rPr>
          <w:color w:val="000000"/>
          <w:sz w:val="22"/>
          <w:szCs w:val="22"/>
        </w:rPr>
        <w:t xml:space="preserve"> are abundance-weighted and not related to species richness, and thus not requiring a correction </w:t>
      </w:r>
      <w:r w:rsidR="008E0F49">
        <w:rPr>
          <w:color w:val="000000"/>
          <w:sz w:val="22"/>
          <w:szCs w:val="22"/>
        </w:rPr>
        <w:fldChar w:fldCharType="begin" w:fldLock="1"/>
      </w:r>
      <w:r w:rsidR="008E0F49">
        <w:rPr>
          <w:color w:val="000000"/>
          <w:sz w:val="22"/>
          <w:szCs w:val="22"/>
        </w:rPr>
        <w:instrText>ADDIN CSL_CITATION {"citationItems":[{"id":"ITEM-1","itemData":{"DOI":"10.1890/08-2244.1","ISSN":"00129658","PMID":"20380219","abstract":"A new framework for measuring functional diversity (FD) from multiple traits has recently been proposed. This framework was mostly limited to quantitative traits without missing values and to situations in which there are more species than traits, although the authors had suggested a way to extend their framework to other trait types. The main purpose of this note is to further develop this suggestion. We describe a highly flexible distance-based framework to measure different facets of FD in multidimensional trait space from any distance or dissimilarity measure, any number of traits, and from different trait types (i.e., quantitative, semi-quantitative, and qualitative). This new approach allows for missing trait values and the weighting of individual traits. We also present a new multidimensional FD index, called functional dispersion (FDis), which is closely related to Rao's quadratic entropy. FDis is the multivariate analogue of the weighted mean absolute deviation (MAD), in which the weights are species relative abundances. For unweighted presence - absence data, FDis can be used for a formal statistical test of differences in FD. We provide the \"FD\" R language package to easily implement our distance-based FD framework. © 2010 by the Ecological society of America.","author":[{"dropping-particle":"","family":"Laliberte","given":"Etienne","non-dropping-particle":"","parse-names":false,"suffix":""},{"dropping-particle":"","family":"Legendre","given":"Pierre","non-dropping-particle":"","parse-names":false,"suffix":""}],"container-title":"Ecology","id":"ITEM-1","issue":"1","issued":{"date-parts":[["2010"]]},"page":"299-305","title":"A distance-based framework for measuring functional diversity from multiple traits","type":"article-journal","volume":"91"},"uris":["http://www.mendeley.com/documents/?uuid=e5c62f9b-1fc2-4ced-9bce-4c7faf267ced"]}],"mendeley":{"formattedCitation":"(Laliberte and Legendre 2010)","plainTextFormattedCitation":"(Laliberte and Legendre 2010)","previouslyFormattedCitation":"(Laliberte and Legendre 2010)"},"properties":{"noteIndex":0},"schema":"https://github.com/citation-style-language/schema/raw/master/csl-citation.json"}</w:instrText>
      </w:r>
      <w:r w:rsidR="008E0F49">
        <w:rPr>
          <w:color w:val="000000"/>
          <w:sz w:val="22"/>
          <w:szCs w:val="22"/>
        </w:rPr>
        <w:fldChar w:fldCharType="separate"/>
      </w:r>
      <w:r w:rsidR="008E0F49" w:rsidRPr="008E0F49">
        <w:rPr>
          <w:noProof/>
          <w:color w:val="000000"/>
          <w:sz w:val="22"/>
          <w:szCs w:val="22"/>
        </w:rPr>
        <w:t>(Laliberte and Legendre 2010)</w:t>
      </w:r>
      <w:r w:rsidR="008E0F49">
        <w:rPr>
          <w:color w:val="000000"/>
          <w:sz w:val="22"/>
          <w:szCs w:val="22"/>
        </w:rPr>
        <w:fldChar w:fldCharType="end"/>
      </w:r>
      <w:r>
        <w:rPr>
          <w:color w:val="000000"/>
          <w:sz w:val="22"/>
          <w:szCs w:val="22"/>
        </w:rPr>
        <w:t>.</w:t>
      </w:r>
    </w:p>
    <w:p w14:paraId="00000038" w14:textId="567BF92F" w:rsidR="006B16C2" w:rsidRDefault="00EB0728">
      <w:pPr>
        <w:spacing w:line="480" w:lineRule="auto"/>
        <w:ind w:firstLine="720"/>
        <w:rPr>
          <w:color w:val="000000"/>
          <w:sz w:val="22"/>
          <w:szCs w:val="22"/>
        </w:rPr>
      </w:pPr>
      <w:r>
        <w:rPr>
          <w:color w:val="000000"/>
          <w:sz w:val="22"/>
          <w:szCs w:val="22"/>
        </w:rPr>
        <w:t>We additionally quantified the prevalence of different trait characteristics in each assemblage. First, using the Gower’s distance matrix for each pairwise combination of species, we ran a Principal Coordinate Analysis (</w:t>
      </w:r>
      <w:proofErr w:type="spellStart"/>
      <w:r>
        <w:rPr>
          <w:color w:val="000000"/>
          <w:sz w:val="22"/>
          <w:szCs w:val="22"/>
        </w:rPr>
        <w:t>PCoA</w:t>
      </w:r>
      <w:proofErr w:type="spellEnd"/>
      <w:r>
        <w:rPr>
          <w:color w:val="000000"/>
          <w:sz w:val="22"/>
          <w:szCs w:val="22"/>
        </w:rPr>
        <w:t>) using the “</w:t>
      </w:r>
      <w:proofErr w:type="spellStart"/>
      <w:r>
        <w:rPr>
          <w:color w:val="000000"/>
          <w:sz w:val="22"/>
          <w:szCs w:val="22"/>
        </w:rPr>
        <w:t>cmdscale</w:t>
      </w:r>
      <w:proofErr w:type="spellEnd"/>
      <w:r>
        <w:rPr>
          <w:color w:val="000000"/>
          <w:sz w:val="22"/>
          <w:szCs w:val="22"/>
        </w:rPr>
        <w:t>” function in the “stats” R package. Diagnostic plots were run using the “</w:t>
      </w:r>
      <w:proofErr w:type="spellStart"/>
      <w:r>
        <w:rPr>
          <w:color w:val="000000"/>
          <w:sz w:val="22"/>
          <w:szCs w:val="22"/>
        </w:rPr>
        <w:t>mFD</w:t>
      </w:r>
      <w:proofErr w:type="spellEnd"/>
      <w:r>
        <w:rPr>
          <w:color w:val="000000"/>
          <w:sz w:val="22"/>
          <w:szCs w:val="22"/>
        </w:rPr>
        <w:t>” package’s “</w:t>
      </w:r>
      <w:proofErr w:type="spellStart"/>
      <w:r>
        <w:rPr>
          <w:color w:val="000000"/>
          <w:sz w:val="22"/>
          <w:szCs w:val="22"/>
        </w:rPr>
        <w:t>quality.fspaces.plot</w:t>
      </w:r>
      <w:proofErr w:type="spellEnd"/>
      <w:r>
        <w:rPr>
          <w:color w:val="000000"/>
          <w:sz w:val="22"/>
          <w:szCs w:val="22"/>
        </w:rPr>
        <w:t xml:space="preserve">” function </w:t>
      </w:r>
      <w:r w:rsidR="008E0F49">
        <w:rPr>
          <w:color w:val="000000"/>
          <w:sz w:val="22"/>
          <w:szCs w:val="22"/>
        </w:rPr>
        <w:fldChar w:fldCharType="begin" w:fldLock="1"/>
      </w:r>
      <w:r w:rsidR="008E0F49">
        <w:rPr>
          <w:color w:val="000000"/>
          <w:sz w:val="22"/>
          <w:szCs w:val="22"/>
        </w:rPr>
        <w:instrText>ADDIN CSL_CITATION {"citationItems":[{"id":"ITEM-1","itemData":{"DOI":"10.1111/ecog.05904","ISBN":"0000000264","ISSN":"16000587","abstract":"Functional diversity (FD), the diversity of organism attributes that relates to their interactions with the abiotic and biotic environment, has been increasingly used for the last two decades in ecology, biogeography and conservation. Yet, FD has many facets and their estimations are not standardized nor embedded in a single tool. mFD (multifaceted functional diversity) is an R package that uses matrices of species assemblages and species trait values as building blocks to compute most FD indices. mFD is firstly based on two functions allowing the user to summarize trait and assemblage data. Then it calculates trait-based distances between species pairs, informs the user whether species have to be clustered into functional entities and finally computes multidimensional functional space. To let the user choose the most appropriate functional space for computing multidimensional functional diversity indices, two mFD functions allow assessing and illustrating the quality of each functional space. Next, mFD provides 6 core functions to calculate 16 existing FD indices based on trait-based distances, functional entities or species position in a functional space. The mFD package also provides graphical functions based on the ggplot library to illustrate FD values through customizable and high-resolution plots of species distribution among functional entities or in a multidimensional space. All functions include internal validation processes to check for errors in data formatting which return detailed error messages. To facilitate the use of mFD framework, we built an associated website hosting five tutorials illustrating the use of all the functions step by step.","author":[{"dropping-particle":"","family":"Magneville","given":"Camille","non-dropping-particle":"","parse-names":false,"suffix":""},{"dropping-particle":"","family":"Loiseau","given":"Nicolas","non-dropping-particle":"","parse-names":false,"suffix":""},{"dropping-particle":"","family":"Albouy","given":"Camille","non-dropping-particle":"","parse-names":false,"suffix":""},{"dropping-particle":"","family":"Casajus","given":"Nicolas","non-dropping-particle":"","parse-names":false,"suffix":""},{"dropping-particle":"","family":"Claverie","given":"Thomas","non-dropping-particle":"","parse-names":false,"suffix":""},{"dropping-particle":"","family":"Escalas","given":"Arthur","non-dropping-particle":"","parse-names":false,"suffix":""},{"dropping-particle":"","family":"Leprieur","given":"Fabien","non-dropping-particle":"","parse-names":false,"suffix":""},{"dropping-particle":"","family":"Maire","given":"Eva","non-dropping-particle":"","parse-names":false,"suffix":""},{"dropping-particle":"","family":"Mouillot","given":"David","non-dropping-particle":"","parse-names":false,"suffix":""},{"dropping-particle":"","family":"Villéger","given":"Sébastien","non-dropping-particle":"","parse-names":false,"suffix":""}],"container-title":"Ecography","id":"ITEM-1","issue":"1","issued":{"date-parts":[["2022"]]},"page":"1-15","title":"mFD: an R package to compute and illustrate the multiple facets of functional diversity","type":"article-journal","volume":"2022"},"uris":["http://www.mendeley.com/documents/?uuid=54a59c9f-593b-47e3-8189-b479caf33148"]}],"mendeley":{"formattedCitation":"(Magneville et al. 2022)","plainTextFormattedCitation":"(Magneville et al. 2022)","previouslyFormattedCitation":"(Magneville et al. 2022)"},"properties":{"noteIndex":0},"schema":"https://github.com/citation-style-language/schema/raw/master/csl-citation.json"}</w:instrText>
      </w:r>
      <w:r w:rsidR="008E0F49">
        <w:rPr>
          <w:color w:val="000000"/>
          <w:sz w:val="22"/>
          <w:szCs w:val="22"/>
        </w:rPr>
        <w:fldChar w:fldCharType="separate"/>
      </w:r>
      <w:r w:rsidR="008E0F49" w:rsidRPr="008E0F49">
        <w:rPr>
          <w:noProof/>
          <w:color w:val="000000"/>
          <w:sz w:val="22"/>
          <w:szCs w:val="22"/>
        </w:rPr>
        <w:t>(Magneville et al. 2022)</w:t>
      </w:r>
      <w:r w:rsidR="008E0F49">
        <w:rPr>
          <w:color w:val="000000"/>
          <w:sz w:val="22"/>
          <w:szCs w:val="22"/>
        </w:rPr>
        <w:fldChar w:fldCharType="end"/>
      </w:r>
      <w:r>
        <w:rPr>
          <w:color w:val="000000"/>
          <w:sz w:val="22"/>
          <w:szCs w:val="22"/>
        </w:rPr>
        <w:t xml:space="preserve">, which found improved fit at the fourth principal coordinate (PC) axis (see </w:t>
      </w:r>
      <w:r>
        <w:rPr>
          <w:sz w:val="22"/>
          <w:szCs w:val="22"/>
        </w:rPr>
        <w:t>S</w:t>
      </w:r>
      <w:r>
        <w:rPr>
          <w:color w:val="000000"/>
          <w:sz w:val="22"/>
          <w:szCs w:val="22"/>
        </w:rPr>
        <w:t xml:space="preserve">upporting information); we thus retained the first four principal coordinates (PC) axes for further analysis. PC scores associated with each species, weighted by their plot-level abundance estimates </w:t>
      </w:r>
      <m:oMath>
        <m:acc>
          <m:accPr>
            <m:ctrlPr>
              <w:rPr>
                <w:rFonts w:ascii="Cambria Math" w:eastAsia="Cambria Math" w:hAnsi="Cambria Math" w:cs="Cambria Math"/>
                <w:sz w:val="22"/>
                <w:szCs w:val="22"/>
              </w:rPr>
            </m:ctrlPr>
          </m:accPr>
          <m:e>
            <m:r>
              <w:rPr>
                <w:rFonts w:ascii="Cambria Math" w:eastAsia="Cambria Math" w:hAnsi="Cambria Math" w:cs="Cambria Math"/>
                <w:sz w:val="22"/>
                <w:szCs w:val="22"/>
              </w:rPr>
              <m:t>N</m:t>
            </m:r>
          </m:e>
        </m:acc>
      </m:oMath>
      <w:r>
        <w:rPr>
          <w:sz w:val="22"/>
          <w:szCs w:val="22"/>
        </w:rPr>
        <w:t xml:space="preserve">, were then averaged at the plot level to obtain assemblage-level estimates for each PC axis. </w:t>
      </w:r>
      <w:r>
        <w:rPr>
          <w:color w:val="000000"/>
          <w:sz w:val="22"/>
          <w:szCs w:val="22"/>
        </w:rPr>
        <w:t xml:space="preserve">To determine how individual traits were correlated with each PC axis, trait vectors were fit to the </w:t>
      </w:r>
      <w:proofErr w:type="spellStart"/>
      <w:r>
        <w:rPr>
          <w:color w:val="000000"/>
          <w:sz w:val="22"/>
          <w:szCs w:val="22"/>
        </w:rPr>
        <w:t>PCoA</w:t>
      </w:r>
      <w:proofErr w:type="spellEnd"/>
      <w:r>
        <w:rPr>
          <w:color w:val="000000"/>
          <w:sz w:val="22"/>
          <w:szCs w:val="22"/>
        </w:rPr>
        <w:t xml:space="preserve"> ordination using the “vegan” package’s “</w:t>
      </w:r>
      <w:proofErr w:type="spellStart"/>
      <w:r>
        <w:rPr>
          <w:color w:val="000000"/>
          <w:sz w:val="22"/>
          <w:szCs w:val="22"/>
        </w:rPr>
        <w:t>envfit</w:t>
      </w:r>
      <w:proofErr w:type="spellEnd"/>
      <w:r>
        <w:rPr>
          <w:color w:val="000000"/>
          <w:sz w:val="22"/>
          <w:szCs w:val="22"/>
        </w:rPr>
        <w:t xml:space="preserve">” function </w:t>
      </w:r>
      <w:r w:rsidR="008E0F49">
        <w:rPr>
          <w:color w:val="000000"/>
          <w:sz w:val="22"/>
          <w:szCs w:val="22"/>
        </w:rPr>
        <w:fldChar w:fldCharType="begin" w:fldLock="1"/>
      </w:r>
      <w:r w:rsidR="008E0F49">
        <w:rPr>
          <w:color w:val="000000"/>
          <w:sz w:val="22"/>
          <w:szCs w:val="22"/>
        </w:rPr>
        <w:instrText>ADDIN CSL_CITATION {"citationItems":[{"id":"ITEM-1","itemData":{"author":[{"dropping-particle":"","family":"Oksanen","given":"J","non-dropping-particle":"","parse-names":false,"suffix":""},{"dropping-particle":"","family":"Simpson","given":"G","non-dropping-particle":"","parse-names":false,"suffix":""},{"dropping-particle":"","family":"Blanchet","given":"F","non-dropping-particle":"","parse-names":false,"suffix":""},{"dropping-particle":"","family":"Kindt","given":"R","non-dropping-particle":"","parse-names":false,"suffix":""},{"dropping-particle":"","family":"Legendre","given":"P","non-dropping-particle":"","parse-names":false,"suffix":""},{"dropping-particle":"","family":"Minchin","given":"P","non-dropping-particle":"","parse-names":false,"suffix":""},{"dropping-particle":"","family":"O'Hara","given":"R","non-dropping-particle":"","parse-names":false,"suffix":""},{"dropping-particle":"","family":"Solymos","given":"P","non-dropping-particle":"","parse-names":false,"suffix":""},{"dropping-particle":"","family":"Stevens","given":"M","non-dropping-particle":"","parse-names":false,"suffix":""},{"dropping-particle":"","family":"Szoecs","given":"E","non-dropping-particle":"","parse-names":false,"suffix":""},{"dropping-particle":"","family":"Wagner","given":"H","non-dropping-particle":"","parse-names":false,"suffix":""},{"dropping-particle":"","family":"Barbour","given":"M","non-dropping-particle":"","parse-names":false,"suffix":""},{"dropping-particle":"","family":"Bedward","given":"M","non-dropping-particle":"","parse-names":false,"suffix":""},{"dropping-particle":"","family":"Bolker","given":"B","non-dropping-particle":"","parse-names":false,"suffix":""},{"dropping-particle":"","family":"Borcard","given":"D","non-dropping-particle":"","parse-names":false,"suffix":""},{"dropping-particle":"","family":"Carvalho","given":"G","non-dropping-particle":"","parse-names":false,"suffix":""},{"dropping-particle":"","family":"Chirico","given":"M","non-dropping-particle":"","parse-names":false,"suffix":""},{"dropping-particle":"","family":"Caceres","given":"M","non-dropping-particle":"De","parse-names":false,"suffix":""},{"dropping-particle":"","family":"Durand","given":"S","non-dropping-particle":"","parse-names":false,"suffix":""},{"dropping-particle":"","family":"Evangelista","given":"H","non-dropping-particle":"","parse-names":false,"suffix":""},{"dropping-particle":"","family":"FitzJohn","given":"R","non-dropping-particle":"","parse-names":false,"suffix":""},{"dropping-particle":"","family":"Friendly","given":"M","non-dropping-particle":"","parse-names":false,"suffix":""},{"dropping-particle":"","family":"Furneaux","given":"B","non-dropping-particle":"","parse-names":false,"suffix":""},{"dropping-particle":"","family":"Hannigan","given":"G","non-dropping-particle":"","parse-names":false,"suffix":""},{"dropping-particle":"","family":"Hill","given":"M","non-dropping-particle":"","parse-names":false,"suffix":""},{"dropping-particle":"","family":"Lahti","given":"L","non-dropping-particle":"","parse-names":false,"suffix":""},{"dropping-particle":"","family":"McGlinn","given":"D","non-dropping-particle":"","parse-names":false,"suffix":""},{"dropping-particle":"","family":"Ouellette","given":"M","non-dropping-particle":"","parse-names":false,"suffix":""},{"dropping-particle":"","family":"Ribeiro Cunha","given":"E","non-dropping-particle":"","parse-names":false,"suffix":""},{"dropping-particle":"","family":"Smith","given":"T","non-dropping-particle":"","parse-names":false,"suffix":""},{"dropping-particle":"","family":"Stier","given":"A","non-dropping-particle":"","parse-names":false,"suffix":""},{"dropping-particle":"","family":"Braak","given":"C","non-dropping-particle":"Ter","parse-names":false,"suffix":""},{"dropping-particle":"","family":"Weedon","given":"J","non-dropping-particle":"","parse-names":false,"suffix":""}],"id":"ITEM-1","issued":{"date-parts":[["2022"]]},"number":"version 2.6-4","title":"Vegan: Community Ecology Package. R package","type":"article"},"uris":["http://www.mendeley.com/documents/?uuid=520fc2f3-8afe-46ba-b1ae-d48cb9f1a15a"]}],"mendeley":{"formattedCitation":"(Oksanen et al. 2022)","plainTextFormattedCitation":"(Oksanen et al. 2022)","previouslyFormattedCitation":"(Oksanen et al. 2022)"},"properties":{"noteIndex":0},"schema":"https://github.com/citation-style-language/schema/raw/master/csl-citation.json"}</w:instrText>
      </w:r>
      <w:r w:rsidR="008E0F49">
        <w:rPr>
          <w:color w:val="000000"/>
          <w:sz w:val="22"/>
          <w:szCs w:val="22"/>
        </w:rPr>
        <w:fldChar w:fldCharType="separate"/>
      </w:r>
      <w:r w:rsidR="008E0F49" w:rsidRPr="008E0F49">
        <w:rPr>
          <w:noProof/>
          <w:color w:val="000000"/>
          <w:sz w:val="22"/>
          <w:szCs w:val="22"/>
        </w:rPr>
        <w:t>(Oksanen et al. 2022)</w:t>
      </w:r>
      <w:r w:rsidR="008E0F49">
        <w:rPr>
          <w:color w:val="000000"/>
          <w:sz w:val="22"/>
          <w:szCs w:val="22"/>
        </w:rPr>
        <w:fldChar w:fldCharType="end"/>
      </w:r>
      <w:r>
        <w:rPr>
          <w:color w:val="000000"/>
          <w:sz w:val="22"/>
          <w:szCs w:val="22"/>
        </w:rPr>
        <w:t>.</w:t>
      </w:r>
    </w:p>
    <w:p w14:paraId="00000039" w14:textId="2602944E" w:rsidR="006B16C2" w:rsidRDefault="00EB0728">
      <w:pPr>
        <w:spacing w:line="480" w:lineRule="auto"/>
        <w:ind w:firstLine="720"/>
        <w:rPr>
          <w:sz w:val="22"/>
          <w:szCs w:val="22"/>
        </w:rPr>
      </w:pPr>
      <w:r>
        <w:rPr>
          <w:sz w:val="22"/>
          <w:szCs w:val="22"/>
        </w:rPr>
        <w:lastRenderedPageBreak/>
        <w:t xml:space="preserve">Finally, </w:t>
      </w:r>
      <w:r>
        <w:rPr>
          <w:color w:val="000000"/>
          <w:sz w:val="22"/>
          <w:szCs w:val="22"/>
        </w:rPr>
        <w:t xml:space="preserve">for each NEON plot, </w:t>
      </w:r>
      <w:r>
        <w:rPr>
          <w:sz w:val="22"/>
          <w:szCs w:val="22"/>
        </w:rPr>
        <w:t xml:space="preserve">we quantified phylogenetic diversity </w:t>
      </w:r>
      <w:r>
        <w:rPr>
          <w:color w:val="000000"/>
          <w:sz w:val="22"/>
          <w:szCs w:val="22"/>
        </w:rPr>
        <w:t xml:space="preserve">using two indices, </w:t>
      </w:r>
      <w:r>
        <w:rPr>
          <w:sz w:val="22"/>
          <w:szCs w:val="22"/>
        </w:rPr>
        <w:t xml:space="preserve">Mean Pairwise Distance (MPD) </w:t>
      </w:r>
      <w:r>
        <w:rPr>
          <w:color w:val="000000"/>
          <w:sz w:val="22"/>
          <w:szCs w:val="22"/>
        </w:rPr>
        <w:t xml:space="preserve">and Faith’s Phylogenetic Diversity </w:t>
      </w:r>
      <w:r>
        <w:rPr>
          <w:sz w:val="22"/>
          <w:szCs w:val="22"/>
        </w:rPr>
        <w:t>(FPD)</w:t>
      </w:r>
      <w:r>
        <w:rPr>
          <w:color w:val="000000"/>
          <w:sz w:val="22"/>
          <w:szCs w:val="22"/>
        </w:rPr>
        <w:t xml:space="preserve"> using the R package “picante” </w:t>
      </w:r>
      <w:r w:rsidR="008E0F49">
        <w:rPr>
          <w:color w:val="000000"/>
          <w:sz w:val="22"/>
          <w:szCs w:val="22"/>
        </w:rPr>
        <w:fldChar w:fldCharType="begin" w:fldLock="1"/>
      </w:r>
      <w:r w:rsidR="008E0F49">
        <w:rPr>
          <w:color w:val="000000"/>
          <w:sz w:val="22"/>
          <w:szCs w:val="22"/>
        </w:rPr>
        <w:instrText>ADDIN CSL_CITATION {"citationItems":[{"id":"ITEM-1","itemData":{"DOI":"10.1093/bioinformatics/btq166","ISSN":"13674803","PMID":"20395285","abstract":"Summary: Picante is a software package that provides a comprehensive set of tools for analyzing the phylogenetic and trait diversity of ecological communities. The package calculates phylogenetic diversity metrics, performs trait comparative analyses, manipulates phenotypic and phylogenetic data, and performs tests for phylogenetic signal in trait distributions, community structure and species interactions. © The Author 2010. Published by Oxford University Press.","author":[{"dropping-particle":"","family":"Kembel","given":"Steven W.","non-dropping-particle":"","parse-names":false,"suffix":""},{"dropping-particle":"","family":"Cowan","given":"Peter D.","non-dropping-particle":"","parse-names":false,"suffix":""},{"dropping-particle":"","family":"Helmus","given":"Matthew R.","non-dropping-particle":"","parse-names":false,"suffix":""},{"dropping-particle":"","family":"Cornwell","given":"William K.","non-dropping-particle":"","parse-names":false,"suffix":""},{"dropping-particle":"","family":"Morlon","given":"Helene","non-dropping-particle":"","parse-names":false,"suffix":""},{"dropping-particle":"","family":"Ackerly","given":"David D.","non-dropping-particle":"","parse-names":false,"suffix":""},{"dropping-particle":"","family":"Blomberg","given":"Simon P.","non-dropping-particle":"","parse-names":false,"suffix":""},{"dropping-particle":"","family":"Webb","given":"Campbell O.","non-dropping-particle":"","parse-names":false,"suffix":""}],"container-title":"Bioinformatics","id":"ITEM-1","issue":"11","issued":{"date-parts":[["2010"]]},"page":"1463-1464","title":"Picante: R tools for integrating phylogenies and ecology","type":"article-journal","volume":"26"},"uris":["http://www.mendeley.com/documents/?uuid=2d671866-fe45-4bc8-b04e-f2af10a06e1d"]}],"mendeley":{"formattedCitation":"(Kembel et al. 2010)","plainTextFormattedCitation":"(Kembel et al. 2010)","previouslyFormattedCitation":"(Kembel et al. 2010)"},"properties":{"noteIndex":0},"schema":"https://github.com/citation-style-language/schema/raw/master/csl-citation.json"}</w:instrText>
      </w:r>
      <w:r w:rsidR="008E0F49">
        <w:rPr>
          <w:color w:val="000000"/>
          <w:sz w:val="22"/>
          <w:szCs w:val="22"/>
        </w:rPr>
        <w:fldChar w:fldCharType="separate"/>
      </w:r>
      <w:r w:rsidR="008E0F49" w:rsidRPr="008E0F49">
        <w:rPr>
          <w:noProof/>
          <w:color w:val="000000"/>
          <w:sz w:val="22"/>
          <w:szCs w:val="22"/>
        </w:rPr>
        <w:t>(Kembel et al. 2010)</w:t>
      </w:r>
      <w:r w:rsidR="008E0F49">
        <w:rPr>
          <w:color w:val="000000"/>
          <w:sz w:val="22"/>
          <w:szCs w:val="22"/>
        </w:rPr>
        <w:fldChar w:fldCharType="end"/>
      </w:r>
      <w:r>
        <w:rPr>
          <w:color w:val="000000"/>
          <w:sz w:val="22"/>
          <w:szCs w:val="22"/>
        </w:rPr>
        <w:t xml:space="preserve">. MPD and FPD were based on the distribution of 100 phylogenetic trees from Bird Tree </w:t>
      </w:r>
      <w:r w:rsidR="008E0F49">
        <w:rPr>
          <w:color w:val="000000"/>
          <w:sz w:val="22"/>
          <w:szCs w:val="22"/>
        </w:rPr>
        <w:fldChar w:fldCharType="begin" w:fldLock="1"/>
      </w:r>
      <w:r w:rsidR="008E0F49">
        <w:rPr>
          <w:color w:val="000000"/>
          <w:sz w:val="22"/>
          <w:szCs w:val="22"/>
        </w:rPr>
        <w:instrText>ADDIN CSL_CITATION {"citationItems":[{"id":"ITEM-1","itemData":{"DOI":"10.1038/nature11631","ISSN":"00280836","PMID":"23123857","abstract":"Current global patterns of biodiversity result from processes that operate over both space and time and thus require an integrated macroecological and macroevolutionary perspective. Molecular time trees have advanced our understanding of the tempo and mode of diversification and have identified remarkable adaptive radiations across the tree of life. However, incomplete joint phylogenetic and geographic sampling has limited broad-scale inference. Thus, the relative prevalence of rapid radiations and the importance of their geographic settings in shaping global biodiversity patterns remain unclear. Here we present, analyse and map the first complete dated phylogeny of all 9,993 extant species of birds, a widely studied group showing many unique adaptations. We find that birds have undergone a strong increase in diversification rate from about 50 million years ago to the near present. This acceleration is due to a number of significant rate increases, both within songbirds and within other young and mostly temperate radiations including the waterfowl, gulls and woodpeckers. Importantly, species characterized with very high past diversification rates are interspersed throughout the avian tree and across geographic space. Geographically, the major differences in diversification rates are hemispheric rather than latitudinal, with bird assemblages in Asia, North America and southern South America containing a disproportionate number of species from recent rapid radiations. The contribution of rapidly radiating lineages to both temporal diversification dynamics and spatial distributions of species diversity illustrates the benefits of an inclusive geographical and taxonomical perspective. Overall, whereas constituent clades may exhibit slowdowns, the adaptive zone into which modern birds have diversified since the Cretaceous may still offer opportunities for diversification. © 2012 Macmillan Publishers Limited. All rights reserved.","author":[{"dropping-particle":"","family":"Jetz","given":"W.","non-dropping-particle":"","parse-names":false,"suffix":""},{"dropping-particle":"","family":"Thomas","given":"G. H.","non-dropping-particle":"","parse-names":false,"suffix":""},{"dropping-particle":"","family":"Joy","given":"J. B.","non-dropping-particle":"","parse-names":false,"suffix":""},{"dropping-particle":"","family":"Hartmann","given":"K.","non-dropping-particle":"","parse-names":false,"suffix":""},{"dropping-particle":"","family":"Mooers","given":"A. O.","non-dropping-particle":"","parse-names":false,"suffix":""}],"container-title":"Nature","id":"ITEM-1","issue":"7424","issued":{"date-parts":[["2012","11","15"]]},"page":"444-448","title":"The global diversity of birds in space and time","type":"article-journal","volume":"491"},"uris":["http://www.mendeley.com/documents/?uuid=f29b3faf-e75d-3eb0-929a-3d3675cd8efe"]}],"mendeley":{"formattedCitation":"(Jetz et al. 2012)","plainTextFormattedCitation":"(Jetz et al. 2012)","previouslyFormattedCitation":"(Jetz et al. 2012)"},"properties":{"noteIndex":0},"schema":"https://github.com/citation-style-language/schema/raw/master/csl-citation.json"}</w:instrText>
      </w:r>
      <w:r w:rsidR="008E0F49">
        <w:rPr>
          <w:color w:val="000000"/>
          <w:sz w:val="22"/>
          <w:szCs w:val="22"/>
        </w:rPr>
        <w:fldChar w:fldCharType="separate"/>
      </w:r>
      <w:r w:rsidR="008E0F49" w:rsidRPr="008E0F49">
        <w:rPr>
          <w:noProof/>
          <w:color w:val="000000"/>
          <w:sz w:val="22"/>
          <w:szCs w:val="22"/>
        </w:rPr>
        <w:t>(Jetz et al. 2012)</w:t>
      </w:r>
      <w:r w:rsidR="008E0F49">
        <w:rPr>
          <w:color w:val="000000"/>
          <w:sz w:val="22"/>
          <w:szCs w:val="22"/>
        </w:rPr>
        <w:fldChar w:fldCharType="end"/>
      </w:r>
      <w:r>
        <w:rPr>
          <w:color w:val="000000"/>
          <w:sz w:val="22"/>
          <w:szCs w:val="22"/>
        </w:rPr>
        <w:t xml:space="preserve">. MPD quantifies the average phylogenetic tree branch length between the closest pairs of relatives in a given assemblage. FPD is the sum of all phylogenetic branch lengths for a given assemblage </w:t>
      </w:r>
      <w:r w:rsidR="008E0F49">
        <w:rPr>
          <w:color w:val="000000"/>
          <w:sz w:val="22"/>
          <w:szCs w:val="22"/>
        </w:rPr>
        <w:fldChar w:fldCharType="begin" w:fldLock="1"/>
      </w:r>
      <w:r w:rsidR="003500CD">
        <w:rPr>
          <w:color w:val="000000"/>
          <w:sz w:val="22"/>
          <w:szCs w:val="22"/>
        </w:rPr>
        <w:instrText>ADDIN CSL_CITATION {"citationItems":[{"id":"ITEM-1","itemData":{"DOI":"10.1111/brv.12252","ISSN":"1469185X","PMID":"26785932","abstract":"The use of phylogenies in ecology is increasingly common and has broadened our understanding of biological diversity. Ecological sub-disciplines, particularly conservation, community ecology and macroecology, all recognize the value of evolutionary relationships but the resulting development of phylogenetic approaches has led to a proliferation of phylogenetic diversity metrics. The use of many metrics across the sub-disciplines hampers potential meta-analyses, syntheses, and generalizations of existing results. Further, there is no guide for selecting the appropriate metric for a given question, and different metrics are frequently used to address similar questions. To improve the choice, application, and interpretation of phylo-diversity metrics, we organize existing metrics by expanding on a unifying framework for phylogenetic information. Generally, questions about phylogenetic relationships within or between assemblages tend to ask three types of question: how much; how different; or how regular? We show that these questions reflect three dimensions of a phylogenetic tree: richness, divergence, and regularity. We classify 70 existing phylo-diversity metrics based on their mathematical form within these three dimensions and identify ‘anchor’ representatives: for α-diversity metrics these are PD (Faith’s phylogenetic diversity), MPD (mean pairwise distance), and VPD (variation of pairwise distances). By analysing mathematical formulae and using simulations, we use this framework to identify metrics that mix dimensions, and we provide a guide to choosing and using the most appropriate metrics. We show that metric choice requires connecting the research question with the correct dimension of the framework and that there are logical approaches to selecting and interpreting metrics. The guide outlined herein will help researchers navigate the current jungle of indices.","author":[{"dropping-particle":"","family":"Tucker","given":"Caroline M.","non-dropping-particle":"","parse-names":false,"suffix":""},{"dropping-particle":"","family":"Cadotte","given":"Marc W.","non-dropping-particle":"","parse-names":false,"suffix":""},{"dropping-particle":"","family":"Carvalho","given":"Silvia B.","non-dropping-particle":"","parse-names":false,"suffix":""},{"dropping-particle":"","family":"Jonathan Davies","given":"T.","non-dropping-particle":"","parse-names":false,"suffix":""},{"dropping-particle":"","family":"Ferrier","given":"Simon","non-dropping-particle":"","parse-names":false,"suffix":""},{"dropping-particle":"","family":"Fritz","given":"Susanne A.","non-dropping-particle":"","parse-names":false,"suffix":""},{"dropping-particle":"","family":"Grenyer","given":"Rich","non-dropping-particle":"","parse-names":false,"suffix":""},{"dropping-particle":"","family":"Helmus","given":"Matthew R.","non-dropping-particle":"","parse-names":false,"suffix":""},{"dropping-particle":"","family":"Jin","given":"Lanna S.","non-dropping-particle":"","parse-names":false,"suffix":""},{"dropping-particle":"","family":"Mooers","given":"Arne O.","non-dropping-particle":"","parse-names":false,"suffix":""},{"dropping-particle":"","family":"Pavoine","given":"Sandrine","non-dropping-particle":"","parse-names":false,"suffix":""},{"dropping-particle":"","family":"Purschke","given":"Oliver","non-dropping-particle":"","parse-names":false,"suffix":""},{"dropping-particle":"","family":"Redding","given":"David W.","non-dropping-particle":"","parse-names":false,"suffix":""},{"dropping-particle":"","family":"Rosauer","given":"Dan F.","non-dropping-particle":"","parse-names":false,"suffix":""},{"dropping-particle":"","family":"Winter","given":"Marten","non-dropping-particle":"","parse-names":false,"suffix":""},{"dropping-particle":"","family":"Mazel","given":"Florent","non-dropping-particle":"","parse-names":false,"suffix":""}],"container-title":"Biological Reviews","id":"ITEM-1","issue":"2","issued":{"date-parts":[["2017"]]},"page":"698-715","title":"A guide to phylogenetic metrics for conservation, community ecology and macroecology","type":"article-journal","volume":"92"},"uris":["http://www.mendeley.com/documents/?uuid=f4b904b7-a222-4dcc-a5a1-6ec7ccecd61a"]}],"mendeley":{"formattedCitation":"(Tucker et al. 2017)","plainTextFormattedCitation":"(Tucker et al. 2017)","previouslyFormattedCitation":"(Tucker et al. 2017)"},"properties":{"noteIndex":0},"schema":"https://github.com/citation-style-language/schema/raw/master/csl-citation.json"}</w:instrText>
      </w:r>
      <w:r w:rsidR="008E0F49">
        <w:rPr>
          <w:color w:val="000000"/>
          <w:sz w:val="22"/>
          <w:szCs w:val="22"/>
        </w:rPr>
        <w:fldChar w:fldCharType="separate"/>
      </w:r>
      <w:r w:rsidR="008E0F49" w:rsidRPr="008E0F49">
        <w:rPr>
          <w:noProof/>
          <w:color w:val="000000"/>
          <w:sz w:val="22"/>
          <w:szCs w:val="22"/>
        </w:rPr>
        <w:t>(Tucker et al. 2017)</w:t>
      </w:r>
      <w:r w:rsidR="008E0F49">
        <w:rPr>
          <w:color w:val="000000"/>
          <w:sz w:val="22"/>
          <w:szCs w:val="22"/>
        </w:rPr>
        <w:fldChar w:fldCharType="end"/>
      </w:r>
      <w:r>
        <w:rPr>
          <w:color w:val="000000"/>
          <w:sz w:val="22"/>
          <w:szCs w:val="22"/>
        </w:rPr>
        <w:t>.</w:t>
      </w:r>
      <w:r>
        <w:rPr>
          <w:sz w:val="22"/>
          <w:szCs w:val="22"/>
        </w:rPr>
        <w:t xml:space="preserve"> As both MPD and FPD are correlated with species richness, </w:t>
      </w:r>
      <w:r>
        <w:rPr>
          <w:color w:val="000000"/>
          <w:sz w:val="22"/>
          <w:szCs w:val="22"/>
        </w:rPr>
        <w:t xml:space="preserve">we then corrected both indices by comparing each index against a null distribution of values, which we generated using the same 100 null communities used to generate </w:t>
      </w:r>
      <w:proofErr w:type="spellStart"/>
      <w:r>
        <w:rPr>
          <w:color w:val="000000"/>
          <w:sz w:val="22"/>
          <w:szCs w:val="22"/>
        </w:rPr>
        <w:t>FRich</w:t>
      </w:r>
      <w:r>
        <w:rPr>
          <w:color w:val="000000"/>
          <w:sz w:val="22"/>
          <w:szCs w:val="22"/>
          <w:vertAlign w:val="subscript"/>
        </w:rPr>
        <w:t>SES</w:t>
      </w:r>
      <w:proofErr w:type="spellEnd"/>
      <w:r>
        <w:rPr>
          <w:color w:val="000000"/>
          <w:sz w:val="22"/>
          <w:szCs w:val="22"/>
        </w:rPr>
        <w:t xml:space="preserve"> and the same randomization procedure. We created null estimates for each of the 100 phylogenetic trees, resulting in 10,000 total “null” trees. We then quantified SES, which we considered species richness-corrected values of MPD (MPD</w:t>
      </w:r>
      <w:r>
        <w:rPr>
          <w:color w:val="000000"/>
          <w:sz w:val="22"/>
          <w:szCs w:val="22"/>
          <w:vertAlign w:val="subscript"/>
        </w:rPr>
        <w:t>SES</w:t>
      </w:r>
      <w:r>
        <w:rPr>
          <w:color w:val="000000"/>
          <w:sz w:val="22"/>
          <w:szCs w:val="22"/>
        </w:rPr>
        <w:t>) and FPD (FPD</w:t>
      </w:r>
      <w:r>
        <w:rPr>
          <w:color w:val="000000"/>
          <w:sz w:val="22"/>
          <w:szCs w:val="22"/>
          <w:vertAlign w:val="subscript"/>
        </w:rPr>
        <w:t>SES</w:t>
      </w:r>
      <w:r>
        <w:rPr>
          <w:color w:val="000000"/>
          <w:sz w:val="22"/>
          <w:szCs w:val="22"/>
        </w:rPr>
        <w:t>).</w:t>
      </w:r>
    </w:p>
    <w:p w14:paraId="0000003A" w14:textId="77777777" w:rsidR="006B16C2" w:rsidRDefault="006B16C2">
      <w:pPr>
        <w:spacing w:line="480" w:lineRule="auto"/>
        <w:rPr>
          <w:b/>
          <w:i/>
          <w:color w:val="000000"/>
          <w:sz w:val="22"/>
          <w:szCs w:val="22"/>
        </w:rPr>
      </w:pPr>
    </w:p>
    <w:p w14:paraId="0000003B" w14:textId="77777777" w:rsidR="006B16C2" w:rsidRDefault="00EB0728">
      <w:pPr>
        <w:spacing w:line="480" w:lineRule="auto"/>
        <w:rPr>
          <w:sz w:val="22"/>
          <w:szCs w:val="22"/>
        </w:rPr>
      </w:pPr>
      <w:r>
        <w:rPr>
          <w:sz w:val="22"/>
          <w:szCs w:val="22"/>
          <w:u w:val="single"/>
        </w:rPr>
        <w:t>3D Habitat Structure</w:t>
      </w:r>
    </w:p>
    <w:p w14:paraId="0000003C" w14:textId="6840910C" w:rsidR="006B16C2" w:rsidRDefault="00EB0728">
      <w:pPr>
        <w:spacing w:line="480" w:lineRule="auto"/>
        <w:ind w:firstLine="720"/>
        <w:rPr>
          <w:color w:val="000000"/>
          <w:sz w:val="22"/>
          <w:szCs w:val="22"/>
        </w:rPr>
      </w:pPr>
      <w:r>
        <w:rPr>
          <w:sz w:val="22"/>
          <w:szCs w:val="22"/>
        </w:rPr>
        <w:t xml:space="preserve">We pre-processed LiDAR data by first clipping NEON </w:t>
      </w:r>
      <w:proofErr w:type="spellStart"/>
      <w:r>
        <w:rPr>
          <w:sz w:val="22"/>
          <w:szCs w:val="22"/>
        </w:rPr>
        <w:t>pointcloud</w:t>
      </w:r>
      <w:proofErr w:type="spellEnd"/>
      <w:r>
        <w:rPr>
          <w:sz w:val="22"/>
          <w:szCs w:val="22"/>
        </w:rPr>
        <w:t xml:space="preserve"> data using a 250 m radius circle measured from the centroid of each of the 385 selected avian plots.</w:t>
      </w:r>
      <w:r>
        <w:rPr>
          <w:color w:val="000000"/>
          <w:sz w:val="22"/>
          <w:szCs w:val="22"/>
        </w:rPr>
        <w:t xml:space="preserve"> Raw </w:t>
      </w:r>
      <w:proofErr w:type="spellStart"/>
      <w:r>
        <w:rPr>
          <w:color w:val="000000"/>
          <w:sz w:val="22"/>
          <w:szCs w:val="22"/>
        </w:rPr>
        <w:t>pointcloud</w:t>
      </w:r>
      <w:proofErr w:type="spellEnd"/>
      <w:r>
        <w:rPr>
          <w:color w:val="000000"/>
          <w:sz w:val="22"/>
          <w:szCs w:val="22"/>
        </w:rPr>
        <w:t xml:space="preserve"> data </w:t>
      </w:r>
      <w:r>
        <w:rPr>
          <w:sz w:val="22"/>
          <w:szCs w:val="22"/>
        </w:rPr>
        <w:t xml:space="preserve">was then height normalized </w:t>
      </w:r>
      <w:r>
        <w:rPr>
          <w:sz w:val="22"/>
          <w:szCs w:val="22"/>
          <w:highlight w:val="white"/>
        </w:rPr>
        <w:t>to eliminate height differences due to topographic variation using the function “</w:t>
      </w:r>
      <w:proofErr w:type="spellStart"/>
      <w:r>
        <w:rPr>
          <w:sz w:val="22"/>
          <w:szCs w:val="22"/>
          <w:highlight w:val="white"/>
        </w:rPr>
        <w:t>normalize_height</w:t>
      </w:r>
      <w:proofErr w:type="spellEnd"/>
      <w:r>
        <w:rPr>
          <w:sz w:val="22"/>
          <w:szCs w:val="22"/>
          <w:highlight w:val="white"/>
        </w:rPr>
        <w:t>”</w:t>
      </w:r>
      <w:r>
        <w:rPr>
          <w:sz w:val="22"/>
          <w:szCs w:val="22"/>
        </w:rPr>
        <w:t xml:space="preserve"> from </w:t>
      </w:r>
      <w:r>
        <w:rPr>
          <w:sz w:val="22"/>
          <w:szCs w:val="22"/>
          <w:highlight w:val="white"/>
        </w:rPr>
        <w:t>the “lidR” package</w:t>
      </w:r>
      <w:r w:rsidR="00D90B88">
        <w:rPr>
          <w:sz w:val="22"/>
          <w:szCs w:val="22"/>
          <w:highlight w:val="white"/>
        </w:rPr>
        <w:t xml:space="preserve"> </w:t>
      </w:r>
      <w:r w:rsidR="003500CD">
        <w:rPr>
          <w:sz w:val="22"/>
          <w:szCs w:val="22"/>
          <w:highlight w:val="white"/>
        </w:rPr>
        <w:fldChar w:fldCharType="begin" w:fldLock="1"/>
      </w:r>
      <w:r w:rsidR="003500CD">
        <w:rPr>
          <w:sz w:val="22"/>
          <w:szCs w:val="22"/>
          <w:highlight w:val="white"/>
        </w:rPr>
        <w:instrText>ADDIN CSL_CITATION {"citationItems":[{"id":"ITEM-1","itemData":{"DOI":"10.1016/j.rse.2020.112061","ISSN":"0034-4257","author":[{"dropping-particle":"","family":"Roussel","given":"Jean-romain","non-dropping-particle":"","parse-names":false,"suffix":""},{"dropping-particle":"","family":"Auty","given":"David","non-dropping-particle":"","parse-names":false,"suffix":""},{"dropping-particle":"","family":"Coops","given":"Nicholas C","non-dropping-particle":"","parse-names":false,"suffix":""},{"dropping-particle":"","family":"Tompalski","given":"Piotr","non-dropping-particle":"","parse-names":false,"suffix":""},{"dropping-particle":"","family":"Goodbody","given":"Tristan R H","non-dropping-particle":"","parse-names":false,"suffix":""},{"dropping-particle":"","family":"Sánchez","given":"Andrew","non-dropping-particle":"","parse-names":false,"suffix":""},{"dropping-particle":"","family":"Bourdon","given":"Jean-françois","non-dropping-particle":"","parse-names":false,"suffix":""},{"dropping-particle":"De","family":"Boissieu","given":"Florian","non-dropping-particle":"","parse-names":false,"suffix":""},{"dropping-particle":"","family":"Achim","given":"Alexis","non-dropping-particle":"","parse-names":false,"suffix":""}],"container-title":"Remote Sensing of Environment","id":"ITEM-1","issue":"August","issued":{"date-parts":[["2020"]]},"page":"112061","publisher":"Elsevier","title":"Remote Sensing of Environment lidR : An R package for analysis of Airborne Laser Scanning ( ALS ) data","type":"article-journal","volume":"251"},"uris":["http://www.mendeley.com/documents/?uuid=53ce8e40-e05c-498d-9811-ef8b31b85d14"]}],"mendeley":{"formattedCitation":"(Roussel et al. 2020)","plainTextFormattedCitation":"(Roussel et al. 2020)","previouslyFormattedCitation":"(Roussel et al. 2020)"},"properties":{"noteIndex":0},"schema":"https://github.com/citation-style-language/schema/raw/master/csl-citation.json"}</w:instrText>
      </w:r>
      <w:r w:rsidR="003500CD">
        <w:rPr>
          <w:sz w:val="22"/>
          <w:szCs w:val="22"/>
          <w:highlight w:val="white"/>
        </w:rPr>
        <w:fldChar w:fldCharType="separate"/>
      </w:r>
      <w:r w:rsidR="003500CD" w:rsidRPr="003500CD">
        <w:rPr>
          <w:noProof/>
          <w:sz w:val="22"/>
          <w:szCs w:val="22"/>
          <w:highlight w:val="white"/>
        </w:rPr>
        <w:t>(Roussel et al. 2020)</w:t>
      </w:r>
      <w:r w:rsidR="003500CD">
        <w:rPr>
          <w:sz w:val="22"/>
          <w:szCs w:val="22"/>
          <w:highlight w:val="white"/>
        </w:rPr>
        <w:fldChar w:fldCharType="end"/>
      </w:r>
      <w:r w:rsidR="003500CD">
        <w:rPr>
          <w:sz w:val="22"/>
          <w:szCs w:val="22"/>
        </w:rPr>
        <w:t xml:space="preserve"> </w:t>
      </w:r>
      <w:r>
        <w:rPr>
          <w:sz w:val="22"/>
          <w:szCs w:val="22"/>
          <w:highlight w:val="white"/>
        </w:rPr>
        <w:t>and a digital terrain model (DTM) generated with a k-nearest neighbor approach with an inverse-distance weighting using the function “</w:t>
      </w:r>
      <w:proofErr w:type="spellStart"/>
      <w:r>
        <w:rPr>
          <w:sz w:val="22"/>
          <w:szCs w:val="22"/>
          <w:highlight w:val="white"/>
        </w:rPr>
        <w:t>knnidw</w:t>
      </w:r>
      <w:proofErr w:type="spellEnd"/>
      <w:r>
        <w:rPr>
          <w:sz w:val="22"/>
          <w:szCs w:val="22"/>
          <w:highlight w:val="white"/>
        </w:rPr>
        <w:t>” and default settings. To eliminate outlier values, LiDAR points that fell below zero height after height normalization or those high above the vegetation were removed using function “</w:t>
      </w:r>
      <w:proofErr w:type="spellStart"/>
      <w:r>
        <w:rPr>
          <w:sz w:val="22"/>
          <w:szCs w:val="22"/>
          <w:highlight w:val="white"/>
        </w:rPr>
        <w:t>filter_poi</w:t>
      </w:r>
      <w:proofErr w:type="spellEnd"/>
      <w:r>
        <w:rPr>
          <w:sz w:val="22"/>
          <w:szCs w:val="22"/>
          <w:highlight w:val="white"/>
        </w:rPr>
        <w:t>” from “lidR” package.</w:t>
      </w:r>
    </w:p>
    <w:p w14:paraId="0000003D" w14:textId="6878D171" w:rsidR="006B16C2" w:rsidRDefault="00EB0728">
      <w:pPr>
        <w:spacing w:line="480" w:lineRule="auto"/>
        <w:ind w:firstLine="720"/>
        <w:rPr>
          <w:sz w:val="22"/>
          <w:szCs w:val="22"/>
        </w:rPr>
      </w:pPr>
      <w:r>
        <w:rPr>
          <w:b/>
          <w:i/>
          <w:sz w:val="22"/>
          <w:szCs w:val="22"/>
          <w:highlight w:val="white"/>
        </w:rPr>
        <w:t xml:space="preserve"> </w:t>
      </w:r>
      <w:r>
        <w:rPr>
          <w:sz w:val="22"/>
          <w:szCs w:val="22"/>
          <w:highlight w:val="white"/>
        </w:rPr>
        <w:t xml:space="preserve">We derived </w:t>
      </w:r>
      <w:r>
        <w:rPr>
          <w:color w:val="000000"/>
          <w:sz w:val="22"/>
          <w:szCs w:val="22"/>
        </w:rPr>
        <w:t xml:space="preserve">a suite of 3D habitat compositional and configurational metrics using </w:t>
      </w:r>
      <w:r>
        <w:rPr>
          <w:sz w:val="22"/>
          <w:szCs w:val="22"/>
        </w:rPr>
        <w:t xml:space="preserve">0.5 m x 0.5 m x 0.5 m </w:t>
      </w:r>
      <w:r>
        <w:rPr>
          <w:color w:val="000000"/>
          <w:sz w:val="22"/>
          <w:szCs w:val="22"/>
        </w:rPr>
        <w:t xml:space="preserve">voxels (3D-rasters), which were obtained by converting </w:t>
      </w:r>
      <w:proofErr w:type="spellStart"/>
      <w:r>
        <w:rPr>
          <w:sz w:val="22"/>
          <w:szCs w:val="22"/>
        </w:rPr>
        <w:t>pointclouds</w:t>
      </w:r>
      <w:proofErr w:type="spellEnd"/>
      <w:r>
        <w:rPr>
          <w:sz w:val="22"/>
          <w:szCs w:val="22"/>
        </w:rPr>
        <w:t xml:space="preserve"> into voxels </w:t>
      </w:r>
      <w:r>
        <w:rPr>
          <w:color w:val="000000"/>
          <w:sz w:val="22"/>
          <w:szCs w:val="22"/>
        </w:rPr>
        <w:t>using the function “</w:t>
      </w:r>
      <w:proofErr w:type="spellStart"/>
      <w:r>
        <w:rPr>
          <w:color w:val="000000"/>
          <w:sz w:val="22"/>
          <w:szCs w:val="22"/>
        </w:rPr>
        <w:t>voxelize_points</w:t>
      </w:r>
      <w:proofErr w:type="spellEnd"/>
      <w:r>
        <w:rPr>
          <w:color w:val="000000"/>
          <w:sz w:val="22"/>
          <w:szCs w:val="22"/>
        </w:rPr>
        <w:t xml:space="preserve">” from package “lidR” </w:t>
      </w:r>
      <w:r w:rsidR="003500CD">
        <w:rPr>
          <w:color w:val="000000"/>
          <w:sz w:val="22"/>
          <w:szCs w:val="22"/>
        </w:rPr>
        <w:fldChar w:fldCharType="begin" w:fldLock="1"/>
      </w:r>
      <w:r w:rsidR="003500CD">
        <w:rPr>
          <w:color w:val="000000"/>
          <w:sz w:val="22"/>
          <w:szCs w:val="22"/>
        </w:rPr>
        <w:instrText>ADDIN CSL_CITATION {"citationItems":[{"id":"ITEM-1","itemData":{"DOI":"10.1016/j.rse.2020.112061","ISSN":"0034-4257","author":[{"dropping-particle":"","family":"Roussel","given":"Jean-romain","non-dropping-particle":"","parse-names":false,"suffix":""},{"dropping-particle":"","family":"Auty","given":"David","non-dropping-particle":"","parse-names":false,"suffix":""},{"dropping-particle":"","family":"Coops","given":"Nicholas C","non-dropping-particle":"","parse-names":false,"suffix":""},{"dropping-particle":"","family":"Tompalski","given":"Piotr","non-dropping-particle":"","parse-names":false,"suffix":""},{"dropping-particle":"","family":"Goodbody","given":"Tristan R H","non-dropping-particle":"","parse-names":false,"suffix":""},{"dropping-particle":"","family":"Sánchez","given":"Andrew","non-dropping-particle":"","parse-names":false,"suffix":""},{"dropping-particle":"","family":"Bourdon","given":"Jean-françois","non-dropping-particle":"","parse-names":false,"suffix":""},{"dropping-particle":"De","family":"Boissieu","given":"Florian","non-dropping-particle":"","parse-names":false,"suffix":""},{"dropping-particle":"","family":"Achim","given":"Alexis","non-dropping-particle":"","parse-names":false,"suffix":""}],"container-title":"Remote Sensing of Environment","id":"ITEM-1","issue":"August","issued":{"date-parts":[["2020"]]},"page":"112061","publisher":"Elsevier","title":"Remote Sensing of Environment lidR : An R package for analysis of Airborne Laser Scanning ( ALS ) data","type":"article-journal","volume":"251"},"uris":["http://www.mendeley.com/documents/?uuid=53ce8e40-e05c-498d-9811-ef8b31b85d14"]}],"mendeley":{"formattedCitation":"(Roussel et al. 2020)","plainTextFormattedCitation":"(Roussel et al. 2020)","previouslyFormattedCitation":"(Roussel et al. 2020)"},"properties":{"noteIndex":0},"schema":"https://github.com/citation-style-language/schema/raw/master/csl-citation.json"}</w:instrText>
      </w:r>
      <w:r w:rsidR="003500CD">
        <w:rPr>
          <w:color w:val="000000"/>
          <w:sz w:val="22"/>
          <w:szCs w:val="22"/>
        </w:rPr>
        <w:fldChar w:fldCharType="separate"/>
      </w:r>
      <w:r w:rsidR="003500CD" w:rsidRPr="003500CD">
        <w:rPr>
          <w:noProof/>
          <w:color w:val="000000"/>
          <w:sz w:val="22"/>
          <w:szCs w:val="22"/>
        </w:rPr>
        <w:t>(Roussel et al. 2020)</w:t>
      </w:r>
      <w:r w:rsidR="003500CD">
        <w:rPr>
          <w:color w:val="000000"/>
          <w:sz w:val="22"/>
          <w:szCs w:val="22"/>
        </w:rPr>
        <w:fldChar w:fldCharType="end"/>
      </w:r>
      <w:r>
        <w:rPr>
          <w:sz w:val="22"/>
          <w:szCs w:val="22"/>
        </w:rPr>
        <w:t xml:space="preserve">. </w:t>
      </w:r>
      <w:r>
        <w:rPr>
          <w:color w:val="000000"/>
          <w:sz w:val="22"/>
          <w:szCs w:val="22"/>
        </w:rPr>
        <w:t xml:space="preserve">To obtain strata-specific measures of habitat structure, voxels were split into four vertical height bins: understory (0-5 m), Und; midstory (5-15m) Mid; subcanopy (15-25 m) Sub; and canopy (&gt;25 m) Can (Figure 1b). Note that while we used </w:t>
      </w:r>
      <w:r>
        <w:rPr>
          <w:color w:val="000000"/>
          <w:sz w:val="22"/>
          <w:szCs w:val="22"/>
        </w:rPr>
        <w:lastRenderedPageBreak/>
        <w:t xml:space="preserve">nomenclature for </w:t>
      </w:r>
      <w:r>
        <w:rPr>
          <w:sz w:val="22"/>
          <w:szCs w:val="22"/>
        </w:rPr>
        <w:t>the</w:t>
      </w:r>
      <w:r>
        <w:rPr>
          <w:color w:val="000000"/>
          <w:sz w:val="22"/>
          <w:szCs w:val="22"/>
        </w:rPr>
        <w:t xml:space="preserve"> four height strata that is consistent with nomenclature in forest-related disciplines, the selection of strata thresholds were based on those commonly used in ecological studies </w:t>
      </w:r>
      <w:r w:rsidR="003500CD">
        <w:rPr>
          <w:color w:val="000000"/>
          <w:sz w:val="22"/>
          <w:szCs w:val="22"/>
        </w:rPr>
        <w:fldChar w:fldCharType="begin" w:fldLock="1"/>
      </w:r>
      <w:r w:rsidR="00D95EB8">
        <w:rPr>
          <w:color w:val="000000"/>
          <w:sz w:val="22"/>
          <w:szCs w:val="22"/>
        </w:rPr>
        <w:instrText>ADDIN CSL_CITATION {"citationItems":[{"id":"ITEM-1","itemData":{"DOI":"10.3390/rs5042014","ISSN":"20724292","abstract":"Canopy structure, the vertical distribution of canopy material, is an important element of forest ecosystem dynamics and habitat preference. Although vertical stratification, or \"canopy layering,\" is a basic characterization of canopy structure for research and forest management, it is difficult to quantify at landscape scales. In this paper we describe canopy structure and develop methodologies to map forest vertical stratification in a mixed temperate forest using full-waveform lidar. Two definitions-one categorical and one continuous-are used to map canopy layering over Hubbard Brook Experimental Forest, New Hampshire with lidar data collected in 2009 by NASA's Laser Vegetation Imaging Sensor (LVIS). The two resulting canopy layering datasets describe variation of canopy layering throughout the forest and show that layering varies with terrain elevation and canopy height. This information should provide increased understanding of vertical structure variability and aid habitat characterization and other forest management activities. © 2013 by the authors; licensee MDPI, Basel, Switzerland.","author":[{"dropping-particle":"","family":"Whitehurst","given":"Amanda S.","non-dropping-particle":"","parse-names":false,"suffix":""},{"dropping-particle":"","family":"Swatantran","given":"Anu","non-dropping-particle":"","parse-names":false,"suffix":""},{"dropping-particle":"","family":"Blair","given":"J. Bryan","non-dropping-particle":"","parse-names":false,"suffix":""},{"dropping-particle":"","family":"Hofton","given":"Michelle A.","non-dropping-particle":"","parse-names":false,"suffix":""},{"dropping-particle":"","family":"Dubayah","given":"Ralph","non-dropping-particle":"","parse-names":false,"suffix":""}],"container-title":"Remote Sensing","id":"ITEM-1","issue":"4","issued":{"date-parts":[["2013"]]},"page":"2014-2036","title":"Characterization of canopy layering in forested ecosystems using full waveform lidar","type":"article-journal","volume":"5"},"uris":["http://www.mendeley.com/documents/?uuid=c0377974-280c-4ee9-9f8a-e89f09e79f7f"]},{"id":"ITEM-2","itemData":{"DOI":"10.1111/btp.13201","ISSN":"17447429","abstract":"Secondary forest has the potential to act as an important habitat for biodiversity and restoring ecological benefits. Functional diversity, which includes morphological and behavioral traits that mediate species interactions with the surrounding environment, relates to the resilience of ecosystems. To assess the relationship between habitat structural differences in primary and secondary forest and the resultant differences in functional diversity of avian species, we followed 11 mixed-species flocks at the Biological Dynamics of Forest Fragments Project, near Manaus, Brazil. We used remote sensing LiDAR to assess which three-dimensional forest structural features are most closely associated with variation in species richness and functional diversity in secondary and primary tropical forest flocks. The species richness of flocks in primary forest increased in areas with higher elevation and higher leaf area density in the understory and subcanopy but was not correlated with habitat structure in secondary forest. Functional diversity increased at lower elevations and with a denser subcanopy in both primary forest and secondary forest but only increased with greater understory leaf area density in primary forest. Together, these results indicate that a dense subcanopy and understory can be important for mixed-species flocks and that flock richness and functional diversity can be predicted by vegetation structure. Abstract in Portuguese is available with online material.","author":[{"dropping-particle":"","family":"Coddington","given":"Charles P.J.","non-dropping-particle":"","parse-names":false,"suffix":""},{"dropping-particle":"","family":"Cooper","given":"W. Justin","non-dropping-particle":"","parse-names":false,"suffix":""},{"dropping-particle":"","family":"Mokross","given":"Karl","non-dropping-particle":"","parse-names":false,"suffix":""},{"dropping-particle":"","family":"Luther","given":"David A.","non-dropping-particle":"","parse-names":false,"suffix":""}],"container-title":"Biotropica","id":"ITEM-2","issued":{"date-parts":[["2023"]]},"page":"1-13","publisher":"John Wiley and Sons Inc","title":"Forest structure predicts species richness and functional diversity in Amazonian mixed-species bird flocks","type":"article-journal","volume":"00"},"uris":["http://www.mendeley.com/documents/?uuid=fb2745c7-b87a-339a-b5a4-cbef478141d7"]}],"mendeley":{"formattedCitation":"(Whitehurst et al. 2013, Coddington et al. 2023)","plainTextFormattedCitation":"(Whitehurst et al. 2013, Coddington et al. 2023)","previouslyFormattedCitation":"(Whitehurst et al. 2013, Coddington et al. 2023)"},"properties":{"noteIndex":0},"schema":"https://github.com/citation-style-language/schema/raw/master/csl-citation.json"}</w:instrText>
      </w:r>
      <w:r w:rsidR="003500CD">
        <w:rPr>
          <w:color w:val="000000"/>
          <w:sz w:val="22"/>
          <w:szCs w:val="22"/>
        </w:rPr>
        <w:fldChar w:fldCharType="separate"/>
      </w:r>
      <w:r w:rsidR="003500CD" w:rsidRPr="003500CD">
        <w:rPr>
          <w:noProof/>
          <w:color w:val="000000"/>
          <w:sz w:val="22"/>
          <w:szCs w:val="22"/>
        </w:rPr>
        <w:t>(Whitehurst et al. 2013, Coddington et al. 2023)</w:t>
      </w:r>
      <w:r w:rsidR="003500CD">
        <w:rPr>
          <w:color w:val="000000"/>
          <w:sz w:val="22"/>
          <w:szCs w:val="22"/>
        </w:rPr>
        <w:fldChar w:fldCharType="end"/>
      </w:r>
      <w:r>
        <w:rPr>
          <w:color w:val="000000"/>
          <w:sz w:val="22"/>
          <w:szCs w:val="22"/>
        </w:rPr>
        <w:t>.</w:t>
      </w:r>
    </w:p>
    <w:p w14:paraId="0000003E" w14:textId="77D129F2" w:rsidR="006B16C2" w:rsidRDefault="00EB0728">
      <w:pPr>
        <w:spacing w:line="480" w:lineRule="auto"/>
        <w:ind w:firstLine="720"/>
        <w:rPr>
          <w:color w:val="000000"/>
          <w:sz w:val="22"/>
          <w:szCs w:val="22"/>
        </w:rPr>
      </w:pPr>
      <w:r>
        <w:rPr>
          <w:color w:val="000000"/>
          <w:sz w:val="22"/>
          <w:szCs w:val="22"/>
        </w:rPr>
        <w:t>We calculated ten measures of 3D habitat structure (five measures of 3D habitat composition and five measures of 3D habitat configuration) and one measure of 2D habitat structure for comparison. 3D habitat composition was quantified as total habitat amount (</w:t>
      </w:r>
      <w:proofErr w:type="spellStart"/>
      <w:r>
        <w:rPr>
          <w:color w:val="000000"/>
          <w:sz w:val="22"/>
          <w:szCs w:val="22"/>
        </w:rPr>
        <w:t>Total</w:t>
      </w:r>
      <w:r>
        <w:rPr>
          <w:color w:val="000000"/>
          <w:sz w:val="22"/>
          <w:szCs w:val="22"/>
          <w:vertAlign w:val="subscript"/>
        </w:rPr>
        <w:t>A</w:t>
      </w:r>
      <w:proofErr w:type="spellEnd"/>
      <w:r>
        <w:rPr>
          <w:color w:val="000000"/>
          <w:sz w:val="22"/>
          <w:szCs w:val="22"/>
        </w:rPr>
        <w:t xml:space="preserve">) and as habitat amount within each of the four vertical strata. </w:t>
      </w:r>
      <w:proofErr w:type="spellStart"/>
      <w:r>
        <w:rPr>
          <w:color w:val="000000"/>
          <w:sz w:val="22"/>
          <w:szCs w:val="22"/>
        </w:rPr>
        <w:t>Total</w:t>
      </w:r>
      <w:r>
        <w:rPr>
          <w:color w:val="000000"/>
          <w:sz w:val="22"/>
          <w:szCs w:val="22"/>
          <w:vertAlign w:val="subscript"/>
        </w:rPr>
        <w:t>A</w:t>
      </w:r>
      <w:proofErr w:type="spellEnd"/>
      <w:r>
        <w:rPr>
          <w:color w:val="000000"/>
          <w:sz w:val="22"/>
          <w:szCs w:val="22"/>
        </w:rPr>
        <w:t xml:space="preserve"> was calculated by summing the total number of voxels found along the entire vegetation profile within the 250m radius (Figure 1d). Habitat amounts of each vertical stratum (understory, </w:t>
      </w:r>
      <w:proofErr w:type="spellStart"/>
      <w:r>
        <w:rPr>
          <w:color w:val="000000"/>
          <w:sz w:val="22"/>
          <w:szCs w:val="22"/>
        </w:rPr>
        <w:t>Und</w:t>
      </w:r>
      <w:r>
        <w:rPr>
          <w:color w:val="000000"/>
          <w:sz w:val="22"/>
          <w:szCs w:val="22"/>
          <w:vertAlign w:val="subscript"/>
        </w:rPr>
        <w:t>A</w:t>
      </w:r>
      <w:proofErr w:type="spellEnd"/>
      <w:r>
        <w:rPr>
          <w:color w:val="000000"/>
          <w:sz w:val="22"/>
          <w:szCs w:val="22"/>
        </w:rPr>
        <w:t xml:space="preserve">; midstory, </w:t>
      </w:r>
      <w:proofErr w:type="spellStart"/>
      <w:r>
        <w:rPr>
          <w:color w:val="000000"/>
          <w:sz w:val="22"/>
          <w:szCs w:val="22"/>
        </w:rPr>
        <w:t>Mid</w:t>
      </w:r>
      <w:r>
        <w:rPr>
          <w:color w:val="000000"/>
          <w:sz w:val="22"/>
          <w:szCs w:val="22"/>
          <w:vertAlign w:val="subscript"/>
        </w:rPr>
        <w:t>A</w:t>
      </w:r>
      <w:proofErr w:type="spellEnd"/>
      <w:r>
        <w:rPr>
          <w:color w:val="000000"/>
          <w:sz w:val="22"/>
          <w:szCs w:val="22"/>
        </w:rPr>
        <w:t xml:space="preserve">; subcanopy, </w:t>
      </w:r>
      <w:proofErr w:type="spellStart"/>
      <w:r>
        <w:rPr>
          <w:color w:val="000000"/>
          <w:sz w:val="22"/>
          <w:szCs w:val="22"/>
        </w:rPr>
        <w:t>Sub</w:t>
      </w:r>
      <w:r>
        <w:rPr>
          <w:color w:val="000000"/>
          <w:sz w:val="22"/>
          <w:szCs w:val="22"/>
          <w:vertAlign w:val="subscript"/>
        </w:rPr>
        <w:t>A</w:t>
      </w:r>
      <w:proofErr w:type="spellEnd"/>
      <w:r>
        <w:rPr>
          <w:color w:val="000000"/>
          <w:sz w:val="22"/>
          <w:szCs w:val="22"/>
        </w:rPr>
        <w:t xml:space="preserve">; canopy, </w:t>
      </w:r>
      <w:proofErr w:type="spellStart"/>
      <w:r>
        <w:rPr>
          <w:color w:val="000000"/>
          <w:sz w:val="22"/>
          <w:szCs w:val="22"/>
        </w:rPr>
        <w:t>Can</w:t>
      </w:r>
      <w:r>
        <w:rPr>
          <w:color w:val="000000"/>
          <w:sz w:val="22"/>
          <w:szCs w:val="22"/>
          <w:vertAlign w:val="subscript"/>
        </w:rPr>
        <w:t>A</w:t>
      </w:r>
      <w:proofErr w:type="spellEnd"/>
      <w:r>
        <w:rPr>
          <w:color w:val="000000"/>
          <w:sz w:val="22"/>
          <w:szCs w:val="22"/>
        </w:rPr>
        <w:t>) were calculated as the sum of all voxels within each stratum for each 250m radius plot (Figure 1d). We quantified 3D habitat configuration as vertical habitat configuration along the entire vegetation profile and as habitat configuration at each of the four vertical strata. To quantify vertical habitat configuration, we first assigned each voxel into one of seventy 1 m vertical height bins and summed the total number of voxels in each bin. We then quantified vertical habitat configuration of the resulting array as the variance of that array (</w:t>
      </w:r>
      <w:proofErr w:type="spellStart"/>
      <w:r>
        <w:rPr>
          <w:color w:val="000000"/>
          <w:sz w:val="22"/>
          <w:szCs w:val="22"/>
        </w:rPr>
        <w:t>Vert</w:t>
      </w:r>
      <w:r>
        <w:rPr>
          <w:color w:val="000000"/>
          <w:sz w:val="22"/>
          <w:szCs w:val="22"/>
          <w:vertAlign w:val="subscript"/>
        </w:rPr>
        <w:t>V</w:t>
      </w:r>
      <w:proofErr w:type="spellEnd"/>
      <w:r>
        <w:rPr>
          <w:color w:val="000000"/>
          <w:sz w:val="22"/>
          <w:szCs w:val="22"/>
        </w:rPr>
        <w:t>) (Figure 1g). Note that though Shannon’s Diversity Index (SDI) is often used to quantify vertical habitat configuration</w:t>
      </w:r>
      <w:r w:rsidR="00AD596B">
        <w:rPr>
          <w:color w:val="000000"/>
          <w:sz w:val="22"/>
          <w:szCs w:val="22"/>
        </w:rPr>
        <w:t xml:space="preserve"> </w:t>
      </w:r>
      <w:r w:rsidR="00AD596B">
        <w:rPr>
          <w:color w:val="000000"/>
          <w:sz w:val="22"/>
          <w:szCs w:val="22"/>
        </w:rPr>
        <w:fldChar w:fldCharType="begin" w:fldLock="1"/>
      </w:r>
      <w:r w:rsidR="00B554D3">
        <w:rPr>
          <w:color w:val="000000"/>
          <w:sz w:val="22"/>
          <w:szCs w:val="22"/>
        </w:rPr>
        <w:instrText>ADDIN CSL_CITATION {"citationItems":[{"id":"ITEM-1","itemData":{"DOI":"10.3390/rs11070743","ISSN":"20724292","abstract":"The structural heterogeneity of vegetation is a key factor for explaining animal diversitypatterns at a local scale. Improvements in airborne light detection and ranging (lidar) technologieshave enabled researchers to study forest 3D structure with increasing accuracy. Most structure-animaldiversity work has focused on structural metrics derived from lidar returns from canopy andterrain features. Here, we built new lidar structural metrics based on the Leaf Area Density (LAD)at each vegetation height layer, and used these metrics to study how different aspects of foreststructural heterogeneity explain variation in bird species richness. Our goals were to test: (1) whetherLAD-based metrics better explained bird species richness compared to metrics based on the topof the canopy; and (2) if different aspects of structural heterogeneity had diverse effects on birdrichness. We used discrete lidar data together with 61 breeding landbird points provided by theNational Ecological Observatory Network at five forest sites of the eastern US. We used the lidarmetrics as predictors of bird species richness and analyzed the shape of the response curves againsteach predictor. Metrics based on LAD measurements had better explanatory power (43% of varianceexplained) than those based on the variation of canopy heights (32% of variance explained). Dividingthe forest plots into smaller grids allowed us to study the within-plot horizontal variation of thevertical heterogeneity, as well as to analyze how the vegetation density is horizontally distributedat each height layer. Bird species richness increased with horizontal heterogeneity, while verticalheterogeneity had negative effects, contrary to previous research. The increasing capabilities of lidarwill allow researchers to characterize forest structure with higher detail. Our findings highlight theneed for structure-animal diversity studies to incorporate metrics that are able to capture differentaspects of forest 3D heterogeneity.","author":[{"dropping-particle":"","family":"Carrasco","given":"Luis","non-dropping-particle":"","parse-names":false,"suffix":""},{"dropping-particle":"","family":"Giam","given":"Xingli","non-dropping-particle":"","parse-names":false,"suffix":""},{"dropping-particle":"","family":"Papȩs","given":"Monica","non-dropping-particle":"","parse-names":false,"suffix":""},{"dropping-particle":"","family":"Sheldon","given":"Kimberly S.","non-dropping-particle":"","parse-names":false,"suffix":""}],"container-title":"Remote Sensing","id":"ITEM-1","issue":"7","issued":{"date-parts":[["2019","4","1"]]},"page":"743","publisher":"MDPI AG","title":"Metrics of lidar-derived 3D vegetation structure reveal contrasting effects of horizontal and vertical forest heterogeneity on bird species richness","type":"article-journal","volume":"11"},"uris":["http://www.mendeley.com/documents/?uuid=b6192533-7e0d-34bc-9853-dde877daf3b2"]}],"mendeley":{"formattedCitation":"(Carrasco et al. 2019)","plainTextFormattedCitation":"(Carrasco et al. 2019)","previouslyFormattedCitation":"(Carrasco et al. 2019)"},"properties":{"noteIndex":0},"schema":"https://github.com/citation-style-language/schema/raw/master/csl-citation.json"}</w:instrText>
      </w:r>
      <w:r w:rsidR="00AD596B">
        <w:rPr>
          <w:color w:val="000000"/>
          <w:sz w:val="22"/>
          <w:szCs w:val="22"/>
        </w:rPr>
        <w:fldChar w:fldCharType="separate"/>
      </w:r>
      <w:r w:rsidR="00AD596B" w:rsidRPr="00AD596B">
        <w:rPr>
          <w:noProof/>
          <w:color w:val="000000"/>
          <w:sz w:val="22"/>
          <w:szCs w:val="22"/>
        </w:rPr>
        <w:t>(Carrasco et al. 2019)</w:t>
      </w:r>
      <w:r w:rsidR="00AD596B">
        <w:rPr>
          <w:color w:val="000000"/>
          <w:sz w:val="22"/>
          <w:szCs w:val="22"/>
        </w:rPr>
        <w:fldChar w:fldCharType="end"/>
      </w:r>
      <w:r>
        <w:rPr>
          <w:color w:val="000000"/>
          <w:sz w:val="22"/>
          <w:szCs w:val="22"/>
        </w:rPr>
        <w:t xml:space="preserve">, we opted to not use SDI in our analysis because of its high correlation with total habitat amount in our study system (see </w:t>
      </w:r>
      <w:r>
        <w:rPr>
          <w:sz w:val="22"/>
          <w:szCs w:val="22"/>
        </w:rPr>
        <w:t>S</w:t>
      </w:r>
      <w:r>
        <w:rPr>
          <w:color w:val="000000"/>
          <w:sz w:val="22"/>
          <w:szCs w:val="22"/>
        </w:rPr>
        <w:t>upporting information). To obtain strata-specific measures of habitat configuration (</w:t>
      </w:r>
      <w:proofErr w:type="spellStart"/>
      <w:r>
        <w:rPr>
          <w:color w:val="000000"/>
          <w:sz w:val="22"/>
          <w:szCs w:val="22"/>
        </w:rPr>
        <w:t>Und</w:t>
      </w:r>
      <w:r>
        <w:rPr>
          <w:color w:val="000000"/>
          <w:sz w:val="22"/>
          <w:szCs w:val="22"/>
          <w:vertAlign w:val="subscript"/>
        </w:rPr>
        <w:t>C</w:t>
      </w:r>
      <w:proofErr w:type="spellEnd"/>
      <w:r>
        <w:rPr>
          <w:color w:val="000000"/>
          <w:sz w:val="22"/>
          <w:szCs w:val="22"/>
        </w:rPr>
        <w:t xml:space="preserve">, </w:t>
      </w:r>
      <w:proofErr w:type="spellStart"/>
      <w:r>
        <w:rPr>
          <w:color w:val="000000"/>
          <w:sz w:val="22"/>
          <w:szCs w:val="22"/>
        </w:rPr>
        <w:t>Mid</w:t>
      </w:r>
      <w:r>
        <w:rPr>
          <w:color w:val="000000"/>
          <w:sz w:val="22"/>
          <w:szCs w:val="22"/>
          <w:vertAlign w:val="subscript"/>
        </w:rPr>
        <w:t>C</w:t>
      </w:r>
      <w:proofErr w:type="spellEnd"/>
      <w:r>
        <w:rPr>
          <w:color w:val="000000"/>
          <w:sz w:val="22"/>
          <w:szCs w:val="22"/>
        </w:rPr>
        <w:t xml:space="preserve">, </w:t>
      </w:r>
      <w:proofErr w:type="spellStart"/>
      <w:r>
        <w:rPr>
          <w:color w:val="000000"/>
          <w:sz w:val="22"/>
          <w:szCs w:val="22"/>
        </w:rPr>
        <w:t>Sub</w:t>
      </w:r>
      <w:r>
        <w:rPr>
          <w:color w:val="000000"/>
          <w:sz w:val="22"/>
          <w:szCs w:val="22"/>
          <w:vertAlign w:val="subscript"/>
        </w:rPr>
        <w:t>C</w:t>
      </w:r>
      <w:proofErr w:type="spellEnd"/>
      <w:r>
        <w:rPr>
          <w:color w:val="000000"/>
          <w:sz w:val="22"/>
          <w:szCs w:val="22"/>
        </w:rPr>
        <w:t xml:space="preserve">, </w:t>
      </w:r>
      <w:proofErr w:type="spellStart"/>
      <w:r>
        <w:rPr>
          <w:color w:val="000000"/>
          <w:sz w:val="22"/>
          <w:szCs w:val="22"/>
        </w:rPr>
        <w:t>Can</w:t>
      </w:r>
      <w:r>
        <w:rPr>
          <w:color w:val="000000"/>
          <w:sz w:val="22"/>
          <w:szCs w:val="22"/>
          <w:vertAlign w:val="subscript"/>
        </w:rPr>
        <w:t>C</w:t>
      </w:r>
      <w:proofErr w:type="spellEnd"/>
      <w:r>
        <w:rPr>
          <w:color w:val="000000"/>
          <w:sz w:val="22"/>
          <w:szCs w:val="22"/>
        </w:rPr>
        <w:t xml:space="preserve">), we used voxels associated with each vertical stratum and converted them into 2D raster layers </w:t>
      </w:r>
      <w:r w:rsidR="00AD596B">
        <w:rPr>
          <w:color w:val="000000"/>
          <w:sz w:val="22"/>
          <w:szCs w:val="22"/>
        </w:rPr>
        <w:fldChar w:fldCharType="begin" w:fldLock="1"/>
      </w:r>
      <w:r w:rsidR="00D95EB8">
        <w:rPr>
          <w:color w:val="000000"/>
          <w:sz w:val="22"/>
          <w:szCs w:val="22"/>
        </w:rPr>
        <w:instrText>ADDIN CSL_CITATION {"citationItems":[{"id":"ITEM-1","itemData":{"DOI":"10.1186/s40965-017-0021-8","ISSN":"2363-7501","abstract":"Point clouds with increased point densities create new opportunities for analyzing landscape structure in 3D space. Taking advantage of these dense point clouds we have extended a 2D forest fragmentation index developed for regional scale analyses into a 3D index for analyzing vegetation structure at a much finer scale.","author":[{"dropping-particle":"","family":"Petras","given":"Vaclav","non-dropping-particle":"","parse-names":false,"suffix":""},{"dropping-particle":"","family":"Newcomb","given":"Douglas J.","non-dropping-particle":"","parse-names":false,"suffix":""},{"dropping-particle":"","family":"Mitasova","given":"Helena","non-dropping-particle":"","parse-names":false,"suffix":""}],"container-title":"Open Geospatial Data, Software and Standards","id":"ITEM-1","issue":"1","issued":{"date-parts":[["2017","12"]]},"page":"9","publisher":"Springer Science and Business Media LLC","title":"Generalized 3D fragmentation index derived from lidar point clouds","type":"article-journal","volume":"2"},"uris":["http://www.mendeley.com/documents/?uuid=8c224c2a-a3e1-3a9e-b4ac-8b850d005a5b"]}],"mendeley":{"formattedCitation":"(Petras et al. 2017)","plainTextFormattedCitation":"(Petras et al. 2017)","previouslyFormattedCitation":"(Petras et al. 2017)"},"properties":{"noteIndex":0},"schema":"https://github.com/citation-style-language/schema/raw/master/csl-citation.json"}</w:instrText>
      </w:r>
      <w:r w:rsidR="00AD596B">
        <w:rPr>
          <w:color w:val="000000"/>
          <w:sz w:val="22"/>
          <w:szCs w:val="22"/>
        </w:rPr>
        <w:fldChar w:fldCharType="separate"/>
      </w:r>
      <w:r w:rsidR="00AD596B" w:rsidRPr="00AD596B">
        <w:rPr>
          <w:noProof/>
          <w:color w:val="000000"/>
          <w:sz w:val="22"/>
          <w:szCs w:val="22"/>
        </w:rPr>
        <w:t>(Petras et al. 2017)</w:t>
      </w:r>
      <w:r w:rsidR="00AD596B">
        <w:rPr>
          <w:color w:val="000000"/>
          <w:sz w:val="22"/>
          <w:szCs w:val="22"/>
        </w:rPr>
        <w:fldChar w:fldCharType="end"/>
      </w:r>
      <w:r w:rsidR="00AD596B">
        <w:rPr>
          <w:color w:val="000000"/>
          <w:sz w:val="22"/>
          <w:szCs w:val="22"/>
        </w:rPr>
        <w:t xml:space="preserve"> </w:t>
      </w:r>
      <w:r>
        <w:rPr>
          <w:color w:val="000000"/>
          <w:sz w:val="22"/>
          <w:szCs w:val="22"/>
        </w:rPr>
        <w:t xml:space="preserve">(Figure 1e). For each strata-specific raster layer, we then calculated habitat configuration as the number of patches (NP) </w:t>
      </w:r>
      <w:r w:rsidR="00AD596B">
        <w:rPr>
          <w:color w:val="000000"/>
          <w:sz w:val="22"/>
          <w:szCs w:val="22"/>
        </w:rPr>
        <w:fldChar w:fldCharType="begin" w:fldLock="1"/>
      </w:r>
      <w:r w:rsidR="00AD596B">
        <w:rPr>
          <w:color w:val="000000"/>
          <w:sz w:val="22"/>
          <w:szCs w:val="22"/>
        </w:rPr>
        <w:instrText>ADDIN CSL_CITATION {"citationItems":[{"id":"ITEM-1","itemData":{"DOI":"10.1146/annurev.ecolsys.34.011802.132419","ISSN":"00664162","abstract":"The literature on effects of habitat fragmentation on biodiversity is huge. It is also very diverse, with different authors measuring fragmentation in different ways and, as a consequence, drawing different conclusions regarding both the magnitude and direction of its effects. Habitat fragmentation is usually defined as a landscape-scale process involving both habitat loss and the breaking apart of habitat. Results of empirical studies of habitat fragmentation are often difficult to interpret because (a) many researchers measure fragmentation at the patch scale, not the landscape scale and (b) most researchers measure fragmentation in ways that do not distinguish between habitat loss and habitat fragmentation per se, i.e., the breaking apart of habitat after controlling for habitat loss. Empirical studies to date suggest that habitat loss has large, consistently negative effects on biodiversity. Habitat fragmentation per se has much weaker effects on biodiversity that are at least as likely to be positive as negative. Therefore, to correctly interpret the influence of habitat fragmentation on biodiversity, the effects of these two components of fragmentation must be measured independently. More studies of the independent effects of habitat loss and fragmentation per se are needed to determine the factors that lead to positive versus negative effects of fragmentation per se. I suggest that the term \"fragmentation\" should be reserved for the breaking apart of habitat, independent of habitat loss.","author":[{"dropping-particle":"","family":"Fahrig","given":"Lenore","non-dropping-particle":"","parse-names":false,"suffix":""}],"container-title":"Annual Review of Ecology, Evolution, and Systematics","id":"ITEM-1","issued":{"date-parts":[["2003"]]},"page":"487-515","title":"Effects of Habitat Fragmentation on Biodiversity","type":"article","volume":"34"},"uris":["http://www.mendeley.com/documents/?uuid=4730077d-872d-3e05-a5d1-ff4c6c15cbc4"]}],"mendeley":{"formattedCitation":"(Fahrig 2003)","plainTextFormattedCitation":"(Fahrig 2003)","previouslyFormattedCitation":"(Fahrig 2003)"},"properties":{"noteIndex":0},"schema":"https://github.com/citation-style-language/schema/raw/master/csl-citation.json"}</w:instrText>
      </w:r>
      <w:r w:rsidR="00AD596B">
        <w:rPr>
          <w:color w:val="000000"/>
          <w:sz w:val="22"/>
          <w:szCs w:val="22"/>
        </w:rPr>
        <w:fldChar w:fldCharType="separate"/>
      </w:r>
      <w:r w:rsidR="00AD596B" w:rsidRPr="00AD596B">
        <w:rPr>
          <w:noProof/>
          <w:color w:val="000000"/>
          <w:sz w:val="22"/>
          <w:szCs w:val="22"/>
        </w:rPr>
        <w:t>(Fahrig 2003)</w:t>
      </w:r>
      <w:r w:rsidR="00AD596B">
        <w:rPr>
          <w:color w:val="000000"/>
          <w:sz w:val="22"/>
          <w:szCs w:val="22"/>
        </w:rPr>
        <w:fldChar w:fldCharType="end"/>
      </w:r>
      <w:r>
        <w:rPr>
          <w:color w:val="000000"/>
          <w:sz w:val="22"/>
          <w:szCs w:val="22"/>
        </w:rPr>
        <w:t>, using the R package “</w:t>
      </w:r>
      <w:proofErr w:type="spellStart"/>
      <w:r>
        <w:rPr>
          <w:color w:val="000000"/>
          <w:sz w:val="22"/>
          <w:szCs w:val="22"/>
        </w:rPr>
        <w:t>landscapemetrics</w:t>
      </w:r>
      <w:proofErr w:type="spellEnd"/>
      <w:r>
        <w:rPr>
          <w:color w:val="000000"/>
          <w:sz w:val="22"/>
          <w:szCs w:val="22"/>
        </w:rPr>
        <w:t xml:space="preserve">” </w:t>
      </w:r>
      <w:r w:rsidR="00AD596B">
        <w:rPr>
          <w:color w:val="000000"/>
          <w:sz w:val="22"/>
          <w:szCs w:val="22"/>
        </w:rPr>
        <w:fldChar w:fldCharType="begin" w:fldLock="1"/>
      </w:r>
      <w:r w:rsidR="00B649DE">
        <w:rPr>
          <w:color w:val="000000"/>
          <w:sz w:val="22"/>
          <w:szCs w:val="22"/>
        </w:rPr>
        <w:instrText>ADDIN CSL_CITATION {"citationItems":[{"id":"ITEM-1","itemData":{"DOI":"10.1111/ecog.04617","ISSN":"16000587","abstract":"Quantifying landscape characteristics and linking them to ecological processes is one of the central goals of landscape ecology. Landscape metrics are a widely used tool for the analysis of patch-based, discrete land-cover classes. Existing software to calculate landscape metrics has several constraints, such as being limited to a single platform, not being open-source or involving a complicated integration into large workflows. We present landscapemetrics, an open-source R package that overcomes many constraints of existing landscape metric software. The package includes an extensive collection of commonly used landscape metrics in a tidy workflow. To facilitate the integration into large workflows, landscapemetrics is based on a well-established spatial framework in R. This allows pre-processing of land-cover maps or further statistical analysis without importing and exporting the data from and to different software environments. Additionally, the package provides many utility functions to visualize, extract, and sample landscape metrics. Lastly, we provide building-blocks to motivate the development and integration of new metrics in the future. We demonstrate the usage and advantages of landscapemetrics by analysing the influence of different sampling schemes on the estimation of landscape metrics. In so doing, we demonstrate the many advantages of the package, especially its easy integration into large workflows. These new developments should help with the integration of landscape analysis in ecological research, given that ecologists are increasingly using R for the statistical analysis, modelling and visualization of spatial data.","author":[{"dropping-particle":"","family":"Hesselbarth","given":"Maximilian H.K.","non-dropping-particle":"","parse-names":false,"suffix":""},{"dropping-particle":"","family":"Sciaini","given":"Marco","non-dropping-particle":"","parse-names":false,"suffix":""},{"dropping-particle":"","family":"With","given":"Kimberly A.","non-dropping-particle":"","parse-names":false,"suffix":""},{"dropping-particle":"","family":"Wiegand","given":"Kerstin","non-dropping-particle":"","parse-names":false,"suffix":""},{"dropping-particle":"","family":"Nowosad","given":"Jakub","non-dropping-particle":"","parse-names":false,"suffix":""}],"container-title":"Ecography","id":"ITEM-1","issue":"10","issued":{"date-parts":[["2019"]]},"page":"1648-1657","title":"landscapemetrics: an open-source R tool to calculate landscape metrics","type":"article-journal","volume":"42"},"uris":["http://www.mendeley.com/documents/?uuid=cf237287-86f5-4de1-8440-a9d27998a197"]}],"mendeley":{"formattedCitation":"(Hesselbarth et al. 2019)","plainTextFormattedCitation":"(Hesselbarth et al. 2019)","previouslyFormattedCitation":"(Hesselbarth et al. 2019)"},"properties":{"noteIndex":0},"schema":"https://github.com/citation-style-language/schema/raw/master/csl-citation.json"}</w:instrText>
      </w:r>
      <w:r w:rsidR="00AD596B">
        <w:rPr>
          <w:color w:val="000000"/>
          <w:sz w:val="22"/>
          <w:szCs w:val="22"/>
        </w:rPr>
        <w:fldChar w:fldCharType="separate"/>
      </w:r>
      <w:r w:rsidR="00AD596B" w:rsidRPr="00AD596B">
        <w:rPr>
          <w:noProof/>
          <w:color w:val="000000"/>
          <w:sz w:val="22"/>
          <w:szCs w:val="22"/>
        </w:rPr>
        <w:t>(Hesselbarth et al. 2019)</w:t>
      </w:r>
      <w:r w:rsidR="00AD596B">
        <w:rPr>
          <w:color w:val="000000"/>
          <w:sz w:val="22"/>
          <w:szCs w:val="22"/>
        </w:rPr>
        <w:fldChar w:fldCharType="end"/>
      </w:r>
      <w:r>
        <w:rPr>
          <w:color w:val="000000"/>
          <w:sz w:val="22"/>
          <w:szCs w:val="22"/>
        </w:rPr>
        <w:t>. Finally, we quantified a total 2D habitat configuration (</w:t>
      </w:r>
      <w:proofErr w:type="spellStart"/>
      <w:r>
        <w:rPr>
          <w:color w:val="000000"/>
          <w:sz w:val="22"/>
          <w:szCs w:val="22"/>
        </w:rPr>
        <w:t>Total</w:t>
      </w:r>
      <w:r>
        <w:rPr>
          <w:color w:val="000000"/>
          <w:sz w:val="22"/>
          <w:szCs w:val="22"/>
          <w:vertAlign w:val="subscript"/>
        </w:rPr>
        <w:t>C</w:t>
      </w:r>
      <w:proofErr w:type="spellEnd"/>
      <w:r>
        <w:rPr>
          <w:color w:val="000000"/>
          <w:sz w:val="22"/>
          <w:szCs w:val="22"/>
        </w:rPr>
        <w:t xml:space="preserve">) by converting </w:t>
      </w:r>
      <w:proofErr w:type="spellStart"/>
      <w:r>
        <w:rPr>
          <w:color w:val="000000"/>
          <w:sz w:val="22"/>
          <w:szCs w:val="22"/>
        </w:rPr>
        <w:t>Total</w:t>
      </w:r>
      <w:r>
        <w:rPr>
          <w:color w:val="000000"/>
          <w:sz w:val="22"/>
          <w:szCs w:val="22"/>
          <w:vertAlign w:val="subscript"/>
        </w:rPr>
        <w:t>A</w:t>
      </w:r>
      <w:proofErr w:type="spellEnd"/>
      <w:r>
        <w:rPr>
          <w:color w:val="000000"/>
          <w:sz w:val="22"/>
          <w:szCs w:val="22"/>
        </w:rPr>
        <w:t xml:space="preserve"> into a single 2D raster and calculating NP (Figure 1e). </w:t>
      </w:r>
    </w:p>
    <w:p w14:paraId="0000003F" w14:textId="77777777" w:rsidR="006B16C2" w:rsidRDefault="006B16C2">
      <w:pPr>
        <w:spacing w:line="480" w:lineRule="auto"/>
        <w:rPr>
          <w:sz w:val="22"/>
          <w:szCs w:val="22"/>
          <w:u w:val="single"/>
        </w:rPr>
      </w:pPr>
    </w:p>
    <w:p w14:paraId="00000040" w14:textId="77777777" w:rsidR="006B16C2" w:rsidRDefault="00EB0728">
      <w:pPr>
        <w:spacing w:line="480" w:lineRule="auto"/>
        <w:rPr>
          <w:sz w:val="22"/>
          <w:szCs w:val="22"/>
          <w:u w:val="single"/>
        </w:rPr>
      </w:pPr>
      <w:r>
        <w:rPr>
          <w:sz w:val="22"/>
          <w:szCs w:val="22"/>
          <w:u w:val="single"/>
        </w:rPr>
        <w:t>Bayesian Mixed Effect Models</w:t>
      </w:r>
    </w:p>
    <w:p w14:paraId="00000041" w14:textId="77777777" w:rsidR="006B16C2" w:rsidRDefault="00EB0728">
      <w:pPr>
        <w:shd w:val="clear" w:color="auto" w:fill="FFFFFF"/>
        <w:spacing w:line="480" w:lineRule="auto"/>
        <w:ind w:firstLine="720"/>
        <w:rPr>
          <w:sz w:val="22"/>
          <w:szCs w:val="22"/>
        </w:rPr>
      </w:pPr>
      <w:r>
        <w:rPr>
          <w:sz w:val="22"/>
          <w:szCs w:val="22"/>
        </w:rPr>
        <w:t xml:space="preserve">To understand the influence of 3D and 2D habitat structure on avian diversity, we fitted 12 </w:t>
      </w:r>
      <w:r>
        <w:rPr>
          <w:color w:val="000000"/>
          <w:sz w:val="22"/>
          <w:szCs w:val="22"/>
        </w:rPr>
        <w:t xml:space="preserve">hierarchical Bayesian mixed effect models </w:t>
      </w:r>
      <w:r>
        <w:rPr>
          <w:sz w:val="22"/>
          <w:szCs w:val="22"/>
          <w:highlight w:val="white"/>
        </w:rPr>
        <w:t xml:space="preserve">to each metric of avian diversity: </w:t>
      </w:r>
      <w:proofErr w:type="spellStart"/>
      <w:r>
        <w:rPr>
          <w:sz w:val="22"/>
          <w:szCs w:val="22"/>
          <w:highlight w:val="white"/>
        </w:rPr>
        <w:t>SpRich</w:t>
      </w:r>
      <w:proofErr w:type="spellEnd"/>
      <w:r>
        <w:rPr>
          <w:sz w:val="22"/>
          <w:szCs w:val="22"/>
          <w:highlight w:val="white"/>
        </w:rPr>
        <w:t>, FD (</w:t>
      </w:r>
      <w:proofErr w:type="spellStart"/>
      <w:r>
        <w:rPr>
          <w:sz w:val="22"/>
          <w:szCs w:val="22"/>
          <w:highlight w:val="white"/>
        </w:rPr>
        <w:t>FRich</w:t>
      </w:r>
      <w:r>
        <w:rPr>
          <w:sz w:val="22"/>
          <w:szCs w:val="22"/>
          <w:highlight w:val="white"/>
          <w:vertAlign w:val="subscript"/>
        </w:rPr>
        <w:t>SES</w:t>
      </w:r>
      <w:proofErr w:type="spellEnd"/>
      <w:r>
        <w:rPr>
          <w:sz w:val="22"/>
          <w:szCs w:val="22"/>
          <w:highlight w:val="white"/>
        </w:rPr>
        <w:t xml:space="preserve">, </w:t>
      </w:r>
      <w:proofErr w:type="spellStart"/>
      <w:r>
        <w:rPr>
          <w:sz w:val="22"/>
          <w:szCs w:val="22"/>
          <w:highlight w:val="white"/>
        </w:rPr>
        <w:lastRenderedPageBreak/>
        <w:t>FEven</w:t>
      </w:r>
      <w:proofErr w:type="spellEnd"/>
      <w:r>
        <w:rPr>
          <w:sz w:val="22"/>
          <w:szCs w:val="22"/>
          <w:highlight w:val="white"/>
        </w:rPr>
        <w:t xml:space="preserve">, </w:t>
      </w:r>
      <w:proofErr w:type="spellStart"/>
      <w:r>
        <w:rPr>
          <w:sz w:val="22"/>
          <w:szCs w:val="22"/>
          <w:highlight w:val="white"/>
        </w:rPr>
        <w:t>FDiv</w:t>
      </w:r>
      <w:proofErr w:type="spellEnd"/>
      <w:r>
        <w:rPr>
          <w:sz w:val="22"/>
          <w:szCs w:val="22"/>
          <w:highlight w:val="white"/>
        </w:rPr>
        <w:t>), traits (PC1, PC2, PC3, PC4), and PD (FPD</w:t>
      </w:r>
      <w:r>
        <w:rPr>
          <w:sz w:val="22"/>
          <w:szCs w:val="22"/>
          <w:highlight w:val="white"/>
          <w:vertAlign w:val="subscript"/>
        </w:rPr>
        <w:t>SES</w:t>
      </w:r>
      <w:r>
        <w:rPr>
          <w:sz w:val="22"/>
          <w:szCs w:val="22"/>
          <w:highlight w:val="white"/>
        </w:rPr>
        <w:t>, MPD</w:t>
      </w:r>
      <w:r>
        <w:rPr>
          <w:sz w:val="22"/>
          <w:szCs w:val="22"/>
          <w:highlight w:val="white"/>
          <w:vertAlign w:val="subscript"/>
        </w:rPr>
        <w:t>SES</w:t>
      </w:r>
      <w:r>
        <w:rPr>
          <w:sz w:val="22"/>
          <w:szCs w:val="22"/>
          <w:highlight w:val="white"/>
        </w:rPr>
        <w:t xml:space="preserve">). </w:t>
      </w:r>
      <w:r>
        <w:rPr>
          <w:color w:val="000000"/>
          <w:sz w:val="22"/>
          <w:szCs w:val="22"/>
        </w:rPr>
        <w:t xml:space="preserve">All </w:t>
      </w:r>
      <w:r>
        <w:rPr>
          <w:sz w:val="22"/>
          <w:szCs w:val="22"/>
          <w:highlight w:val="white"/>
        </w:rPr>
        <w:t xml:space="preserve">models followed the same general formulation (equation 1), where </w:t>
      </w:r>
      <m:oMath>
        <m:r>
          <w:rPr>
            <w:rFonts w:ascii="Cambria Math" w:eastAsia="Cambria Math" w:hAnsi="Cambria Math" w:cs="Cambria Math"/>
            <w:sz w:val="22"/>
            <w:szCs w:val="22"/>
            <w:highlight w:val="white"/>
          </w:rPr>
          <m:t>y</m:t>
        </m:r>
      </m:oMath>
      <w:r>
        <w:rPr>
          <w:sz w:val="22"/>
          <w:szCs w:val="22"/>
        </w:rPr>
        <w:t xml:space="preserve"> is the response variable, </w:t>
      </w:r>
      <m:oMath>
        <m:r>
          <w:rPr>
            <w:rFonts w:ascii="Cambria Math" w:hAnsi="Cambria Math"/>
          </w:rPr>
          <m:t>α</m:t>
        </m:r>
      </m:oMath>
      <w:r>
        <w:rPr>
          <w:sz w:val="22"/>
          <w:szCs w:val="22"/>
        </w:rPr>
        <w:t xml:space="preserve"> is the intercept, and </w:t>
      </w:r>
      <m:oMath>
        <m:r>
          <w:rPr>
            <w:rFonts w:ascii="Cambria Math" w:hAnsi="Cambria Math"/>
          </w:rPr>
          <m:t>β</m:t>
        </m:r>
      </m:oMath>
      <w:r>
        <w:rPr>
          <w:sz w:val="22"/>
          <w:szCs w:val="22"/>
        </w:rPr>
        <w:t xml:space="preserve"> terms are slope (coefficient) estimates for each covariate. To control for random site effects, we fitted NEON site IDs as random intercepts. Models were fitted with a Poisson (SpRich), Beta (FEven), or Gaussian (all others) distributions. </w:t>
      </w:r>
    </w:p>
    <w:p w14:paraId="00000042" w14:textId="77777777" w:rsidR="006B16C2" w:rsidRDefault="006B16C2">
      <w:pPr>
        <w:shd w:val="clear" w:color="auto" w:fill="FFFFFF"/>
        <w:spacing w:line="480" w:lineRule="auto"/>
        <w:rPr>
          <w:sz w:val="22"/>
          <w:szCs w:val="22"/>
        </w:rPr>
      </w:pPr>
    </w:p>
    <w:p w14:paraId="00000043" w14:textId="77777777" w:rsidR="006B16C2" w:rsidRDefault="00EB0728">
      <w:pPr>
        <w:spacing w:line="480" w:lineRule="auto"/>
        <w:rPr>
          <w:sz w:val="22"/>
          <w:szCs w:val="22"/>
        </w:rPr>
      </w:pPr>
      <w:r>
        <w:rPr>
          <w:i/>
          <w:sz w:val="22"/>
          <w:szCs w:val="22"/>
        </w:rPr>
        <w:t>Equation 1).</w:t>
      </w:r>
      <w:r>
        <w:rPr>
          <w:sz w:val="22"/>
          <w:szCs w:val="22"/>
        </w:rPr>
        <w:tab/>
      </w:r>
      <w:r>
        <w:rPr>
          <w:sz w:val="22"/>
          <w:szCs w:val="22"/>
        </w:rPr>
        <w:tab/>
      </w:r>
      <m:oMath>
        <m:r>
          <w:rPr>
            <w:rFonts w:ascii="Cambria Math" w:eastAsia="Cambria Math" w:hAnsi="Cambria Math" w:cs="Cambria Math"/>
            <w:sz w:val="22"/>
            <w:szCs w:val="22"/>
          </w:rPr>
          <m:t>Biodiversity∼Distribution(</m:t>
        </m:r>
        <m:sSub>
          <m:sSubPr>
            <m:ctrlPr>
              <w:rPr>
                <w:rFonts w:ascii="Cambria Math" w:eastAsia="Cambria Math" w:hAnsi="Cambria Math" w:cs="Cambria Math"/>
                <w:sz w:val="22"/>
                <w:szCs w:val="22"/>
              </w:rPr>
            </m:ctrlPr>
          </m:sSubPr>
          <m:e>
            <m:r>
              <w:rPr>
                <w:rFonts w:ascii="Cambria Math" w:eastAsia="Cambria Math" w:hAnsi="Cambria Math" w:cs="Cambria Math"/>
                <w:sz w:val="22"/>
                <w:szCs w:val="22"/>
              </w:rPr>
              <m:t>y</m:t>
            </m:r>
          </m:e>
          <m:sub>
            <m:r>
              <w:rPr>
                <w:rFonts w:ascii="Cambria Math" w:eastAsia="Cambria Math" w:hAnsi="Cambria Math" w:cs="Cambria Math"/>
                <w:sz w:val="22"/>
                <w:szCs w:val="22"/>
              </w:rPr>
              <m:t>i</m:t>
            </m:r>
          </m:sub>
        </m:sSub>
        <m:r>
          <w:rPr>
            <w:rFonts w:ascii="Cambria Math" w:eastAsia="Cambria Math" w:hAnsi="Cambria Math" w:cs="Cambria Math"/>
            <w:sz w:val="22"/>
            <w:szCs w:val="22"/>
          </w:rPr>
          <m:t>)</m:t>
        </m:r>
      </m:oMath>
      <w:r>
        <w:rPr>
          <w:sz w:val="22"/>
          <w:szCs w:val="22"/>
        </w:rPr>
        <w:t xml:space="preserve">; </w:t>
      </w:r>
      <m:oMath>
        <m:r>
          <w:rPr>
            <w:rFonts w:ascii="Cambria Math" w:eastAsia="Cambria Math" w:hAnsi="Cambria Math" w:cs="Cambria Math"/>
            <w:sz w:val="22"/>
            <w:szCs w:val="22"/>
          </w:rPr>
          <m:t xml:space="preserve">Ϝ </m:t>
        </m:r>
      </m:oMath>
      <w:r>
        <w:rPr>
          <w:sz w:val="22"/>
          <w:szCs w:val="22"/>
        </w:rPr>
        <w:t xml:space="preserve">= link function </w:t>
      </w:r>
    </w:p>
    <w:p w14:paraId="00000044" w14:textId="34AEA80D" w:rsidR="006B16C2" w:rsidRDefault="00EB0728">
      <w:pPr>
        <w:spacing w:line="480" w:lineRule="auto"/>
        <w:rPr>
          <w:sz w:val="22"/>
          <w:szCs w:val="22"/>
        </w:rPr>
      </w:pPr>
      <w:r>
        <w:rPr>
          <w:sz w:val="22"/>
          <w:szCs w:val="22"/>
        </w:rPr>
        <w:t xml:space="preserve"> </w:t>
      </w:r>
      <w:r>
        <w:rPr>
          <w:sz w:val="22"/>
          <w:szCs w:val="22"/>
        </w:rPr>
        <w:tab/>
      </w:r>
      <w:r>
        <w:rPr>
          <w:sz w:val="22"/>
          <w:szCs w:val="22"/>
        </w:rPr>
        <w:tab/>
      </w:r>
      <m:oMath>
        <m:r>
          <w:rPr>
            <w:rFonts w:ascii="Cambria Math" w:hAnsi="Cambria Math"/>
            <w:sz w:val="22"/>
            <w:szCs w:val="22"/>
          </w:rPr>
          <m:t xml:space="preserve">F </m:t>
        </m:r>
        <m:d>
          <m:dPr>
            <m:ctrlPr>
              <w:rPr>
                <w:rFonts w:ascii="Cambria Math" w:hAnsi="Cambria Math"/>
              </w:rPr>
            </m:ctrlPr>
          </m:dPr>
          <m:e>
            <m:sSub>
              <m:sSubPr>
                <m:ctrlPr>
                  <w:rPr>
                    <w:rFonts w:ascii="Cambria Math" w:eastAsia="Cambria Math" w:hAnsi="Cambria Math" w:cs="Cambria Math"/>
                    <w:sz w:val="22"/>
                    <w:szCs w:val="22"/>
                  </w:rPr>
                </m:ctrlPr>
              </m:sSubPr>
              <m:e>
                <m:r>
                  <w:rPr>
                    <w:rFonts w:ascii="Cambria Math" w:eastAsia="Cambria Math" w:hAnsi="Cambria Math" w:cs="Cambria Math"/>
                    <w:sz w:val="22"/>
                    <w:szCs w:val="22"/>
                  </w:rPr>
                  <m:t>y</m:t>
                </m:r>
              </m:e>
              <m:sub>
                <m:r>
                  <w:rPr>
                    <w:rFonts w:ascii="Cambria Math" w:eastAsia="Cambria Math" w:hAnsi="Cambria Math" w:cs="Cambria Math"/>
                    <w:sz w:val="22"/>
                    <w:szCs w:val="22"/>
                  </w:rPr>
                  <m:t>i</m:t>
                </m:r>
              </m:sub>
            </m:sSub>
          </m:e>
        </m:d>
        <m:r>
          <w:rPr>
            <w:rFonts w:ascii="Cambria Math" w:hAnsi="Cambria Math"/>
          </w:rPr>
          <m:t xml:space="preserve"> </m:t>
        </m:r>
        <m:r>
          <w:rPr>
            <w:rFonts w:ascii="Cambria Math" w:eastAsia="Cambria Math" w:hAnsi="Cambria Math" w:cs="Cambria Math"/>
            <w:sz w:val="22"/>
            <w:szCs w:val="22"/>
          </w:rPr>
          <m:t>=α+β1×</m:t>
        </m:r>
        <m:sSub>
          <m:sSubPr>
            <m:ctrlPr>
              <w:rPr>
                <w:rFonts w:ascii="Cambria Math" w:eastAsia="Cambria Math" w:hAnsi="Cambria Math" w:cs="Cambria Math"/>
                <w:sz w:val="22"/>
                <w:szCs w:val="22"/>
              </w:rPr>
            </m:ctrlPr>
          </m:sSubPr>
          <m:e>
            <m:r>
              <w:rPr>
                <w:rFonts w:ascii="Cambria Math" w:eastAsia="Cambria Math" w:hAnsi="Cambria Math" w:cs="Cambria Math"/>
                <w:sz w:val="22"/>
                <w:szCs w:val="22"/>
              </w:rPr>
              <m:t>covariate</m:t>
            </m:r>
          </m:e>
          <m:sub>
            <m:r>
              <w:rPr>
                <w:rFonts w:ascii="Cambria Math" w:eastAsia="Cambria Math" w:hAnsi="Cambria Math" w:cs="Cambria Math"/>
                <w:sz w:val="22"/>
                <w:szCs w:val="22"/>
              </w:rPr>
              <m:t>1</m:t>
            </m:r>
          </m:sub>
        </m:sSub>
        <m:r>
          <w:rPr>
            <w:rFonts w:ascii="Cambria Math" w:eastAsia="Cambria Math" w:hAnsi="Cambria Math" w:cs="Cambria Math"/>
            <w:sz w:val="22"/>
            <w:szCs w:val="22"/>
          </w:rPr>
          <m:t>+… βn×</m:t>
        </m:r>
        <m:sSub>
          <m:sSubPr>
            <m:ctrlPr>
              <w:rPr>
                <w:rFonts w:ascii="Cambria Math" w:eastAsia="Cambria Math" w:hAnsi="Cambria Math" w:cs="Cambria Math"/>
                <w:sz w:val="22"/>
                <w:szCs w:val="22"/>
              </w:rPr>
            </m:ctrlPr>
          </m:sSubPr>
          <m:e>
            <m:r>
              <w:rPr>
                <w:rFonts w:ascii="Cambria Math" w:eastAsia="Cambria Math" w:hAnsi="Cambria Math" w:cs="Cambria Math"/>
                <w:sz w:val="22"/>
                <w:szCs w:val="22"/>
              </w:rPr>
              <m:t>covariate</m:t>
            </m:r>
          </m:e>
          <m:sub>
            <m:r>
              <w:rPr>
                <w:rFonts w:ascii="Cambria Math" w:eastAsia="Cambria Math" w:hAnsi="Cambria Math" w:cs="Cambria Math"/>
                <w:sz w:val="22"/>
                <w:szCs w:val="22"/>
              </w:rPr>
              <m:t>N</m:t>
            </m:r>
          </m:sub>
        </m:sSub>
        <m:r>
          <w:rPr>
            <w:rFonts w:ascii="Cambria Math" w:eastAsia="Cambria Math" w:hAnsi="Cambria Math" w:cs="Cambria Math"/>
            <w:sz w:val="22"/>
            <w:szCs w:val="22"/>
          </w:rPr>
          <m:t xml:space="preserve">+ (1|site) </m:t>
        </m:r>
      </m:oMath>
    </w:p>
    <w:p w14:paraId="00000045" w14:textId="77777777" w:rsidR="006B16C2" w:rsidRDefault="006B16C2">
      <w:pPr>
        <w:shd w:val="clear" w:color="auto" w:fill="FFFFFF"/>
        <w:spacing w:line="480" w:lineRule="auto"/>
        <w:rPr>
          <w:color w:val="000000"/>
          <w:sz w:val="22"/>
          <w:szCs w:val="22"/>
        </w:rPr>
      </w:pPr>
    </w:p>
    <w:p w14:paraId="00000046" w14:textId="77777777" w:rsidR="006B16C2" w:rsidRDefault="00EB0728">
      <w:pPr>
        <w:shd w:val="clear" w:color="auto" w:fill="FFFFFF"/>
        <w:spacing w:line="480" w:lineRule="auto"/>
        <w:ind w:firstLine="720"/>
        <w:rPr>
          <w:sz w:val="22"/>
          <w:szCs w:val="22"/>
          <w:highlight w:val="white"/>
        </w:rPr>
      </w:pPr>
      <w:r>
        <w:rPr>
          <w:sz w:val="22"/>
          <w:szCs w:val="22"/>
          <w:highlight w:val="white"/>
        </w:rPr>
        <w:t xml:space="preserve">We chose to apply a model selection approach, wherein each of the 12 models represented a different hypothesis and thus comprised different combinations of habitat and environmental covariates (Table 1). Note that </w:t>
      </w:r>
      <w:proofErr w:type="spellStart"/>
      <w:r>
        <w:rPr>
          <w:sz w:val="22"/>
          <w:szCs w:val="22"/>
          <w:highlight w:val="white"/>
        </w:rPr>
        <w:t>Total</w:t>
      </w:r>
      <w:r>
        <w:rPr>
          <w:sz w:val="22"/>
          <w:szCs w:val="22"/>
          <w:highlight w:val="white"/>
          <w:vertAlign w:val="subscript"/>
        </w:rPr>
        <w:t>A</w:t>
      </w:r>
      <w:proofErr w:type="spellEnd"/>
      <w:r>
        <w:rPr>
          <w:sz w:val="22"/>
          <w:szCs w:val="22"/>
          <w:highlight w:val="white"/>
        </w:rPr>
        <w:t xml:space="preserve"> was highly correlated with </w:t>
      </w:r>
      <w:proofErr w:type="spellStart"/>
      <w:r>
        <w:rPr>
          <w:sz w:val="22"/>
          <w:szCs w:val="22"/>
          <w:highlight w:val="white"/>
        </w:rPr>
        <w:t>Can</w:t>
      </w:r>
      <w:r>
        <w:rPr>
          <w:sz w:val="22"/>
          <w:szCs w:val="22"/>
          <w:highlight w:val="white"/>
          <w:vertAlign w:val="subscript"/>
        </w:rPr>
        <w:t>A</w:t>
      </w:r>
      <w:proofErr w:type="spellEnd"/>
      <w:r>
        <w:rPr>
          <w:sz w:val="22"/>
          <w:szCs w:val="22"/>
          <w:highlight w:val="white"/>
        </w:rPr>
        <w:t xml:space="preserve"> so we ran two versions of the full model, with and without </w:t>
      </w:r>
      <w:proofErr w:type="spellStart"/>
      <w:r>
        <w:rPr>
          <w:sz w:val="22"/>
          <w:szCs w:val="22"/>
          <w:highlight w:val="white"/>
        </w:rPr>
        <w:t>Total</w:t>
      </w:r>
      <w:r>
        <w:rPr>
          <w:sz w:val="22"/>
          <w:szCs w:val="22"/>
          <w:highlight w:val="white"/>
          <w:vertAlign w:val="subscript"/>
        </w:rPr>
        <w:t>A</w:t>
      </w:r>
      <w:proofErr w:type="spellEnd"/>
      <w:r>
        <w:rPr>
          <w:sz w:val="22"/>
          <w:szCs w:val="22"/>
          <w:highlight w:val="white"/>
        </w:rPr>
        <w:t xml:space="preserve">, and opted to use only the full model without </w:t>
      </w:r>
      <w:proofErr w:type="spellStart"/>
      <w:r>
        <w:rPr>
          <w:sz w:val="22"/>
          <w:szCs w:val="22"/>
          <w:highlight w:val="white"/>
        </w:rPr>
        <w:t>Total</w:t>
      </w:r>
      <w:r>
        <w:rPr>
          <w:sz w:val="22"/>
          <w:szCs w:val="22"/>
          <w:highlight w:val="white"/>
          <w:vertAlign w:val="subscript"/>
        </w:rPr>
        <w:t>A</w:t>
      </w:r>
      <w:proofErr w:type="spellEnd"/>
      <w:r>
        <w:rPr>
          <w:sz w:val="22"/>
          <w:szCs w:val="22"/>
          <w:highlight w:val="white"/>
        </w:rPr>
        <w:t xml:space="preserve"> for all further statistical inferences due to the poor fit of the full model with </w:t>
      </w:r>
      <w:proofErr w:type="spellStart"/>
      <w:r>
        <w:rPr>
          <w:sz w:val="22"/>
          <w:szCs w:val="22"/>
          <w:highlight w:val="white"/>
        </w:rPr>
        <w:t>Total</w:t>
      </w:r>
      <w:r>
        <w:rPr>
          <w:sz w:val="22"/>
          <w:szCs w:val="22"/>
          <w:highlight w:val="white"/>
          <w:vertAlign w:val="subscript"/>
        </w:rPr>
        <w:t>A</w:t>
      </w:r>
      <w:proofErr w:type="spellEnd"/>
      <w:r>
        <w:rPr>
          <w:sz w:val="22"/>
          <w:szCs w:val="22"/>
          <w:highlight w:val="white"/>
        </w:rPr>
        <w:t>.</w:t>
      </w:r>
    </w:p>
    <w:p w14:paraId="00000047" w14:textId="25A42385" w:rsidR="006B16C2" w:rsidRDefault="00EB0728">
      <w:pPr>
        <w:shd w:val="clear" w:color="auto" w:fill="FFFFFF"/>
        <w:spacing w:line="480" w:lineRule="auto"/>
        <w:ind w:firstLine="720"/>
        <w:rPr>
          <w:color w:val="000000"/>
          <w:sz w:val="22"/>
          <w:szCs w:val="22"/>
        </w:rPr>
      </w:pPr>
      <w:r>
        <w:rPr>
          <w:color w:val="000000"/>
          <w:sz w:val="22"/>
          <w:szCs w:val="22"/>
        </w:rPr>
        <w:t xml:space="preserve">We ran all models using the R package “brms” </w:t>
      </w:r>
      <w:r w:rsidR="00B649DE">
        <w:rPr>
          <w:color w:val="000000"/>
          <w:sz w:val="22"/>
          <w:szCs w:val="22"/>
        </w:rPr>
        <w:fldChar w:fldCharType="begin" w:fldLock="1"/>
      </w:r>
      <w:r w:rsidR="00B554D3">
        <w:rPr>
          <w:color w:val="000000"/>
          <w:sz w:val="22"/>
          <w:szCs w:val="22"/>
        </w:rPr>
        <w:instrText>ADDIN CSL_CITATION {"citationItems":[{"id":"ITEM-1","itemData":{"DOI":"10.18637/jss.v080.i01","ISSN":"15487660","abstract":"The brms package implements Bayesian multilevel models in R using the probabilistic programming language Stan. A wide range of distributions and link functions are supported, allowing users to fit – among others – linear, robust linear, binomial, Poisson, survival, ordinal, zero-inflated, hurdle, and even non-linear models all in a multilevel context. Further modeling options include autocorrelation of the response variable, user defined covariance structures, censored data, as well as meta-analytic standard errors. Prior specifications are flexible and explicitly encourage users to apply prior distributions that actually reflect their beliefs. In addition, model fit can easily be assessed and compared with the Watanabe-Akaike information criterion and leave-one-out cross-validation.","author":[{"dropping-particle":"","family":"Bürkner","given":"Paul Christian","non-dropping-particle":"","parse-names":false,"suffix":""}],"container-title":"Journal of Statistical Software","id":"ITEM-1","issue":"1","issued":{"date-parts":[["2017"]]},"page":"1-28","title":"brms: An R package for Bayesian multilevel models using Stan","type":"article-journal","volume":"80"},"uris":["http://www.mendeley.com/documents/?uuid=ae0c9799-a90b-4196-b7a1-b248364b5800"]}],"mendeley":{"formattedCitation":"(Bürkner 2017)","plainTextFormattedCitation":"(Bürkner 2017)","previouslyFormattedCitation":"(Bürkner 2017)"},"properties":{"noteIndex":0},"schema":"https://github.com/citation-style-language/schema/raw/master/csl-citation.json"}</w:instrText>
      </w:r>
      <w:r w:rsidR="00B649DE">
        <w:rPr>
          <w:color w:val="000000"/>
          <w:sz w:val="22"/>
          <w:szCs w:val="22"/>
        </w:rPr>
        <w:fldChar w:fldCharType="separate"/>
      </w:r>
      <w:r w:rsidR="00B649DE" w:rsidRPr="00B649DE">
        <w:rPr>
          <w:noProof/>
          <w:color w:val="000000"/>
          <w:sz w:val="22"/>
          <w:szCs w:val="22"/>
        </w:rPr>
        <w:t>(Bürkner 2017)</w:t>
      </w:r>
      <w:r w:rsidR="00B649DE">
        <w:rPr>
          <w:color w:val="000000"/>
          <w:sz w:val="22"/>
          <w:szCs w:val="22"/>
        </w:rPr>
        <w:fldChar w:fldCharType="end"/>
      </w:r>
      <w:r>
        <w:rPr>
          <w:color w:val="000000"/>
          <w:sz w:val="22"/>
          <w:szCs w:val="22"/>
        </w:rPr>
        <w:t xml:space="preserve">. All </w:t>
      </w:r>
      <w:r>
        <w:rPr>
          <w:sz w:val="22"/>
          <w:szCs w:val="22"/>
          <w:highlight w:val="white"/>
        </w:rPr>
        <w:t xml:space="preserve">covariates were centered and scaled prior to the analysis. </w:t>
      </w:r>
      <w:r>
        <w:rPr>
          <w:color w:val="000000"/>
          <w:sz w:val="22"/>
          <w:szCs w:val="22"/>
        </w:rPr>
        <w:t xml:space="preserve">Prior and posterior predictive checks were conducted and we evaluated models for MCMC convergence </w:t>
      </w:r>
      <w:r w:rsidR="00B649DE">
        <w:rPr>
          <w:color w:val="000000"/>
          <w:sz w:val="22"/>
          <w:szCs w:val="22"/>
        </w:rPr>
        <w:fldChar w:fldCharType="begin" w:fldLock="1"/>
      </w:r>
      <w:r w:rsidR="00B649DE">
        <w:rPr>
          <w:color w:val="000000"/>
          <w:sz w:val="22"/>
          <w:szCs w:val="22"/>
        </w:rPr>
        <w:instrText>ADDIN CSL_CITATION {"citationItems":[{"id":"ITEM-1","itemData":{"DOI":"10.1038/s41562-021-01177-7","ISSN":"23973374","PMID":"34400814","abstract":"Previous surveys of the literature have shown that reports of statistical analyses often lack important information, causing lack of transparency and failure of reproducibility. Editors and authors agree that guidelines for reporting should be encouraged. This Review presents a set of Bayesian analysis reporting guidelines (BARG). The BARG encompass the features of previous guidelines, while including many additional details for contemporary Bayesian analyses, with explanations. An extensive example of applying the BARG is presented. The BARG should be useful to researchers, authors, reviewers, editors, educators and students. Utilization, endorsement and promotion of the BARG may improve the quality, transparency and reproducibility of Bayesian analyses.","author":[{"dropping-particle":"","family":"Kruschke","given":"John K.","non-dropping-particle":"","parse-names":false,"suffix":""}],"container-title":"Nature Human Behaviour","id":"ITEM-1","issue":"10","issued":{"date-parts":[["2021"]]},"page":"1282-1291","publisher":"Springer US","title":"Bayesian Analysis Reporting Guidelines","type":"article-journal","volume":"5"},"uris":["http://www.mendeley.com/documents/?uuid=2198ab6a-cb12-427c-a45f-e809398ed3f5"]}],"mendeley":{"formattedCitation":"(Kruschke 2021)","plainTextFormattedCitation":"(Kruschke 2021)","previouslyFormattedCitation":"(Kruschke 2021)"},"properties":{"noteIndex":0},"schema":"https://github.com/citation-style-language/schema/raw/master/csl-citation.json"}</w:instrText>
      </w:r>
      <w:r w:rsidR="00B649DE">
        <w:rPr>
          <w:color w:val="000000"/>
          <w:sz w:val="22"/>
          <w:szCs w:val="22"/>
        </w:rPr>
        <w:fldChar w:fldCharType="separate"/>
      </w:r>
      <w:r w:rsidR="00B649DE" w:rsidRPr="00B649DE">
        <w:rPr>
          <w:noProof/>
          <w:color w:val="000000"/>
          <w:sz w:val="22"/>
          <w:szCs w:val="22"/>
        </w:rPr>
        <w:t>(Kruschke 2021)</w:t>
      </w:r>
      <w:r w:rsidR="00B649DE">
        <w:rPr>
          <w:color w:val="000000"/>
          <w:sz w:val="22"/>
          <w:szCs w:val="22"/>
        </w:rPr>
        <w:fldChar w:fldCharType="end"/>
      </w:r>
      <w:r>
        <w:rPr>
          <w:color w:val="000000"/>
          <w:sz w:val="22"/>
          <w:szCs w:val="22"/>
        </w:rPr>
        <w:t xml:space="preserve">. We used leave-one-out (LOO) comparisons from the “loo” R package </w:t>
      </w:r>
      <w:r w:rsidR="00B649DE">
        <w:rPr>
          <w:color w:val="000000"/>
          <w:sz w:val="22"/>
          <w:szCs w:val="22"/>
        </w:rPr>
        <w:fldChar w:fldCharType="begin" w:fldLock="1"/>
      </w:r>
      <w:r w:rsidR="00B649DE">
        <w:rPr>
          <w:color w:val="000000"/>
          <w:sz w:val="22"/>
          <w:szCs w:val="22"/>
        </w:rPr>
        <w:instrText>ADDIN CSL_CITATION {"citationItems":[{"id":"ITEM-1","itemData":{"DOI":"10.1007/s11222-016-9696-4","ISSN":"15731375","abstract":"Leave-one-out cross-validation (LOO) and the widely applicable information criterion (WAIC) are methods for estimating pointwise out-of-sample prediction accuracy from a fitted Bayesian model using the log-likelihood evaluated at the posterior simulations of the parameter values. LOO and WAIC have various advantages over simpler estimates of predictive error such as AIC and DIC but are less used in practice because they involve additional computational steps. Here we lay out fast and stable computations for LOO and WAIC that can be performed using existing simulation draws. We introduce an efficient computation of LOO using Pareto-smoothed importance sampling (PSIS), a new procedure for regularizing importance weights. Although WAIC is asymptotically equal to LOO, we demonstrate that PSIS-LOO is more robust in the finite case with weak priors or influential observations. As a byproduct of our calculations, we also obtain approximate standard errors for estimated predictive errors and for comparison of predictive errors between two models. We implement the computations in an R package called loo and demonstrate using models fit with the Bayesian inference package Stan.","author":[{"dropping-particle":"","family":"Vehtari","given":"Aki","non-dropping-particle":"","parse-names":false,"suffix":""},{"dropping-particle":"","family":"Gelman","given":"Andrew","non-dropping-particle":"","parse-names":false,"suffix":""},{"dropping-particle":"","family":"Gabry","given":"Jonah","non-dropping-particle":"","parse-names":false,"suffix":""}],"container-title":"Statistics and Computing","id":"ITEM-1","issue":"5","issued":{"date-parts":[["2017"]]},"page":"1413-1432","publisher":"Springer US","title":"Practical Bayesian model evaluation using leave-one-out cross-validation and WAIC","type":"article-journal","volume":"27"},"uris":["http://www.mendeley.com/documents/?uuid=f88eeaa0-779c-4126-8ce3-2129d685bbb8"]},{"id":"ITEM-2","itemData":{"DOI":"10.1038/s41562-021-01177-7","ISSN":"23973374","PMID":"34400814","abstract":"Previous surveys of the literature have shown that reports of statistical analyses often lack important information, causing lack of transparency and failure of reproducibility. Editors and authors agree that guidelines for reporting should be encouraged. This Review presents a set of Bayesian analysis reporting guidelines (BARG). The BARG encompass the features of previous guidelines, while including many additional details for contemporary Bayesian analyses, with explanations. An extensive example of applying the BARG is presented. The BARG should be useful to researchers, authors, reviewers, editors, educators and students. Utilization, endorsement and promotion of the BARG may improve the quality, transparency and reproducibility of Bayesian analyses.","author":[{"dropping-particle":"","family":"Kruschke","given":"John K.","non-dropping-particle":"","parse-names":false,"suffix":""}],"container-title":"Nature Human Behaviour","id":"ITEM-2","issue":"10","issued":{"date-parts":[["2021"]]},"page":"1282-1291","publisher":"Springer US","title":"Bayesian Analysis Reporting Guidelines","type":"article-journal","volume":"5"},"uris":["http://www.mendeley.com/documents/?uuid=2198ab6a-cb12-427c-a45f-e809398ed3f5"]}],"mendeley":{"formattedCitation":"(Vehtari et al. 2017, Kruschke 2021)","plainTextFormattedCitation":"(Vehtari et al. 2017, Kruschke 2021)","previouslyFormattedCitation":"(Vehtari et al. 2017, Kruschke 2021)"},"properties":{"noteIndex":0},"schema":"https://github.com/citation-style-language/schema/raw/master/csl-citation.json"}</w:instrText>
      </w:r>
      <w:r w:rsidR="00B649DE">
        <w:rPr>
          <w:color w:val="000000"/>
          <w:sz w:val="22"/>
          <w:szCs w:val="22"/>
        </w:rPr>
        <w:fldChar w:fldCharType="separate"/>
      </w:r>
      <w:r w:rsidR="00B649DE" w:rsidRPr="00B649DE">
        <w:rPr>
          <w:noProof/>
          <w:color w:val="000000"/>
          <w:sz w:val="22"/>
          <w:szCs w:val="22"/>
        </w:rPr>
        <w:t>(Vehtari et al. 2017, Kruschke 2021)</w:t>
      </w:r>
      <w:r w:rsidR="00B649DE">
        <w:rPr>
          <w:color w:val="000000"/>
          <w:sz w:val="22"/>
          <w:szCs w:val="22"/>
        </w:rPr>
        <w:fldChar w:fldCharType="end"/>
      </w:r>
      <w:r w:rsidR="00B649DE">
        <w:rPr>
          <w:color w:val="000000"/>
          <w:sz w:val="22"/>
          <w:szCs w:val="22"/>
        </w:rPr>
        <w:t xml:space="preserve"> </w:t>
      </w:r>
      <w:r>
        <w:rPr>
          <w:color w:val="000000"/>
          <w:sz w:val="22"/>
          <w:szCs w:val="22"/>
        </w:rPr>
        <w:t xml:space="preserve">to compare the relative fit of all models. Following existing practice </w:t>
      </w:r>
      <w:r w:rsidR="00B649DE">
        <w:rPr>
          <w:color w:val="000000"/>
          <w:sz w:val="22"/>
          <w:szCs w:val="22"/>
        </w:rPr>
        <w:fldChar w:fldCharType="begin" w:fldLock="1"/>
      </w:r>
      <w:r w:rsidR="0061768B">
        <w:rPr>
          <w:color w:val="000000"/>
          <w:sz w:val="22"/>
          <w:szCs w:val="22"/>
        </w:rPr>
        <w:instrText>ADDIN CSL_CITATION {"citationItems":[{"id":"ITEM-1","itemData":{"abstract":"Leave-one-out cross-validation (LOO-CV) is a popular method for comparing Bayesian models based on their estimated predictive performance on new, unseen, data. As leave-one-out cross-validation is based on finite observed data, there is uncertainty about the expected predictive performance on new data. By modeling this uncertainty when comparing two models, we can compute the probability that one model has a better predictive performance than the other. Modeling this uncertainty well is not trivial, and for example, it is known that the commonly used standard error estimate is often too small. We study the properties of the Bayesian LOO-CV estimator and the related uncertainty estimates when comparing two models. We provide new results of the properties both theoretically in the linear regression case and empirically for multiple different models and discuss the challenges of modeling the uncertainty. We show that problematic cases include: comparing models with similar predictions, misspecified models, and small data. In these cases, there is a weak connection in the skewness of the individual leave-one-out terms and the distribution of the error of the Bayesian LOO-CV estimator. We show that it is possible that the problematic skewness of the error distribution, which occurs when the models make similar predictions, does not fade away when the data size grows to infinity in certain situations. Based on the results, we also provide practical recommendations for the users of Bayesian LOO-CV for model comparison.","author":[{"dropping-particle":"","family":"Sivula","given":"Tuomas","non-dropping-particle":"","parse-names":false,"suffix":""},{"dropping-particle":"","family":"Magnusson","given":"Måns","non-dropping-particle":"","parse-names":false,"suffix":""},{"dropping-particle":"","family":"Matamoros","given":"Asael Alonzo","non-dropping-particle":"","parse-names":false,"suffix":""},{"dropping-particle":"","family":"Vehtari","given":"Aki","non-dropping-particle":"","parse-names":false,"suffix":""}],"container-title":"arxiv","id":"ITEM-1","issued":{"date-parts":[["2022"]]},"page":"10296v3","title":"Uncertainty in Bayesian Leave-One-Out Cross-Validation Based Model Comparison","type":"article-journal","volume":"2008"},"uris":["http://www.mendeley.com/documents/?uuid=a5ca8c1c-2352-4190-abf8-46ee3540005b"]}],"mendeley":{"formattedCitation":"(Sivula et al. 2022)","plainTextFormattedCitation":"(Sivula et al. 2022)","previouslyFormattedCitation":"(Sivula et al. 2022)"},"properties":{"noteIndex":0},"schema":"https://github.com/citation-style-language/schema/raw/master/csl-citation.json"}</w:instrText>
      </w:r>
      <w:r w:rsidR="00B649DE">
        <w:rPr>
          <w:color w:val="000000"/>
          <w:sz w:val="22"/>
          <w:szCs w:val="22"/>
        </w:rPr>
        <w:fldChar w:fldCharType="separate"/>
      </w:r>
      <w:r w:rsidR="00D95EB8" w:rsidRPr="00D95EB8">
        <w:rPr>
          <w:noProof/>
          <w:color w:val="000000"/>
          <w:sz w:val="22"/>
          <w:szCs w:val="22"/>
        </w:rPr>
        <w:t>(Sivula et al. 2022)</w:t>
      </w:r>
      <w:r w:rsidR="00B649DE">
        <w:rPr>
          <w:color w:val="000000"/>
          <w:sz w:val="22"/>
          <w:szCs w:val="22"/>
        </w:rPr>
        <w:fldChar w:fldCharType="end"/>
      </w:r>
      <w:r>
        <w:rPr>
          <w:color w:val="000000"/>
          <w:sz w:val="22"/>
          <w:szCs w:val="22"/>
        </w:rPr>
        <w:t>, models were considered significantly different from one another when the pairwise difference in expected log pointwise predictive density was at least three times the standard error. In cases where no one model was chosen as top performing, all equally top performing models were used to inform overall covariates’ coefficient estimates and their effect sizes.</w:t>
      </w:r>
    </w:p>
    <w:p w14:paraId="00000048" w14:textId="77777777" w:rsidR="006B16C2" w:rsidRDefault="006B16C2">
      <w:pPr>
        <w:spacing w:line="480" w:lineRule="auto"/>
        <w:rPr>
          <w:sz w:val="22"/>
          <w:szCs w:val="22"/>
        </w:rPr>
      </w:pPr>
    </w:p>
    <w:p w14:paraId="00000049" w14:textId="77777777" w:rsidR="006B16C2" w:rsidRDefault="00EB0728">
      <w:pPr>
        <w:spacing w:line="480" w:lineRule="auto"/>
        <w:rPr>
          <w:sz w:val="22"/>
          <w:szCs w:val="22"/>
        </w:rPr>
      </w:pPr>
      <w:r>
        <w:rPr>
          <w:b/>
          <w:sz w:val="22"/>
          <w:szCs w:val="22"/>
        </w:rPr>
        <w:t>Results</w:t>
      </w:r>
      <w:r>
        <w:rPr>
          <w:sz w:val="22"/>
          <w:szCs w:val="22"/>
        </w:rPr>
        <w:t>:</w:t>
      </w:r>
    </w:p>
    <w:p w14:paraId="0000004A" w14:textId="77777777" w:rsidR="006B16C2" w:rsidRDefault="00EB0728">
      <w:pPr>
        <w:spacing w:line="480" w:lineRule="auto"/>
        <w:rPr>
          <w:sz w:val="22"/>
          <w:szCs w:val="22"/>
          <w:u w:val="single"/>
        </w:rPr>
      </w:pPr>
      <w:r>
        <w:rPr>
          <w:sz w:val="22"/>
          <w:szCs w:val="22"/>
          <w:u w:val="single"/>
        </w:rPr>
        <w:t>Trait space</w:t>
      </w:r>
    </w:p>
    <w:p w14:paraId="0000004B" w14:textId="77777777" w:rsidR="006B16C2" w:rsidRDefault="00EB0728">
      <w:pPr>
        <w:spacing w:line="480" w:lineRule="auto"/>
        <w:rPr>
          <w:sz w:val="22"/>
          <w:szCs w:val="22"/>
        </w:rPr>
      </w:pPr>
      <w:r>
        <w:rPr>
          <w:sz w:val="22"/>
          <w:szCs w:val="22"/>
        </w:rPr>
        <w:lastRenderedPageBreak/>
        <w:tab/>
      </w:r>
      <w:r>
        <w:rPr>
          <w:color w:val="000000"/>
          <w:sz w:val="22"/>
          <w:szCs w:val="22"/>
        </w:rPr>
        <w:t xml:space="preserve">The first four PCs from the </w:t>
      </w:r>
      <w:proofErr w:type="spellStart"/>
      <w:r>
        <w:rPr>
          <w:color w:val="000000"/>
          <w:sz w:val="22"/>
          <w:szCs w:val="22"/>
        </w:rPr>
        <w:t>PCoA</w:t>
      </w:r>
      <w:proofErr w:type="spellEnd"/>
      <w:r>
        <w:rPr>
          <w:color w:val="000000"/>
          <w:sz w:val="22"/>
          <w:szCs w:val="22"/>
        </w:rPr>
        <w:t xml:space="preserve"> together captured a total of 28% of the variability in trait composition of birds.</w:t>
      </w:r>
      <w:r>
        <w:rPr>
          <w:color w:val="000000"/>
        </w:rPr>
        <w:t xml:space="preserve"> </w:t>
      </w:r>
      <w:r>
        <w:rPr>
          <w:sz w:val="22"/>
          <w:szCs w:val="22"/>
        </w:rPr>
        <w:t xml:space="preserve">PC1 captured 11.44% of the </w:t>
      </w:r>
      <w:r>
        <w:rPr>
          <w:color w:val="000000"/>
          <w:sz w:val="22"/>
          <w:szCs w:val="22"/>
        </w:rPr>
        <w:t xml:space="preserve">variability </w:t>
      </w:r>
      <w:r>
        <w:rPr>
          <w:sz w:val="22"/>
          <w:szCs w:val="22"/>
        </w:rPr>
        <w:t xml:space="preserve">in trait space, with water-surface foraging, piscivorous diet, body mass, and beak length loading positively on PC1 and insectivorous diet and mid-canopy foragers loading negatively (Supporting information). PC2 accounted for 7.55% of the variability in trait space, with aerial and below-water foraging and HWI loading positively on PC2 and granivore diet and ground foraging loading negatively. PC3 accounted for 4.34 % of the variability in trait space, with herbivorous diet loading positively and nectarivorous diet loading negatively. Lastly, PC4 accounted for 3.45% of the variability in trait space, with canopy foraging, ectotherm diet, endotherm diet, scavenger diet, frugivorous diet, beak depth, and beak width loading positively and understory foraging loading negatively (Figure 2, Supporting information). </w:t>
      </w:r>
    </w:p>
    <w:p w14:paraId="0000004C" w14:textId="77777777" w:rsidR="006B16C2" w:rsidRDefault="00EB0728">
      <w:pPr>
        <w:spacing w:line="480" w:lineRule="auto"/>
        <w:rPr>
          <w:sz w:val="22"/>
          <w:szCs w:val="22"/>
        </w:rPr>
      </w:pPr>
      <w:r>
        <w:rPr>
          <w:sz w:val="22"/>
          <w:szCs w:val="22"/>
        </w:rPr>
        <w:tab/>
        <w:t xml:space="preserve">We found a shift in trait space along the vertical profile of the vegetation (Figure 3). Bird assemblages in plots with vegetation up to the canopy height stratum and, to a lesser extent, up to subcanopy height stratum occupied larger trait volumes than assemblages in plots with vegetation up to only midstory or understory height stratum (Figure 3). Trait space also shifted along the PC axes from low to high vertical height strata, reflecting a shift from predominantly understory and ground foraging birds (negative PC2 and PC4) to canopy and midstory foraging birds (positive PC2 and PC4). Additionally, plots with only understory vegetation tended to harbor communities comprised of species with on average larger bodies and aquatic lifestyles (positive PC1), in contrast to plots with vegetation reaching higher height strata, which promoted small-bodied communities with largely insectivorous diets (negative PC1). </w:t>
      </w:r>
    </w:p>
    <w:p w14:paraId="0000004D" w14:textId="77777777" w:rsidR="006B16C2" w:rsidRDefault="00EB0728">
      <w:pPr>
        <w:spacing w:line="480" w:lineRule="auto"/>
        <w:rPr>
          <w:sz w:val="22"/>
          <w:szCs w:val="22"/>
        </w:rPr>
      </w:pPr>
      <w:r>
        <w:rPr>
          <w:sz w:val="22"/>
          <w:szCs w:val="22"/>
        </w:rPr>
        <w:tab/>
      </w:r>
    </w:p>
    <w:p w14:paraId="0000004E" w14:textId="77777777" w:rsidR="006B16C2" w:rsidRDefault="00EB0728">
      <w:pPr>
        <w:spacing w:line="480" w:lineRule="auto"/>
        <w:rPr>
          <w:sz w:val="22"/>
          <w:szCs w:val="22"/>
          <w:u w:val="single"/>
        </w:rPr>
      </w:pPr>
      <w:r>
        <w:rPr>
          <w:sz w:val="22"/>
          <w:szCs w:val="22"/>
          <w:u w:val="single"/>
        </w:rPr>
        <w:t>Avian diversity-vegetation structure associations</w:t>
      </w:r>
    </w:p>
    <w:p w14:paraId="0000004F" w14:textId="0CADACC3" w:rsidR="006B16C2" w:rsidRDefault="00EB0728">
      <w:pPr>
        <w:spacing w:line="480" w:lineRule="auto"/>
        <w:rPr>
          <w:sz w:val="22"/>
          <w:szCs w:val="22"/>
        </w:rPr>
      </w:pPr>
      <w:r>
        <w:rPr>
          <w:sz w:val="22"/>
          <w:szCs w:val="22"/>
        </w:rPr>
        <w:tab/>
        <w:t>3D habitat structure overall had no or a minor effect on species richness and phylogenetic diversity, with only MPD</w:t>
      </w:r>
      <w:r>
        <w:rPr>
          <w:sz w:val="22"/>
          <w:szCs w:val="22"/>
          <w:vertAlign w:val="subscript"/>
        </w:rPr>
        <w:t>SES</w:t>
      </w:r>
      <w:r>
        <w:rPr>
          <w:sz w:val="22"/>
          <w:szCs w:val="22"/>
        </w:rPr>
        <w:t xml:space="preserve"> showing a positive association with </w:t>
      </w:r>
      <w:proofErr w:type="spellStart"/>
      <w:r>
        <w:rPr>
          <w:sz w:val="22"/>
          <w:szCs w:val="22"/>
        </w:rPr>
        <w:t>Mid</w:t>
      </w:r>
      <w:r>
        <w:rPr>
          <w:sz w:val="22"/>
          <w:szCs w:val="22"/>
          <w:vertAlign w:val="subscript"/>
        </w:rPr>
        <w:t>C</w:t>
      </w:r>
      <w:proofErr w:type="spellEnd"/>
      <w:r>
        <w:rPr>
          <w:sz w:val="22"/>
          <w:szCs w:val="22"/>
        </w:rPr>
        <w:t xml:space="preserve">. In contrast, functional diversity showed strong associations with 3D habitat structure. Specifically, </w:t>
      </w:r>
      <w:proofErr w:type="spellStart"/>
      <w:r>
        <w:rPr>
          <w:sz w:val="22"/>
          <w:szCs w:val="22"/>
        </w:rPr>
        <w:t>FRich</w:t>
      </w:r>
      <w:r>
        <w:rPr>
          <w:sz w:val="22"/>
          <w:szCs w:val="22"/>
          <w:vertAlign w:val="subscript"/>
        </w:rPr>
        <w:t>SES</w:t>
      </w:r>
      <w:proofErr w:type="spellEnd"/>
      <w:r>
        <w:rPr>
          <w:sz w:val="22"/>
          <w:szCs w:val="22"/>
        </w:rPr>
        <w:t xml:space="preserve"> increased with </w:t>
      </w:r>
      <w:proofErr w:type="spellStart"/>
      <w:r>
        <w:rPr>
          <w:sz w:val="22"/>
          <w:szCs w:val="22"/>
        </w:rPr>
        <w:t>Total</w:t>
      </w:r>
      <w:r>
        <w:rPr>
          <w:sz w:val="22"/>
          <w:szCs w:val="22"/>
          <w:vertAlign w:val="subscript"/>
        </w:rPr>
        <w:t>A</w:t>
      </w:r>
      <w:proofErr w:type="spellEnd"/>
      <w:r>
        <w:rPr>
          <w:sz w:val="22"/>
          <w:szCs w:val="22"/>
        </w:rPr>
        <w:t xml:space="preserve"> and </w:t>
      </w:r>
      <w:proofErr w:type="spellStart"/>
      <w:r>
        <w:rPr>
          <w:sz w:val="22"/>
          <w:szCs w:val="22"/>
        </w:rPr>
        <w:t>Can</w:t>
      </w:r>
      <w:r>
        <w:rPr>
          <w:sz w:val="22"/>
          <w:szCs w:val="22"/>
          <w:vertAlign w:val="subscript"/>
        </w:rPr>
        <w:t>A</w:t>
      </w:r>
      <w:proofErr w:type="spellEnd"/>
      <w:r>
        <w:rPr>
          <w:sz w:val="22"/>
          <w:szCs w:val="22"/>
        </w:rPr>
        <w:t xml:space="preserve"> and decreased with </w:t>
      </w:r>
      <w:proofErr w:type="spellStart"/>
      <w:r>
        <w:rPr>
          <w:sz w:val="22"/>
          <w:szCs w:val="22"/>
        </w:rPr>
        <w:t>Sub</w:t>
      </w:r>
      <w:r>
        <w:rPr>
          <w:sz w:val="22"/>
          <w:szCs w:val="22"/>
          <w:vertAlign w:val="subscript"/>
        </w:rPr>
        <w:t>C</w:t>
      </w:r>
      <w:proofErr w:type="spellEnd"/>
      <w:r>
        <w:rPr>
          <w:sz w:val="22"/>
          <w:szCs w:val="22"/>
        </w:rPr>
        <w:t xml:space="preserve"> (Figure 4), indicative of strong influences of habitat amount and </w:t>
      </w:r>
      <w:r>
        <w:rPr>
          <w:sz w:val="22"/>
          <w:szCs w:val="22"/>
        </w:rPr>
        <w:lastRenderedPageBreak/>
        <w:t xml:space="preserve">configuration at higher vegetation strata on the breadth of the functional space of avian communities. </w:t>
      </w:r>
      <w:proofErr w:type="spellStart"/>
      <w:r>
        <w:rPr>
          <w:sz w:val="22"/>
          <w:szCs w:val="22"/>
        </w:rPr>
        <w:t>FDiv</w:t>
      </w:r>
      <w:proofErr w:type="spellEnd"/>
      <w:r>
        <w:rPr>
          <w:sz w:val="22"/>
          <w:szCs w:val="22"/>
        </w:rPr>
        <w:t xml:space="preserve"> increased with </w:t>
      </w:r>
      <w:proofErr w:type="spellStart"/>
      <w:r>
        <w:rPr>
          <w:sz w:val="22"/>
          <w:szCs w:val="22"/>
        </w:rPr>
        <w:t>Total</w:t>
      </w:r>
      <w:r>
        <w:rPr>
          <w:sz w:val="22"/>
          <w:szCs w:val="22"/>
          <w:vertAlign w:val="subscript"/>
        </w:rPr>
        <w:t>A</w:t>
      </w:r>
      <w:proofErr w:type="spellEnd"/>
      <w:r>
        <w:rPr>
          <w:sz w:val="22"/>
          <w:szCs w:val="22"/>
        </w:rPr>
        <w:t xml:space="preserve">, </w:t>
      </w:r>
      <w:proofErr w:type="spellStart"/>
      <w:r>
        <w:rPr>
          <w:sz w:val="22"/>
          <w:szCs w:val="22"/>
        </w:rPr>
        <w:t>Mid</w:t>
      </w:r>
      <w:r>
        <w:rPr>
          <w:sz w:val="22"/>
          <w:szCs w:val="22"/>
          <w:vertAlign w:val="subscript"/>
        </w:rPr>
        <w:t>A</w:t>
      </w:r>
      <w:proofErr w:type="spellEnd"/>
      <w:r>
        <w:rPr>
          <w:sz w:val="22"/>
          <w:szCs w:val="22"/>
        </w:rPr>
        <w:t xml:space="preserve">, and </w:t>
      </w:r>
      <w:proofErr w:type="spellStart"/>
      <w:r>
        <w:rPr>
          <w:sz w:val="22"/>
          <w:szCs w:val="22"/>
        </w:rPr>
        <w:t>Und</w:t>
      </w:r>
      <w:r>
        <w:rPr>
          <w:sz w:val="22"/>
          <w:szCs w:val="22"/>
          <w:vertAlign w:val="subscript"/>
        </w:rPr>
        <w:t>A</w:t>
      </w:r>
      <w:proofErr w:type="spellEnd"/>
      <w:r>
        <w:rPr>
          <w:sz w:val="22"/>
          <w:szCs w:val="22"/>
        </w:rPr>
        <w:t xml:space="preserve">, and decreased with </w:t>
      </w:r>
      <w:proofErr w:type="spellStart"/>
      <w:r>
        <w:rPr>
          <w:sz w:val="22"/>
          <w:szCs w:val="22"/>
        </w:rPr>
        <w:t>Can</w:t>
      </w:r>
      <w:r>
        <w:rPr>
          <w:sz w:val="22"/>
          <w:szCs w:val="22"/>
          <w:vertAlign w:val="subscript"/>
        </w:rPr>
        <w:t>C</w:t>
      </w:r>
      <w:proofErr w:type="spellEnd"/>
      <w:r>
        <w:rPr>
          <w:sz w:val="22"/>
          <w:szCs w:val="22"/>
        </w:rPr>
        <w:t xml:space="preserve">, indicating that increased habitat amount at lower vegetation strata and more spatially homogeneous canopies lead to more functionally dispersed communities. However, </w:t>
      </w:r>
      <w:proofErr w:type="spellStart"/>
      <w:r>
        <w:rPr>
          <w:sz w:val="22"/>
          <w:szCs w:val="22"/>
        </w:rPr>
        <w:t>FEven</w:t>
      </w:r>
      <w:proofErr w:type="spellEnd"/>
      <w:r>
        <w:rPr>
          <w:sz w:val="22"/>
          <w:szCs w:val="22"/>
        </w:rPr>
        <w:t xml:space="preserve"> only increased with </w:t>
      </w:r>
      <w:proofErr w:type="spellStart"/>
      <w:r>
        <w:rPr>
          <w:sz w:val="22"/>
          <w:szCs w:val="22"/>
        </w:rPr>
        <w:t>Sub</w:t>
      </w:r>
      <w:r>
        <w:rPr>
          <w:sz w:val="22"/>
          <w:szCs w:val="22"/>
          <w:vertAlign w:val="subscript"/>
        </w:rPr>
        <w:t>C</w:t>
      </w:r>
      <w:proofErr w:type="spellEnd"/>
      <w:r>
        <w:rPr>
          <w:sz w:val="22"/>
          <w:szCs w:val="22"/>
        </w:rPr>
        <w:t>, suggesting that a discontinuous subcanopy leads to communities where species’</w:t>
      </w:r>
      <w:r>
        <w:rPr>
          <w:sz w:val="20"/>
          <w:szCs w:val="20"/>
        </w:rPr>
        <w:t xml:space="preserve"> </w:t>
      </w:r>
      <w:r>
        <w:rPr>
          <w:sz w:val="22"/>
          <w:szCs w:val="22"/>
        </w:rPr>
        <w:t>abundances are more regularly distributed within the functional space (Figure 4).</w:t>
      </w:r>
    </w:p>
    <w:p w14:paraId="00000050" w14:textId="77777777" w:rsidR="006B16C2" w:rsidRDefault="00EB0728">
      <w:pPr>
        <w:spacing w:line="480" w:lineRule="auto"/>
        <w:rPr>
          <w:sz w:val="22"/>
          <w:szCs w:val="22"/>
        </w:rPr>
      </w:pPr>
      <w:r>
        <w:rPr>
          <w:sz w:val="22"/>
          <w:szCs w:val="22"/>
        </w:rPr>
        <w:tab/>
        <w:t xml:space="preserve"> PC trait axes showed strong associations with 3D habitat structure. In terms of 3D habitat composition, PC1 decreased with </w:t>
      </w:r>
      <w:proofErr w:type="spellStart"/>
      <w:r>
        <w:rPr>
          <w:sz w:val="22"/>
          <w:szCs w:val="22"/>
        </w:rPr>
        <w:t>Total</w:t>
      </w:r>
      <w:r>
        <w:rPr>
          <w:sz w:val="22"/>
          <w:szCs w:val="22"/>
          <w:vertAlign w:val="subscript"/>
        </w:rPr>
        <w:t>A</w:t>
      </w:r>
      <w:proofErr w:type="spellEnd"/>
      <w:r>
        <w:rPr>
          <w:sz w:val="22"/>
          <w:szCs w:val="22"/>
        </w:rPr>
        <w:t xml:space="preserve">, </w:t>
      </w:r>
      <w:proofErr w:type="spellStart"/>
      <w:r>
        <w:rPr>
          <w:sz w:val="22"/>
          <w:szCs w:val="22"/>
        </w:rPr>
        <w:t>Sub</w:t>
      </w:r>
      <w:r>
        <w:rPr>
          <w:sz w:val="22"/>
          <w:szCs w:val="22"/>
          <w:vertAlign w:val="subscript"/>
        </w:rPr>
        <w:t>A</w:t>
      </w:r>
      <w:proofErr w:type="spellEnd"/>
      <w:r>
        <w:rPr>
          <w:sz w:val="22"/>
          <w:szCs w:val="22"/>
        </w:rPr>
        <w:t xml:space="preserve">, </w:t>
      </w:r>
      <w:proofErr w:type="spellStart"/>
      <w:r>
        <w:rPr>
          <w:sz w:val="22"/>
          <w:szCs w:val="22"/>
        </w:rPr>
        <w:t>Mid</w:t>
      </w:r>
      <w:r>
        <w:rPr>
          <w:sz w:val="22"/>
          <w:szCs w:val="22"/>
          <w:vertAlign w:val="subscript"/>
        </w:rPr>
        <w:t>A</w:t>
      </w:r>
      <w:proofErr w:type="spellEnd"/>
      <w:r>
        <w:rPr>
          <w:sz w:val="22"/>
          <w:szCs w:val="22"/>
        </w:rPr>
        <w:t xml:space="preserve">, and </w:t>
      </w:r>
      <w:proofErr w:type="spellStart"/>
      <w:r>
        <w:rPr>
          <w:sz w:val="22"/>
          <w:szCs w:val="22"/>
        </w:rPr>
        <w:t>Und</w:t>
      </w:r>
      <w:r>
        <w:rPr>
          <w:sz w:val="22"/>
          <w:szCs w:val="22"/>
          <w:vertAlign w:val="subscript"/>
        </w:rPr>
        <w:t>A</w:t>
      </w:r>
      <w:proofErr w:type="spellEnd"/>
      <w:r>
        <w:rPr>
          <w:sz w:val="22"/>
          <w:szCs w:val="22"/>
        </w:rPr>
        <w:t xml:space="preserve"> (Figure 4), suggesting that high 3D habitat amount leads to assemblages with on average smaller body mass and beak size and an increased prevalence of traits such as insectivorous diet and mid-height foraging, but decreased prevalence of traits associated with aquatic foraging and piscivorous diets. PC2 increased with </w:t>
      </w:r>
      <w:proofErr w:type="spellStart"/>
      <w:r>
        <w:rPr>
          <w:sz w:val="22"/>
          <w:szCs w:val="22"/>
        </w:rPr>
        <w:t>Total</w:t>
      </w:r>
      <w:r>
        <w:rPr>
          <w:sz w:val="22"/>
          <w:szCs w:val="22"/>
          <w:vertAlign w:val="subscript"/>
        </w:rPr>
        <w:t>A</w:t>
      </w:r>
      <w:proofErr w:type="spellEnd"/>
      <w:r>
        <w:rPr>
          <w:sz w:val="22"/>
          <w:szCs w:val="22"/>
        </w:rPr>
        <w:t xml:space="preserve">, </w:t>
      </w:r>
      <w:proofErr w:type="spellStart"/>
      <w:r>
        <w:rPr>
          <w:sz w:val="22"/>
          <w:szCs w:val="22"/>
        </w:rPr>
        <w:t>Sub</w:t>
      </w:r>
      <w:r>
        <w:rPr>
          <w:sz w:val="22"/>
          <w:szCs w:val="22"/>
          <w:vertAlign w:val="subscript"/>
        </w:rPr>
        <w:t>A</w:t>
      </w:r>
      <w:proofErr w:type="spellEnd"/>
      <w:r>
        <w:rPr>
          <w:sz w:val="22"/>
          <w:szCs w:val="22"/>
        </w:rPr>
        <w:t xml:space="preserve">, and </w:t>
      </w:r>
      <w:proofErr w:type="spellStart"/>
      <w:r>
        <w:rPr>
          <w:sz w:val="22"/>
          <w:szCs w:val="22"/>
        </w:rPr>
        <w:t>Mid</w:t>
      </w:r>
      <w:r>
        <w:rPr>
          <w:sz w:val="22"/>
          <w:szCs w:val="22"/>
          <w:vertAlign w:val="subscript"/>
        </w:rPr>
        <w:t>A</w:t>
      </w:r>
      <w:proofErr w:type="spellEnd"/>
      <w:r>
        <w:rPr>
          <w:sz w:val="22"/>
          <w:szCs w:val="22"/>
        </w:rPr>
        <w:t xml:space="preserve"> (Figure 4), suggesting that greater 3D habitat amount supports on average larger HWI and increased prevalence of aerial and below water foraging, but leads to decreased prevalence of ground foraging and granivorous diets. PC3 increased with </w:t>
      </w:r>
      <w:proofErr w:type="spellStart"/>
      <w:r>
        <w:rPr>
          <w:sz w:val="22"/>
          <w:szCs w:val="22"/>
        </w:rPr>
        <w:t>Total</w:t>
      </w:r>
      <w:r>
        <w:rPr>
          <w:sz w:val="22"/>
          <w:szCs w:val="22"/>
          <w:vertAlign w:val="subscript"/>
        </w:rPr>
        <w:t>A</w:t>
      </w:r>
      <w:proofErr w:type="spellEnd"/>
      <w:r>
        <w:rPr>
          <w:sz w:val="22"/>
          <w:szCs w:val="22"/>
        </w:rPr>
        <w:t xml:space="preserve"> and </w:t>
      </w:r>
      <w:proofErr w:type="spellStart"/>
      <w:r>
        <w:rPr>
          <w:sz w:val="22"/>
          <w:szCs w:val="22"/>
        </w:rPr>
        <w:t>Mid</w:t>
      </w:r>
      <w:r>
        <w:rPr>
          <w:sz w:val="22"/>
          <w:szCs w:val="22"/>
          <w:vertAlign w:val="subscript"/>
        </w:rPr>
        <w:t>A</w:t>
      </w:r>
      <w:proofErr w:type="spellEnd"/>
      <w:r>
        <w:rPr>
          <w:sz w:val="22"/>
          <w:szCs w:val="22"/>
        </w:rPr>
        <w:t xml:space="preserve"> (Figure 4), suggesting that more 3D habitat amount leads to increased prevalence of herbivore diets and decreased prevalence of nectarivore diets. </w:t>
      </w:r>
      <w:proofErr w:type="spellStart"/>
      <w:r>
        <w:rPr>
          <w:sz w:val="22"/>
          <w:szCs w:val="22"/>
        </w:rPr>
        <w:t>Total</w:t>
      </w:r>
      <w:r>
        <w:rPr>
          <w:sz w:val="22"/>
          <w:szCs w:val="22"/>
          <w:vertAlign w:val="subscript"/>
        </w:rPr>
        <w:t>A</w:t>
      </w:r>
      <w:proofErr w:type="spellEnd"/>
      <w:r>
        <w:rPr>
          <w:sz w:val="22"/>
          <w:szCs w:val="22"/>
        </w:rPr>
        <w:t xml:space="preserve">, </w:t>
      </w:r>
      <w:proofErr w:type="spellStart"/>
      <w:r>
        <w:rPr>
          <w:sz w:val="22"/>
          <w:szCs w:val="22"/>
        </w:rPr>
        <w:t>Can</w:t>
      </w:r>
      <w:r>
        <w:rPr>
          <w:sz w:val="22"/>
          <w:szCs w:val="22"/>
          <w:vertAlign w:val="subscript"/>
        </w:rPr>
        <w:t>A</w:t>
      </w:r>
      <w:proofErr w:type="spellEnd"/>
      <w:r>
        <w:rPr>
          <w:sz w:val="22"/>
          <w:szCs w:val="22"/>
        </w:rPr>
        <w:t xml:space="preserve">, </w:t>
      </w:r>
      <w:proofErr w:type="spellStart"/>
      <w:r>
        <w:rPr>
          <w:sz w:val="22"/>
          <w:szCs w:val="22"/>
        </w:rPr>
        <w:t>Sub</w:t>
      </w:r>
      <w:r>
        <w:rPr>
          <w:sz w:val="22"/>
          <w:szCs w:val="22"/>
          <w:vertAlign w:val="subscript"/>
        </w:rPr>
        <w:t>A</w:t>
      </w:r>
      <w:proofErr w:type="spellEnd"/>
      <w:r>
        <w:rPr>
          <w:sz w:val="22"/>
          <w:szCs w:val="22"/>
        </w:rPr>
        <w:t xml:space="preserve">, and </w:t>
      </w:r>
      <w:proofErr w:type="spellStart"/>
      <w:r>
        <w:rPr>
          <w:sz w:val="22"/>
          <w:szCs w:val="22"/>
        </w:rPr>
        <w:t>Mid</w:t>
      </w:r>
      <w:r>
        <w:rPr>
          <w:sz w:val="22"/>
          <w:szCs w:val="22"/>
          <w:vertAlign w:val="subscript"/>
        </w:rPr>
        <w:t>A</w:t>
      </w:r>
      <w:proofErr w:type="spellEnd"/>
      <w:r>
        <w:rPr>
          <w:sz w:val="22"/>
          <w:szCs w:val="22"/>
        </w:rPr>
        <w:t xml:space="preserve"> were all positively related to PC4, with more 3D habitat amount leading to increased prevalence of canopy foraging, frugivore diets, scavenger diets, endotherm diets, ectotherm diets, wider and taller beaks, as well as decreased prevalence of understory foraging. However, PC4 decreased with </w:t>
      </w:r>
      <w:proofErr w:type="spellStart"/>
      <w:r>
        <w:rPr>
          <w:sz w:val="22"/>
          <w:szCs w:val="22"/>
        </w:rPr>
        <w:t>Und</w:t>
      </w:r>
      <w:r>
        <w:rPr>
          <w:sz w:val="22"/>
          <w:szCs w:val="22"/>
          <w:vertAlign w:val="subscript"/>
        </w:rPr>
        <w:t>A</w:t>
      </w:r>
      <w:proofErr w:type="spellEnd"/>
      <w:r>
        <w:rPr>
          <w:sz w:val="22"/>
          <w:szCs w:val="22"/>
        </w:rPr>
        <w:t xml:space="preserve">, indicating that understory amount supported the opposite traits than </w:t>
      </w:r>
      <w:proofErr w:type="spellStart"/>
      <w:r>
        <w:rPr>
          <w:sz w:val="22"/>
          <w:szCs w:val="22"/>
        </w:rPr>
        <w:t>Can</w:t>
      </w:r>
      <w:r>
        <w:rPr>
          <w:sz w:val="22"/>
          <w:szCs w:val="22"/>
          <w:vertAlign w:val="subscript"/>
        </w:rPr>
        <w:t>A</w:t>
      </w:r>
      <w:proofErr w:type="spellEnd"/>
      <w:r>
        <w:rPr>
          <w:sz w:val="22"/>
          <w:szCs w:val="22"/>
        </w:rPr>
        <w:t xml:space="preserve">, </w:t>
      </w:r>
      <w:proofErr w:type="spellStart"/>
      <w:r>
        <w:rPr>
          <w:sz w:val="22"/>
          <w:szCs w:val="22"/>
        </w:rPr>
        <w:t>Sub</w:t>
      </w:r>
      <w:r>
        <w:rPr>
          <w:sz w:val="22"/>
          <w:szCs w:val="22"/>
          <w:vertAlign w:val="subscript"/>
        </w:rPr>
        <w:t>A</w:t>
      </w:r>
      <w:proofErr w:type="spellEnd"/>
      <w:r>
        <w:rPr>
          <w:sz w:val="22"/>
          <w:szCs w:val="22"/>
        </w:rPr>
        <w:t xml:space="preserve">, and </w:t>
      </w:r>
      <w:proofErr w:type="spellStart"/>
      <w:r>
        <w:rPr>
          <w:sz w:val="22"/>
          <w:szCs w:val="22"/>
        </w:rPr>
        <w:t>Mid</w:t>
      </w:r>
      <w:r>
        <w:rPr>
          <w:sz w:val="22"/>
          <w:szCs w:val="22"/>
          <w:vertAlign w:val="subscript"/>
        </w:rPr>
        <w:t>A</w:t>
      </w:r>
      <w:proofErr w:type="spellEnd"/>
      <w:r>
        <w:rPr>
          <w:sz w:val="22"/>
          <w:szCs w:val="22"/>
        </w:rPr>
        <w:t xml:space="preserve"> (Figure 4). </w:t>
      </w:r>
    </w:p>
    <w:p w14:paraId="00000051" w14:textId="77777777" w:rsidR="006B16C2" w:rsidRDefault="00EB0728">
      <w:pPr>
        <w:spacing w:line="480" w:lineRule="auto"/>
        <w:ind w:firstLine="720"/>
        <w:rPr>
          <w:sz w:val="22"/>
          <w:szCs w:val="22"/>
        </w:rPr>
      </w:pPr>
      <w:r>
        <w:rPr>
          <w:sz w:val="22"/>
          <w:szCs w:val="22"/>
        </w:rPr>
        <w:t xml:space="preserve">In terms of habitat configuration, </w:t>
      </w:r>
      <w:proofErr w:type="spellStart"/>
      <w:r>
        <w:rPr>
          <w:color w:val="000000"/>
          <w:sz w:val="22"/>
          <w:szCs w:val="22"/>
        </w:rPr>
        <w:t>Total</w:t>
      </w:r>
      <w:r>
        <w:rPr>
          <w:color w:val="000000"/>
          <w:sz w:val="22"/>
          <w:szCs w:val="22"/>
          <w:vertAlign w:val="subscript"/>
        </w:rPr>
        <w:t>C</w:t>
      </w:r>
      <w:proofErr w:type="spellEnd"/>
      <w:r>
        <w:rPr>
          <w:sz w:val="22"/>
          <w:szCs w:val="22"/>
        </w:rPr>
        <w:t xml:space="preserve"> and strata-specific configuration indices showed opposite relationships with PC axes. PC1 increased with </w:t>
      </w:r>
      <w:proofErr w:type="spellStart"/>
      <w:r>
        <w:rPr>
          <w:sz w:val="22"/>
          <w:szCs w:val="22"/>
        </w:rPr>
        <w:t>Total</w:t>
      </w:r>
      <w:r>
        <w:rPr>
          <w:sz w:val="22"/>
          <w:szCs w:val="22"/>
          <w:vertAlign w:val="subscript"/>
        </w:rPr>
        <w:t>C</w:t>
      </w:r>
      <w:proofErr w:type="spellEnd"/>
      <w:r>
        <w:rPr>
          <w:sz w:val="22"/>
          <w:szCs w:val="22"/>
        </w:rPr>
        <w:t xml:space="preserve"> (Figure 4), suggesting that increased 2D habitat heterogeneity leads to assemblages with on average larger body mass and beak dimensions, increases the prevalence of water surface foraging and piscivorous diets, but decreases the prevalence of insectivore diets and mid-height foraging. In contrast, PC1 decreased with </w:t>
      </w:r>
      <w:proofErr w:type="spellStart"/>
      <w:r>
        <w:rPr>
          <w:sz w:val="22"/>
          <w:szCs w:val="22"/>
        </w:rPr>
        <w:t>Can</w:t>
      </w:r>
      <w:r>
        <w:rPr>
          <w:sz w:val="22"/>
          <w:szCs w:val="22"/>
          <w:vertAlign w:val="subscript"/>
        </w:rPr>
        <w:t>C</w:t>
      </w:r>
      <w:proofErr w:type="spellEnd"/>
      <w:r>
        <w:rPr>
          <w:sz w:val="22"/>
          <w:szCs w:val="22"/>
        </w:rPr>
        <w:t xml:space="preserve"> and </w:t>
      </w:r>
      <w:proofErr w:type="spellStart"/>
      <w:r>
        <w:rPr>
          <w:sz w:val="22"/>
          <w:szCs w:val="22"/>
        </w:rPr>
        <w:t>Und</w:t>
      </w:r>
      <w:r>
        <w:rPr>
          <w:sz w:val="22"/>
          <w:szCs w:val="22"/>
          <w:vertAlign w:val="subscript"/>
        </w:rPr>
        <w:t>C</w:t>
      </w:r>
      <w:proofErr w:type="spellEnd"/>
      <w:r>
        <w:rPr>
          <w:sz w:val="22"/>
          <w:szCs w:val="22"/>
        </w:rPr>
        <w:t xml:space="preserve">. PC2 decreased with </w:t>
      </w:r>
      <w:proofErr w:type="spellStart"/>
      <w:r>
        <w:rPr>
          <w:sz w:val="22"/>
          <w:szCs w:val="22"/>
        </w:rPr>
        <w:t>Total</w:t>
      </w:r>
      <w:r>
        <w:rPr>
          <w:sz w:val="22"/>
          <w:szCs w:val="22"/>
          <w:vertAlign w:val="subscript"/>
        </w:rPr>
        <w:t>C</w:t>
      </w:r>
      <w:proofErr w:type="spellEnd"/>
      <w:r>
        <w:rPr>
          <w:sz w:val="22"/>
          <w:szCs w:val="22"/>
        </w:rPr>
        <w:t xml:space="preserve"> (Figure 4), indicating that 2D habitat heterogeneity leads to increased prevalence of ground </w:t>
      </w:r>
      <w:r>
        <w:rPr>
          <w:sz w:val="22"/>
          <w:szCs w:val="22"/>
        </w:rPr>
        <w:lastRenderedPageBreak/>
        <w:t xml:space="preserve">foraging and granivore diets and decreased prevalence of aerial and below-water foraging. PC2 decreased with </w:t>
      </w:r>
      <w:proofErr w:type="spellStart"/>
      <w:r>
        <w:rPr>
          <w:sz w:val="22"/>
          <w:szCs w:val="22"/>
        </w:rPr>
        <w:t>Und</w:t>
      </w:r>
      <w:r>
        <w:rPr>
          <w:sz w:val="22"/>
          <w:szCs w:val="22"/>
          <w:vertAlign w:val="subscript"/>
        </w:rPr>
        <w:t>C</w:t>
      </w:r>
      <w:proofErr w:type="spellEnd"/>
      <w:r>
        <w:rPr>
          <w:sz w:val="22"/>
          <w:szCs w:val="22"/>
        </w:rPr>
        <w:t xml:space="preserve">, </w:t>
      </w:r>
      <w:proofErr w:type="spellStart"/>
      <w:r>
        <w:rPr>
          <w:sz w:val="22"/>
          <w:szCs w:val="22"/>
        </w:rPr>
        <w:t>Mid</w:t>
      </w:r>
      <w:r>
        <w:rPr>
          <w:sz w:val="22"/>
          <w:szCs w:val="22"/>
          <w:vertAlign w:val="subscript"/>
        </w:rPr>
        <w:t>C</w:t>
      </w:r>
      <w:proofErr w:type="spellEnd"/>
      <w:r>
        <w:rPr>
          <w:sz w:val="22"/>
          <w:szCs w:val="22"/>
        </w:rPr>
        <w:t xml:space="preserve">, and </w:t>
      </w:r>
      <w:proofErr w:type="spellStart"/>
      <w:r>
        <w:rPr>
          <w:sz w:val="22"/>
          <w:szCs w:val="22"/>
        </w:rPr>
        <w:t>Can</w:t>
      </w:r>
      <w:r>
        <w:rPr>
          <w:sz w:val="22"/>
          <w:szCs w:val="22"/>
          <w:vertAlign w:val="subscript"/>
        </w:rPr>
        <w:t>C</w:t>
      </w:r>
      <w:r>
        <w:rPr>
          <w:sz w:val="22"/>
          <w:szCs w:val="22"/>
        </w:rPr>
        <w:t>.</w:t>
      </w:r>
      <w:proofErr w:type="spellEnd"/>
      <w:r>
        <w:rPr>
          <w:sz w:val="22"/>
          <w:szCs w:val="22"/>
        </w:rPr>
        <w:t xml:space="preserve"> PC3 showed no relationships with either 2D or 3D habitat configuration. PC4 decreased with </w:t>
      </w:r>
      <w:proofErr w:type="spellStart"/>
      <w:r>
        <w:rPr>
          <w:sz w:val="22"/>
          <w:szCs w:val="22"/>
        </w:rPr>
        <w:t>Total</w:t>
      </w:r>
      <w:r>
        <w:rPr>
          <w:sz w:val="22"/>
          <w:szCs w:val="22"/>
          <w:vertAlign w:val="subscript"/>
        </w:rPr>
        <w:t>C</w:t>
      </w:r>
      <w:proofErr w:type="spellEnd"/>
      <w:r>
        <w:rPr>
          <w:sz w:val="22"/>
          <w:szCs w:val="22"/>
        </w:rPr>
        <w:t xml:space="preserve"> (Figure 4), indicating that 2D habitat heterogeneity leads to increased prevalence of understory foraging but decreased prevalence of canopy foraging, frugivore, scavenger, endotherm, and ectotherm diets, as well as narrower and shallower beaks. In contrast, PC4 increased with </w:t>
      </w:r>
      <w:proofErr w:type="spellStart"/>
      <w:r>
        <w:rPr>
          <w:sz w:val="22"/>
          <w:szCs w:val="22"/>
        </w:rPr>
        <w:t>Sub</w:t>
      </w:r>
      <w:r>
        <w:rPr>
          <w:sz w:val="22"/>
          <w:szCs w:val="22"/>
          <w:vertAlign w:val="subscript"/>
        </w:rPr>
        <w:t>C</w:t>
      </w:r>
      <w:proofErr w:type="spellEnd"/>
      <w:r>
        <w:rPr>
          <w:sz w:val="22"/>
          <w:szCs w:val="22"/>
        </w:rPr>
        <w:t xml:space="preserve"> (Figure 4).</w:t>
      </w:r>
    </w:p>
    <w:p w14:paraId="00000052" w14:textId="77777777" w:rsidR="006B16C2" w:rsidRDefault="006B16C2">
      <w:pPr>
        <w:spacing w:line="480" w:lineRule="auto"/>
        <w:rPr>
          <w:sz w:val="22"/>
          <w:szCs w:val="22"/>
        </w:rPr>
      </w:pPr>
    </w:p>
    <w:p w14:paraId="00000053" w14:textId="77777777" w:rsidR="006B16C2" w:rsidRDefault="00EB0728">
      <w:pPr>
        <w:spacing w:line="480" w:lineRule="auto"/>
        <w:rPr>
          <w:sz w:val="22"/>
          <w:szCs w:val="22"/>
        </w:rPr>
      </w:pPr>
      <w:r>
        <w:rPr>
          <w:b/>
          <w:sz w:val="22"/>
          <w:szCs w:val="22"/>
        </w:rPr>
        <w:t>Discussion</w:t>
      </w:r>
      <w:r>
        <w:rPr>
          <w:sz w:val="22"/>
          <w:szCs w:val="22"/>
        </w:rPr>
        <w:t>:</w:t>
      </w:r>
    </w:p>
    <w:p w14:paraId="00000054" w14:textId="21E5F52E" w:rsidR="006B16C2" w:rsidRDefault="00EB0728">
      <w:pPr>
        <w:spacing w:line="480" w:lineRule="auto"/>
        <w:ind w:firstLine="720"/>
        <w:rPr>
          <w:sz w:val="22"/>
          <w:szCs w:val="22"/>
        </w:rPr>
      </w:pPr>
      <w:r>
        <w:rPr>
          <w:sz w:val="22"/>
          <w:szCs w:val="22"/>
        </w:rPr>
        <w:t xml:space="preserve">Our study is one of the first to evaluate the associations of a comprehensive suite of 3D habitat composition and configuration metrics with measures of avian species richness, and their phylogenetic, trait, and functional diversity, and to contrast the effects of 3D habitat configuration with those of 2D habitat configuration. Our findings illustrate that although total 3D habitat amount emerged as the most consistent predictor of avian functional and trait-based diversity, it did not have a strong effect on species richness and phylogenetic diversity, thus offering only partial support to our first hypothesis. Functional and trait-based diversity, however, showed the strongest relationships with 3D habitat structure, supporting our second hypothesis. </w:t>
      </w:r>
    </w:p>
    <w:p w14:paraId="00000055" w14:textId="77777777" w:rsidR="006B16C2" w:rsidRDefault="00EB0728">
      <w:pPr>
        <w:spacing w:line="480" w:lineRule="auto"/>
        <w:rPr>
          <w:sz w:val="22"/>
          <w:szCs w:val="22"/>
        </w:rPr>
      </w:pPr>
      <w:r>
        <w:rPr>
          <w:sz w:val="22"/>
          <w:szCs w:val="22"/>
          <w:u w:val="single"/>
        </w:rPr>
        <w:t>Effects of 3D habitat composition on avian diversity</w:t>
      </w:r>
    </w:p>
    <w:p w14:paraId="00000056" w14:textId="6B8F230A" w:rsidR="006B16C2" w:rsidRDefault="00EB0728">
      <w:pPr>
        <w:spacing w:line="480" w:lineRule="auto"/>
        <w:ind w:firstLine="720"/>
        <w:rPr>
          <w:sz w:val="22"/>
          <w:szCs w:val="22"/>
        </w:rPr>
      </w:pPr>
      <w:r>
        <w:rPr>
          <w:sz w:val="22"/>
          <w:szCs w:val="22"/>
        </w:rPr>
        <w:t xml:space="preserve">Increases in 3D habitat amount correspond to an expansion of functional space, which is consistent with studies that have demonstrated a strong relationship between canopy height and functional space </w:t>
      </w:r>
      <w:r w:rsidR="00B649DE">
        <w:rPr>
          <w:sz w:val="22"/>
          <w:szCs w:val="22"/>
        </w:rPr>
        <w:fldChar w:fldCharType="begin" w:fldLock="1"/>
      </w:r>
      <w:r w:rsidR="00D95EB8">
        <w:rPr>
          <w:sz w:val="22"/>
          <w:szCs w:val="22"/>
        </w:rPr>
        <w:instrText>ADDIN CSL_CITATION {"citationItems":[{"id":"ITEM-1","itemData":{"DOI":"10.2307/1932254","abstract":"Suggested that Martin 1996 is wrong; that the Phylogenetic Species Concept of Cracraft will not result much chaos. There would be maybe 20,000 species rather than the current 9,000 recognized under the BSC. But most of these were recognized anyway, as subspecies, so it wouldn't result in an expansion of the size of bird guides","author":[{"dropping-particle":"","family":"MacArthur","given":"Robert H.","non-dropping-particle":"","parse-names":false,"suffix":""},{"dropping-particle":"","family":"MacArthur","given":"John W.","non-dropping-particle":"","parse-names":false,"suffix":""}],"container-title":"Ecology","id":"ITEM-1","issue":"3","issued":{"date-parts":[["1961"]]},"page":"594-598","title":"On Bird Species Diversity","type":"article-journal","volume":"42"},"uris":["http://www.mendeley.com/documents/?uuid=40c1b5f2-43b0-3eaa-83e9-f510d3bef8c1"]},{"id":"ITEM-2","itemData":{"DOI":"10.1111/geb.13110","ISSN":"14668238","abstract":"Aims: Taller forest canopies may harbour higher biodiversity by providing more and varied resources. No previous studies have assessed whether forest canopy height shapes the taxonomic and functional diversity of terrestrial vertebrates at global and regional scales. Here, we examine the roles of forest canopy height and other environmental variables in shaping global and regional patterns of species richness and functional diversity of mammals and birds. Location: Global. Time period: Present day. Major taxa studied: Terrestrial mammals and birds. Methods: Global forest canopy height data at 1 km spatial resolution were used to measure forest vertical structure. Species richness, functional richness and functional dispersion of mammals and birds were calculated using range maps and trait data. Spatial simultaneous autoregressive error models were used to evaluate associations between species richness and functional diversity and their predictors, including mean canopy height, standard deviation of canopy height, net primary productivity, current climate and historical climate stability, topography and human activities. Results: The mean canopy height emerged as one of two predictors most associated with the species richness and functional richness of mammal. However, mean canopy height had little explanatory power for functional dispersion. Mean annual temperature and net primary productivity contributed most to explain global-scale mammal and bird functional dispersion. At the regional scale, mean canopy height, net primary productivity and mean annual temperature were the variables most associated with the species richness and functional diversity of mammals and birds. Main conclusions: Forest canopy height is an important predictor of species richness and functional diversity of terrestrial vertebrates at both global and regional scales, at a similar overall level to productivity and temperature. Our study highlights the crucial role of the complex vertical structure in shaping the global and regional patterns of vertebrate diversity.","author":[{"dropping-particle":"","family":"Feng","given":"Gang","non-dropping-particle":"","parse-names":false,"suffix":""},{"dropping-particle":"","family":"Zhang","given":"Jian","non-dropping-particle":"","parse-names":false,"suffix":""},{"dropping-particle":"","family":"Girardello","given":"Marco","non-dropping-particle":"","parse-names":false,"suffix":""},{"dropping-particle":"","family":"Pellissier","given":"Vincent","non-dropping-particle":"","parse-names":false,"suffix":""},{"dropping-particle":"","family":"Svenning","given":"Jens Christian","non-dropping-particle":"","parse-names":false,"suffix":""}],"container-title":"Global Ecology and Biogeography","id":"ITEM-2","issued":{"date-parts":[["2020"]]},"page":"1-10","publisher":"Blackwell Publishing Ltd","title":"Forest canopy height co-determines taxonomic and functional richness, but not functional dispersion of mammals and birds globally","type":"article-journal","volume":"00"},"uris":["http://www.mendeley.com/documents/?uuid=7ec23787-bfab-3870-b72d-1f78ade5ab58"]},{"id":"ITEM-3","itemData":{"DOI":"10.1002/ece3.7952","ISSN":"20457758","abstract":"Vegetation complexity is an important predictor of animal species diversity. Specifically, taller vegetation should provide more potential ecological niches and thus harbor communities with higher species richness and functional diversity (FD). Resource use behavior is an especially important functional trait because it links species to their resource base with direct relevance to niche partitioning. However, it is unclear how exactly the diversity of resource use behavior changes with vegetation complexity. To address this question, we studied avian FD in relation to vegetation complexity along a continental-scale vegetation gradient. We quantified foraging behavior of passerine birds in terms of foraging method and substrate use at 21 sites (63 transects) spanning 3,000 km of woodlands and forests in Australia. We also quantified vegetation structure on 630 sampling points at the same sites. Additionally, we measured morphological traits for all 111 observed species in museum collections. We calculated individual-based, abundance-weighted FD in morphology and foraging behavior and related it to species richness and vegetation complexity (indexed by canopy height) using structural equation modeling, rarefaction analyses, and distance-based metrics. FD of morphology and foraging methods was best predicted by species richness. However, FD of substrate use was best predicted by canopy height (ranging 10–30 m), but only when substrates were categorized with fine resolution (17 categories), not when categorized coarsely (8 categories). These results suggest that, first, FD might increase with vegetation complexity independently of species richness, but whether it does so depends on the studied functional trait. Second, patterns found might be shaped by how finely we categorize functional traits. More complex vegetation provided larger \"ecological space\" with more resources, allowing the coexistence of more species with disproportionately more diverse foraging substrate use. We suggest that the latter pattern was driven by nonrandom accumulation of functionally distinct species with increasing canopy height.","author":[{"dropping-particle":"","family":"Remeš","given":"Vladimír","non-dropping-particle":"","parse-names":false,"suffix":""},{"dropping-particle":"","family":"Remešová","given":"Eva","non-dropping-particle":"","parse-names":false,"suffix":""},{"dropping-particle":"","family":"Friedman","given":"Nicholas R.","non-dropping-particle":"","parse-names":false,"suffix":""},{"dropping-particle":"","family":"Matysioková","given":"Beata","non-dropping-particle":"","parse-names":false,"suffix":""},{"dropping-particle":"","family":"Rubáčová","given":"Lucia","non-dropping-particle":"","parse-names":false,"suffix":""}],"container-title":"Ecology and Evolution","id":"ITEM-3","issue":"17","issued":{"date-parts":[["2021"]]},"page":"11839-11851","title":"Functional diversity of avian communities increases with canopy height: From individual behavior to continental-scale patterns","type":"article-journal","volume":"11"},"uris":["http://www.mendeley.com/documents/?uuid=b85a8345-b0f2-44b2-aeec-4f5e2f16a5c3"]}],"mendeley":{"formattedCitation":"(MacArthur and MacArthur 1961, Feng et al. 2020, Remeš et al. 2021)","plainTextFormattedCitation":"(MacArthur and MacArthur 1961, Feng et al. 2020, Remeš et al. 2021)","previouslyFormattedCitation":"(MacArthur and MacArthur 1961, Feng et al. 2020, Remeš et al. 2021)"},"properties":{"noteIndex":0},"schema":"https://github.com/citation-style-language/schema/raw/master/csl-citation.json"}</w:instrText>
      </w:r>
      <w:r w:rsidR="00B649DE">
        <w:rPr>
          <w:sz w:val="22"/>
          <w:szCs w:val="22"/>
        </w:rPr>
        <w:fldChar w:fldCharType="separate"/>
      </w:r>
      <w:r w:rsidR="00B649DE" w:rsidRPr="00B649DE">
        <w:rPr>
          <w:noProof/>
          <w:sz w:val="22"/>
          <w:szCs w:val="22"/>
        </w:rPr>
        <w:t>(MacArthur and MacArthur 1961, Feng et al. 2020, Remeš et al. 2021)</w:t>
      </w:r>
      <w:r w:rsidR="00B649DE">
        <w:rPr>
          <w:sz w:val="22"/>
          <w:szCs w:val="22"/>
        </w:rPr>
        <w:fldChar w:fldCharType="end"/>
      </w:r>
      <w:r>
        <w:rPr>
          <w:sz w:val="22"/>
          <w:szCs w:val="22"/>
        </w:rPr>
        <w:t xml:space="preserve">. This expansion of functional space along the gradient of 3D habitat amount is likely driven by the addition of more species that exhibit extreme trait values that are </w:t>
      </w:r>
      <w:r>
        <w:rPr>
          <w:color w:val="000000"/>
          <w:sz w:val="22"/>
          <w:szCs w:val="22"/>
        </w:rPr>
        <w:t>positioned farther away from the functional space centroid</w:t>
      </w:r>
      <w:r>
        <w:rPr>
          <w:sz w:val="22"/>
          <w:szCs w:val="22"/>
        </w:rPr>
        <w:t>, as suggested by the positive relationship between habitat amount and avian functional divergence. Interestingly, despite the expansion of functional space with increasing habitat amount, functional evenness remains stable, suggesting that abundances are added to functional space in a regular manner as vegetation amount increases.</w:t>
      </w:r>
    </w:p>
    <w:p w14:paraId="00000057" w14:textId="40EF2A15" w:rsidR="006B16C2" w:rsidRDefault="00EB0728">
      <w:pPr>
        <w:spacing w:line="480" w:lineRule="auto"/>
        <w:ind w:firstLine="720"/>
        <w:rPr>
          <w:sz w:val="22"/>
          <w:szCs w:val="22"/>
        </w:rPr>
      </w:pPr>
      <w:r>
        <w:rPr>
          <w:sz w:val="22"/>
          <w:szCs w:val="22"/>
        </w:rPr>
        <w:lastRenderedPageBreak/>
        <w:t xml:space="preserve">Increased vegetation amount led to communities that, on average, foraged at higher vertical levels and had broader spectrum of dietary characteristics, which supports the notion that increases in 3D habitat amount lead to increases in available niche space. On the other hand, communities in locations with lower habitat amount were composed of more ground foraging species that consumed a higher proportion of seeds and nectar in their diet. Intuitively, this result aligns well with the notion that grasslands and other types of open habitats support greater proportions of seed and flower-producing flora such as grasses and forbs. In partial contrast, increasing amount of understory habitat was associated with increased understory foraging but reduced canopy foraging. However, this result is in line with previous findings that show that, while understory vegetation provides cover to low foraging birds </w:t>
      </w:r>
      <w:r w:rsidR="00B649DE">
        <w:rPr>
          <w:sz w:val="22"/>
          <w:szCs w:val="22"/>
        </w:rPr>
        <w:fldChar w:fldCharType="begin" w:fldLock="1"/>
      </w:r>
      <w:r w:rsidR="00B649DE">
        <w:rPr>
          <w:sz w:val="22"/>
          <w:szCs w:val="22"/>
        </w:rPr>
        <w:instrText>ADDIN CSL_CITATION {"citationItems":[{"id":"ITEM-1","itemData":{"DOI":"10.1016/j.ecolind.2021.108264","ISSN":"1470160X","abstract":"Unplanned logging is one of the greatest current threats to native forests biodiversity. About 90% of the piedmont forest in the Southern Andean Yungas has been converted to other land-use types and the remaining forests fragments are being intensively logged without management plans. Bird species, especially understory birds, are good indicators of forest diversity and integrity. The aim of this study was to identify understory bird species associated with changes in the forest structure caused by selective logging and to explore whether it is possible to use these species as a monitoring tool. We observed that Sittasomus griseicapillus, Turdus rufiventris, Lepidocolaptes angustirostris, Casiornis rufus, Thraupis sayaca, and Tolmomyias sulphurescens were associated to unlogged sites with higher density of timber-yielding and standing dead trees. Thamnophilus caerulescens, Leptotila megalura, Synallaxis scutata, Poecilotriccus plumbeiceps, and Catharus ustulatus were favoured by logging activities and associated with understory visual obstruction. Mean cut-off abundance thresholds were 2.74 ind/ha for the avian guild associated with unlogged forest and 1.79 ind/ha for the guild associated with logged forest. Sustainable forest management schemes need to retain the understory visual obstruction at values similar to those of unlogged forest (43.75%), together with an adequate density (≥10 ind/ha) of standing dead trees with at least 19.5 cm in DBH, and a minimum of 210 ind/ha of timber tree species. Bird species identified in this study can be used in monitoring schemes to evaluate the implementation of these guidelines.","author":[{"dropping-particle":"","family":"Tallei","given":"Ever","non-dropping-particle":"","parse-names":false,"suffix":""},{"dropping-particle":"","family":"Rivera","given":"Luis","non-dropping-particle":"","parse-names":false,"suffix":""},{"dropping-particle":"","family":"Schaaf","given":"Alejandro","non-dropping-particle":"","parse-names":false,"suffix":""},{"dropping-particle":"","family":"Vivanco","given":"Constanza","non-dropping-particle":"","parse-names":false,"suffix":""},{"dropping-particle":"","family":"Politi","given":"Natalia","non-dropping-particle":"","parse-names":false,"suffix":""}],"container-title":"Ecological Indicators","id":"ITEM-1","issue":"October","issued":{"date-parts":[["2021"]]},"page":"108264","publisher":"Elsevier Ltd","title":"Use of response guilds of understory birds in threatened subtropical forest to monitor selective logging impact","type":"article-journal","volume":"132"},"uris":["http://www.mendeley.com/documents/?uuid=4b1be787-6273-4145-9c90-656133f07a2c"]}],"mendeley":{"formattedCitation":"(Tallei et al. 2021)","plainTextFormattedCitation":"(Tallei et al. 2021)","previouslyFormattedCitation":"(Tallei et al. 2021)"},"properties":{"noteIndex":0},"schema":"https://github.com/citation-style-language/schema/raw/master/csl-citation.json"}</w:instrText>
      </w:r>
      <w:r w:rsidR="00B649DE">
        <w:rPr>
          <w:sz w:val="22"/>
          <w:szCs w:val="22"/>
        </w:rPr>
        <w:fldChar w:fldCharType="separate"/>
      </w:r>
      <w:r w:rsidR="00B649DE" w:rsidRPr="00B649DE">
        <w:rPr>
          <w:noProof/>
          <w:sz w:val="22"/>
          <w:szCs w:val="22"/>
        </w:rPr>
        <w:t>(Tallei et al. 2021)</w:t>
      </w:r>
      <w:r w:rsidR="00B649DE">
        <w:rPr>
          <w:sz w:val="22"/>
          <w:szCs w:val="22"/>
        </w:rPr>
        <w:fldChar w:fldCharType="end"/>
      </w:r>
      <w:r>
        <w:rPr>
          <w:sz w:val="22"/>
          <w:szCs w:val="22"/>
        </w:rPr>
        <w:t xml:space="preserve">, closed canopies suppress the growth of understory plants </w:t>
      </w:r>
      <w:r w:rsidR="00B649DE">
        <w:rPr>
          <w:sz w:val="22"/>
          <w:szCs w:val="22"/>
        </w:rPr>
        <w:fldChar w:fldCharType="begin" w:fldLock="1"/>
      </w:r>
      <w:r w:rsidR="00B649DE">
        <w:rPr>
          <w:sz w:val="22"/>
          <w:szCs w:val="22"/>
        </w:rPr>
        <w:instrText>ADDIN CSL_CITATION {"citationItems":[{"id":"ITEM-1","itemData":{"DOI":"10.1111/j.1744-7429.2000.tb00468.x","ISSN":"00063606","abstract":"This study tested three hypotheses regarding how plants respond to the spatial heterogeneity in light availability in the rain forest understory: (1) understory plants occur preferentially in the lighter parts of the understory; (2) understory palms are more shade tolerant than other understory plants; (3) rain forest plants differ in their ontogenetic response to understory light conditions. The study was carried out in old-growth rain forest in the Yasuni National Park, Amazonian Ecuador. The hypotheses were tested by comparing the distributions of 20 plant species (1454 individuals) over microsites with differing degrees of exposure to canopy gaps to the background distribution of these microsites in the forest. The gap exposure of a given microsite was described by an index based on the number and size of gaps in the canopy to which the site was exposed. Two plant height classes were studied: 0.80-2.49 and 2.50-5 m. The first and third hypotheses were accepted, while the second hypothesis was rejected. The results for the individual species corresponded well with what is known from earlier studies about the ecology of these species or close relatives, suggesting that the patterns observed can be generalized for Neotropical rain forests. Notably, the most abundant species in the study represent several different life history strategies. Thus, abundance in the rain forest understory can be achieved by several different strategies. This suggests that niche differentiation in terms of response to small changes in understory light conditions may be an important factor in the maintenance of the high local plant species richness of tropical rain forests.","author":[{"dropping-particle":"","family":"Svenning","given":"Jens Christian","non-dropping-particle":"","parse-names":false,"suffix":""}],"container-title":"Biotropica","id":"ITEM-1","issue":"2","issued":{"date-parts":[["2000"]]},"page":"252-261","title":"Small canopy gaps influence plant distributions in the rain forest understory","type":"article-journal","volume":"32"},"uris":["http://www.mendeley.com/documents/?uuid=1af318f1-b268-41ef-8a4f-2f78d45777e3"]},{"id":"ITEM-2","itemData":{"author":[{"dropping-particle":"","family":"Pelt","given":"Robert","non-dropping-particle":"Van","parse-names":false,"suffix":""},{"dropping-particle":"","family":"Franklin","given":"Jerry F.","non-dropping-particle":"","parse-names":false,"suffix":""}],"container-title":"Canadian Journal of Forest Research","id":"ITEM-2","issued":{"date-parts":[["2000"]]},"page":"1231-1245","title":"Influence of canopy structure on the understory environment in tall, old-growth, conifer forests","type":"article-journal","volume":"30"},"uris":["http://www.mendeley.com/documents/?uuid=ff3a7e3c-dd2b-4c62-a9b2-808592170c67"]}],"mendeley":{"formattedCitation":"(Svenning 2000, Van Pelt and Franklin 2000)","plainTextFormattedCitation":"(Svenning 2000, Van Pelt and Franklin 2000)","previouslyFormattedCitation":"(Svenning 2000, Van Pelt and Franklin 2000)"},"properties":{"noteIndex":0},"schema":"https://github.com/citation-style-language/schema/raw/master/csl-citation.json"}</w:instrText>
      </w:r>
      <w:r w:rsidR="00B649DE">
        <w:rPr>
          <w:sz w:val="22"/>
          <w:szCs w:val="22"/>
        </w:rPr>
        <w:fldChar w:fldCharType="separate"/>
      </w:r>
      <w:r w:rsidR="00B649DE" w:rsidRPr="00B649DE">
        <w:rPr>
          <w:noProof/>
          <w:sz w:val="22"/>
          <w:szCs w:val="22"/>
        </w:rPr>
        <w:t>(Svenning 2000, Van Pelt and Franklin 2000)</w:t>
      </w:r>
      <w:r w:rsidR="00B649DE">
        <w:rPr>
          <w:sz w:val="22"/>
          <w:szCs w:val="22"/>
        </w:rPr>
        <w:fldChar w:fldCharType="end"/>
      </w:r>
      <w:r>
        <w:rPr>
          <w:sz w:val="22"/>
          <w:szCs w:val="22"/>
        </w:rPr>
        <w:t>, indicating that increased canopy amount limits species foraging in understory.</w:t>
      </w:r>
    </w:p>
    <w:p w14:paraId="00000058" w14:textId="53FAFF2A" w:rsidR="006B16C2" w:rsidRDefault="00EB0728">
      <w:pPr>
        <w:spacing w:line="480" w:lineRule="auto"/>
        <w:ind w:firstLine="720"/>
        <w:rPr>
          <w:sz w:val="22"/>
          <w:szCs w:val="22"/>
        </w:rPr>
      </w:pPr>
      <w:r>
        <w:rPr>
          <w:sz w:val="22"/>
          <w:szCs w:val="22"/>
        </w:rPr>
        <w:t xml:space="preserve">Increases in 3D habitat composition were also associated with communities composed of, on average, smaller and more migratory species. This observation makes sense given that smaller species often require denser vegetative cover to hide from predators </w:t>
      </w:r>
      <w:r w:rsidR="00B649DE">
        <w:rPr>
          <w:sz w:val="22"/>
          <w:szCs w:val="22"/>
        </w:rPr>
        <w:fldChar w:fldCharType="begin" w:fldLock="1"/>
      </w:r>
      <w:r w:rsidR="00B649DE">
        <w:rPr>
          <w:sz w:val="22"/>
          <w:szCs w:val="22"/>
        </w:rPr>
        <w:instrText>ADDIN CSL_CITATION {"citationItems":[{"id":"ITEM-1","itemData":{"DOI":"10.1007/s00442-014-3134-0","ISSN":"14321939","PMID":"25376157","abstract":"Fine-scale vegetation cover is a common variable used to explain animal occurrence, but we know less about the effects of fine-scale vegetation heterogeneity. Theoretically, fine-scale vegetation heterogeneity is an important driver of biodiversity because it captures the range of resources available in a given area. In this study we investigated how bird species richness and birds grouped by various ecological traits responded to vegetation cover and heterogeneity. We found that both fine-scale vegetation cover (of tall trees, medium-sized trees and shrubs) and heterogeneity (of tall trees, and shrubs) were important predictors of bird richness, but the direction of the response of bird richness to shrub heterogeneity differed between sites with different proportions of tall tree cover. For example, bird richness increased with shrub heterogeneity in sites with high levels of tall tree cover, but declined in sites with low levels of tall tree cover. Our findings indicated that an increase in vegetation heterogeneity will not always result in an increase in resources and niches, and associated higher species richness. We also found birds grouped by traits responded in a predictable way to vegetation heterogeneity. For example, we found small birds benefited from increased shrub heterogeneity supporting the textual discontinuity hypothesis and non-arboreal (ground or shrub) nesting species were associated with high vegetation cover (low heterogeneity). Our results indicated that focusing solely on increasing vegetation cover (e.g. through restoration) may be detrimental to particular animal groups. Findings from this investigation can help guide habitat management for different functional groups of birds.","author":[{"dropping-particle":"","family":"Stirnemann","given":"Ingrid A.","non-dropping-particle":"","parse-names":false,"suffix":""},{"dropping-particle":"","family":"Ikin","given":"Karen","non-dropping-particle":"","parse-names":false,"suffix":""},{"dropping-particle":"","family":"Gibbons","given":"Philip","non-dropping-particle":"","parse-names":false,"suffix":""},{"dropping-particle":"","family":"Blanchard","given":"Wade","non-dropping-particle":"","parse-names":false,"suffix":""},{"dropping-particle":"","family":"Lindenmayer","given":"David B.","non-dropping-particle":"","parse-names":false,"suffix":""}],"container-title":"Oecologia","id":"ITEM-1","issue":"3","issued":{"date-parts":[["2015"]]},"page":"733-746","title":"Measuring habitat heterogeneity reveals new insights into bird community composition","type":"article-journal","volume":"177"},"uris":["http://www.mendeley.com/documents/?uuid=aa7dd618-8705-4486-b5bd-70a64a01c5c4"]}],"mendeley":{"formattedCitation":"(Stirnemann et al. 2015)","plainTextFormattedCitation":"(Stirnemann et al. 2015)","previouslyFormattedCitation":"(Stirnemann et al. 2015)"},"properties":{"noteIndex":0},"schema":"https://github.com/citation-style-language/schema/raw/master/csl-citation.json"}</w:instrText>
      </w:r>
      <w:r w:rsidR="00B649DE">
        <w:rPr>
          <w:sz w:val="22"/>
          <w:szCs w:val="22"/>
        </w:rPr>
        <w:fldChar w:fldCharType="separate"/>
      </w:r>
      <w:r w:rsidR="00B649DE" w:rsidRPr="00B649DE">
        <w:rPr>
          <w:noProof/>
          <w:sz w:val="22"/>
          <w:szCs w:val="22"/>
        </w:rPr>
        <w:t>(Stirnemann et al. 2015)</w:t>
      </w:r>
      <w:r w:rsidR="00B649DE">
        <w:rPr>
          <w:sz w:val="22"/>
          <w:szCs w:val="22"/>
        </w:rPr>
        <w:fldChar w:fldCharType="end"/>
      </w:r>
      <w:r w:rsidR="00B649DE">
        <w:rPr>
          <w:sz w:val="22"/>
          <w:szCs w:val="22"/>
        </w:rPr>
        <w:t xml:space="preserve"> </w:t>
      </w:r>
      <w:r>
        <w:rPr>
          <w:sz w:val="22"/>
          <w:szCs w:val="22"/>
        </w:rPr>
        <w:t xml:space="preserve">and are perhaps able to maneuver more easily in dense vegetation than larger birds </w:t>
      </w:r>
      <w:r w:rsidR="00B649DE">
        <w:rPr>
          <w:sz w:val="22"/>
          <w:szCs w:val="22"/>
        </w:rPr>
        <w:fldChar w:fldCharType="begin" w:fldLock="1"/>
      </w:r>
      <w:r w:rsidR="00B649DE">
        <w:rPr>
          <w:sz w:val="22"/>
          <w:szCs w:val="22"/>
        </w:rPr>
        <w:instrText>ADDIN CSL_CITATION {"citationItems":[{"id":"ITEM-1","itemData":{"DOI":"10.1093/sysbio/syaa015","ISSN":"1076836X","PMID":"32101317","abstract":"Birds can use different types of gaits to move on the ground: They either walk, hop, or run. Although velocity can easily explain a preference for running, it remains unclear what drives a bird species to favor hopping over walking. As many hopping birds are relatively small and arboreal, we wanted to test the link between size, arboreality, and hopping ability. First, we carried out ancestral character state reconstructions of size range, hopping ability, and habitat traits on over 1000 species of birds. We found that both hopping ability and arboreality were derived and significantly correlated traits in avian evolution. Second, we tested the influence of hopping ability on the morphology of the lower appendicular skeleton by quantifying the shape differences of the pelvis and the three long bones of the hind limbs in 47 avian species with different habitats and gait preferences. We used geometric morphometrics on 3D landmarks, digitized on micro computed tomography (micro-CT) and surface scans of the pelvis, femur, tibiotarsus, and tarsometatarsus. Locomotion habits significantly influence the conformation of the pelvis, especially at the origin of hip and knee muscle extensors. Interestingly, habitat, more than locomotion habits, significantly changed tarsometatarsus conformation. The morphology of the distal part of the tarsometatarsus constrains digit orientation, which leads to a greater ability to perch, an advantageous trait in arboreality. The results of this work suggest an arboreal origin of hopping and illuminate the evolution of avian terrestrial locomotion.[Anatomy; avian; gait; leg; lifestyle; pelvis; tree-dwelling.].","author":[{"dropping-particle":"","family":"Provini","given":"Pauline","non-dropping-particle":"","parse-names":false,"suffix":""},{"dropping-particle":"","family":"Höfling","given":"Elizabeth","non-dropping-particle":"","parse-names":false,"suffix":""}],"container-title":"Systematic Biology","id":"ITEM-1","issue":"5","issued":{"date-parts":[["2020"]]},"page":"962-972","title":"To Hop or Not to Hop? The Answer Is in the Bird Trees","type":"article-journal","volume":"69"},"uris":["http://www.mendeley.com/documents/?uuid=67a550e5-7bf5-41eb-bcca-1825cd6d0d4e"]}],"mendeley":{"formattedCitation":"(Provini and Höfling 2020)","plainTextFormattedCitation":"(Provini and Höfling 2020)","previouslyFormattedCitation":"(Provini and Höfling 2020)"},"properties":{"noteIndex":0},"schema":"https://github.com/citation-style-language/schema/raw/master/csl-citation.json"}</w:instrText>
      </w:r>
      <w:r w:rsidR="00B649DE">
        <w:rPr>
          <w:sz w:val="22"/>
          <w:szCs w:val="22"/>
        </w:rPr>
        <w:fldChar w:fldCharType="separate"/>
      </w:r>
      <w:r w:rsidR="00B649DE" w:rsidRPr="00B649DE">
        <w:rPr>
          <w:noProof/>
          <w:sz w:val="22"/>
          <w:szCs w:val="22"/>
        </w:rPr>
        <w:t>(Provini and Höfling 2020)</w:t>
      </w:r>
      <w:r w:rsidR="00B649DE">
        <w:rPr>
          <w:sz w:val="22"/>
          <w:szCs w:val="22"/>
        </w:rPr>
        <w:fldChar w:fldCharType="end"/>
      </w:r>
      <w:r>
        <w:rPr>
          <w:sz w:val="22"/>
          <w:szCs w:val="22"/>
        </w:rPr>
        <w:t xml:space="preserve">. Furthermore, higher habitat amount also supported communities with on average larger hand-wing index, which is closely correlated with migration ability </w:t>
      </w:r>
      <w:r w:rsidR="00B649DE">
        <w:rPr>
          <w:sz w:val="22"/>
          <w:szCs w:val="22"/>
        </w:rPr>
        <w:fldChar w:fldCharType="begin" w:fldLock="1"/>
      </w:r>
      <w:r w:rsidR="00D95EB8">
        <w:rPr>
          <w:sz w:val="22"/>
          <w:szCs w:val="22"/>
        </w:rPr>
        <w:instrText>ADDIN CSL_CITATION {"citationItems":[{"id":"ITEM-1","itemData":{"DOI":"10.1038/s41467-020-16313-6","ISSN":"20411723","PMID":"32424113","abstract":"An organism’s ability to disperse influences many fundamental processes, from speciation and geographical range expansion to community assembly. However, the patterns and underlying drivers of variation in dispersal across species remain unclear, partly because standardised estimates of dispersal ability are rarely available. Here we present a global dataset of avian hand-wing index (HWI), an estimate of wing shape widely adopted as a proxy for dispersal ability in birds. We show that HWI is correlated with geography and ecology across 10,338 (&gt;99%) species, increasing at higher latitudes and with migration, and decreasing with territoriality. After controlling for these effects, the strongest predictor of HWI is temperature variability (seasonality), with secondary effects of diet and habitat type. Finally, we also show that HWI is a strong predictor of geographical range size. Our analyses reveal a prominent latitudinal gradient in HWI shaped by a combination of environmental and behavioural factors, and also provide a global index of avian dispersal ability for use in community ecology, macroecology, and macroevolution.","author":[{"dropping-particle":"","family":"Sheard","given":"Catherine","non-dropping-particle":"","parse-names":false,"suffix":""},{"dropping-particle":"","family":"Neate-Clegg","given":"Montague H.C.","non-dropping-particle":"","parse-names":false,"suffix":""},{"dropping-particle":"","family":"Alioravainen","given":"Nico","non-dropping-particle":"","parse-names":false,"suffix":""},{"dropping-particle":"","family":"Jones","given":"Samuel E.I.","non-dropping-particle":"","parse-names":false,"suffix":""},{"dropping-particle":"","family":"Vincent","given":"Claire","non-dropping-particle":"","parse-names":false,"suffix":""},{"dropping-particle":"","family":"MacGregor","given":"Hannah E.A.","non-dropping-particle":"","parse-names":false,"suffix":""},{"dropping-particle":"","family":"Bregman","given":"Tom P.","non-dropping-particle":"","parse-names":false,"suffix":""},{"dropping-particle":"","family":"Claramunt","given":"Santiago","non-dropping-particle":"","parse-names":false,"suffix":""},{"dropping-particle":"","family":"Tobias","given":"Joseph A.","non-dropping-particle":"","parse-names":false,"suffix":""}],"container-title":"Nature Communications","id":"ITEM-1","issue":"1","issued":{"date-parts":[["2020"]]},"page":"2463","publisher":"Springer US","title":"Ecological drivers of global gradients in avian dispersal inferred from wing morphology","type":"article-journal","volume":"11"},"uris":["http://www.mendeley.com/documents/?uuid=d4763370-88f2-440a-8e76-36d0e29a7b87"]}],"mendeley":{"formattedCitation":"(Sheard et al. 2020)","plainTextFormattedCitation":"(Sheard et al. 2020)","previouslyFormattedCitation":"(Sheard et al. 2020)"},"properties":{"noteIndex":0},"schema":"https://github.com/citation-style-language/schema/raw/master/csl-citation.json"}</w:instrText>
      </w:r>
      <w:r w:rsidR="00B649DE">
        <w:rPr>
          <w:sz w:val="22"/>
          <w:szCs w:val="22"/>
        </w:rPr>
        <w:fldChar w:fldCharType="separate"/>
      </w:r>
      <w:r w:rsidR="00B649DE" w:rsidRPr="00B649DE">
        <w:rPr>
          <w:noProof/>
          <w:sz w:val="22"/>
          <w:szCs w:val="22"/>
        </w:rPr>
        <w:t>(Sheard et al. 2020)</w:t>
      </w:r>
      <w:r w:rsidR="00B649DE">
        <w:rPr>
          <w:sz w:val="22"/>
          <w:szCs w:val="22"/>
        </w:rPr>
        <w:fldChar w:fldCharType="end"/>
      </w:r>
      <w:r>
        <w:rPr>
          <w:sz w:val="22"/>
          <w:szCs w:val="22"/>
        </w:rPr>
        <w:t xml:space="preserve">. Migratory birds tend to be smaller </w:t>
      </w:r>
      <w:r w:rsidR="00B649DE">
        <w:rPr>
          <w:sz w:val="22"/>
          <w:szCs w:val="22"/>
        </w:rPr>
        <w:fldChar w:fldCharType="begin" w:fldLock="1"/>
      </w:r>
      <w:r w:rsidR="00B649DE">
        <w:rPr>
          <w:sz w:val="22"/>
          <w:szCs w:val="22"/>
        </w:rPr>
        <w:instrText>ADDIN CSL_CITATION {"citationItems":[{"id":"ITEM-1","itemData":{"DOI":"10.1038/s41467-020-19256-0","ISSN":"20411723","PMID":"33203869","abstract":"Billions of vertebrates migrate to and from their breeding grounds annually, exhibiting astonishing feats of endurance. Many such movements are energetically costly yet there is little consensus on whether or how such costs might influence schedules of survival and reproduction in migratory animals. Here we provide a global analysis of associations between migratory behaviour and vertebrate life histories. After controlling for latitudinal and evolutionary patterns, we find that migratory birds and mammals have faster paces of life than their non-migratory relatives. Among swimming and walking species, migrants tend to have larger body size, while among flying species, migrants are smaller. We discuss whether pace of life is a determinant, consequence, or adaptive outcome, of migration. Our findings have important implications for the understanding of the migratory phenomenon and will help predict the responses of bird and mammal species to environmental change.","author":[{"dropping-particle":"","family":"Soriano-Redondo","given":"Andrea","non-dropping-particle":"","parse-names":false,"suffix":""},{"dropping-particle":"","family":"Gutiérrez","given":"Jorge S.","non-dropping-particle":"","parse-names":false,"suffix":""},{"dropping-particle":"","family":"Hodgson","given":"Dave","non-dropping-particle":"","parse-names":false,"suffix":""},{"dropping-particle":"","family":"Bearhop","given":"Stuart","non-dropping-particle":"","parse-names":false,"suffix":""}],"container-title":"Nature Communications","id":"ITEM-1","issue":"1","issued":{"date-parts":[["2020"]]},"page":"1-8","publisher":"Springer US","title":"Migrant birds and mammals live faster than residents","type":"article-journal","volume":"11"},"uris":["http://www.mendeley.com/documents/?uuid=a66824d6-e46d-4249-b55d-fd8ac1c7044b"]}],"mendeley":{"formattedCitation":"(Soriano-Redondo et al. 2020)","plainTextFormattedCitation":"(Soriano-Redondo et al. 2020)","previouslyFormattedCitation":"(Soriano-Redondo et al. 2020)"},"properties":{"noteIndex":0},"schema":"https://github.com/citation-style-language/schema/raw/master/csl-citation.json"}</w:instrText>
      </w:r>
      <w:r w:rsidR="00B649DE">
        <w:rPr>
          <w:sz w:val="22"/>
          <w:szCs w:val="22"/>
        </w:rPr>
        <w:fldChar w:fldCharType="separate"/>
      </w:r>
      <w:r w:rsidR="00B649DE" w:rsidRPr="00B649DE">
        <w:rPr>
          <w:noProof/>
          <w:sz w:val="22"/>
          <w:szCs w:val="22"/>
        </w:rPr>
        <w:t>(Soriano-Redondo et al. 2020)</w:t>
      </w:r>
      <w:r w:rsidR="00B649DE">
        <w:rPr>
          <w:sz w:val="22"/>
          <w:szCs w:val="22"/>
        </w:rPr>
        <w:fldChar w:fldCharType="end"/>
      </w:r>
      <w:r>
        <w:rPr>
          <w:sz w:val="22"/>
          <w:szCs w:val="22"/>
        </w:rPr>
        <w:t>, have a larger portion of their diet comprised of seasonally available foods such as fruit and insects, and are more likely to forage in the canopy compared to resident bird species</w:t>
      </w:r>
      <w:r>
        <w:t xml:space="preserve"> </w:t>
      </w:r>
      <w:r w:rsidR="00B649DE" w:rsidRPr="00B649DE">
        <w:rPr>
          <w:sz w:val="22"/>
          <w:szCs w:val="22"/>
        </w:rPr>
        <w:fldChar w:fldCharType="begin" w:fldLock="1"/>
      </w:r>
      <w:r w:rsidR="006A2CA6">
        <w:rPr>
          <w:sz w:val="22"/>
          <w:szCs w:val="22"/>
        </w:rPr>
        <w:instrText>ADDIN CSL_CITATION {"citationItems":[{"id":"ITEM-1","itemData":{"DOI":"10.1086/285421","ISSN":"00030147","abstract":"Seasonal movements are common in Neotropical forest birds. Species that engage in the largest movements, altitudinal and intratropical migrants, are predominantly frugivores or nectarivores of canopy/edge or dry habitats. Migration by such species may be necessitated by the high spaatial and temporal variation in their resource base. The authors hypothesize that seasonal movements within the tropics predisposed these birds to migration out of the tropics. Indeed, most Nearctic passerine migrants are drawn from Neotropical taxa that exhibit altitudinal or intratropical migration. Taxa comprising the most sedentary group of neotropical residents (understory insectivores) are poorly represented among Nearctic migrants. Also, overwintering Nearctic migrants and closely related tropical residents tend to be frugivorous/nectarivorous, inhabit \"open' habitat, and engage in seasonal movements. The only difference in their movements is one of scale. Results help explain the behaviour and ecology of Nearctic birds overwintering in the Neotropics. -from Authors","author":[{"dropping-particle":"","family":"Levey","given":"D. J.","non-dropping-particle":"","parse-names":false,"suffix":""},{"dropping-particle":"","family":"Stiles","given":"F. G.","non-dropping-particle":"","parse-names":false,"suffix":""}],"container-title":"American Naturalist","id":"ITEM-1","issue":"3","issued":{"date-parts":[["1992"]]},"page":"447-476","title":"Evolutionary precursors of long-distance migration: resource availability and movement patterns in neotropical landbirds","type":"article-journal","volume":"140"},"uris":["http://www.mendeley.com/documents/?uuid=c81686f7-cf93-4659-a496-afc36b08ce49"]},{"id":"ITEM-2","itemData":{"DOI":"10.1007/s10682-010-9403-4","ISSN":"02697653","abstract":"Annual migrations of birds profoundly influence terrestrial communities. However, few empirical studies examine why birds migrate, in part due to the difficulty of testing causal hypotheses in long-distance migration systems. Short-distance altitudinal migrations provide relatively tractable systems in which to test explanations for migration. Many past studies explain tropical altitudinal migration as a response to spatial and temporal variation in fruit availability. Yet this hypothesis fails to explain why some coexisting, closely-related frugivorous birds remain resident year-round. We take a mechanistic approach by proposing and evaluating two hypotheses (one based on competitive exclusion and the other based on differences in dietary specialization) to explain why some, but not all, tropical frugivores migrate. We tested predictions of these hypotheses by comparing diets, fruit preferences, and the relationships between diet and preference in closely-related pairs of migrant and resident species. Fecal samples and experimental choice trials revealed that sympatric migrants and residents differed in both their diets and fruit preferences. Migrants consumed a greater diversity of fruits and fewer arthropods than did their resident counterparts. Migrants also tended to have slightly stronger fruit preferences than residents. Most critically, diets of migrants more closely matched their preferences than did the diets of residents. These results suggest that migrants may be competitively superior foragers for fruit compared to residents (rather than vice versa), implying that current competitive interactions are unlikely to explain variation in migratory behavior among coexisting frugivores. We found some support for the dietary specialization hypothesis, propose refinements to the mechanism underlying this hypothesis, and discuss how dietary specialization might ultimately reflect past interspecific competition. We recommend that future studies quantify variation in nutritional content of tropical fruits, and determine whether frugivory is a consequence or a cause of migratory behaviour. © 2010 Springer Science+Business Media B.V.","author":[{"dropping-particle":"","family":"Boyle","given":"W. Alice","non-dropping-particle":"","parse-names":false,"suffix":""},{"dropping-particle":"","family":"Conway","given":"Courtney J.","non-dropping-particle":"","parse-names":false,"suffix":""},{"dropping-particle":"","family":"Bronstein","given":"Judith L.","non-dropping-particle":"","parse-names":false,"suffix":""}],"container-title":"Evolutionary Ecology","id":"ITEM-2","issue":"1","issued":{"date-parts":[["2011"]]},"page":"219-236","title":"Why do some, but not all, tropical birds migrate? A comparative study of diet breadth and fruit preference","type":"article-journal","volume":"25"},"uris":["http://www.mendeley.com/documents/?uuid=ed25518d-cd89-4e01-b6d4-4b5f94e776a8"]}],"mendeley":{"formattedCitation":"(Levey and Stiles 1992, Boyle et al. 2011)","plainTextFormattedCitation":"(Levey and Stiles 1992, Boyle et al. 2011)","previouslyFormattedCitation":"(Levey and Stiles 1992, Boyle et al. 2011)"},"properties":{"noteIndex":0},"schema":"https://github.com/citation-style-language/schema/raw/master/csl-citation.json"}</w:instrText>
      </w:r>
      <w:r w:rsidR="00B649DE" w:rsidRPr="00B649DE">
        <w:rPr>
          <w:sz w:val="22"/>
          <w:szCs w:val="22"/>
        </w:rPr>
        <w:fldChar w:fldCharType="separate"/>
      </w:r>
      <w:r w:rsidR="00B649DE" w:rsidRPr="00B649DE">
        <w:rPr>
          <w:noProof/>
          <w:sz w:val="22"/>
          <w:szCs w:val="22"/>
        </w:rPr>
        <w:t>(Levey and Stiles 1992, Boyle et al. 2011)</w:t>
      </w:r>
      <w:r w:rsidR="00B649DE" w:rsidRPr="00B649DE">
        <w:rPr>
          <w:sz w:val="22"/>
          <w:szCs w:val="22"/>
        </w:rPr>
        <w:fldChar w:fldCharType="end"/>
      </w:r>
      <w:r w:rsidRPr="00B649DE">
        <w:rPr>
          <w:sz w:val="22"/>
          <w:szCs w:val="22"/>
        </w:rPr>
        <w:t xml:space="preserve">. </w:t>
      </w:r>
      <w:r>
        <w:rPr>
          <w:sz w:val="22"/>
          <w:szCs w:val="22"/>
        </w:rPr>
        <w:t xml:space="preserve">Through the creation of more seasonally available foods and suitable habitats, increased 3D habitat amount might thus attract species characterized by increased migration ability and smaller body size. </w:t>
      </w:r>
    </w:p>
    <w:p w14:paraId="00000059" w14:textId="77777777" w:rsidR="006B16C2" w:rsidRDefault="00EB0728">
      <w:pPr>
        <w:spacing w:line="480" w:lineRule="auto"/>
        <w:rPr>
          <w:sz w:val="22"/>
          <w:szCs w:val="22"/>
        </w:rPr>
      </w:pPr>
      <w:r>
        <w:rPr>
          <w:sz w:val="22"/>
          <w:szCs w:val="22"/>
          <w:u w:val="single"/>
        </w:rPr>
        <w:t>Effects of 2D and 3D habitat configuration on avian diversity</w:t>
      </w:r>
    </w:p>
    <w:p w14:paraId="0000005A" w14:textId="1630C8C7" w:rsidR="006B16C2" w:rsidRDefault="00EB0728">
      <w:pPr>
        <w:spacing w:line="480" w:lineRule="auto"/>
        <w:ind w:firstLine="720"/>
        <w:rPr>
          <w:sz w:val="22"/>
          <w:szCs w:val="22"/>
        </w:rPr>
      </w:pPr>
      <w:r>
        <w:rPr>
          <w:sz w:val="22"/>
          <w:szCs w:val="22"/>
        </w:rPr>
        <w:t xml:space="preserve">Increased heterogeneity of the subcanopy level decreases the breadth of the functional space but increases the regularity of species abundances in that space. More heterogenous canopies also tend to support higher prevalence of more extreme trait values within the functional space compared to less </w:t>
      </w:r>
      <w:r>
        <w:rPr>
          <w:sz w:val="22"/>
          <w:szCs w:val="22"/>
        </w:rPr>
        <w:lastRenderedPageBreak/>
        <w:t xml:space="preserve">heterogenous canopies. This finding suggests that as higher vertical strata become more heterogenous, low-abundant species that fall at the periphery of the functional space disappear from the assemblage, leaving the remaining species evenly distributed within that space. While abiotic edge effects, such as more extreme microclimates </w:t>
      </w:r>
      <w:r w:rsidR="006A2CA6">
        <w:rPr>
          <w:sz w:val="22"/>
          <w:szCs w:val="22"/>
        </w:rPr>
        <w:fldChar w:fldCharType="begin" w:fldLock="1"/>
      </w:r>
      <w:r w:rsidR="006A2CA6">
        <w:rPr>
          <w:sz w:val="22"/>
          <w:szCs w:val="22"/>
        </w:rPr>
        <w:instrText>ADDIN CSL_CITATION {"citationItems":[{"id":"ITEM-1","itemData":{"DOI":"DOI: 10.1111/j.1466-8238.2006.00287.x","ISBN":"1466-822X","ISSN":"01436228","abstract":"Landscape modification and habitat fragmentation are key drivers of global species loss. Their effects may be understood by focusing on: (1) individual species and the processes threatening them, and (2) human-perceived landscape patterns and their correlation with species and assemblages. Individual species may decline as a result of interacting exogenous and endogenous threats, including habitat loss, habitat degradation, habitat isolation, changes in the biology, behaviour, and interactions of species, as well as additional, stochastic threats. Human-perceived landscape patterns that are frequently correlated with species assemblages include the amount and structure of native vegetation, the prevalence of anthropogenic edges, the degree of landscape connectivity, and the structure and heterogeneity of modified areas. Extinction cascades are particularly likely to occur in landscapes with low native vegetation cover, low landscape connectivity, degraded native vegetation and intensive land use in modified areas, especially if keystone species or entire functional groups of species are lost. This review (1) demonstrates that species-oriented and pattern- oriented approaches to understanding the ecology of modified landscapes are highly complementary, (2) clarifies the links between a wide range of interconnected themes, and (3) provides clear and consistent terminology. Tangible research and management priorities are outlined that are likely to benefit the conservation of native species in modified landscapes around the world.","author":[{"dropping-particle":"","family":"Fischer","given":"Joern","non-dropping-particle":"","parse-names":false,"suffix":""},{"dropping-particle":"","family":"Lindenmayer","given":"David B.","non-dropping-particle":"","parse-names":false,"suffix":""}],"container-title":"Global Ecology and Biogeography","id":"ITEM-1","issued":{"date-parts":[["2007"]]},"page":"265–280","title":"Landscape modification and habitat fragmentation: a synthesis","type":"article-journal","volume":"16"},"uris":["http://www.mendeley.com/documents/?uuid=36f097c6-aed0-4aee-9796-5e8a81d7cd9e"]}],"mendeley":{"formattedCitation":"(Fischer and Lindenmayer 2007)","plainTextFormattedCitation":"(Fischer and Lindenmayer 2007)","previouslyFormattedCitation":"(Fischer and Lindenmayer 2007)"},"properties":{"noteIndex":0},"schema":"https://github.com/citation-style-language/schema/raw/master/csl-citation.json"}</w:instrText>
      </w:r>
      <w:r w:rsidR="006A2CA6">
        <w:rPr>
          <w:sz w:val="22"/>
          <w:szCs w:val="22"/>
        </w:rPr>
        <w:fldChar w:fldCharType="separate"/>
      </w:r>
      <w:r w:rsidR="006A2CA6" w:rsidRPr="006A2CA6">
        <w:rPr>
          <w:noProof/>
          <w:sz w:val="22"/>
          <w:szCs w:val="22"/>
        </w:rPr>
        <w:t>(Fischer and Lindenmayer 2007)</w:t>
      </w:r>
      <w:r w:rsidR="006A2CA6">
        <w:rPr>
          <w:sz w:val="22"/>
          <w:szCs w:val="22"/>
        </w:rPr>
        <w:fldChar w:fldCharType="end"/>
      </w:r>
      <w:r>
        <w:rPr>
          <w:sz w:val="22"/>
          <w:szCs w:val="22"/>
        </w:rPr>
        <w:t>, play a role, the absence of changes in functional space across lower height strata suggests unique pressures at higher vertical strata.</w:t>
      </w:r>
    </w:p>
    <w:p w14:paraId="0000005B" w14:textId="122224B1" w:rsidR="006B16C2" w:rsidRDefault="00EB0728">
      <w:pPr>
        <w:spacing w:line="480" w:lineRule="auto"/>
        <w:ind w:firstLine="720"/>
        <w:rPr>
          <w:sz w:val="22"/>
          <w:szCs w:val="22"/>
        </w:rPr>
      </w:pPr>
      <w:r>
        <w:rPr>
          <w:sz w:val="22"/>
          <w:szCs w:val="22"/>
        </w:rPr>
        <w:t xml:space="preserve">Higher 3D habitat heterogeneity was associated with foraging in higher strata, higher proportions of species with carnivorous diets, and larger HWI. Increased openness of the vegetation profile, especially at higher height strata, thus appears to facilitate predatory species and increased flying ability. Previous research indeed suggests that open spaces at high strata support raptors </w:t>
      </w:r>
      <w:r w:rsidR="006A2CA6">
        <w:rPr>
          <w:sz w:val="22"/>
          <w:szCs w:val="22"/>
        </w:rPr>
        <w:fldChar w:fldCharType="begin" w:fldLock="1"/>
      </w:r>
      <w:r w:rsidR="006A2CA6">
        <w:rPr>
          <w:sz w:val="22"/>
          <w:szCs w:val="22"/>
        </w:rPr>
        <w:instrText>ADDIN CSL_CITATION {"citationItems":[{"id":"ITEM-1","itemData":{"DOI":"10.3356/JRR-07-15.1","ISSN":"08921016","abstract":"We studied habitat use for foraging by Swainson's Hawks (Buteo swainsoni) within a complex agricultur crop matrix in California's Central Valley to ascertain if vineyards were used for foraging. Central Valley vineyard agriculture has increased recently, especially in areas supporting the highest regional numbers of Swainson's Hawks. There is concern that increased vineyard coverage may reduce the amount of foraging habitat available for Swainson's Hawks, because vineyards have been considered poor foraging habitat for this species, due to the height and density of the vines. In 2002 and 2003, we conducted road surveys to record observations of foraging Swainson's Hawks in relation to agricultural habitats. Using chi-square tests and 95% CIs, we assessed habitat selection for foraging Swainson's Hawks and determined whether habitat use varied throughout the breeding season. Swainson's Hawks used 10 unique habitat types for foraging during the breeding season. Swainson's Hawks used vineyards less than expected and irrigated hay and dryland grain habitats more than expected, with some variation in habitat use as the season progressed. The variety of habitats that Swainson's Hawks used for foraging in our study area suggests that maintenance of large heterogeneous areas of agricultural habitats that include crops such as alfalfa, as well as large tracts of grazed grasslands, should be one of the priorities for conservation of this species in this region. © 2008 The Raptor Research Foundation, Inc.","author":[{"dropping-particle":"","family":"Swolgaard","given":"Craig A.","non-dropping-particle":"","parse-names":false,"suffix":""},{"dropping-particle":"","family":"Reeves","given":"Kent A.","non-dropping-particle":"","parse-names":false,"suffix":""},{"dropping-particle":"","family":"Bell","given":"Douglas A.","non-dropping-particle":"","parse-names":false,"suffix":""}],"container-title":"Journal of Raptor Research","id":"ITEM-1","issue":"3","issued":{"date-parts":[["2008"]]},"page":"188-196","title":"Foraging by Swainson's Hawks in a vineyard-dominated landscape","type":"article-journal","volume":"42"},"uris":["http://www.mendeley.com/documents/?uuid=5e105bc6-b776-4f65-805f-1041df2a86d1"]}],"mendeley":{"formattedCitation":"(Swolgaard et al. 2008)","plainTextFormattedCitation":"(Swolgaard et al. 2008)","previouslyFormattedCitation":"(Swolgaard et al. 2008)"},"properties":{"noteIndex":0},"schema":"https://github.com/citation-style-language/schema/raw/master/csl-citation.json"}</w:instrText>
      </w:r>
      <w:r w:rsidR="006A2CA6">
        <w:rPr>
          <w:sz w:val="22"/>
          <w:szCs w:val="22"/>
        </w:rPr>
        <w:fldChar w:fldCharType="separate"/>
      </w:r>
      <w:r w:rsidR="006A2CA6" w:rsidRPr="006A2CA6">
        <w:rPr>
          <w:noProof/>
          <w:sz w:val="22"/>
          <w:szCs w:val="22"/>
        </w:rPr>
        <w:t>(Swolgaard et al. 2008)</w:t>
      </w:r>
      <w:r w:rsidR="006A2CA6">
        <w:rPr>
          <w:sz w:val="22"/>
          <w:szCs w:val="22"/>
        </w:rPr>
        <w:fldChar w:fldCharType="end"/>
      </w:r>
      <w:r>
        <w:rPr>
          <w:sz w:val="22"/>
          <w:szCs w:val="22"/>
        </w:rPr>
        <w:t xml:space="preserve">, perhaps by providing greater foraging opportunities facilitated by increased maneuverability or improved habitat for prey species. This observation is further supported by research on 2D habitat configuration that shows greater predation rates from raptors and other predators in more heterogenous habitats compared to more homogenous ones </w:t>
      </w:r>
      <w:r w:rsidR="006A2CA6">
        <w:rPr>
          <w:sz w:val="22"/>
          <w:szCs w:val="22"/>
        </w:rPr>
        <w:fldChar w:fldCharType="begin" w:fldLock="1"/>
      </w:r>
      <w:r w:rsidR="004E4AF5">
        <w:rPr>
          <w:sz w:val="22"/>
          <w:szCs w:val="22"/>
        </w:rPr>
        <w:instrText>ADDIN CSL_CITATION {"citationItems":[{"id":"ITEM-1","itemData":{"DOI":"10.2307/1368388","ISSN":"00105422","abstract":"The spatial distribution of Red-tailed Hawks (Buteo jamaicensis) and Northern Harriers (Circus cyaneus) overwintering in central Arkansas was studied in relation to perch availability, plant cover, and small rodent biomass in six habitat patch types. In general, raptor foraging was distributed nonrandomly among patch types. Red-tailed Hawks occupied corn stubble and old-field patches more frequently than expected by chance and occupied tall corn and bare patches less frequently than expected. Adult male Northern Harriers used corn stubble and wetland patches more frequently than expected and used tall corn and bare patches less frequently than expected, while adult female and juvenile harriers used wetland patches more frequently than expected and used bare patches less frequently than expected. The general distribution of Northern Harriers is interpreted as a response to prey biomass availability (rodent biomass index × 1/plant cover density), while Red-tailed Hawk distribution is interpreted as a response to both prey biomass availability and perch availability. CR  - Copyright &amp;#169; 1990 Cooper Ornithological Society","author":[{"dropping-particle":"","family":"Preston","given":"Charles R.","non-dropping-particle":"","parse-names":false,"suffix":""}],"container-title":"The Condor","id":"ITEM-1","issue":"1","issued":{"date-parts":[["1990"]]},"page":"107-112","title":"Distribution of Raptor Foraging in Relation to Prey Biomass and Habitat Structure","type":"article-journal","volume":"92"},"uris":["http://www.mendeley.com/documents/?uuid=d7714d1f-da70-42e9-b5b1-7bc1948786d0"]},{"id":"ITEM-2","itemData":{"ISBN":"1523-1739","ISSN":"0888-8892","abstract":"Abstract: Habitat fragmentation may modify ecological patterns by increasing the importance of edge effects, including elevating rates of predation on avian nests. Conventional wisdom suggests an increased rate of predation along habitat edges, and previous reviews support this view. These reviews did not apply recent statistical approaches, however, and some were based on a small number of studies. In our meta-analysis of 64 nest-predation experiments, our results supported prior reviews of the general pattern of increased nest predation along habitat edges ( p &lt; 0.01). We separated studies into ecologically relevant categories and found the following patterns: (1) Edge effects were more pronounced in North America and northwestern Europe than in central Europe or Central America. This result may be biased, however, by the different habitats studied in the regions. (2) Marshes and deciduous forests had significant edge effects, whereas edge effects were not apparent in coniferous forests, tropical forests, or fields. (3) Ground and natural nest studies were more likely to exhibit edge effects. (4) Edge effects were detected in studies that used quail eggs and real eggs. (5) Edge effects were not significant when artificial nests were exposed for typical incubation periods, but were significant for shorter exposures. Three alternative hypotheses may explain increased nest predation along edges. The edge-effects hypothesis states that increased nest losses along edges are the result of the habitat discontinuity. The landscape-structure hypothesis states that more fragmented landscapes are more heavily depredated by nest predators. The human-disturbance hypothesis states that near anthropogenic edges increased nest predation is related to human activities. Nest-predation experiments should be placed in a landscape context to reveal differences between the hypotheses. Resumen: La fragmentación del hábitat puede modificar patrones ecológicos al incrementar la importancia de los efectos de borde, incluyendo el incremento de las tasas de depredación de nidos de aves. Convencionalmente se cree que existiría un incremento en la tasa de depredación a lo largo de los bordes de hábitat y revisiones previas apoyan esta opinión. Sin embargo, estas revisiones no aplicaron métodos estadísticos recientes y algunos se basaron en un número pequeño de estudios. En nuestro meta-análisis de 64 experimentos de depredación de nidos, nuestros resultados apoyaron revisiones pre…","author":[{"dropping-particle":"","family":"Batary","given":"P","non-dropping-particle":"","parse-names":false,"suffix":""},{"dropping-particle":"","family":"Baldi","given":"A","non-dropping-particle":"","parse-names":false,"suffix":""}],"container-title":"Conservation Biology","id":"ITEM-2","issue":"2","issued":{"date-parts":[["2004"]]},"page":"389-400","title":"Evidence of an Edge Effect on Avian Nest Success","type":"article-journal","volume":"18"},"uris":["http://www.mendeley.com/documents/?uuid=64fade0c-ebb3-4b11-b8b6-68deca15c814"]}],"mendeley":{"formattedCitation":"(Preston 1990, Batary and Baldi 2004)","plainTextFormattedCitation":"(Preston 1990, Batary and Baldi 2004)","previouslyFormattedCitation":"(Preston 1990, Batary and Baldi 2004)"},"properties":{"noteIndex":0},"schema":"https://github.com/citation-style-language/schema/raw/master/csl-citation.json"}</w:instrText>
      </w:r>
      <w:r w:rsidR="006A2CA6">
        <w:rPr>
          <w:sz w:val="22"/>
          <w:szCs w:val="22"/>
        </w:rPr>
        <w:fldChar w:fldCharType="separate"/>
      </w:r>
      <w:r w:rsidR="006A2CA6" w:rsidRPr="006A2CA6">
        <w:rPr>
          <w:noProof/>
          <w:sz w:val="22"/>
          <w:szCs w:val="22"/>
        </w:rPr>
        <w:t>(Preston 1990, Batary and Baldi 2004)</w:t>
      </w:r>
      <w:r w:rsidR="006A2CA6">
        <w:rPr>
          <w:sz w:val="22"/>
          <w:szCs w:val="22"/>
        </w:rPr>
        <w:fldChar w:fldCharType="end"/>
      </w:r>
      <w:r>
        <w:rPr>
          <w:sz w:val="22"/>
          <w:szCs w:val="22"/>
        </w:rPr>
        <w:t xml:space="preserve">. Moreover, species with larger HWI tend to have a greater gap-crossing ability </w:t>
      </w:r>
      <w:r w:rsidR="006A2CA6">
        <w:rPr>
          <w:sz w:val="22"/>
          <w:szCs w:val="22"/>
        </w:rPr>
        <w:fldChar w:fldCharType="begin" w:fldLock="1"/>
      </w:r>
      <w:r w:rsidR="006A2CA6">
        <w:rPr>
          <w:sz w:val="22"/>
          <w:szCs w:val="22"/>
        </w:rPr>
        <w:instrText>ADDIN CSL_CITATION {"citationItems":[{"id":"ITEM-1","itemData":{"DOI":"10.1111/btp.13109","ISSN":"17447429","abstract":"The ability to move across the landscape is a fundamental property of species that can determine their chances of persistence in fragmented landscapes and in rapidly changing environments. Despite its importance, empirical evidence showing the effect of movement capacity on patterns of movement across fragmented landscapes is limited. In this study, we examine the role of flight efficiency on the likelihood of crossing a man-made habitat gap. We used data from the Biological Dynamics of Forest Fragments Projects on recaptures of banded birds in an Amazonian forest bisected by a road. For a total of 45 species, we estimated flight efficiency using the hand-wing index (a proxy for the wing's aspect ratio) and used it as a predictor of the probability of road crossing in phylogenetic binomial regression models. We found that flight efficiency was a strong predictor of road-crossing probability: species with high hand-wing indices crossed the road more frequently than those with low hand-wing indices. In contrast, other characteristics such as body mass, diet, flocking behavior, and foraging stratum did not show significant associations with road-crossing probability. Our results suggest that proxies of flight efficiency such as the hand-wing index can be powerful tools for predicting the vulnerability of bird species to forest fragmentation. Abstract in Spanish is available with online material.","author":[{"dropping-particle":"","family":"Claramunt","given":"Santiago","non-dropping-particle":"","parse-names":false,"suffix":""},{"dropping-particle":"","family":"Hong","given":"Milly","non-dropping-particle":"","parse-names":false,"suffix":""},{"dropping-particle":"","family":"Bravo","given":"Adriana","non-dropping-particle":"","parse-names":false,"suffix":""}],"container-title":"Biotropica","id":"ITEM-1","issue":"4","issued":{"date-parts":[["2022"]]},"page":"860-868","title":"The effect of flight efficiency on gap-crossing ability in Amazonian forest birds","type":"article-journal","volume":"54"},"uris":["http://www.mendeley.com/documents/?uuid=21e6bf9b-3c2d-4ac3-9469-2f5847389e50"]}],"mendeley":{"formattedCitation":"(Claramunt et al. 2022)","plainTextFormattedCitation":"(Claramunt et al. 2022)","previouslyFormattedCitation":"(Claramunt et al. 2022)"},"properties":{"noteIndex":0},"schema":"https://github.com/citation-style-language/schema/raw/master/csl-citation.json"}</w:instrText>
      </w:r>
      <w:r w:rsidR="006A2CA6">
        <w:rPr>
          <w:sz w:val="22"/>
          <w:szCs w:val="22"/>
        </w:rPr>
        <w:fldChar w:fldCharType="separate"/>
      </w:r>
      <w:r w:rsidR="006A2CA6" w:rsidRPr="006A2CA6">
        <w:rPr>
          <w:noProof/>
          <w:sz w:val="22"/>
          <w:szCs w:val="22"/>
        </w:rPr>
        <w:t>(Claramunt et al. 2022)</w:t>
      </w:r>
      <w:r w:rsidR="006A2CA6">
        <w:rPr>
          <w:sz w:val="22"/>
          <w:szCs w:val="22"/>
        </w:rPr>
        <w:fldChar w:fldCharType="end"/>
      </w:r>
      <w:r>
        <w:rPr>
          <w:sz w:val="22"/>
          <w:szCs w:val="22"/>
        </w:rPr>
        <w:t xml:space="preserve">, perhaps allowing them to easily maneuver and persist in patchy habitats (but see </w:t>
      </w:r>
      <w:r w:rsidR="006A2CA6" w:rsidRPr="00C273E2">
        <w:rPr>
          <w:sz w:val="22"/>
          <w:szCs w:val="22"/>
        </w:rPr>
        <w:fldChar w:fldCharType="begin" w:fldLock="1"/>
      </w:r>
      <w:r w:rsidR="00C273E2">
        <w:rPr>
          <w:sz w:val="22"/>
          <w:szCs w:val="22"/>
        </w:rPr>
        <w:instrText>ADDIN CSL_CITATION {"citationItems":[{"id":"ITEM-1","itemData":{"DOI":"10.1007/s10531-023-02682-z","ISBN":"0123456789","ISSN":"15729710","abstract":"The fragmentation of tropical forests remains a major driver of avian biodiversity loss, particularly for insectivores, yet the mechanisms underlying area sensitivity remain poorly understood. Studies in lowland systems suggest that loss of food resources, changes to light microenvironments, increased nest predation, and dispersal limitation are possible mechanisms, but these are untested for montane tropical bird communities. In this study, we related avian functional traits to area sensitivity (quantified using beta estimates from a multi-species occupancy model) to test the above four hypotheses for a cloud forest bird community (both resident species and just resident insectivores) in the Colombian Western Andes. We found that species with more specialized diets and those that use the canopy and subcanopy (loss of food hypothesis), larger relative eye sizes (light microhabitat hypothesis), and larger clutch sizes (nest predation hypothesis) were significantly more area sensitive. By contrast, there was no support for the dispersal limitation hypothesis; instead, we found that insectivores with more pointed wing shapes, and more aerial lifestyles, were significantly more fragmentation sensitive. These results suggest that reduced vegetation structure, loss of late-successional plant species, and loss of epiphytic plants may reduce food availability in fragments. Similarly, the ability to tolerate higher light intensity near fragment edges, or when traversing matrix habitat, may be important for persistence in fragments and suggests that habitat configuration may be of special importance in fragmented Andean landscapes. Overall, a lack of information on foraging, movement, and breeding ecology complicates avian conservation in the Andes.","author":[{"dropping-particle":"","family":"Jones","given":"Harrison H.","non-dropping-particle":"","parse-names":false,"suffix":""},{"dropping-particle":"","family":"Bedoya-Durán","given":"María Juliana","non-dropping-particle":"","parse-names":false,"suffix":""},{"dropping-particle":"","family":"Colorado Z","given":"Gabriel J.","non-dropping-particle":"","parse-names":false,"suffix":""},{"dropping-particle":"","family":"Londoño","given":"Gustavo","non-dropping-particle":"","parse-names":false,"suffix":""},{"dropping-particle":"","family":"Robinson","given":"Scott K.","non-dropping-particle":"","parse-names":false,"suffix":""}],"container-title":"Biodiversity and Conservation","id":"ITEM-1","issue":"12","issued":{"date-parts":[["2023"]]},"page":"4057-4081","publisher":"Springer Netherlands","title":"Dietary and habitat specialization, eye size, clutch size, and aerial lifestyle predict avian fragmentation sensitivity in an Andean biodiversity hotpot","type":"article-journal","volume":"32"},"uris":["http://www.mendeley.com/documents/?uuid=99e28642-a5db-4fc1-9dc2-01d3e3f5e1ae"]}],"mendeley":{"formattedCitation":"(Jones et al. 2023)","manualFormatting":"Jones et al. 2023)","plainTextFormattedCitation":"(Jones et al. 2023)","previouslyFormattedCitation":"(Jones et al. 2023)"},"properties":{"noteIndex":0},"schema":"https://github.com/citation-style-language/schema/raw/master/csl-citation.json"}</w:instrText>
      </w:r>
      <w:r w:rsidR="006A2CA6" w:rsidRPr="00C273E2">
        <w:rPr>
          <w:sz w:val="22"/>
          <w:szCs w:val="22"/>
        </w:rPr>
        <w:fldChar w:fldCharType="separate"/>
      </w:r>
      <w:r w:rsidR="006A2CA6" w:rsidRPr="00C273E2">
        <w:rPr>
          <w:noProof/>
          <w:sz w:val="22"/>
          <w:szCs w:val="22"/>
        </w:rPr>
        <w:t>Jones et al. 2023)</w:t>
      </w:r>
      <w:r w:rsidR="006A2CA6" w:rsidRPr="00C273E2">
        <w:rPr>
          <w:sz w:val="22"/>
          <w:szCs w:val="22"/>
        </w:rPr>
        <w:fldChar w:fldCharType="end"/>
      </w:r>
      <w:r w:rsidRPr="00C273E2">
        <w:rPr>
          <w:sz w:val="22"/>
          <w:szCs w:val="22"/>
        </w:rPr>
        <w:t>.</w:t>
      </w:r>
      <w:r>
        <w:rPr>
          <w:sz w:val="22"/>
          <w:szCs w:val="22"/>
        </w:rPr>
        <w:t xml:space="preserve"> Indeed, larger HWI has been found to be more prevalent in areas with increased disturbance </w:t>
      </w:r>
      <w:r w:rsidR="006A2CA6">
        <w:rPr>
          <w:sz w:val="22"/>
          <w:szCs w:val="22"/>
        </w:rPr>
        <w:fldChar w:fldCharType="begin" w:fldLock="1"/>
      </w:r>
      <w:r w:rsidR="00EA17C4">
        <w:rPr>
          <w:sz w:val="22"/>
          <w:szCs w:val="22"/>
        </w:rPr>
        <w:instrText>ADDIN CSL_CITATION {"citationItems":[{"id":"ITEM-1","itemData":{"DOI":"10.1111/btp.13109","ISSN":"17447429","abstract":"The ability to move across the landscape is a fundamental property of species that can determine their chances of persistence in fragmented landscapes and in rapidly changing environments. Despite its importance, empirical evidence showing the effect of movement capacity on patterns of movement across fragmented landscapes is limited. In this study, we examine the role of flight efficiency on the likelihood of crossing a man-made habitat gap. We used data from the Biological Dynamics of Forest Fragments Projects on recaptures of banded birds in an Amazonian forest bisected by a road. For a total of 45 species, we estimated flight efficiency using the hand-wing index (a proxy for the wing's aspect ratio) and used it as a predictor of the probability of road crossing in phylogenetic binomial regression models. We found that flight efficiency was a strong predictor of road-crossing probability: species with high hand-wing indices crossed the road more frequently than those with low hand-wing indices. In contrast, other characteristics such as body mass, diet, flocking behavior, and foraging stratum did not show significant associations with road-crossing probability. Our results suggest that proxies of flight efficiency such as the hand-wing index can be powerful tools for predicting the vulnerability of bird species to forest fragmentation. Abstract in Spanish is available with online material.","author":[{"dropping-particle":"","family":"Claramunt","given":"Santiago","non-dropping-particle":"","parse-names":false,"suffix":""},{"dropping-particle":"","family":"Hong","given":"Milly","non-dropping-particle":"","parse-names":false,"suffix":""},{"dropping-particle":"","family":"Bravo","given":"Adriana","non-dropping-particle":"","parse-names":false,"suffix":""}],"container-title":"Biotropica","id":"ITEM-1","issue":"4","issued":{"date-parts":[["2022"]]},"page":"860-868","title":"The effect of flight efficiency on gap-crossing ability in Amazonian forest birds","type":"article-journal","volume":"54"},"uris":["http://www.mendeley.com/documents/?uuid=21e6bf9b-3c2d-4ac3-9469-2f5847389e50"]},{"id":"ITEM-2","itemData":{"DOI":"10.3389/fevo.2022.846975","ISSN":"2296701X","abstract":"Amazonian rivers represent known barriers for avian dispersal, reducing gene flow and enhancing differentiation. Despite the importance of rivers in the avian evolutionary process, we have made only minor advances in understanding the limitations imposed by rivers on flying birds. To fill that gap, we conducted dispersal-challenge experiments over water, assessing the flying capabilities of 84 tropical bird species of 22 different avian families. We mist-netted and released 484 birds from a stationary boat on the Rio Branco, northern Amazonia, at increasing distances from the shore, including 249 individuals at 100; 219 at 200; 8 at 300; and 5 at 400 m. A successful trial was represented by a bird reaching the riverbank, whereas a failure would refer to birds not reaching the shore and landing on the water, when they were rescued by our team. Our main goal was to understand if the outcome in the experiments could be predicted by (i) phylogenetic constraints, (ii) morphology (body mass and wing shape), (iii) flight speed, (iv) ecological preferences (stratum, habitat, and river-island specialization), and (v) psychological reluctance to fly. Nearly two thirds of the individuals (332) were successful in reaching the riverbank, whereas 152 failed. We found significant differences among lineages. Whereas seven avian families succeeded in all of the trials, two families (antbirds and wrens) were particularly bad dispersers (&lt;40% success). The hand-wing index (HWI) was the single most powerful predictor of trial success. Flying speed was also a significant predictor of success. Overall, ecological attributes had a low explanatory power. Only forest stratum preference had a significant, although weak, effect on dispersal ability: canopy- and ground-dwellers performed better than understory birds. However, we found no effect of habitat preference or river-island specialization on dispersal ability. Our speed estimates for 64 bird species are among the first produced for the tropics and suggest slower flying speeds than those reported from temperate migratory birds. Although birds showed behavioral differences when presented with the opportunity to fly away from the boat, we found no evidence that their reluctance to fly could predict the outcome in the experiments. This represents the first experimental study evaluating the riverine effect through dispersal ability of Amazonian birds, providing important insights to better understand dispersal limitations provi…","author":[{"dropping-particle":"","family":"Naka","given":"Luciano N.","non-dropping-particle":"","parse-names":false,"suffix":""},{"dropping-particle":"","family":"Costa","given":"Bruna M.da Silva","non-dropping-particle":"","parse-names":false,"suffix":""},{"dropping-particle":"","family":"Lima","given":"Gisiane Rodrigues","non-dropping-particle":"","parse-names":false,"suffix":""},{"dropping-particle":"","family":"Claramunt","given":"Santiago","non-dropping-particle":"","parse-names":false,"suffix":""}],"container-title":"Frontiers in Ecology and Evolution","id":"ITEM-2","issue":"July","issued":{"date-parts":[["2022"]]},"page":"1-14","title":"Riverine Barriers as Obstacles to Dispersal in Amazonian Birds","type":"article-journal","volume":"10"},"uris":["http://www.mendeley.com/documents/?uuid=7d0b1c12-a923-4ad1-adc8-e970509db578"]},{"id":"ITEM-3","itemData":{"DOI":"10.1038/s41559-023-02077-x","ISSN":"2397334X","abstract":"Species sensitivity to forest fragmentation varies latitudinally, peaking in the tropics. A prominent explanation for this pattern is that historical landscape disturbance at higher latitudes has removed fragmentation-sensitive species or promoted the evolution of more resilient survivors. However, it is unclear whether this so-called extinction filter is the dominant driver of geographic variation in fragmentation sensitivity, particularly because climatic factors may also cause latitudinal gradients in dispersal ability, a key trait mediating sensitivity to habitat fragmentation. Here we combine field survey data with a morphological proxy for avian dispersal ability (hand-wing index) to assess responses to forest fragmentation in 1,034 bird species worldwide. We find that fragmentation sensitivity is strongly predicted by dispersal limitation and that other factors—latitude, body mass and historical disturbance events—have relatively limited explanatory power after accounting for species differences in dispersal. We also show that variation in dispersal ability is only weakly predicted by historical disturbance and more strongly associated with intra-annual temperature fluctuations (seasonality). Our results suggest that climatic factors play a dominant role in driving global variation in the impacts of forest fragmentation, emphasizing the need for more nuanced environmental policies that take into account local context and associated species traits.","author":[{"dropping-particle":"","family":"Weeks","given":"Thomas L.","non-dropping-particle":"","parse-names":false,"suffix":""},{"dropping-particle":"","family":"Betts","given":"Matthew G.","non-dropping-particle":"","parse-names":false,"suffix":""},{"dropping-particle":"","family":"Pfeifer","given":"Marion","non-dropping-particle":"","parse-names":false,"suffix":""},{"dropping-particle":"","family":"Wolf","given":"Christopher","non-dropping-particle":"","parse-names":false,"suffix":""},{"dropping-particle":"","family":"Banks-Leite","given":"Cristina","non-dropping-particle":"","parse-names":false,"suffix":""},{"dropping-particle":"","family":"Barbaro","given":"Luc","non-dropping-particle":"","parse-names":false,"suffix":""},{"dropping-particle":"","family":"Barlow","given":"Jos","non-dropping-particle":"","parse-names":false,"suffix":""},{"dropping-particle":"","family":"Cerezo","given":"Alexis","non-dropping-particle":"","parse-names":false,"suffix":""},{"dropping-particle":"","family":"Kennedy","given":"Christina M.","non-dropping-particle":"","parse-names":false,"suffix":""},{"dropping-particle":"","family":"Kormann","given":"Urs G.","non-dropping-particle":"","parse-names":false,"suffix":""},{"dropping-particle":"","family":"Marsh","given":"Charles J.","non-dropping-particle":"","parse-names":false,"suffix":""},{"dropping-particle":"","family":"Olivier","given":"Pieter I.","non-dropping-particle":"","parse-names":false,"suffix":""},{"dropping-particle":"","family":"Phalan","given":"Benjamin T.","non-dropping-particle":"","parse-names":false,"suffix":""},{"dropping-particle":"","family":"Possingham","given":"Hugh P.","non-dropping-particle":"","parse-names":false,"suffix":""},{"dropping-particle":"","family":"Wood","given":"Eric M.","non-dropping-particle":"","parse-names":false,"suffix":""},{"dropping-particle":"","family":"Tobias","given":"Joseph A.","non-dropping-particle":"","parse-names":false,"suffix":""}],"container-title":"Nature Ecology and Evolution","id":"ITEM-3","issue":"July","issued":{"date-parts":[["2023"]]},"page":"1079–1091","publisher":"Springer US","title":"Climate-driven variation in dispersal ability predicts responses to forest fragmentation in birds","type":"article-journal","volume":"7"},"uris":["http://www.mendeley.com/documents/?uuid=ff3260ba-7049-44a4-8bf1-e537f7a2888b"]}],"mendeley":{"formattedCitation":"(Claramunt et al. 2022, Naka et al. 2022, Weeks et al. 2023)","plainTextFormattedCitation":"(Claramunt et al. 2022, Naka et al. 2022, Weeks et al. 2023)","previouslyFormattedCitation":"(Claramunt et al. 2022, Naka et al. 2022, Weeks et al. 2023)"},"properties":{"noteIndex":0},"schema":"https://github.com/citation-style-language/schema/raw/master/csl-citation.json"}</w:instrText>
      </w:r>
      <w:r w:rsidR="006A2CA6">
        <w:rPr>
          <w:sz w:val="22"/>
          <w:szCs w:val="22"/>
        </w:rPr>
        <w:fldChar w:fldCharType="separate"/>
      </w:r>
      <w:r w:rsidR="006A2CA6" w:rsidRPr="006A2CA6">
        <w:rPr>
          <w:noProof/>
          <w:sz w:val="22"/>
          <w:szCs w:val="22"/>
        </w:rPr>
        <w:t>(Claramunt et al. 2022, Naka et al. 2022, Weeks et al. 2023)</w:t>
      </w:r>
      <w:r w:rsidR="006A2CA6">
        <w:rPr>
          <w:sz w:val="22"/>
          <w:szCs w:val="22"/>
        </w:rPr>
        <w:fldChar w:fldCharType="end"/>
      </w:r>
      <w:r>
        <w:rPr>
          <w:sz w:val="22"/>
          <w:szCs w:val="22"/>
        </w:rPr>
        <w:t xml:space="preserve">. However, an alternative explanation for the increase in HWI could be an increase in the presence of migratory insectivorous species, which are known to increase along forest edges </w:t>
      </w:r>
      <w:r w:rsidR="006A2CA6">
        <w:rPr>
          <w:sz w:val="22"/>
          <w:szCs w:val="22"/>
        </w:rPr>
        <w:fldChar w:fldCharType="begin" w:fldLock="1"/>
      </w:r>
      <w:r w:rsidR="005908A4">
        <w:rPr>
          <w:sz w:val="22"/>
          <w:szCs w:val="22"/>
        </w:rPr>
        <w:instrText>ADDIN CSL_CITATION {"citationItems":[{"id":"ITEM-1","itemData":{"DOI":"10.1002/ece3.2273","ISSN":"20457758","abstract":"A major conservation challenge in mosaic landscapes is to understand how trait-specific responses to habitat edges affect bird communities, including potential cascading effects on bird functions providing ecosystem services to forests, such as pest control. Here, we examined how bird species richness, abundance and community composition varied from interior forest habitats and their edges into adjacent open habitats, within a multi-regional sampling scheme. We further analyzed variations in Conservation Value Index (CVI), Community Specialization Index (CSI) and functional traits across the forest-edge-open habitat gradient. Bird species richness, total abundance and CVI were significantly higher at forest edges while CSI peaked at interior open habitats, i.e., furthest from forest edge. In addition, there were important variations in trait- and species-specific responses to forest edges among bird communities. Positive responses to forest edges were found for several forest bird species with unfavorable conservation status. These species were in general insectivores, understorey gleaners, cavity nesters and long-distance migrants, all traits that displayed higher abundance at forest edges than in forest interiors or adjacent open habitats. Furthermore, consistently with predictions, negative edge effects were recorded in some forest specialist birds and in most open-habitat birds, showing increasing densities from edges to interior habitats. We thus suggest that increasing landscape-scale habitat complexity would be beneficial to declining species living in mosaic landscapes combining small woodlands and open habitats. Edge effects between forests and adjacent open habitats may also favor bird functional guilds providing valuable ecosystem services to forests in longstanding fragmented landscapes.","author":[{"dropping-particle":"","family":"Terraube","given":"Julien","non-dropping-particle":"","parse-names":false,"suffix":""},{"dropping-particle":"","family":"Archaux","given":"Frédéric","non-dropping-particle":"","parse-names":false,"suffix":""},{"dropping-particle":"","family":"Deconchat","given":"Marc","non-dropping-particle":"","parse-names":false,"suffix":""},{"dropping-particle":"","family":"Halder","given":"Inge","non-dropping-particle":"van","parse-names":false,"suffix":""},{"dropping-particle":"","family":"Jactel","given":"Hervé","non-dropping-particle":"","parse-names":false,"suffix":""},{"dropping-particle":"","family":"Barbaro","given":"Luc","non-dropping-particle":"","parse-names":false,"suffix":""}],"container-title":"Ecology and Evolution","id":"ITEM-1","issue":"15","issued":{"date-parts":[["2016"]]},"page":"5178-5189","title":"Forest edges have high conservation value for bird communities in mosaic landscapes","type":"article-journal","volume":"6"},"uris":["http://www.mendeley.com/documents/?uuid=c000bbfb-cde5-4cf7-9022-95f312462757"]}],"mendeley":{"formattedCitation":"(Terraube et al. 2016)","plainTextFormattedCitation":"(Terraube et al. 2016)","previouslyFormattedCitation":"(Terraube et al. 2016)"},"properties":{"noteIndex":0},"schema":"https://github.com/citation-style-language/schema/raw/master/csl-citation.json"}</w:instrText>
      </w:r>
      <w:r w:rsidR="006A2CA6">
        <w:rPr>
          <w:sz w:val="22"/>
          <w:szCs w:val="22"/>
        </w:rPr>
        <w:fldChar w:fldCharType="separate"/>
      </w:r>
      <w:r w:rsidR="006A2CA6" w:rsidRPr="006A2CA6">
        <w:rPr>
          <w:noProof/>
          <w:sz w:val="22"/>
          <w:szCs w:val="22"/>
        </w:rPr>
        <w:t>(Terraube et al. 2016)</w:t>
      </w:r>
      <w:r w:rsidR="006A2CA6">
        <w:rPr>
          <w:sz w:val="22"/>
          <w:szCs w:val="22"/>
        </w:rPr>
        <w:fldChar w:fldCharType="end"/>
      </w:r>
      <w:r>
        <w:rPr>
          <w:sz w:val="22"/>
          <w:szCs w:val="22"/>
        </w:rPr>
        <w:t>.</w:t>
      </w:r>
    </w:p>
    <w:p w14:paraId="0000005C" w14:textId="5DD07861" w:rsidR="006B16C2" w:rsidRDefault="00EB0728">
      <w:pPr>
        <w:spacing w:line="480" w:lineRule="auto"/>
        <w:ind w:firstLine="720"/>
        <w:rPr>
          <w:sz w:val="22"/>
          <w:szCs w:val="22"/>
        </w:rPr>
      </w:pPr>
      <w:r>
        <w:rPr>
          <w:sz w:val="22"/>
          <w:szCs w:val="22"/>
        </w:rPr>
        <w:t xml:space="preserve">Interestingly, 2D habitat configuration had largely the opposite effect on individual trait characteristics compared to 3D habitat configuration. Increases in 2D habitat heterogeneity led to assemblages comprised of proportionally more ground and understory foraging species, higher prevalence of granivore diets, aquatic-associated traits, and on average larger body mass. Granivores and ground foraging species are shown to be less sensitive to 2D habitat heterogeneity, with changes in resource availability between disturbed and non-disturbed habitats being a key driver of the observed differences in trait responses </w:t>
      </w:r>
      <w:r w:rsidR="005908A4">
        <w:rPr>
          <w:sz w:val="22"/>
          <w:szCs w:val="22"/>
        </w:rPr>
        <w:fldChar w:fldCharType="begin" w:fldLock="1"/>
      </w:r>
      <w:r w:rsidR="005908A4">
        <w:rPr>
          <w:sz w:val="22"/>
          <w:szCs w:val="22"/>
        </w:rPr>
        <w:instrText>ADDIN CSL_CITATION {"citationItems":[{"id":"ITEM-1","itemData":{"DOI":"10.1890/09-0904.1","ISSN":"00129615","abstract":"Land cover and land use surrounding fragmented habitat can greatly impact species persistence by altering resource availability, edge effects, or the movement of individuals throughout a landscape. Despite the potential importance of the landscape matrix, ecologists still have limited understanding of the relative effects of different types of land cover and land uses on species patterns and processes in natural systems. Here we investigated whether Neotropical resident bird communities in limestone forest patches differed if they were embedded in three different human-dominated matrix types (agriculture, peri-urban development, and bauxite mining) relative to sites in continuous forest in central Jamaica. We found that species richness, community composition, and abundances were matrix-dependent, with agricultural landscapes supporting greater avian diversity and more intact community assemblages than either peri-urban or bauxite landscapes. Abundance of almost 70% of species differed in forest embedded in the different landscape matrix types. Traits related to resource use best predicted species responses, including diet guild, nest height, habitat association, and foraging strata. Insectivores, frugivores, canopy nesters, understory and canopy foragers, and forest-restricted species rarely observed in matrix habitats had lower abundances in forest fragments embedded in human-dominated matrix types than in continuous forest. In contrast, nectarivores, omnivores, granivores, ground and multi-strata nesters, ground foragers, and species regularly in matrix habitats were least sensitive to forest fragmentation. Results suggest that structure, composition, and land use disturbance regimes in matrix areas impact overall habitat quality in landscapes by potentially mediating resource availability inside as well as outside forest habitat. This study reinforces the importance of differentiating among land cover and land uses in fragmentation research and lends support to the hypothesis that resource availability may be a primary factor driving Neotropical bird responses to fragmentation. © 2010 by the Ecological Society of America.","author":[{"dropping-particle":"","family":"Kennedy","given":"Christina M.","non-dropping-particle":"","parse-names":false,"suffix":""},{"dropping-particle":"","family":"Marra","given":"Peter P.","non-dropping-particle":"","parse-names":false,"suffix":""},{"dropping-particle":"","family":"Fagan","given":"William F.","non-dropping-particle":"","parse-names":false,"suffix":""},{"dropping-particle":"","family":"Neel","given":"Maile C.","non-dropping-particle":"","parse-names":false,"suffix":""}],"container-title":"Ecological Monographs","id":"ITEM-1","issue":"4","issued":{"date-parts":[["2010"]]},"page":"651-669","title":"Landscape matrix and species traits mediate responses of Neotropical resident birds to forest fragmentation in Jamaica","type":"article-journal","volume":"80"},"uris":["http://www.mendeley.com/documents/?uuid=7097507a-f524-4430-a45f-6b9da841488c"]}],"mendeley":{"formattedCitation":"(Kennedy et al. 2010)","plainTextFormattedCitation":"(Kennedy et al. 2010)","previouslyFormattedCitation":"(Kennedy et al. 2010)"},"properties":{"noteIndex":0},"schema":"https://github.com/citation-style-language/schema/raw/master/csl-citation.json"}</w:instrText>
      </w:r>
      <w:r w:rsidR="005908A4">
        <w:rPr>
          <w:sz w:val="22"/>
          <w:szCs w:val="22"/>
        </w:rPr>
        <w:fldChar w:fldCharType="separate"/>
      </w:r>
      <w:r w:rsidR="005908A4" w:rsidRPr="005908A4">
        <w:rPr>
          <w:noProof/>
          <w:sz w:val="22"/>
          <w:szCs w:val="22"/>
        </w:rPr>
        <w:t>(Kennedy et al. 2010)</w:t>
      </w:r>
      <w:r w:rsidR="005908A4">
        <w:rPr>
          <w:sz w:val="22"/>
          <w:szCs w:val="22"/>
        </w:rPr>
        <w:fldChar w:fldCharType="end"/>
      </w:r>
      <w:r>
        <w:rPr>
          <w:sz w:val="22"/>
          <w:szCs w:val="22"/>
        </w:rPr>
        <w:t xml:space="preserve">. Therefore, species foraging at higher strata and in dietary guilds </w:t>
      </w:r>
      <w:r>
        <w:rPr>
          <w:sz w:val="22"/>
          <w:szCs w:val="22"/>
        </w:rPr>
        <w:lastRenderedPageBreak/>
        <w:t xml:space="preserve">other than granivorous might be more sensitive to disturbance and less represented in areas of high 2D habitat heterogeneity. </w:t>
      </w:r>
    </w:p>
    <w:p w14:paraId="0000005D" w14:textId="3E814FAF" w:rsidR="006B16C2" w:rsidRDefault="00EB0728">
      <w:pPr>
        <w:spacing w:line="480" w:lineRule="auto"/>
        <w:ind w:firstLine="720"/>
        <w:rPr>
          <w:sz w:val="22"/>
          <w:szCs w:val="22"/>
        </w:rPr>
      </w:pPr>
      <w:r>
        <w:rPr>
          <w:sz w:val="22"/>
          <w:szCs w:val="22"/>
        </w:rPr>
        <w:t xml:space="preserve">The differing effects of 2D and 3D habitat configuration on bird assemblages might stem from the fact that 3D configuration captures gaps in vegetation at a particular height stratum that may still have vegetation above or below, whereas 2D configuration only captures gaps when there is no vegetation left at any of the vertical strata. Metrics of 2D configuration are thus much more likely to capture hard edges, an abrupt boundary between habitat types </w:t>
      </w:r>
      <w:r w:rsidR="005908A4">
        <w:rPr>
          <w:sz w:val="22"/>
          <w:szCs w:val="22"/>
        </w:rPr>
        <w:fldChar w:fldCharType="begin" w:fldLock="1"/>
      </w:r>
      <w:r w:rsidR="005908A4">
        <w:rPr>
          <w:sz w:val="22"/>
          <w:szCs w:val="22"/>
        </w:rPr>
        <w:instrText>ADDIN CSL_CITATION {"citationItems":[{"id":"ITEM-1","itemData":{"DOI":"10.1016/j.biocon.2007.08.011","ISSN":"00063207","abstract":"Habitat fragmentation can cause population declines greater than those expected from habitat loss alone. This can result from detrimental \"edge effects\", which occur when predation rates are higher at habitat edges relative to interiors. The marbled murrelet (Brachyramphus marmoratus) is a threatened seabird which nests in old-growth forests, a habitat that is being fragmented by ongoing harvest. There is little consensus on the magnitude of edge effects on marbled murrelets, or how they might vary by edge-type. We compared the fates of experimental murrelet nests at paired edge and interior locations at 52 sites in two regions of south-western British Columbia, Canada. Sites were chosen at \"hard\" edges (recent clearcuts), \"soft\" edges (regenerating forest), and natural edges (i.e., riparian areas). We used nest cameras to distinguish disturbances caused by known predators of real nests. Accounting for landscape-scale fragmentation, disturbances by avian predators were significantly more frequent at hard edges relative to interiors, but less frequent at soft edges. There were no edge effects at natural-edged sites. These results imply that detrimental edge effects adjacent to recent clearcuts may decline with time due to successional processes. Survey data suggest that this pattern was caused by Steller's jays (Cyanocitta stelleri), who were observed more often at hard edges than soft edges in one region. Where corvids are important predators, we recommend that managers maintain reserves that lessen the amount of hard edge per patch area. Harvest adjacent to reserves should proceed in stages to limit hard edge effects at any given time. © 2007 Elsevier Ltd. All rights reserved.","author":[{"dropping-particle":"","family":"Malt","given":"Joshua","non-dropping-particle":"","parse-names":false,"suffix":""},{"dropping-particle":"","family":"Lank","given":"David","non-dropping-particle":"","parse-names":false,"suffix":""}],"container-title":"Biological Conservation","id":"ITEM-1","issue":"1-2","issued":{"date-parts":[["2007","11"]]},"page":"160-173","title":"Temporal dynamics of edge effects on nest predation risk for the marbled murrelet","type":"article-journal","volume":"140"},"uris":["http://www.mendeley.com/documents/?uuid=f7014d6a-bb8d-39d7-b3cc-0c535598b0b8"]}],"mendeley":{"formattedCitation":"(Malt and Lank 2007)","plainTextFormattedCitation":"(Malt and Lank 2007)","previouslyFormattedCitation":"(Malt and Lank 2007)"},"properties":{"noteIndex":0},"schema":"https://github.com/citation-style-language/schema/raw/master/csl-citation.json"}</w:instrText>
      </w:r>
      <w:r w:rsidR="005908A4">
        <w:rPr>
          <w:sz w:val="22"/>
          <w:szCs w:val="22"/>
        </w:rPr>
        <w:fldChar w:fldCharType="separate"/>
      </w:r>
      <w:r w:rsidR="005908A4" w:rsidRPr="005908A4">
        <w:rPr>
          <w:noProof/>
          <w:sz w:val="22"/>
          <w:szCs w:val="22"/>
        </w:rPr>
        <w:t>(Malt and Lank 2007)</w:t>
      </w:r>
      <w:r w:rsidR="005908A4">
        <w:rPr>
          <w:sz w:val="22"/>
          <w:szCs w:val="22"/>
        </w:rPr>
        <w:fldChar w:fldCharType="end"/>
      </w:r>
      <w:r>
        <w:rPr>
          <w:sz w:val="22"/>
          <w:szCs w:val="22"/>
        </w:rPr>
        <w:t xml:space="preserve">, which often includes open habitats, such as grasslands, that favor lower foraging and granivore diets </w:t>
      </w:r>
      <w:r w:rsidR="005908A4">
        <w:rPr>
          <w:sz w:val="22"/>
          <w:szCs w:val="22"/>
        </w:rPr>
        <w:fldChar w:fldCharType="begin" w:fldLock="1"/>
      </w:r>
      <w:r w:rsidR="005908A4">
        <w:rPr>
          <w:sz w:val="22"/>
          <w:szCs w:val="22"/>
        </w:rPr>
        <w:instrText>ADDIN CSL_CITATION {"citationItems":[{"id":"ITEM-1","itemData":{"DOI":"10.1007/BF00346594","ISSN":"00298549","abstract":"We consider the dietary relationships of the numerically dominant breeding bird species in four North American grassland/shrubsteppe habitats, sampled over 2-3 consecutive years. Overall, the diets of these species contained primarily insects: orthopterans comprised 29% of the diet biomass, coleopterans 24%, and lepidopteran larvae 23%, while seeds contributed 15% of the average diet. These diets varied substantially, however, and we evaluated several aspects of this variation. Intersexual differences in diets within a species were few, despite the occurrence of significant sexual size dimorphism in several species. For many species, however, there were substantial shifts in dietary composition between years at a given location; overall, the average between-year similarity of species' dietary composition was 70%. Different species exhibited rather different diet patterns. Horned Larks were relatively omnivorous, had broad diet composition niches, and varied considerably in diets between different locations. Meadowlarks were also broad-niched and geographically variable in their diets, but were the most highly carnivorous of the species we considered. Dietary niche breadths of Grasshopper Sparrows were intermediate, but diet composition was rather stable, both between years and between locations. Chestnut-collared Longspurs exhibited narrow diet niches, but substantial annual variation: each year this species apparently exploited a different but limited set of prey types rather heavily. Larger avian predators generally consumed a broader array of functional groups of prey, but did not differ in the taxonomic variety of their diets from small birds. Variation in diet composition between individuals within local populations was considerable; in most species, an individual contained on the average 30-40% of the prey taxa represented in entire population smaples. Patterns of dietary overlap among species were quite inconsistent from year to year at most locations, although at the shrubsteppe site overlap among all species present was consistently quite high. Relatively few cooccurring species pairs exhibited low diet overlap. The degree of diet niche overlap was unrelated to body size differences of the birds, despite as much as six-fold differences in weight among some coexisting species. Relationships of the bird species on another dimension of the trophic niche, prey size, also differed substantially between sites and years. The ranking of co-occurring sp…","author":[{"dropping-particle":"","family":"Wiens","given":"John A.","non-dropping-particle":"","parse-names":false,"suffix":""},{"dropping-particle":"","family":"Rotenberry","given":"John T.","non-dropping-particle":"","parse-names":false,"suffix":""}],"container-title":"Oecologia","id":"ITEM-1","issue":"3","issued":{"date-parts":[["1979"]]},"page":"253-292","title":"Diet niche relationships among North American grassland and shrubsteppe birds","type":"article-journal","volume":"42"},"uris":["http://www.mendeley.com/documents/?uuid=60eba755-0db9-4143-b18d-85c3d24a51ca"]}],"mendeley":{"formattedCitation":"(Wiens and Rotenberry 1979)","plainTextFormattedCitation":"(Wiens and Rotenberry 1979)","previouslyFormattedCitation":"(Wiens and Rotenberry 1979)"},"properties":{"noteIndex":0},"schema":"https://github.com/citation-style-language/schema/raw/master/csl-citation.json"}</w:instrText>
      </w:r>
      <w:r w:rsidR="005908A4">
        <w:rPr>
          <w:sz w:val="22"/>
          <w:szCs w:val="22"/>
        </w:rPr>
        <w:fldChar w:fldCharType="separate"/>
      </w:r>
      <w:r w:rsidR="005908A4" w:rsidRPr="005908A4">
        <w:rPr>
          <w:noProof/>
          <w:sz w:val="22"/>
          <w:szCs w:val="22"/>
        </w:rPr>
        <w:t>(Wiens and Rotenberry 1979)</w:t>
      </w:r>
      <w:r w:rsidR="005908A4">
        <w:rPr>
          <w:sz w:val="22"/>
          <w:szCs w:val="22"/>
        </w:rPr>
        <w:fldChar w:fldCharType="end"/>
      </w:r>
      <w:r>
        <w:rPr>
          <w:sz w:val="22"/>
          <w:szCs w:val="22"/>
        </w:rPr>
        <w:t xml:space="preserve">. We suggest that measures of 2D configuration lack the capacity to capture internal structural heterogeneity in a manner comparable to measures of 3D habitat configuration. While 3D configuration more accurately measures the effects of habitat arrangement and the effects of open space at different height strata, 2D configuration inherently captures aspects of habitat mosaicism. </w:t>
      </w:r>
    </w:p>
    <w:p w14:paraId="0000005E" w14:textId="5DAB419C" w:rsidR="006B16C2" w:rsidRDefault="00EB0728">
      <w:pPr>
        <w:spacing w:line="480" w:lineRule="auto"/>
        <w:ind w:firstLine="720"/>
        <w:rPr>
          <w:sz w:val="22"/>
          <w:szCs w:val="22"/>
        </w:rPr>
      </w:pPr>
      <w:r>
        <w:rPr>
          <w:sz w:val="22"/>
          <w:szCs w:val="22"/>
        </w:rPr>
        <w:t xml:space="preserve">In contrast to previous studies </w:t>
      </w:r>
      <w:r w:rsidR="005908A4">
        <w:rPr>
          <w:sz w:val="22"/>
          <w:szCs w:val="22"/>
        </w:rPr>
        <w:fldChar w:fldCharType="begin" w:fldLock="1"/>
      </w:r>
      <w:r w:rsidR="00D95EB8">
        <w:rPr>
          <w:sz w:val="22"/>
          <w:szCs w:val="22"/>
        </w:rPr>
        <w:instrText xml:space="preserve">ADDIN CSL_CITATION {"citationItems":[{"id":"ITEM-1","itemData":{"DOI":"10.2307/1932254","abstract":"Suggested that Martin 1996 is wrong; that the Phylogenetic Species Concept of Cracraft will not result much chaos. There would be maybe 20,000 species rather than the current 9,000 recognized under the BSC. But most of these were recognized anyway, as subspecies, so it wouldn't result in an expansion of the size of bird guides","author":[{"dropping-particle":"","family":"MacArthur","given":"Robert H.","non-dropping-particle":"","parse-names":false,"suffix":""},{"dropping-particle":"","family":"MacArthur","given":"John W.","non-dropping-particle":"","parse-names":false,"suffix":""}],"container-title":"Ecology","id":"ITEM-1","issue":"3","issued":{"date-parts":[["1961"]]},"page":"594-598","title":"On Bird Species Diversity","type":"article-journal","volume":"42"},"uris":["http://www.mendeley.com/documents/?uuid=40c1b5f2-43b0-3eaa-83e9-f510d3bef8c1"]},{"id":"ITEM-2","itemData":{"DOI":"10.1371/journal.pone.0103236","ISSN":"19326203","PMID":"25101782","abstract":"Avian diversity is under increasing pressures. It is thus critical to understand the ecological variables that contribute to large scale spatial distribution of avian species diversity. Traditionally, studies have relied primarily on two-dimensional habitat structure to model broad scale species richness. Vegetation vertical structure is increasingly used at local scales. However, the spatial arrangement of vegetation height has never been taken into consideration. Our goal was to examine the efficacies of three-dimensional forest structure, particularly the spatial heterogeneity of vegetation height in improving avian richness models across forested ecoregions in the U.S. We developed novel habitat metrics to characterize the spatial arrangement of vegetation height using the National Biomass and Carbon Dataset for the year 2000 (NBCD). The height-structured metrics were compared with other habitat metrics for statistical association with richness of three forest breeding bird guilds across Breeding Bird Survey (BBS) routes: a broadly grouped woodland guild, and two forest breeding guilds with preferences for forest edge and for interior forest. Parametric and non-parametric models were built to examine the improvement of predictability. Height-structured metrics had the strongest associations with species richness, yielding improved predictive ability for the woodland guild richness models (r2 = </w:instrText>
      </w:r>
      <w:r w:rsidR="00D95EB8">
        <w:rPr>
          <w:rFonts w:ascii="Cambria Math" w:hAnsi="Cambria Math" w:cs="Cambria Math"/>
          <w:sz w:val="22"/>
          <w:szCs w:val="22"/>
        </w:rPr>
        <w:instrText>∼</w:instrText>
      </w:r>
      <w:r w:rsidR="00D95EB8">
        <w:rPr>
          <w:sz w:val="22"/>
          <w:szCs w:val="22"/>
        </w:rPr>
        <w:instrText xml:space="preserve">0.53 for the parametric models, 0.63 the non-parametric models) and the forest edge guild models (r 2 = </w:instrText>
      </w:r>
      <w:r w:rsidR="00D95EB8">
        <w:rPr>
          <w:rFonts w:ascii="Cambria Math" w:hAnsi="Cambria Math" w:cs="Cambria Math"/>
          <w:sz w:val="22"/>
          <w:szCs w:val="22"/>
        </w:rPr>
        <w:instrText>∼</w:instrText>
      </w:r>
      <w:r w:rsidR="00D95EB8">
        <w:rPr>
          <w:sz w:val="22"/>
          <w:szCs w:val="22"/>
        </w:rPr>
        <w:instrText>0.34 for the parametric models, 0.47 the non-parametric models). All but one of the linear models incorporating height-structured metrics showed significantly higher adjusted-r2 values than their counterparts without additional metrics. The interior forest guild richness showed a consistent low association with height-structured metrics. Our results suggest that height heterogeneity, beyond canopy height alone, supplements habitat characterization and richness models of forest bird species. The metrics and models derived in this study demonstrate practical examples of utilizing three-dimensional vegetation data for improved characterization of spatial patterns in species richness. © 2014 Huang et al.","author":[{"dropping-particle":"","family":"Huang","given":"Qiongyu","non-dropping-particle":"","parse-names":false,"suffix":""},{"dropping-particle":"","family":"Swatantran","given":"Anu","non-dropping-particle":"","parse-names":false,"suffix":""},{"dropping-particle":"","family":"Dubayah","given":"Ralph","non-dropping-particle":"","parse-names":false,"suffix":""},{"dropping-particle":"","family":"Goetz","given":"Scott J.","non-dropping-particle":"","parse-names":false,"suffix":""}],"container-title":"PLoS ONE","id":"ITEM-2","issue":"8","issued":{"date-parts":[["2014"]]},"page":"e103236","title":"The influence of vegetation height heterogeneity on forest and woodland bird species richness across the United States","type":"article-journal","volume":"9"},"uris":["http://www.mendeley.com/documents/?uuid=b05a80bb-f25e-4867-a11a-8a1c8b077ef7"]},{"id":"ITEM-3","itemData":{"DOI":"10.3390/rs11070743","ISSN":"20724292","abstract":"The structural heterogeneity of vegetation is a key factor for explaining animal diversitypatterns at a local scale. Improvements in airborne light detection and ranging (lidar) technologieshave enabled researchers to study forest 3D structure with increasing accuracy. Most structure-animaldiversity work has focused on structural metrics derived from lidar returns from canopy andterrain features. Here, we built new lidar structural metrics based on the Leaf Area Density (LAD)at each vegetation height layer, and used these metrics to study how different aspects of foreststructural heterogeneity explain variation in bird species richness. Our goals were to test: (1) whetherLAD-based metrics better explained bird species richness compared to metrics based on the topof the canopy; and (2) if different aspects of structural heterogeneity had diverse effects on birdrichness. We used discrete lidar data together with 61 breeding landbird points provided by theNational Ecological Observatory Network at five forest sites of the eastern US. We used the lidarmetrics as predictors of bird species richness and analyzed the shape of the response curves againsteach predictor. Metrics based on LAD measurements had better explanatory power (43% of varianceexplained) than those based on the variation of canopy heights (32% of variance explained). Dividingthe forest plots into smaller grids allowed us to study the within-plot horizontal variation of thevertical heterogeneity, as well as to analyze how the vegetation density is horizontally distributedat each height layer. Bird species richness increased with horizontal heterogeneity, while verticalheterogeneity had negative effects, contrary to previous research. The increasing capabilities of lidarwill allow researchers to characterize forest structure with higher detail. Our findings highlight theneed for structure-animal diversity studies to incorporate metrics that are able to capture differentaspects of forest 3D heterogeneity.","author":[{"dropping-particle":"","family":"Carrasco","given":"Luis","non-dropping-particle":"","parse-names":false,"suffix":""},{"dropping-particle":"","family":"Giam","given":"Xingli","non-dropping-particle":"","parse-names":false,"suffix":""},{"dropping-particle":"","family":"Papȩs","given":"Monica","non-dropping-particle":"","parse-names":false,"suffix":""},{"dropping-particle":"","family":"Sheldon","given":"Kimberly S.","non-dropping-particle":"","parse-names":false,"suffix":""}],"container-title":"Remote Sensing","id":"ITEM-3","issue":"7","issued":{"date-parts":[["2019","4","1"]]},"page":"743","publisher":"MDPI AG","title":"Metrics of lidar-derived 3D vegetation structure reveal contrasting effects of horizontal and vertical forest heterogeneity on bird species richness","type":"article-journal","volume":"11"},"uris":["http://www.mendeley.com/documents/?uuid=b6192533-7e0d-34bc-9853-dde877daf3b2"]},{"id":"ITEM-4","itemData":{"DOI":"10.1016/j.landurbplan.2021.104064","ISSN":"01692046","abstract":"Management of restored areas requires ecologically meaningful spatial data providing objective measures of restoration success. Understanding relationships between species diversity on the one hand and habitat heterogeneity and productivity on the other can help establish such measures and prioritize restoration management. We used airborne LiDAR and hyperspectral data to derive characteristics of vegetation structure, primary productivity and senescent vegetation (i.e. old dead vegetation) for prediction of richness and rarity of bird communities colonizing newly available habitats restored after coal mining. In addition, we analysed, which type of restoration (i.e. agricultural, forest, or spontaneous succession) results in more favourable conditions. The boosted regression trees explained 52% and 12% of deviance of overall species richness and rarity, respectively. We found that the overall species richness was strongly affected by the variance in vegetation structure, while the rarity was also affected by the presence of senescent vegetation. The relative importance of variables differed between the richness and rarity. The shrub cover had a strong positive effect on both, while the tree cover had a strong positive effect on species richness. The herbaceous cover and presence of senescent vegetation had positive effects on species rarity. This study, therefore, supports the necessity to create a mosaic of habitats with heterogeneous vertical structure including all layers of vegetation and highlights the importance of senescent vegetation. Combination of forests restoration with sites left to spontaneous succession appears to be the best strategy to increase both bird species richness and rarity in newly restored sites after coal mining.","author":[{"dropping-particle":"","family":"Moudrý","given":"Vítězslav","non-dropping-particle":"","parse-names":false,"suffix":""},{"dropping-particle":"","family":"Moudrá","given":"Lucie","non-dropping-particle":"","parse-names":false,"suffix":""},{"dropping-particle":"","family":"Barták","given":"Vojtěch","non-dropping-particle":"","parse-names":false,"suffix":""},{"dropping-particle":"","family":"Bejček","given":"Vladimír","non-dropping-particle":"","parse-names":false,"suffix":""},{"dropping-particle":"","family":"Gdulová","given":"Kateřina","non-dropping-particle":"","parse-names":false,"suffix":""},{"dropping-particle":"","family":"Hendrychová","given":"Markéta","non-dropping-particle":"","parse-names":false,"suffix":""},{"dropping-particle":"","family":"Moravec","given":"David","non-dropping-particle":"","parse-names":false,"suffix":""},{"dropping-particle":"","family":"Musil","given":"Petr","non-dropping-particle":"","parse-names":false,"suffix":""},{"dropping-particle":"","family":"Rocchini","given":"Duccio","non-dropping-particle":"","parse-names":false,"suffix":""},{"dropping-particle":"","family":"Šťastný","given":"Karel","non-dropping-particle":"","parse-names":false,"suffix":""},{"dropping-particle":"","family":"Volf","given":"Ondřej","non-dropping-particle":"","parse-names":false,"suffix":""},{"dropping-particle":"","family":"Šálek","given":"Miroslav","non-dropping-particle":"","parse-names":false,"suffix":""}],"container-title":"Landscape and Urban Planning","id":"ITEM-4","issue":"June 2020","issued":{"date-parts":[["2021"]]},"page":"104064","title":"The role of the vegetation structure, primary productivity and senescence derived from airborne LiDAR and hyperspectral data for birds diversity and rarity on a restored site","type":"article-journal","volume":"210"},"uris":["http://www.mendeley.com/documents/?uuid=88efa053-4056-487c-a39f-74031e47ca1a"]},{"id":"ITEM-5","itemData":{"DOI":"10.1111/ddi.13644","ISSN":"14724642","abstract":"Ecosystem structure, especially vertical vegetation structure, is one of the six essential biodiversity variable classes and is an important aspect of habitat heterogeneity, affecting species distributions and diversity by providing shelter, foraging, and nesting sites. Point clouds from airborne laser scanning (ALS) can be used to derive such detailed information on vegetation structure. However, public agencies usually only provide digital elevation models, which do not provide information on vertical vegetation structure. Calculating vertical structure variables from ALS point clouds requires extensive data processing and remote sensing skills that most ecologists do not have. However, such information on vegetation structure is extremely valuable for many analyses of habitat use and species distribution. We here propose 10 variables that should be easily accessible to researchers and stakeholders through national data portals. In addition, we argue for a consistent selection of variables and their systematic testing, which would allow for continuous improvement of such a list to keep it up-to-date with the latest evidence. This initiative is particularly needed not only to advance ecological and biodiversity research by providing valuable open datasets but also to guide potential users in the face of increasing availability of global vegetation structure products.","author":[{"dropping-particle":"","family":"Moudrý","given":"Vítězslav","non-dropping-particle":"","parse-names":false,"suffix":""},{"dropping-particle":"","family":"Cord","given":"Anna F.","non-dropping-particle":"","parse-names":false,"suffix":""},{"dropping-particle":"","family":"Gábor","given":"Lukáš","non-dropping-particle":"","parse-names":false,"suffix":""},{"dropping-particle":"","family":"Laurin","given":"Gaia Vaglio","non-dropping-particle":"","parse-names":false,"suffix":""},{"dropping-particle":"","family":"Barták","given":"Vojtěch","non-dropping-particle":"","parse-names":false,"suffix":""},{"dropping-particle":"","family":"Gdulová","given":"Kateřina","non-dropping-particle":"","parse-names":false,"suffix":""},{"dropping-particle":"","family":"Malavasi","given":"Marco","non-dropping-particle":"","parse-names":false,"suffix":""},{"dropping-particle":"","family":"Rocchini","given":"Duccio","non-dropping-particle":"","parse-names":false,"suffix":""},{"dropping-particle":"","family":"Stereńczak","given":"Krzysztof","non-dropping-particle":"","parse-names":false,"suffix":""},{"dropping-particle":"","family":"Prošek","given":"Jiří","non-dropping-particle":"","parse-names":false,"suffix":""},{"dropping-particle":"","family":"Klápště","given":"Petr","non-dropping-particle":"","parse-names":false,"suffix":""},{"dropping-particle":"","family":"Wild","given":"Jan","non-dropping-particle":"","parse-names":false,"suffix":""}],"container-title":"Diversity and Distributions","id":"ITEM-5","issue":"1","issued":{"date-parts":[["2023"]]},"page":"39-50","title":"Vegetation structure derived from airborne laser scanning to assess species distribution and habitat suitability: The way forward","type":"article-journal","volume":"29"},"uris":["http://www.mendeley.com/documents/?uuid=4b3c6bc5-ebbc-4bb7-b4b5-0949d440a3b0"]}],"mendeley":{"formattedCitation":"(MacArthur and MacArthur 1961, Huang et al. 2014, Carrasco et al. 2019, Moudrý et al. 2021, 2023)","plainTextFormattedCitation":"(MacArthur and MacArthur 1961, Huang et al. 2014, Carrasco et al. 2019, Moudrý et al. 2021, 2023)","previouslyFormattedCitation":"(MacArthur and MacArthur 1961, Huang et al. 2014, Carrasco et al. 2019, Moudrý et al. 2021, 2023)"},"properties":{"noteIndex":0},"schema":"https://github.com/citation-style-language/schema/raw/master/csl-citation.json"}</w:instrText>
      </w:r>
      <w:r w:rsidR="005908A4">
        <w:rPr>
          <w:sz w:val="22"/>
          <w:szCs w:val="22"/>
        </w:rPr>
        <w:fldChar w:fldCharType="separate"/>
      </w:r>
      <w:r w:rsidR="005908A4" w:rsidRPr="005908A4">
        <w:rPr>
          <w:noProof/>
          <w:sz w:val="22"/>
          <w:szCs w:val="22"/>
        </w:rPr>
        <w:t>(MacArthur and MacArthur 1961, Huang et al. 2014, Carrasco et al. 2019, Moudrý et al. 2021, 2023)</w:t>
      </w:r>
      <w:r w:rsidR="005908A4">
        <w:rPr>
          <w:sz w:val="22"/>
          <w:szCs w:val="22"/>
        </w:rPr>
        <w:fldChar w:fldCharType="end"/>
      </w:r>
      <w:r>
        <w:rPr>
          <w:color w:val="000000"/>
          <w:sz w:val="22"/>
          <w:szCs w:val="22"/>
        </w:rPr>
        <w:t xml:space="preserve">, we did not find any associations between avian diversity and </w:t>
      </w:r>
      <w:r>
        <w:rPr>
          <w:sz w:val="22"/>
          <w:szCs w:val="22"/>
        </w:rPr>
        <w:t>habitat configuration along the entire vertical profile. Our chosen metric, variance of the number of voxels across the vegetation profile, was largely independent of 3D habitat composition and demonstrated no discernible relationships with avian diversity. Our finding suggests that vertical configuration might not be important for birds when measured independent of habitat amount, perhaps because most bird movement is not entirely vertical, instead occurring both horizontally and vertically.</w:t>
      </w:r>
    </w:p>
    <w:p w14:paraId="0000005F" w14:textId="66D92D44" w:rsidR="006B16C2" w:rsidRDefault="00EB0728">
      <w:pPr>
        <w:spacing w:line="480" w:lineRule="auto"/>
        <w:ind w:firstLine="720"/>
        <w:rPr>
          <w:sz w:val="22"/>
          <w:szCs w:val="22"/>
        </w:rPr>
      </w:pPr>
      <w:r>
        <w:rPr>
          <w:sz w:val="22"/>
          <w:szCs w:val="22"/>
          <w:u w:val="single"/>
        </w:rPr>
        <w:t>Conclusions</w:t>
      </w:r>
      <w:r>
        <w:rPr>
          <w:sz w:val="22"/>
          <w:szCs w:val="22"/>
        </w:rPr>
        <w:t xml:space="preserve">: Among various facets of avian diversity, functional and trait diversity are most reliably influenced by 3D habitat structure, implying that the relationship between avian diversity and vegetation structure is mediated through species traits. Total 3D habitat amount emerged as the most reliable predictor of functional and trait-based diversity, suggesting that 3D habitat composition plays an outsized role in shaping avian community diversity, likely through an increase in niche space. Importantly, both habitat composition and habitat configuration had negative, positive, and neutral effects on avian diversity across different height strata and between 2D and 3D measures of habitat </w:t>
      </w:r>
      <w:r>
        <w:rPr>
          <w:sz w:val="22"/>
          <w:szCs w:val="22"/>
        </w:rPr>
        <w:lastRenderedPageBreak/>
        <w:t>configuration. These mixed findings reveal that: 1) different processes can operate along different height strata, and 2) the findings of studies on habitat structure are sensitive to how structural indices are defined. By carefully considering relationships between multi-faceted avian diversity and both compositional and configurational 3D habitat structure, our work provides a framework for addressing the inconsistencies that have historically troubled studies on the interplay between biodiversity and vegetation structure.</w:t>
      </w:r>
    </w:p>
    <w:p w14:paraId="34AA67E4" w14:textId="18A46778" w:rsidR="002C16FD" w:rsidRDefault="002C16FD" w:rsidP="002C16FD">
      <w:pPr>
        <w:spacing w:line="480" w:lineRule="auto"/>
        <w:rPr>
          <w:sz w:val="22"/>
          <w:szCs w:val="22"/>
        </w:rPr>
      </w:pPr>
    </w:p>
    <w:p w14:paraId="319ACE5A" w14:textId="77777777" w:rsidR="002C16FD" w:rsidRPr="002C16FD" w:rsidRDefault="002C16FD" w:rsidP="002C16FD">
      <w:pPr>
        <w:spacing w:line="480" w:lineRule="auto"/>
        <w:rPr>
          <w:sz w:val="22"/>
          <w:szCs w:val="22"/>
        </w:rPr>
      </w:pPr>
      <w:r w:rsidRPr="002C16FD">
        <w:rPr>
          <w:b/>
          <w:bCs/>
          <w:sz w:val="22"/>
          <w:szCs w:val="22"/>
        </w:rPr>
        <w:t>Author Contributions</w:t>
      </w:r>
      <w:r w:rsidRPr="002C16FD">
        <w:rPr>
          <w:sz w:val="22"/>
          <w:szCs w:val="22"/>
        </w:rPr>
        <w:t>:</w:t>
      </w:r>
    </w:p>
    <w:p w14:paraId="76222634" w14:textId="15731319" w:rsidR="002C16FD" w:rsidRDefault="002C16FD" w:rsidP="002C16FD">
      <w:pPr>
        <w:spacing w:line="480" w:lineRule="auto"/>
        <w:rPr>
          <w:sz w:val="22"/>
          <w:szCs w:val="22"/>
        </w:rPr>
      </w:pPr>
      <w:r w:rsidRPr="002C16FD">
        <w:rPr>
          <w:b/>
          <w:bCs/>
          <w:sz w:val="22"/>
          <w:szCs w:val="22"/>
        </w:rPr>
        <w:t>Colin P. Sweeney</w:t>
      </w:r>
      <w:r w:rsidRPr="002C16FD">
        <w:rPr>
          <w:sz w:val="22"/>
          <w:szCs w:val="22"/>
        </w:rPr>
        <w:t>: Conceptualization (equal); Data curation (lead); Software (lead); Formal analysis (lead); Investigation (lead); Methodology (equal); Visualization (lead); Writing – original draft (lead); Writing – review and editing (lead).</w:t>
      </w:r>
      <w:r>
        <w:rPr>
          <w:sz w:val="22"/>
          <w:szCs w:val="22"/>
        </w:rPr>
        <w:t xml:space="preserve"> </w:t>
      </w:r>
      <w:r w:rsidRPr="002C16FD">
        <w:rPr>
          <w:b/>
          <w:bCs/>
          <w:sz w:val="22"/>
          <w:szCs w:val="22"/>
        </w:rPr>
        <w:t>William Peterman</w:t>
      </w:r>
      <w:r w:rsidRPr="002C16FD">
        <w:rPr>
          <w:sz w:val="22"/>
          <w:szCs w:val="22"/>
        </w:rPr>
        <w:t>: Conceptualization (supporting); Software (supporting); Methodology (supporting); Writing – review and editing (supporting).</w:t>
      </w:r>
      <w:r>
        <w:rPr>
          <w:sz w:val="22"/>
          <w:szCs w:val="22"/>
        </w:rPr>
        <w:t xml:space="preserve"> </w:t>
      </w:r>
      <w:proofErr w:type="spellStart"/>
      <w:r w:rsidRPr="002C16FD">
        <w:rPr>
          <w:b/>
          <w:bCs/>
          <w:sz w:val="22"/>
          <w:szCs w:val="22"/>
        </w:rPr>
        <w:t>Kaiguang</w:t>
      </w:r>
      <w:proofErr w:type="spellEnd"/>
      <w:r w:rsidRPr="002C16FD">
        <w:rPr>
          <w:b/>
          <w:bCs/>
          <w:sz w:val="22"/>
          <w:szCs w:val="22"/>
        </w:rPr>
        <w:t xml:space="preserve"> Zhao</w:t>
      </w:r>
      <w:r w:rsidRPr="002C16FD">
        <w:rPr>
          <w:sz w:val="22"/>
          <w:szCs w:val="22"/>
        </w:rPr>
        <w:t>: Conceptualization (supporting); Software (supporting); Methodology (supporting); Writing – review and editing (supporting).</w:t>
      </w:r>
      <w:r>
        <w:rPr>
          <w:sz w:val="22"/>
          <w:szCs w:val="22"/>
        </w:rPr>
        <w:t xml:space="preserve"> </w:t>
      </w:r>
      <w:r w:rsidRPr="002C16FD">
        <w:rPr>
          <w:b/>
          <w:bCs/>
          <w:sz w:val="22"/>
          <w:szCs w:val="22"/>
        </w:rPr>
        <w:t>Karen Goodell</w:t>
      </w:r>
      <w:r w:rsidRPr="002C16FD">
        <w:rPr>
          <w:sz w:val="22"/>
          <w:szCs w:val="22"/>
        </w:rPr>
        <w:t>: Conceptualization (supporting); Methodology (supporting); Writing – review and editing (supporting).</w:t>
      </w:r>
      <w:r>
        <w:rPr>
          <w:sz w:val="22"/>
          <w:szCs w:val="22"/>
        </w:rPr>
        <w:t xml:space="preserve"> </w:t>
      </w:r>
      <w:r w:rsidRPr="002C16FD">
        <w:rPr>
          <w:b/>
          <w:bCs/>
          <w:sz w:val="22"/>
          <w:szCs w:val="22"/>
        </w:rPr>
        <w:t>Benjamin Zuckerberg</w:t>
      </w:r>
      <w:r w:rsidRPr="002C16FD">
        <w:rPr>
          <w:sz w:val="22"/>
          <w:szCs w:val="22"/>
        </w:rPr>
        <w:t>: Writing – review and editing (supporting).</w:t>
      </w:r>
      <w:r>
        <w:rPr>
          <w:sz w:val="22"/>
          <w:szCs w:val="22"/>
        </w:rPr>
        <w:t xml:space="preserve"> </w:t>
      </w:r>
      <w:r w:rsidRPr="002C16FD">
        <w:rPr>
          <w:b/>
          <w:bCs/>
          <w:sz w:val="22"/>
          <w:szCs w:val="22"/>
        </w:rPr>
        <w:t xml:space="preserve">Marta A. </w:t>
      </w:r>
      <w:proofErr w:type="spellStart"/>
      <w:r w:rsidRPr="002C16FD">
        <w:rPr>
          <w:b/>
          <w:bCs/>
          <w:sz w:val="22"/>
          <w:szCs w:val="22"/>
        </w:rPr>
        <w:t>Jarzyna</w:t>
      </w:r>
      <w:proofErr w:type="spellEnd"/>
      <w:r w:rsidRPr="002C16FD">
        <w:rPr>
          <w:sz w:val="22"/>
          <w:szCs w:val="22"/>
        </w:rPr>
        <w:t>: Conceptualization (equal); Data curation (supporting); Software (supporting); Formal analysis (supporting); Investigation (supporting); Methodology (equal); Project administration (lead); Resources (lead); Supervision (lead); Validation (supporting); Writing – original draft (supporting); Writing – review and editing (supporting).</w:t>
      </w:r>
    </w:p>
    <w:p w14:paraId="6920453B" w14:textId="77777777" w:rsidR="00A43F3C" w:rsidRPr="00A43F3C" w:rsidRDefault="00A43F3C" w:rsidP="00A43F3C">
      <w:pPr>
        <w:spacing w:line="480" w:lineRule="auto"/>
        <w:rPr>
          <w:sz w:val="22"/>
          <w:szCs w:val="22"/>
        </w:rPr>
      </w:pPr>
    </w:p>
    <w:p w14:paraId="160CCA11" w14:textId="77777777" w:rsidR="00A43F3C" w:rsidRPr="00A43F3C" w:rsidRDefault="00A43F3C" w:rsidP="00A43F3C">
      <w:pPr>
        <w:spacing w:line="480" w:lineRule="auto"/>
        <w:rPr>
          <w:sz w:val="22"/>
          <w:szCs w:val="22"/>
        </w:rPr>
      </w:pPr>
      <w:r w:rsidRPr="00A43F3C">
        <w:rPr>
          <w:b/>
          <w:bCs/>
          <w:sz w:val="22"/>
          <w:szCs w:val="22"/>
        </w:rPr>
        <w:t>Acknowledgements</w:t>
      </w:r>
      <w:r w:rsidRPr="00A43F3C">
        <w:rPr>
          <w:sz w:val="22"/>
          <w:szCs w:val="22"/>
        </w:rPr>
        <w:t>:</w:t>
      </w:r>
    </w:p>
    <w:p w14:paraId="5CABC717" w14:textId="30A718D5" w:rsidR="00A43F3C" w:rsidRPr="00A43F3C" w:rsidRDefault="00A43F3C" w:rsidP="00A43F3C">
      <w:pPr>
        <w:spacing w:line="480" w:lineRule="auto"/>
        <w:rPr>
          <w:sz w:val="22"/>
          <w:szCs w:val="22"/>
        </w:rPr>
      </w:pPr>
      <w:r w:rsidRPr="00A43F3C">
        <w:rPr>
          <w:sz w:val="22"/>
          <w:szCs w:val="22"/>
        </w:rPr>
        <w:t xml:space="preserve">We thank Michael </w:t>
      </w:r>
      <w:proofErr w:type="spellStart"/>
      <w:r w:rsidRPr="00A43F3C">
        <w:rPr>
          <w:sz w:val="22"/>
          <w:szCs w:val="22"/>
        </w:rPr>
        <w:t>Broe</w:t>
      </w:r>
      <w:proofErr w:type="spellEnd"/>
      <w:r w:rsidRPr="00A43F3C">
        <w:rPr>
          <w:sz w:val="22"/>
          <w:szCs w:val="22"/>
        </w:rPr>
        <w:t xml:space="preserve">, Corey Ash, Juan Pablo </w:t>
      </w:r>
      <w:proofErr w:type="spellStart"/>
      <w:r w:rsidRPr="00A43F3C">
        <w:rPr>
          <w:sz w:val="22"/>
          <w:szCs w:val="22"/>
        </w:rPr>
        <w:t>Quimbayo</w:t>
      </w:r>
      <w:proofErr w:type="spellEnd"/>
      <w:r w:rsidRPr="00A43F3C">
        <w:rPr>
          <w:sz w:val="22"/>
          <w:szCs w:val="22"/>
        </w:rPr>
        <w:t xml:space="preserve">, Brooks Kohli, and Collin </w:t>
      </w:r>
      <w:proofErr w:type="spellStart"/>
      <w:r w:rsidRPr="00A43F3C">
        <w:rPr>
          <w:sz w:val="22"/>
          <w:szCs w:val="22"/>
        </w:rPr>
        <w:t>VanBuren</w:t>
      </w:r>
      <w:proofErr w:type="spellEnd"/>
      <w:r w:rsidRPr="00A43F3C">
        <w:rPr>
          <w:sz w:val="22"/>
          <w:szCs w:val="22"/>
        </w:rPr>
        <w:t xml:space="preserve"> for various computational, logistical, and general assistance throughout this project.</w:t>
      </w:r>
      <w:r>
        <w:rPr>
          <w:sz w:val="22"/>
          <w:szCs w:val="22"/>
        </w:rPr>
        <w:t xml:space="preserve"> </w:t>
      </w:r>
      <w:r w:rsidRPr="00A43F3C">
        <w:rPr>
          <w:sz w:val="22"/>
          <w:szCs w:val="22"/>
        </w:rPr>
        <w:t>This work was supported by the US National Science Foundation awards DEB-2307188 to MAJ and KZ and DEB-2307189 to BZ.</w:t>
      </w:r>
    </w:p>
    <w:p w14:paraId="4E410366" w14:textId="67DDDCAE" w:rsidR="00A43F3C" w:rsidRDefault="00A43F3C" w:rsidP="00A43F3C">
      <w:pPr>
        <w:spacing w:line="480" w:lineRule="auto"/>
        <w:rPr>
          <w:sz w:val="22"/>
          <w:szCs w:val="22"/>
        </w:rPr>
      </w:pPr>
    </w:p>
    <w:p w14:paraId="4816E5CE" w14:textId="5EEF4285" w:rsidR="00A43F3C" w:rsidRPr="00A43F3C" w:rsidRDefault="00A43F3C" w:rsidP="00A43F3C">
      <w:pPr>
        <w:spacing w:line="480" w:lineRule="auto"/>
        <w:rPr>
          <w:sz w:val="22"/>
          <w:szCs w:val="22"/>
        </w:rPr>
      </w:pPr>
      <w:r w:rsidRPr="00A43F3C">
        <w:rPr>
          <w:b/>
          <w:bCs/>
          <w:sz w:val="22"/>
          <w:szCs w:val="22"/>
        </w:rPr>
        <w:t>Data Availability Statement</w:t>
      </w:r>
      <w:r w:rsidRPr="00A43F3C">
        <w:rPr>
          <w:sz w:val="22"/>
          <w:szCs w:val="22"/>
        </w:rPr>
        <w:t>:</w:t>
      </w:r>
    </w:p>
    <w:p w14:paraId="4567DC92" w14:textId="787610C0" w:rsidR="00A43F3C" w:rsidRDefault="00A43F3C" w:rsidP="00A43F3C">
      <w:pPr>
        <w:spacing w:line="480" w:lineRule="auto"/>
        <w:rPr>
          <w:sz w:val="22"/>
          <w:szCs w:val="22"/>
        </w:rPr>
      </w:pPr>
      <w:r w:rsidRPr="00A43F3C">
        <w:rPr>
          <w:sz w:val="22"/>
          <w:szCs w:val="22"/>
        </w:rPr>
        <w:lastRenderedPageBreak/>
        <w:t xml:space="preserve">All derived data used to create this publication have been made publicly available on </w:t>
      </w:r>
      <w:hyperlink r:id="rId10" w:history="1">
        <w:r w:rsidRPr="00065985">
          <w:rPr>
            <w:rStyle w:val="Hyperlink"/>
            <w:sz w:val="22"/>
            <w:szCs w:val="22"/>
          </w:rPr>
          <w:t>https://doi.org/10.5061/dryad.t76hdr87q</w:t>
        </w:r>
      </w:hyperlink>
      <w:r>
        <w:rPr>
          <w:sz w:val="22"/>
          <w:szCs w:val="22"/>
        </w:rPr>
        <w:t xml:space="preserve"> </w:t>
      </w:r>
      <w:r w:rsidRPr="00A43F3C">
        <w:rPr>
          <w:sz w:val="22"/>
          <w:szCs w:val="22"/>
        </w:rPr>
        <w:t xml:space="preserve">with links to all other public data repositories already in use. Annotated code used in these analyses is also available on GitHub at the following link </w:t>
      </w:r>
      <w:hyperlink r:id="rId11" w:history="1">
        <w:r w:rsidRPr="00065985">
          <w:rPr>
            <w:rStyle w:val="Hyperlink"/>
            <w:sz w:val="22"/>
            <w:szCs w:val="22"/>
          </w:rPr>
          <w:t>https://github.com/ColinPSweeney/3D-habitat-structure-drives-avian-functional-and-trait-diversity-across-North-America.git</w:t>
        </w:r>
      </w:hyperlink>
      <w:r>
        <w:rPr>
          <w:sz w:val="22"/>
          <w:szCs w:val="22"/>
        </w:rPr>
        <w:t xml:space="preserve"> </w:t>
      </w:r>
    </w:p>
    <w:p w14:paraId="192518D3" w14:textId="2AD59517" w:rsidR="00A43F3C" w:rsidRDefault="00A43F3C" w:rsidP="00A43F3C">
      <w:pPr>
        <w:spacing w:line="480" w:lineRule="auto"/>
        <w:rPr>
          <w:sz w:val="22"/>
          <w:szCs w:val="22"/>
        </w:rPr>
      </w:pPr>
    </w:p>
    <w:p w14:paraId="4A2BA8D9" w14:textId="53C9E668" w:rsidR="002C16FD" w:rsidRPr="002C16FD" w:rsidRDefault="002C16FD" w:rsidP="002C16FD">
      <w:pPr>
        <w:spacing w:line="480" w:lineRule="auto"/>
        <w:rPr>
          <w:sz w:val="22"/>
          <w:szCs w:val="22"/>
        </w:rPr>
      </w:pPr>
      <w:r w:rsidRPr="002C16FD">
        <w:rPr>
          <w:b/>
          <w:bCs/>
          <w:sz w:val="22"/>
          <w:szCs w:val="22"/>
        </w:rPr>
        <w:t xml:space="preserve">Conflict of </w:t>
      </w:r>
      <w:r>
        <w:rPr>
          <w:b/>
          <w:bCs/>
          <w:sz w:val="22"/>
          <w:szCs w:val="22"/>
        </w:rPr>
        <w:t>I</w:t>
      </w:r>
      <w:r w:rsidRPr="002C16FD">
        <w:rPr>
          <w:b/>
          <w:bCs/>
          <w:sz w:val="22"/>
          <w:szCs w:val="22"/>
        </w:rPr>
        <w:t xml:space="preserve">nterest </w:t>
      </w:r>
      <w:r>
        <w:rPr>
          <w:b/>
          <w:bCs/>
          <w:sz w:val="22"/>
          <w:szCs w:val="22"/>
        </w:rPr>
        <w:t>S</w:t>
      </w:r>
      <w:r w:rsidRPr="002C16FD">
        <w:rPr>
          <w:b/>
          <w:bCs/>
          <w:sz w:val="22"/>
          <w:szCs w:val="22"/>
        </w:rPr>
        <w:t>tatement</w:t>
      </w:r>
      <w:r w:rsidRPr="002C16FD">
        <w:rPr>
          <w:sz w:val="22"/>
          <w:szCs w:val="22"/>
        </w:rPr>
        <w:t>:</w:t>
      </w:r>
    </w:p>
    <w:p w14:paraId="5EC56FE4" w14:textId="3E36A13B" w:rsidR="002C16FD" w:rsidRDefault="002C16FD" w:rsidP="002C16FD">
      <w:pPr>
        <w:spacing w:line="480" w:lineRule="auto"/>
        <w:rPr>
          <w:sz w:val="22"/>
          <w:szCs w:val="22"/>
        </w:rPr>
      </w:pPr>
      <w:r>
        <w:rPr>
          <w:sz w:val="22"/>
          <w:szCs w:val="22"/>
        </w:rPr>
        <w:t>The authors declare n</w:t>
      </w:r>
      <w:r w:rsidRPr="002C16FD">
        <w:rPr>
          <w:sz w:val="22"/>
          <w:szCs w:val="22"/>
        </w:rPr>
        <w:t>o conflicts of interest.</w:t>
      </w:r>
    </w:p>
    <w:p w14:paraId="12901E79" w14:textId="77777777" w:rsidR="002C16FD" w:rsidRDefault="002C16FD" w:rsidP="00A43F3C">
      <w:pPr>
        <w:spacing w:line="480" w:lineRule="auto"/>
        <w:rPr>
          <w:sz w:val="22"/>
          <w:szCs w:val="22"/>
        </w:rPr>
      </w:pPr>
    </w:p>
    <w:p w14:paraId="00000061" w14:textId="77777777" w:rsidR="006B16C2" w:rsidRDefault="00EB0728">
      <w:pPr>
        <w:spacing w:line="480" w:lineRule="auto"/>
        <w:rPr>
          <w:sz w:val="22"/>
          <w:szCs w:val="22"/>
        </w:rPr>
      </w:pPr>
      <w:r>
        <w:rPr>
          <w:b/>
          <w:sz w:val="22"/>
          <w:szCs w:val="22"/>
        </w:rPr>
        <w:t>References</w:t>
      </w:r>
      <w:r>
        <w:rPr>
          <w:sz w:val="22"/>
          <w:szCs w:val="22"/>
        </w:rPr>
        <w:t>:</w:t>
      </w:r>
    </w:p>
    <w:p w14:paraId="3AD55D24" w14:textId="4E005778" w:rsidR="00262D78" w:rsidRPr="00262D78" w:rsidRDefault="000921A2" w:rsidP="00262D78">
      <w:pPr>
        <w:widowControl w:val="0"/>
        <w:autoSpaceDE w:val="0"/>
        <w:autoSpaceDN w:val="0"/>
        <w:adjustRightInd w:val="0"/>
        <w:spacing w:before="100" w:after="100" w:line="480" w:lineRule="auto"/>
        <w:ind w:left="480" w:hanging="480"/>
        <w:rPr>
          <w:noProof/>
          <w:sz w:val="22"/>
        </w:rPr>
      </w:pPr>
      <w:r>
        <w:rPr>
          <w:sz w:val="22"/>
          <w:szCs w:val="22"/>
        </w:rPr>
        <w:fldChar w:fldCharType="begin" w:fldLock="1"/>
      </w:r>
      <w:r>
        <w:rPr>
          <w:sz w:val="22"/>
          <w:szCs w:val="22"/>
        </w:rPr>
        <w:instrText xml:space="preserve">ADDIN Mendeley Bibliography CSL_BIBLIOGRAPHY </w:instrText>
      </w:r>
      <w:r>
        <w:rPr>
          <w:sz w:val="22"/>
          <w:szCs w:val="22"/>
        </w:rPr>
        <w:fldChar w:fldCharType="separate"/>
      </w:r>
      <w:r w:rsidR="00262D78" w:rsidRPr="00262D78">
        <w:rPr>
          <w:noProof/>
          <w:sz w:val="22"/>
        </w:rPr>
        <w:t>Banks-Leite, C. et al. 2022. The macroecology of landscape ecology. - Trends Ecol. Evol. 11: 1–8.</w:t>
      </w:r>
    </w:p>
    <w:p w14:paraId="2662F76F"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Batary, P. and Baldi, A. 2004. Evidence of an Edge Effect on Avian Nest Success. - Conserv. Biol. 18: 389–400.</w:t>
      </w:r>
    </w:p>
    <w:p w14:paraId="3DBB307F"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Ben-Hur, E. and Kadmon, R. 2020. Heterogeneity–diversity relationships in sessile organisms: a unified framework. - Ecol. Lett. 23: 193–207.</w:t>
      </w:r>
    </w:p>
    <w:p w14:paraId="51404370"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Bergen, K. M. et al. 2009. Remote sensing of vegetation 3-D structure for biodiversity and habitat: Review and implications for lidar and radar spaceborne missions. - J. Geophys. Res. Biogeosciences 114: 1–13.</w:t>
      </w:r>
    </w:p>
    <w:p w14:paraId="29680E95"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Betts, M. G. et al. 2019. Extinction filters mediate the global effects of habitat fragmentation on animals. - Science (80-. ). 366: 1236–1239.</w:t>
      </w:r>
    </w:p>
    <w:p w14:paraId="18043D61"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BirdLife International 2022. The International Union for Conservation of Nature (IUCN) Red List for birds.</w:t>
      </w:r>
    </w:p>
    <w:p w14:paraId="75B35E25"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Botta-Dukát, Z. 2005. Rao ’ s Quadratic Entropy as a Measure of Functional Diversity Based on Multiple Traits. - J. Veg. Sci. 16: 533–540.</w:t>
      </w:r>
    </w:p>
    <w:p w14:paraId="7D2F9C36"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lastRenderedPageBreak/>
        <w:t>Boyle, W. A. et al. 2011. Why do some, but not all, tropical birds migrate? A comparative study of diet breadth and fruit preference. - Evol. Ecol. 25: 219–236.</w:t>
      </w:r>
    </w:p>
    <w:p w14:paraId="2688BDAD"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Buckland, S. et al. 2001. Introduction to Distance Sampling: Estimating Abundance of Biological Populations.</w:t>
      </w:r>
    </w:p>
    <w:p w14:paraId="66E16BA3"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Bürkner, P. C. 2017. brms: An R package for Bayesian multilevel models using Stan. - J. Stat. Softw. 80: 1–28.</w:t>
      </w:r>
    </w:p>
    <w:p w14:paraId="70EB4B97"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Burns, P. et al. 2020. Incorporating canopy structure from simulated GEDI lidar into bird species distribution models. - Environ. Res. Lett. 15: 1–16.</w:t>
      </w:r>
    </w:p>
    <w:p w14:paraId="0DBFD7F8"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Carrasco, L. et al. 2019. Metrics of lidar-derived 3D vegetation structure reveal contrasting effects of horizontal and vertical forest heterogeneity on bird species richness. - Remote Sens. 11: 743.</w:t>
      </w:r>
    </w:p>
    <w:p w14:paraId="13CCFF2B"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Claramunt, S. et al. 2022. The effect of flight efficiency on gap-crossing ability in Amazonian forest birds. - Biotropica 54: 860–868.</w:t>
      </w:r>
    </w:p>
    <w:p w14:paraId="3A65BF55"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Coddington, C. P. J. et al. 2023. Forest structure predicts species richness and functional diversity in Amazonian mixed-species bird flocks. - Biotropica 00: 1–13.</w:t>
      </w:r>
    </w:p>
    <w:p w14:paraId="6C69E7E2"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Cornwell, W. K. et al. 2006. A trait-based test for habitat filtering: Convex hull volume. - Ecology 87: 1465–1471.</w:t>
      </w:r>
    </w:p>
    <w:p w14:paraId="35F1B84C"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Davies, A. B. and Asner, G. P. 2014. Advances in animal ecology from 3D-LiDAR ecosystem mapping. - Trends Ecol. Evol. 29: 681–691.</w:t>
      </w:r>
    </w:p>
    <w:p w14:paraId="1538045E"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Davison, C. W. et al. 2023. Vegetation structure from LiDAR explains the local richness of birds across Denmark. - J. Anim. Ecol. 92: 1332–1344.</w:t>
      </w:r>
    </w:p>
    <w:p w14:paraId="210C4BF0"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de Bello, F. et al. 2021. Towards a more balanced combination of multiple traits when computing functional differences between species. - Methods Ecol. Evol. 12: 443–448.</w:t>
      </w:r>
    </w:p>
    <w:p w14:paraId="6FC9FC18"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 xml:space="preserve">E-Vojtkó, A. et al. 2023. Phylogenetic diversity is a weak proxy for functional diversity but they are </w:t>
      </w:r>
      <w:r w:rsidRPr="00262D78">
        <w:rPr>
          <w:noProof/>
          <w:sz w:val="22"/>
        </w:rPr>
        <w:lastRenderedPageBreak/>
        <w:t>complementary in explaining community assembly patterns in temperate vegetation. - J. Ecol.: 2218–2230.</w:t>
      </w:r>
    </w:p>
    <w:p w14:paraId="32D9109E"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Ewers, R. M. and Didham, R. K. 2008. Pervasive impact of large-scale edge effects on a beetle community. - Proc. Natl. Acad. Sci. U. S. A. 105: 5426–5429.</w:t>
      </w:r>
    </w:p>
    <w:p w14:paraId="4C5F4674"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Fahrig, L. 2003. Effects of Habitat Fragmentation on Biodiversity. - Annu. Rev. Ecol. Evol. Syst. 34: 487–515.</w:t>
      </w:r>
    </w:p>
    <w:p w14:paraId="7E1EADCC"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Fahrig, L. 2017. Ecological Responses to Habitat Fragmentation Per Se. - Annu. Rev. Ecol. Evol. Syst. 2017 48: 1–23.</w:t>
      </w:r>
    </w:p>
    <w:p w14:paraId="79FE6D42"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Fahrig, L. et al. 2011. Functional landscape heterogeneity and animal biodiversity in agricultural landscapes. - Ecol. Lett. 14: 101–112.</w:t>
      </w:r>
    </w:p>
    <w:p w14:paraId="30B26A73"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Fahrig, L. et al. 2019. Is habitat fragmentation bad for biodiversity? - Biol. Conserv. 230: 179–186.</w:t>
      </w:r>
    </w:p>
    <w:p w14:paraId="47AA7FCA"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Feng, G. et al. 2020. Forest canopy height co-determines taxonomic and functional richness, but not functional dispersion of mammals and birds globally. - Glob. Ecol. Biogeogr. 00: 1–10.</w:t>
      </w:r>
    </w:p>
    <w:p w14:paraId="72F54331"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Fischer, J. and Lindenmayer, D. B. 2007. Landscape modification and habitat fragmentation: a synthesis. - Glob. Ecol. Biogeogr. 16: 265–280.</w:t>
      </w:r>
    </w:p>
    <w:p w14:paraId="461FB4B3"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Fletcher, R. J. et al. 2018. Is habitat fragmentation good for biodiversity? - Biol. Conserv. 226: 9–15.</w:t>
      </w:r>
    </w:p>
    <w:p w14:paraId="49640148"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Gámez, S. and Harris, N. C. 2022. Conceptualizing the 3D niche and vertical space use. - Trends Ecol. Evol.: 1–10.</w:t>
      </w:r>
    </w:p>
    <w:p w14:paraId="1C920139"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Goetz, S. et al. 2007. Laser remote sensing of canopy habitat heterogeneity as a predictor of bird species richness in an eastern temperate forest, USA. - Remote Sens. Environ. 108: 254–263.</w:t>
      </w:r>
    </w:p>
    <w:p w14:paraId="2845A7EC"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Gower, J. C. 1971. A General Coefficient of Similarity and Some of Its Properties. - Biometrics 27: 857–874.</w:t>
      </w:r>
    </w:p>
    <w:p w14:paraId="1347D5C4"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 xml:space="preserve">Haddad, N. M. et al. 2015. Habitat fragmentation and its lasting impact on Earth’s ecosystems. - Sci. Adv. </w:t>
      </w:r>
      <w:r w:rsidRPr="00262D78">
        <w:rPr>
          <w:noProof/>
          <w:sz w:val="22"/>
        </w:rPr>
        <w:lastRenderedPageBreak/>
        <w:t>1: e1500052.</w:t>
      </w:r>
    </w:p>
    <w:p w14:paraId="45E06930"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Hargrove, W. W. and Hoffman, F. M. 1999. Using multivariate clustering to characterize ecoregion borders. - Comput. Sci. Eng. 1: 18–25.</w:t>
      </w:r>
    </w:p>
    <w:p w14:paraId="4D303DFD"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Hesselbarth, M. H. K. et al. 2019. landscapemetrics: an open-source R tool to calculate landscape metrics. - Ecography (Cop.). 42: 1648–1657.</w:t>
      </w:r>
    </w:p>
    <w:p w14:paraId="4EC6EDCC"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Huang, Q. et al. 2014. The influence of vegetation height heterogeneity on forest and woodland bird species richness across the United States. - PLoS One 9: e103236.</w:t>
      </w:r>
    </w:p>
    <w:p w14:paraId="409D919D"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Hufkens, K. et al. 2018. An integrated phenology modelling framework in r. - Methods Ecol. Evol. 9: 1276–1285.</w:t>
      </w:r>
    </w:p>
    <w:p w14:paraId="77E7FA17"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Jaureguiberry, P. et al. 2022. The direct drivers of recent global anthropogenic biodiversity loss. - Sci. Adv. 8: 1–12.</w:t>
      </w:r>
    </w:p>
    <w:p w14:paraId="19723E31"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Jetz, W. et al. 2012. The global diversity of birds in space and time. - Nature 491: 444–448.</w:t>
      </w:r>
    </w:p>
    <w:p w14:paraId="4EC89EC3"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Jones, H. H. et al. 2023. Dietary and habitat specialization, eye size, clutch size, and aerial lifestyle predict avian fragmentation sensitivity in an Andean biodiversity hotpot. - Biodivers. Conserv. 32: 4057–4081.</w:t>
      </w:r>
    </w:p>
    <w:p w14:paraId="017F8B31"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Kampe, T. U. 2010. NEON: the first continental-scale ecological observatory with airborne remote sensing of vegetation canopy biochemistry and structure. - J. Appl. Remote Sens. 4: 043510.</w:t>
      </w:r>
    </w:p>
    <w:p w14:paraId="150B7CF1"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Kao, R. H. et al. 2012. NEON terrestrial field observations: designing continental-scale, standardized sampling. - Ecosphere 3: art115.</w:t>
      </w:r>
    </w:p>
    <w:p w14:paraId="74C4EE7C" w14:textId="66D58048"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Kellner, K. 2015. jagsUI: a wrapper around rjags to streamline JAGS analyses.</w:t>
      </w:r>
    </w:p>
    <w:p w14:paraId="41FDF495"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Kembel, S. W. et al. 2010. Picante: R tools for integrating phylogenies and ecology. - Bioinformatics 26: 1463–1464.</w:t>
      </w:r>
    </w:p>
    <w:p w14:paraId="469CDF28"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 xml:space="preserve">Kennedy, C. M. et al. 2010. Landscape matrix and species traits mediate responses of Neotropical </w:t>
      </w:r>
      <w:r w:rsidRPr="00262D78">
        <w:rPr>
          <w:noProof/>
          <w:sz w:val="22"/>
        </w:rPr>
        <w:lastRenderedPageBreak/>
        <w:t>resident birds to forest fragmentation in Jamaica. - Ecol. Monogr. 80: 651–669.</w:t>
      </w:r>
    </w:p>
    <w:p w14:paraId="0B29D202"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Kerr, J. T. et al. 2001. Remotely sensed habitat diversity predicts butterfly species richness and community similarity in Canada. - Proc. Natl. Acad. Sci. U. S. A. 98: 11365–11370.</w:t>
      </w:r>
    </w:p>
    <w:p w14:paraId="5E6A4D59"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Kruschke, J. K. 2021. Bayesian Analysis Reporting Guidelines. - Nat. Hum. Behav. 5: 1282–1291.</w:t>
      </w:r>
    </w:p>
    <w:p w14:paraId="2F263922"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Laliberte, E. and Legendre, P. 2010. A distance-based framework for measuring functional diversity from multiple traits. - Ecology 91: 299–305.</w:t>
      </w:r>
    </w:p>
    <w:p w14:paraId="686A931C" w14:textId="3A67EEF0"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Laliberté, A. E. et al. 2023. Package ‘ FD .’</w:t>
      </w:r>
    </w:p>
    <w:p w14:paraId="5B9A7721"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LaRue, E. A. et al. 2023. A theoretical framework for the ecological role of three-dimensional structural diversity. - Front. Ecol. Environ. 21: 4–13.</w:t>
      </w:r>
    </w:p>
    <w:p w14:paraId="4FD924A6"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Lesak, A. A. et al. 2011. Modeling forest songbird species richness using LiDAR-derived measures of forest structure. - Remote Sens. Environ. 115: 2823–2835.</w:t>
      </w:r>
    </w:p>
    <w:p w14:paraId="585FD137"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Levey, D. J. and Stiles, F. G. 1992. Evolutionary precursors of long-distance migration: resource availability and movement patterns in neotropical landbirds. - Am. Nat. 140: 447–476.</w:t>
      </w:r>
    </w:p>
    <w:p w14:paraId="6EEA0DCF" w14:textId="72125EDD"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Lunch, C. et al. 2024. neonUtilities: Utilities for Working with NEON Data.</w:t>
      </w:r>
    </w:p>
    <w:p w14:paraId="2420AE72"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MacArthur, R. H. and MacArthur, J. W. 1961. On Bird Species Diversity. - Ecology 42: 594–598.</w:t>
      </w:r>
    </w:p>
    <w:p w14:paraId="14D102CA"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Magneville, C. et al. 2022. mFD: an R package to compute and illustrate the multiple facets of functional diversity. - Ecography (Cop.). 2022: 1–15.</w:t>
      </w:r>
    </w:p>
    <w:p w14:paraId="3164BBC7"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Malt, J. and Lank, D. 2007. Temporal dynamics of edge effects on nest predation risk for the marbled murrelet. - Biol. Conserv. 140: 160–173.</w:t>
      </w:r>
    </w:p>
    <w:p w14:paraId="00848435"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Mimet, A. et al. 2019. Recent global changes have decoupled species richness from specialization patterns in North American birds. - Glob. Ecol. Biogeogr. 28: 1621–1635.</w:t>
      </w:r>
    </w:p>
    <w:p w14:paraId="76D0A098"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 xml:space="preserve">Moudrý, V. et al. 2021. The role of the vegetation structure, primary productivity and senescence derived from airborne LiDAR and hyperspectral data for birds diversity and rarity on a restored site. - </w:t>
      </w:r>
      <w:r w:rsidRPr="00262D78">
        <w:rPr>
          <w:noProof/>
          <w:sz w:val="22"/>
        </w:rPr>
        <w:lastRenderedPageBreak/>
        <w:t>Landsc. Urban Plan. 210: 104064.</w:t>
      </w:r>
    </w:p>
    <w:p w14:paraId="3CADE207"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Moudrý, V. et al. 2023. Vegetation structure derived from airborne laser scanning to assess species distribution and habitat suitability: The way forward. - Divers. Distrib. 29: 39–50.</w:t>
      </w:r>
    </w:p>
    <w:p w14:paraId="75C500D4"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Mouillot, D. et al. 2013. A functional approach reveals community responses to disturbances. - Trends Ecol. Evol. 28: 167–177.</w:t>
      </w:r>
    </w:p>
    <w:p w14:paraId="21BDC080"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Naka, L. N. et al. 2022. Riverine Barriers as Obstacles to Dispersal in Amazonian Birds. - Front. Ecol. Evol. 10: 1–14.</w:t>
      </w:r>
    </w:p>
    <w:p w14:paraId="078EAF2B"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Oedekoven, C. S. et al. 2014. Bayesian Methods for Hierarchical Distance Sampling Models. - J. Agric. Biol. Environ. Stat. 19: 219–239.</w:t>
      </w:r>
    </w:p>
    <w:p w14:paraId="07E2AEBC" w14:textId="4674C744"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Oksanen, J. et al. 2022. Vegan: Community Ecology Package. R package.</w:t>
      </w:r>
    </w:p>
    <w:p w14:paraId="1E5618EC"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Pereira, H. M. et al. 2010. Scenarios for global biodiversity in the 21st century. - Science (80-. ). 330: 1496–1501.</w:t>
      </w:r>
    </w:p>
    <w:p w14:paraId="6806D92B"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Pereira, H. M. et al. 2012. Global biodiversity change: The Bad, the good, and the unknown. - Annu. Rev. Environ. Resour. 37: 25–50.</w:t>
      </w:r>
    </w:p>
    <w:p w14:paraId="69C632BE"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Petchey, O. L. and Gaston, K. J. 2002. Functional diversity (FD), species richness and community composition. - Ecol. Lett. 5: 402–411.</w:t>
      </w:r>
    </w:p>
    <w:p w14:paraId="739580FB"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Petras, V. et al. 2017. Generalized 3D fragmentation index derived from lidar point clouds. - Open Geospatial Data, Softw. Stand. 2: 9.</w:t>
      </w:r>
    </w:p>
    <w:p w14:paraId="498214D8" w14:textId="632F0396"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Plummer, M. 2003. JAGS : A Program for Analysis of Bayesian Graphical Models Using Gibbs Sampling JAGS : Just Another Gibbs Sampler.</w:t>
      </w:r>
    </w:p>
    <w:p w14:paraId="1E667F75"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Preston, C. R. 1990. Distribution of Raptor Foraging in Relation to Prey Biomass and Habitat Structure. - Condor 92: 107–112.</w:t>
      </w:r>
    </w:p>
    <w:p w14:paraId="5D346EF0"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 xml:space="preserve">Provini, P. and Höfling, E. 2020. To Hop or Not to Hop? The Answer Is in the Bird Trees. - Syst. Biol. </w:t>
      </w:r>
      <w:r w:rsidRPr="00262D78">
        <w:rPr>
          <w:noProof/>
          <w:sz w:val="22"/>
        </w:rPr>
        <w:lastRenderedPageBreak/>
        <w:t>69: 962–972.</w:t>
      </w:r>
    </w:p>
    <w:p w14:paraId="3F90D94F"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Remeš, V. et al. 2021. Functional diversity of avian communities increases with canopy height: From individual behavior to continental-scale patterns. - Ecol. Evol. 11: 11839–11851.</w:t>
      </w:r>
    </w:p>
    <w:p w14:paraId="32ED89A9"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Richardson, J. J. and Moskal, L. M. 2011. Strengths and limitations of assessing forest density and spatial configuration with aerial LiDAR. - Remote Sens. Environ. 115: 2640–2651.</w:t>
      </w:r>
    </w:p>
    <w:p w14:paraId="5DC6E9B1"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Robinson, S. K. . and Holmes, R. T. . 1982. Foraging Behavior of Forest Birds : The Relationships Among Search Tactics , Diet , and Habitat Structure. - Ecology 63: 1918–1931.</w:t>
      </w:r>
    </w:p>
    <w:p w14:paraId="33000837"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Roussel, J. et al. 2020. Remote Sensing of Environment lidR : An R package for analysis of Airborne Laser Scanning ( ALS ) data. - Remote Sens. Environ. 251: 112061.</w:t>
      </w:r>
    </w:p>
    <w:p w14:paraId="2347E273"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Rurangwa, M. L. et al. 2022. Functional and phylogenetic diversity of an agricultural matrix avifauna: The role of habitat heterogeneity in Afrotropical farmland. - Ecol. Evol. 12: 1–13.</w:t>
      </w:r>
    </w:p>
    <w:p w14:paraId="17C71FA9"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Santos, M. J. et al. 2021. The role of land use and land cover change in climate change vulnerability assessments of biodiversity: a systematic review. - Landsc. Ecol. 36: 3367–3382.</w:t>
      </w:r>
    </w:p>
    <w:p w14:paraId="4D164D9E"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Sheard, C. et al. 2020. Ecological drivers of global gradients in avian dispersal inferred from wing morphology. - Nat. Commun. 11: 2463.</w:t>
      </w:r>
    </w:p>
    <w:p w14:paraId="6BAC7B37"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Sivula, T. et al. 2022. Uncertainty in Bayesian Leave-One-Out Cross-Validation Based Model Comparison. - arxiv 2008: 10296v3.</w:t>
      </w:r>
    </w:p>
    <w:p w14:paraId="52FFDE7F"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Sollmann, R. et al. 2016. A hierarchical distance sampling model to estimate abundance and covariate associations of species and communities. - Methods Ecol. Evol. 7: 529–537.</w:t>
      </w:r>
    </w:p>
    <w:p w14:paraId="3D078F2B"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Soriano-Redondo, A. et al. 2020. Migrant birds and mammals live faster than residents. - Nat. Commun. 11: 1–8.</w:t>
      </w:r>
    </w:p>
    <w:p w14:paraId="660C4713"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Stirnemann, I. A. et al. 2015. Measuring habitat heterogeneity reveals new insights into bird community composition. - Oecologia 177: 733–746.</w:t>
      </w:r>
    </w:p>
    <w:p w14:paraId="000F97AC"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lastRenderedPageBreak/>
        <w:t>Svenning, J. C. 2000. Small canopy gaps influence plant distributions in the rain forest understory. - Biotropica 32: 252–261.</w:t>
      </w:r>
    </w:p>
    <w:p w14:paraId="713A46F2"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Swolgaard, C. A. et al. 2008. Foraging by Swainson’s Hawks in a vineyard-dominated landscape. - J. Raptor Res. 42: 188–196.</w:t>
      </w:r>
    </w:p>
    <w:p w14:paraId="63C0AB39"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Tallei, E. et al. 2021. Use of response guilds of understory birds in threatened subtropical forest to monitor selective logging impact. - Ecol. Indic. 132: 108264.</w:t>
      </w:r>
    </w:p>
    <w:p w14:paraId="7175942D"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Terraube, J. et al. 2016. Forest edges have high conservation value for bird communities in mosaic landscapes. - Ecol. Evol. 6: 5178–5189.</w:t>
      </w:r>
    </w:p>
    <w:p w14:paraId="46C286D2" w14:textId="3D55034B"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Thornton, M. M. et al. 2022. Daymet: Daily Surface Weather Data on a 1-km Grid for North America, Version 4 R1.</w:t>
      </w:r>
    </w:p>
    <w:p w14:paraId="2FBB0586"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Tobias, J. A. et al. 2022. AVONET: morphological, ecological and geographical data for all birds. - Ecol. Lett.: 1–17.</w:t>
      </w:r>
    </w:p>
    <w:p w14:paraId="34CFBA5A"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Tucker, C. M. et al. 2017. A guide to phylogenetic metrics for conservation, community ecology and macroecology. - Biol. Rev. 92: 698–715.</w:t>
      </w:r>
    </w:p>
    <w:p w14:paraId="202CCBEA"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Valente, J. J. and Betts, M. G. 2019. Response to fragmentation by avian communities is mediated by species traits. - Divers. Distrib. 25: 48–60.</w:t>
      </w:r>
    </w:p>
    <w:p w14:paraId="719792D7"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Valente, J. J. et al. 2023. Toward conciliation in the habitat fragmentation and biodiversity debate. - Landsc. Ecol. Volume 38: 2717–2730.</w:t>
      </w:r>
    </w:p>
    <w:p w14:paraId="5EE94335"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Van Pelt, R. and Franklin, J. F. 2000. Influence of canopy structure on the understory environment in tall, old-growth, conifer forests. - Can. J. For. Res. 30: 1231–1245.</w:t>
      </w:r>
    </w:p>
    <w:p w14:paraId="35C420E5"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Vehtari, A. et al. 2017. Practical Bayesian model evaluation using leave-one-out cross-validation and WAIC. - Stat. Comput. 27: 1413–1432.</w:t>
      </w:r>
    </w:p>
    <w:p w14:paraId="402EC676"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 xml:space="preserve">Villard, M. A. and Metzger, J. P. 2014. Beyond the fragmentation debate: A conceptual model to predict </w:t>
      </w:r>
      <w:r w:rsidRPr="00262D78">
        <w:rPr>
          <w:noProof/>
          <w:sz w:val="22"/>
        </w:rPr>
        <w:lastRenderedPageBreak/>
        <w:t>when habitat configuration really matters. - J. Appl. Ecol. 51: 309–318.</w:t>
      </w:r>
    </w:p>
    <w:p w14:paraId="5D806B77"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Villéger, S. et al. 2008. New multidimensional functional diversity indices for a multifaceted framework in functional ecology. - Ecology 89: 2290–2301.</w:t>
      </w:r>
    </w:p>
    <w:p w14:paraId="22A7A2D4"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Vogeler, J. C. et al. 2014. Terrain and vegetation structural influences on local avian species richness in two mixed-conifer forests. - Remote Sens. Environ. 147: 13–22.</w:t>
      </w:r>
    </w:p>
    <w:p w14:paraId="141E5664"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Weeks, T. L. et al. 2023. Climate-driven variation in dispersal ability predicts responses to forest fragmentation in birds. - Nat. Ecol. Evol. 7: 1079–1091.</w:t>
      </w:r>
    </w:p>
    <w:p w14:paraId="6AE4F6B8"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Weisberg, P. J. et al. 2014. Guild-specific responses of avian species richness to LiDAR-derived habitat heterogeneity. - Acta Oecologica 59: 72–83.</w:t>
      </w:r>
    </w:p>
    <w:p w14:paraId="6CD9DA1E"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Weiskopf, S. R. et al. 2020. Climate change effects on biodiversity, ecosystems, ecosystem services, and natural resource management in the United States. - Sci. Total Environ. 733: 137782.</w:t>
      </w:r>
    </w:p>
    <w:p w14:paraId="7C9192AD"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Whitehurst, A. S. et al. 2013. Characterization of canopy layering in forested ecosystems using full waveform lidar. - Remote Sens. 5: 2014–2036.</w:t>
      </w:r>
    </w:p>
    <w:p w14:paraId="77B4F8B2"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Wiens, J. A. and Rotenberry, J. T. 1979. Diet niche relationships among North American grassland and shrubsteppe birds. - Oecologia 42: 253–292.</w:t>
      </w:r>
    </w:p>
    <w:p w14:paraId="74B5BC9F"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Wilman, H. et al. 2014. EltonTraits 1.0 : Species-level foraging attributes of the world’s birds and mammals. - Ecology 95: 2027.</w:t>
      </w:r>
    </w:p>
    <w:p w14:paraId="7B12189E" w14:textId="77777777" w:rsidR="00262D78" w:rsidRPr="00262D78" w:rsidRDefault="00262D78" w:rsidP="00262D78">
      <w:pPr>
        <w:widowControl w:val="0"/>
        <w:autoSpaceDE w:val="0"/>
        <w:autoSpaceDN w:val="0"/>
        <w:adjustRightInd w:val="0"/>
        <w:spacing w:before="100" w:after="100" w:line="480" w:lineRule="auto"/>
        <w:ind w:left="480" w:hanging="480"/>
        <w:rPr>
          <w:noProof/>
          <w:sz w:val="22"/>
        </w:rPr>
      </w:pPr>
      <w:r w:rsidRPr="00262D78">
        <w:rPr>
          <w:noProof/>
          <w:sz w:val="22"/>
        </w:rPr>
        <w:t>Zellweger, F. et al. 2017. Beta diversity of plants, birds and butterflies is closely associated with climate and habitat structure. - Glob. Ecol. Biogeogr. 26: 898–906.</w:t>
      </w:r>
    </w:p>
    <w:p w14:paraId="0FDD116E" w14:textId="053BC9F3" w:rsidR="00A43F3C" w:rsidRDefault="000921A2" w:rsidP="00A43F3C">
      <w:pPr>
        <w:widowControl w:val="0"/>
        <w:autoSpaceDE w:val="0"/>
        <w:autoSpaceDN w:val="0"/>
        <w:adjustRightInd w:val="0"/>
        <w:spacing w:before="100" w:after="100" w:line="480" w:lineRule="auto"/>
        <w:ind w:left="480" w:hanging="480"/>
        <w:rPr>
          <w:sz w:val="22"/>
          <w:szCs w:val="22"/>
        </w:rPr>
      </w:pPr>
      <w:r>
        <w:rPr>
          <w:sz w:val="22"/>
          <w:szCs w:val="22"/>
        </w:rPr>
        <w:fldChar w:fldCharType="end"/>
      </w:r>
    </w:p>
    <w:p w14:paraId="61BF1258" w14:textId="6B735A92" w:rsidR="00A43F3C" w:rsidRDefault="00A43F3C" w:rsidP="00A43F3C">
      <w:pPr>
        <w:widowControl w:val="0"/>
        <w:autoSpaceDE w:val="0"/>
        <w:autoSpaceDN w:val="0"/>
        <w:adjustRightInd w:val="0"/>
        <w:spacing w:before="100" w:after="100" w:line="480" w:lineRule="auto"/>
        <w:ind w:left="480" w:hanging="480"/>
        <w:rPr>
          <w:sz w:val="22"/>
          <w:szCs w:val="22"/>
        </w:rPr>
      </w:pPr>
    </w:p>
    <w:p w14:paraId="0F83D1FE" w14:textId="77777777" w:rsidR="00917EE2" w:rsidRDefault="00917EE2" w:rsidP="00A43F3C">
      <w:pPr>
        <w:widowControl w:val="0"/>
        <w:autoSpaceDE w:val="0"/>
        <w:autoSpaceDN w:val="0"/>
        <w:adjustRightInd w:val="0"/>
        <w:spacing w:before="100" w:after="100" w:line="480" w:lineRule="auto"/>
        <w:ind w:left="480" w:hanging="480"/>
        <w:rPr>
          <w:sz w:val="22"/>
          <w:szCs w:val="22"/>
        </w:rPr>
      </w:pPr>
    </w:p>
    <w:p w14:paraId="2FFD1DB7" w14:textId="64D31B76" w:rsidR="00A43F3C" w:rsidRDefault="00A43F3C" w:rsidP="00A43F3C">
      <w:pPr>
        <w:widowControl w:val="0"/>
        <w:autoSpaceDE w:val="0"/>
        <w:autoSpaceDN w:val="0"/>
        <w:adjustRightInd w:val="0"/>
        <w:spacing w:before="100" w:after="100" w:line="480" w:lineRule="auto"/>
        <w:ind w:left="480" w:hanging="480"/>
        <w:rPr>
          <w:sz w:val="22"/>
          <w:szCs w:val="22"/>
        </w:rPr>
      </w:pPr>
    </w:p>
    <w:p w14:paraId="4AFE88C6" w14:textId="51E8EFD3" w:rsidR="00A43F3C" w:rsidRDefault="00EB0728" w:rsidP="00A43F3C">
      <w:pPr>
        <w:widowControl w:val="0"/>
        <w:spacing w:before="100" w:after="100"/>
        <w:rPr>
          <w:b/>
          <w:sz w:val="22"/>
          <w:szCs w:val="22"/>
        </w:rPr>
      </w:pPr>
      <w:r>
        <w:rPr>
          <w:b/>
          <w:sz w:val="22"/>
          <w:szCs w:val="22"/>
        </w:rPr>
        <w:lastRenderedPageBreak/>
        <w:t>TABLES AND FIGURES</w:t>
      </w:r>
    </w:p>
    <w:p w14:paraId="70455814" w14:textId="77777777" w:rsidR="00A43F3C" w:rsidRDefault="00A43F3C" w:rsidP="00A43F3C">
      <w:pPr>
        <w:widowControl w:val="0"/>
        <w:spacing w:before="100" w:after="100"/>
        <w:rPr>
          <w:b/>
          <w:sz w:val="22"/>
          <w:szCs w:val="22"/>
        </w:rPr>
      </w:pPr>
    </w:p>
    <w:tbl>
      <w:tblPr>
        <w:tblStyle w:val="5"/>
        <w:tblW w:w="9270" w:type="dxa"/>
        <w:tblLayout w:type="fixed"/>
        <w:tblLook w:val="0400" w:firstRow="0" w:lastRow="0" w:firstColumn="0" w:lastColumn="0" w:noHBand="0" w:noVBand="1"/>
      </w:tblPr>
      <w:tblGrid>
        <w:gridCol w:w="2200"/>
        <w:gridCol w:w="3280"/>
        <w:gridCol w:w="3790"/>
      </w:tblGrid>
      <w:tr w:rsidR="006B16C2" w14:paraId="51A65495" w14:textId="77777777">
        <w:trPr>
          <w:trHeight w:val="560"/>
        </w:trPr>
        <w:tc>
          <w:tcPr>
            <w:tcW w:w="9270" w:type="dxa"/>
            <w:gridSpan w:val="3"/>
            <w:tcBorders>
              <w:top w:val="nil"/>
              <w:left w:val="nil"/>
              <w:bottom w:val="nil"/>
              <w:right w:val="nil"/>
            </w:tcBorders>
            <w:shd w:val="clear" w:color="auto" w:fill="auto"/>
            <w:vAlign w:val="center"/>
          </w:tcPr>
          <w:p w14:paraId="000000D1" w14:textId="77777777" w:rsidR="006B16C2" w:rsidRDefault="00EB0728">
            <w:pPr>
              <w:rPr>
                <w:b/>
                <w:color w:val="000000"/>
                <w:sz w:val="22"/>
                <w:szCs w:val="22"/>
              </w:rPr>
            </w:pPr>
            <w:r>
              <w:rPr>
                <w:b/>
                <w:color w:val="000000"/>
                <w:sz w:val="22"/>
                <w:szCs w:val="22"/>
              </w:rPr>
              <w:t>Table 1.</w:t>
            </w:r>
            <w:r>
              <w:rPr>
                <w:sz w:val="22"/>
                <w:szCs w:val="22"/>
              </w:rPr>
              <w:t xml:space="preserve"> Model specification for the 12 Bayesian mixed effect models relating avian diversity to habitat structure and environment covariates. All 12 models were used to model the 10 biodiversity indices. Models contained different combinations of compositional habitat structure (</w:t>
            </w:r>
            <w:proofErr w:type="spellStart"/>
            <w:r>
              <w:rPr>
                <w:sz w:val="22"/>
                <w:szCs w:val="22"/>
              </w:rPr>
              <w:t>Total</w:t>
            </w:r>
            <w:r>
              <w:rPr>
                <w:sz w:val="22"/>
                <w:szCs w:val="22"/>
                <w:vertAlign w:val="subscript"/>
              </w:rPr>
              <w:t>A</w:t>
            </w:r>
            <w:proofErr w:type="spellEnd"/>
            <w:r>
              <w:rPr>
                <w:sz w:val="22"/>
                <w:szCs w:val="22"/>
              </w:rPr>
              <w:t xml:space="preserve">, </w:t>
            </w:r>
            <w:proofErr w:type="spellStart"/>
            <w:r>
              <w:rPr>
                <w:sz w:val="22"/>
                <w:szCs w:val="22"/>
              </w:rPr>
              <w:t>Can</w:t>
            </w:r>
            <w:r>
              <w:rPr>
                <w:sz w:val="22"/>
                <w:szCs w:val="22"/>
                <w:vertAlign w:val="subscript"/>
              </w:rPr>
              <w:t>A</w:t>
            </w:r>
            <w:proofErr w:type="spellEnd"/>
            <w:r>
              <w:rPr>
                <w:sz w:val="22"/>
                <w:szCs w:val="22"/>
              </w:rPr>
              <w:t xml:space="preserve">, </w:t>
            </w:r>
            <w:proofErr w:type="spellStart"/>
            <w:r>
              <w:rPr>
                <w:sz w:val="22"/>
                <w:szCs w:val="22"/>
              </w:rPr>
              <w:t>Sub</w:t>
            </w:r>
            <w:r>
              <w:rPr>
                <w:sz w:val="22"/>
                <w:szCs w:val="22"/>
                <w:vertAlign w:val="subscript"/>
              </w:rPr>
              <w:t>A</w:t>
            </w:r>
            <w:proofErr w:type="spellEnd"/>
            <w:r>
              <w:rPr>
                <w:sz w:val="22"/>
                <w:szCs w:val="22"/>
              </w:rPr>
              <w:t xml:space="preserve">, </w:t>
            </w:r>
            <w:proofErr w:type="spellStart"/>
            <w:r>
              <w:rPr>
                <w:sz w:val="22"/>
                <w:szCs w:val="22"/>
              </w:rPr>
              <w:t>Mid</w:t>
            </w:r>
            <w:r>
              <w:rPr>
                <w:sz w:val="22"/>
                <w:szCs w:val="22"/>
                <w:vertAlign w:val="subscript"/>
              </w:rPr>
              <w:t>A</w:t>
            </w:r>
            <w:proofErr w:type="spellEnd"/>
            <w:r>
              <w:rPr>
                <w:sz w:val="22"/>
                <w:szCs w:val="22"/>
              </w:rPr>
              <w:t xml:space="preserve">, </w:t>
            </w:r>
            <w:proofErr w:type="spellStart"/>
            <w:r>
              <w:rPr>
                <w:sz w:val="22"/>
                <w:szCs w:val="22"/>
              </w:rPr>
              <w:t>Und</w:t>
            </w:r>
            <w:r>
              <w:rPr>
                <w:sz w:val="22"/>
                <w:szCs w:val="22"/>
                <w:vertAlign w:val="subscript"/>
              </w:rPr>
              <w:t>A</w:t>
            </w:r>
            <w:proofErr w:type="spellEnd"/>
            <w:r>
              <w:rPr>
                <w:sz w:val="22"/>
                <w:szCs w:val="22"/>
              </w:rPr>
              <w:t>), configurational habitat structure (</w:t>
            </w:r>
            <w:proofErr w:type="spellStart"/>
            <w:r>
              <w:rPr>
                <w:sz w:val="22"/>
                <w:szCs w:val="22"/>
              </w:rPr>
              <w:t>Total</w:t>
            </w:r>
            <w:r>
              <w:rPr>
                <w:sz w:val="22"/>
                <w:szCs w:val="22"/>
                <w:vertAlign w:val="subscript"/>
              </w:rPr>
              <w:t>C</w:t>
            </w:r>
            <w:proofErr w:type="spellEnd"/>
            <w:r>
              <w:rPr>
                <w:sz w:val="22"/>
                <w:szCs w:val="22"/>
              </w:rPr>
              <w:t xml:space="preserve">, </w:t>
            </w:r>
            <w:proofErr w:type="spellStart"/>
            <w:r>
              <w:rPr>
                <w:sz w:val="22"/>
                <w:szCs w:val="22"/>
              </w:rPr>
              <w:t>Can</w:t>
            </w:r>
            <w:r>
              <w:rPr>
                <w:sz w:val="22"/>
                <w:szCs w:val="22"/>
                <w:vertAlign w:val="subscript"/>
              </w:rPr>
              <w:t>C</w:t>
            </w:r>
            <w:proofErr w:type="spellEnd"/>
            <w:r>
              <w:rPr>
                <w:sz w:val="22"/>
                <w:szCs w:val="22"/>
              </w:rPr>
              <w:t xml:space="preserve">, </w:t>
            </w:r>
            <w:proofErr w:type="spellStart"/>
            <w:r>
              <w:rPr>
                <w:sz w:val="22"/>
                <w:szCs w:val="22"/>
              </w:rPr>
              <w:t>Sub</w:t>
            </w:r>
            <w:r>
              <w:rPr>
                <w:sz w:val="22"/>
                <w:szCs w:val="22"/>
                <w:vertAlign w:val="subscript"/>
              </w:rPr>
              <w:t>C</w:t>
            </w:r>
            <w:proofErr w:type="spellEnd"/>
            <w:r>
              <w:rPr>
                <w:sz w:val="22"/>
                <w:szCs w:val="22"/>
              </w:rPr>
              <w:t xml:space="preserve">, </w:t>
            </w:r>
            <w:proofErr w:type="spellStart"/>
            <w:r>
              <w:rPr>
                <w:sz w:val="22"/>
                <w:szCs w:val="22"/>
              </w:rPr>
              <w:t>Mid</w:t>
            </w:r>
            <w:r>
              <w:rPr>
                <w:sz w:val="22"/>
                <w:szCs w:val="22"/>
                <w:vertAlign w:val="subscript"/>
              </w:rPr>
              <w:t>C</w:t>
            </w:r>
            <w:proofErr w:type="spellEnd"/>
            <w:r>
              <w:rPr>
                <w:sz w:val="22"/>
                <w:szCs w:val="22"/>
              </w:rPr>
              <w:t xml:space="preserve">, </w:t>
            </w:r>
            <w:proofErr w:type="spellStart"/>
            <w:r>
              <w:rPr>
                <w:sz w:val="22"/>
                <w:szCs w:val="22"/>
              </w:rPr>
              <w:t>Und</w:t>
            </w:r>
            <w:r>
              <w:rPr>
                <w:sz w:val="22"/>
                <w:szCs w:val="22"/>
                <w:vertAlign w:val="subscript"/>
              </w:rPr>
              <w:t>C</w:t>
            </w:r>
            <w:proofErr w:type="spellEnd"/>
            <w:r>
              <w:rPr>
                <w:sz w:val="22"/>
                <w:szCs w:val="22"/>
              </w:rPr>
              <w:t xml:space="preserve">, </w:t>
            </w:r>
            <w:proofErr w:type="spellStart"/>
            <w:r>
              <w:rPr>
                <w:sz w:val="22"/>
                <w:szCs w:val="22"/>
              </w:rPr>
              <w:t>Vert</w:t>
            </w:r>
            <w:r>
              <w:rPr>
                <w:sz w:val="22"/>
                <w:szCs w:val="22"/>
                <w:vertAlign w:val="subscript"/>
              </w:rPr>
              <w:t>V</w:t>
            </w:r>
            <w:proofErr w:type="spellEnd"/>
            <w:r>
              <w:rPr>
                <w:sz w:val="22"/>
                <w:szCs w:val="22"/>
              </w:rPr>
              <w:t>), and environmental variables (</w:t>
            </w:r>
            <w:proofErr w:type="spellStart"/>
            <w:r>
              <w:rPr>
                <w:sz w:val="22"/>
                <w:szCs w:val="22"/>
              </w:rPr>
              <w:t>TempRange</w:t>
            </w:r>
            <w:proofErr w:type="spellEnd"/>
            <w:r>
              <w:rPr>
                <w:sz w:val="22"/>
                <w:szCs w:val="22"/>
              </w:rPr>
              <w:t>, Elevation, Latitude). Color designates parameters in broad categories of environmental (pink), habitat composition (blue), and habitat configuration (orange).</w:t>
            </w:r>
          </w:p>
          <w:p w14:paraId="000000D2" w14:textId="77777777" w:rsidR="006B16C2" w:rsidRDefault="006B16C2">
            <w:pPr>
              <w:rPr>
                <w:sz w:val="22"/>
                <w:szCs w:val="22"/>
                <w:highlight w:val="white"/>
              </w:rPr>
            </w:pPr>
          </w:p>
          <w:p w14:paraId="000000D3" w14:textId="77777777" w:rsidR="006B16C2" w:rsidRDefault="006B16C2">
            <w:pPr>
              <w:rPr>
                <w:b/>
                <w:color w:val="000000"/>
                <w:sz w:val="22"/>
                <w:szCs w:val="22"/>
              </w:rPr>
            </w:pPr>
          </w:p>
        </w:tc>
      </w:tr>
      <w:tr w:rsidR="006B16C2" w14:paraId="7507A899" w14:textId="77777777">
        <w:trPr>
          <w:trHeight w:val="680"/>
        </w:trPr>
        <w:tc>
          <w:tcPr>
            <w:tcW w:w="2200" w:type="dxa"/>
            <w:tcBorders>
              <w:top w:val="nil"/>
              <w:left w:val="nil"/>
              <w:bottom w:val="nil"/>
              <w:right w:val="nil"/>
            </w:tcBorders>
            <w:shd w:val="clear" w:color="auto" w:fill="D9D9D9"/>
            <w:vAlign w:val="center"/>
          </w:tcPr>
          <w:p w14:paraId="000000D6" w14:textId="77777777" w:rsidR="006B16C2" w:rsidRDefault="00EB0728">
            <w:pPr>
              <w:rPr>
                <w:b/>
                <w:color w:val="000000"/>
                <w:sz w:val="16"/>
                <w:szCs w:val="16"/>
              </w:rPr>
            </w:pPr>
            <w:r>
              <w:rPr>
                <w:b/>
                <w:color w:val="000000"/>
                <w:sz w:val="16"/>
                <w:szCs w:val="16"/>
              </w:rPr>
              <w:t>Model Name</w:t>
            </w:r>
          </w:p>
        </w:tc>
        <w:tc>
          <w:tcPr>
            <w:tcW w:w="3280" w:type="dxa"/>
            <w:tcBorders>
              <w:top w:val="nil"/>
              <w:left w:val="nil"/>
              <w:bottom w:val="nil"/>
              <w:right w:val="nil"/>
            </w:tcBorders>
            <w:shd w:val="clear" w:color="auto" w:fill="D9D9D9"/>
            <w:vAlign w:val="center"/>
          </w:tcPr>
          <w:p w14:paraId="000000D7" w14:textId="77777777" w:rsidR="006B16C2" w:rsidRDefault="00EB0728">
            <w:pPr>
              <w:rPr>
                <w:b/>
                <w:color w:val="000000"/>
                <w:sz w:val="16"/>
                <w:szCs w:val="16"/>
              </w:rPr>
            </w:pPr>
            <w:r>
              <w:rPr>
                <w:b/>
                <w:color w:val="000000"/>
                <w:sz w:val="16"/>
                <w:szCs w:val="16"/>
              </w:rPr>
              <w:t>Model Description</w:t>
            </w:r>
          </w:p>
        </w:tc>
        <w:tc>
          <w:tcPr>
            <w:tcW w:w="3790" w:type="dxa"/>
            <w:tcBorders>
              <w:top w:val="nil"/>
              <w:left w:val="nil"/>
              <w:bottom w:val="nil"/>
              <w:right w:val="nil"/>
            </w:tcBorders>
            <w:shd w:val="clear" w:color="auto" w:fill="D9D9D9"/>
            <w:vAlign w:val="center"/>
          </w:tcPr>
          <w:p w14:paraId="000000D8" w14:textId="77777777" w:rsidR="006B16C2" w:rsidRDefault="00EB0728">
            <w:pPr>
              <w:rPr>
                <w:b/>
                <w:color w:val="000000"/>
                <w:sz w:val="16"/>
                <w:szCs w:val="16"/>
              </w:rPr>
            </w:pPr>
            <w:r>
              <w:rPr>
                <w:b/>
                <w:color w:val="000000"/>
                <w:sz w:val="16"/>
                <w:szCs w:val="16"/>
              </w:rPr>
              <w:t>Independent Variables</w:t>
            </w:r>
          </w:p>
        </w:tc>
      </w:tr>
      <w:tr w:rsidR="006B16C2" w14:paraId="41DBF8EE" w14:textId="77777777">
        <w:trPr>
          <w:trHeight w:val="680"/>
        </w:trPr>
        <w:tc>
          <w:tcPr>
            <w:tcW w:w="2200" w:type="dxa"/>
            <w:tcBorders>
              <w:top w:val="nil"/>
              <w:left w:val="nil"/>
              <w:bottom w:val="nil"/>
              <w:right w:val="nil"/>
            </w:tcBorders>
            <w:shd w:val="clear" w:color="auto" w:fill="auto"/>
            <w:vAlign w:val="center"/>
          </w:tcPr>
          <w:p w14:paraId="000000D9"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1). Full</w:t>
            </w:r>
          </w:p>
        </w:tc>
        <w:tc>
          <w:tcPr>
            <w:tcW w:w="3280" w:type="dxa"/>
            <w:tcBorders>
              <w:top w:val="nil"/>
              <w:left w:val="nil"/>
              <w:bottom w:val="nil"/>
              <w:right w:val="nil"/>
            </w:tcBorders>
            <w:shd w:val="clear" w:color="auto" w:fill="auto"/>
            <w:vAlign w:val="center"/>
          </w:tcPr>
          <w:p w14:paraId="000000DA"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Contains all structural and environmental variables</w:t>
            </w:r>
          </w:p>
        </w:tc>
        <w:tc>
          <w:tcPr>
            <w:tcW w:w="3790" w:type="dxa"/>
            <w:tcBorders>
              <w:top w:val="nil"/>
              <w:left w:val="nil"/>
              <w:bottom w:val="nil"/>
              <w:right w:val="nil"/>
            </w:tcBorders>
            <w:shd w:val="clear" w:color="auto" w:fill="auto"/>
            <w:vAlign w:val="center"/>
          </w:tcPr>
          <w:p w14:paraId="000000DB" w14:textId="77777777" w:rsidR="006B16C2" w:rsidRDefault="00EB0728">
            <w:pPr>
              <w:rPr>
                <w:rFonts w:ascii="Calibri" w:eastAsia="Calibri" w:hAnsi="Calibri" w:cs="Calibri"/>
                <w:color w:val="DD2680"/>
                <w:sz w:val="16"/>
                <w:szCs w:val="16"/>
              </w:rPr>
            </w:pPr>
            <w:proofErr w:type="spellStart"/>
            <w:r>
              <w:rPr>
                <w:rFonts w:ascii="Calibri" w:eastAsia="Calibri" w:hAnsi="Calibri" w:cs="Calibri"/>
                <w:color w:val="CA2275"/>
                <w:sz w:val="16"/>
                <w:szCs w:val="16"/>
              </w:rPr>
              <w:t>TempRange</w:t>
            </w:r>
            <w:proofErr w:type="spellEnd"/>
            <w:r>
              <w:rPr>
                <w:rFonts w:ascii="Calibri" w:eastAsia="Calibri" w:hAnsi="Calibri" w:cs="Calibri"/>
                <w:color w:val="CA2275"/>
                <w:sz w:val="16"/>
                <w:szCs w:val="16"/>
              </w:rPr>
              <w:t>+ Elevation + Latitude</w:t>
            </w:r>
            <w:r>
              <w:rPr>
                <w:rFonts w:ascii="Calibri" w:eastAsia="Calibri" w:hAnsi="Calibri" w:cs="Calibri"/>
                <w:color w:val="000000"/>
                <w:sz w:val="16"/>
                <w:szCs w:val="16"/>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Total</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Can</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Sub</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Mid</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Und</w:t>
            </w:r>
            <w:r>
              <w:rPr>
                <w:rFonts w:ascii="Calibri" w:eastAsia="Calibri" w:hAnsi="Calibri" w:cs="Calibri"/>
                <w:color w:val="427896"/>
                <w:sz w:val="16"/>
                <w:szCs w:val="16"/>
                <w:vertAlign w:val="subscript"/>
              </w:rPr>
              <w:t>A</w:t>
            </w:r>
            <w:proofErr w:type="spellEnd"/>
            <w:r>
              <w:rPr>
                <w:rFonts w:ascii="Calibri" w:eastAsia="Calibri" w:hAnsi="Calibri" w:cs="Calibri"/>
                <w:color w:val="000000"/>
                <w:sz w:val="16"/>
                <w:szCs w:val="16"/>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Total</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Can</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Sub</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Mid</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Und</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rPr>
              <w:t xml:space="preserve"> + </w:t>
            </w:r>
            <w:proofErr w:type="spellStart"/>
            <w:r>
              <w:rPr>
                <w:rFonts w:ascii="Calibri" w:eastAsia="Calibri" w:hAnsi="Calibri" w:cs="Calibri"/>
                <w:color w:val="FF6000"/>
                <w:sz w:val="16"/>
                <w:szCs w:val="16"/>
              </w:rPr>
              <w:t>Vert</w:t>
            </w:r>
            <w:r>
              <w:rPr>
                <w:rFonts w:ascii="Calibri" w:eastAsia="Calibri" w:hAnsi="Calibri" w:cs="Calibri"/>
                <w:color w:val="FF6000"/>
                <w:sz w:val="16"/>
                <w:szCs w:val="16"/>
                <w:vertAlign w:val="subscript"/>
              </w:rPr>
              <w:t>V</w:t>
            </w:r>
            <w:proofErr w:type="spellEnd"/>
            <w:r>
              <w:rPr>
                <w:rFonts w:ascii="Calibri" w:eastAsia="Calibri" w:hAnsi="Calibri" w:cs="Calibri"/>
                <w:color w:val="FF6000"/>
                <w:sz w:val="16"/>
                <w:szCs w:val="16"/>
                <w:vertAlign w:val="subscript"/>
              </w:rPr>
              <w:t xml:space="preserve"> </w:t>
            </w:r>
          </w:p>
        </w:tc>
      </w:tr>
      <w:tr w:rsidR="006B16C2" w14:paraId="2EE9AC56" w14:textId="77777777">
        <w:trPr>
          <w:trHeight w:val="680"/>
        </w:trPr>
        <w:tc>
          <w:tcPr>
            <w:tcW w:w="2200" w:type="dxa"/>
            <w:tcBorders>
              <w:top w:val="nil"/>
              <w:left w:val="nil"/>
              <w:bottom w:val="nil"/>
              <w:right w:val="nil"/>
            </w:tcBorders>
            <w:shd w:val="clear" w:color="auto" w:fill="F2F2F2"/>
            <w:vAlign w:val="center"/>
          </w:tcPr>
          <w:p w14:paraId="000000DC"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 xml:space="preserve">2). </w:t>
            </w:r>
            <w:proofErr w:type="spellStart"/>
            <w:r>
              <w:rPr>
                <w:rFonts w:ascii="Calibri" w:eastAsia="Calibri" w:hAnsi="Calibri" w:cs="Calibri"/>
                <w:color w:val="000000"/>
                <w:sz w:val="16"/>
                <w:szCs w:val="16"/>
              </w:rPr>
              <w:t>Full_minusTotVol</w:t>
            </w:r>
            <w:proofErr w:type="spellEnd"/>
          </w:p>
        </w:tc>
        <w:tc>
          <w:tcPr>
            <w:tcW w:w="3280" w:type="dxa"/>
            <w:tcBorders>
              <w:top w:val="nil"/>
              <w:left w:val="nil"/>
              <w:bottom w:val="nil"/>
              <w:right w:val="nil"/>
            </w:tcBorders>
            <w:shd w:val="clear" w:color="auto" w:fill="F2F2F2"/>
            <w:vAlign w:val="center"/>
          </w:tcPr>
          <w:p w14:paraId="000000DD"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 xml:space="preserve">Contains all structural and environmental variables except </w:t>
            </w:r>
            <w:proofErr w:type="spellStart"/>
            <w:r>
              <w:rPr>
                <w:rFonts w:ascii="Calibri" w:eastAsia="Calibri" w:hAnsi="Calibri" w:cs="Calibri"/>
                <w:color w:val="000000"/>
                <w:sz w:val="16"/>
                <w:szCs w:val="16"/>
              </w:rPr>
              <w:t>TotalA</w:t>
            </w:r>
            <w:proofErr w:type="spellEnd"/>
          </w:p>
        </w:tc>
        <w:tc>
          <w:tcPr>
            <w:tcW w:w="3790" w:type="dxa"/>
            <w:tcBorders>
              <w:top w:val="nil"/>
              <w:left w:val="nil"/>
              <w:bottom w:val="nil"/>
              <w:right w:val="nil"/>
            </w:tcBorders>
            <w:shd w:val="clear" w:color="auto" w:fill="F2F2F2"/>
            <w:vAlign w:val="center"/>
          </w:tcPr>
          <w:p w14:paraId="000000DE" w14:textId="77777777" w:rsidR="006B16C2" w:rsidRDefault="00EB0728">
            <w:pPr>
              <w:rPr>
                <w:rFonts w:ascii="Calibri" w:eastAsia="Calibri" w:hAnsi="Calibri" w:cs="Calibri"/>
                <w:color w:val="DD2680"/>
                <w:sz w:val="16"/>
                <w:szCs w:val="16"/>
              </w:rPr>
            </w:pPr>
            <w:proofErr w:type="spellStart"/>
            <w:r>
              <w:rPr>
                <w:rFonts w:ascii="Calibri" w:eastAsia="Calibri" w:hAnsi="Calibri" w:cs="Calibri"/>
                <w:color w:val="CA2275"/>
                <w:sz w:val="16"/>
                <w:szCs w:val="16"/>
              </w:rPr>
              <w:t>TempRange</w:t>
            </w:r>
            <w:proofErr w:type="spellEnd"/>
            <w:r>
              <w:rPr>
                <w:rFonts w:ascii="Calibri" w:eastAsia="Calibri" w:hAnsi="Calibri" w:cs="Calibri"/>
                <w:color w:val="CA2275"/>
                <w:sz w:val="16"/>
                <w:szCs w:val="16"/>
              </w:rPr>
              <w:t xml:space="preserve">+ Elevation + Latitude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Can</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Sub</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Mid</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Und</w:t>
            </w:r>
            <w:r>
              <w:rPr>
                <w:rFonts w:ascii="Calibri" w:eastAsia="Calibri" w:hAnsi="Calibri" w:cs="Calibri"/>
                <w:color w:val="427896"/>
                <w:sz w:val="16"/>
                <w:szCs w:val="16"/>
                <w:vertAlign w:val="subscript"/>
              </w:rPr>
              <w:t>A</w:t>
            </w:r>
            <w:proofErr w:type="spellEnd"/>
            <w:r>
              <w:rPr>
                <w:rFonts w:ascii="Calibri" w:eastAsia="Calibri" w:hAnsi="Calibri" w:cs="Calibri"/>
                <w:color w:val="000000"/>
                <w:sz w:val="16"/>
                <w:szCs w:val="16"/>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Total</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Can</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Sub</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Mid</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Und</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rPr>
              <w:t xml:space="preserve"> + </w:t>
            </w:r>
            <w:proofErr w:type="spellStart"/>
            <w:r>
              <w:rPr>
                <w:rFonts w:ascii="Calibri" w:eastAsia="Calibri" w:hAnsi="Calibri" w:cs="Calibri"/>
                <w:color w:val="FF6000"/>
                <w:sz w:val="16"/>
                <w:szCs w:val="16"/>
              </w:rPr>
              <w:t>Vert</w:t>
            </w:r>
            <w:r>
              <w:rPr>
                <w:rFonts w:ascii="Calibri" w:eastAsia="Calibri" w:hAnsi="Calibri" w:cs="Calibri"/>
                <w:color w:val="FF6000"/>
                <w:sz w:val="16"/>
                <w:szCs w:val="16"/>
                <w:vertAlign w:val="subscript"/>
              </w:rPr>
              <w:t>V</w:t>
            </w:r>
            <w:proofErr w:type="spellEnd"/>
          </w:p>
        </w:tc>
      </w:tr>
      <w:tr w:rsidR="006B16C2" w14:paraId="55852BF8" w14:textId="77777777">
        <w:trPr>
          <w:trHeight w:val="640"/>
        </w:trPr>
        <w:tc>
          <w:tcPr>
            <w:tcW w:w="2200" w:type="dxa"/>
            <w:tcBorders>
              <w:top w:val="nil"/>
              <w:left w:val="nil"/>
              <w:bottom w:val="nil"/>
              <w:right w:val="nil"/>
            </w:tcBorders>
            <w:shd w:val="clear" w:color="auto" w:fill="auto"/>
            <w:vAlign w:val="center"/>
          </w:tcPr>
          <w:p w14:paraId="000000DF"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3). Structure</w:t>
            </w:r>
          </w:p>
        </w:tc>
        <w:tc>
          <w:tcPr>
            <w:tcW w:w="3280" w:type="dxa"/>
            <w:tcBorders>
              <w:top w:val="nil"/>
              <w:left w:val="nil"/>
              <w:bottom w:val="nil"/>
              <w:right w:val="nil"/>
            </w:tcBorders>
            <w:shd w:val="clear" w:color="auto" w:fill="auto"/>
            <w:vAlign w:val="center"/>
          </w:tcPr>
          <w:p w14:paraId="000000E0"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Contains all structural variables but not environmental variables</w:t>
            </w:r>
          </w:p>
        </w:tc>
        <w:tc>
          <w:tcPr>
            <w:tcW w:w="3790" w:type="dxa"/>
            <w:tcBorders>
              <w:top w:val="nil"/>
              <w:left w:val="nil"/>
              <w:bottom w:val="nil"/>
              <w:right w:val="nil"/>
            </w:tcBorders>
            <w:shd w:val="clear" w:color="auto" w:fill="auto"/>
            <w:vAlign w:val="center"/>
          </w:tcPr>
          <w:p w14:paraId="000000E1" w14:textId="77777777" w:rsidR="006B16C2" w:rsidRDefault="00EB0728">
            <w:pPr>
              <w:rPr>
                <w:rFonts w:ascii="Calibri" w:eastAsia="Calibri" w:hAnsi="Calibri" w:cs="Calibri"/>
                <w:color w:val="427896"/>
                <w:sz w:val="16"/>
                <w:szCs w:val="16"/>
              </w:rPr>
            </w:pPr>
            <w:proofErr w:type="spellStart"/>
            <w:r>
              <w:rPr>
                <w:rFonts w:ascii="Calibri" w:eastAsia="Calibri" w:hAnsi="Calibri" w:cs="Calibri"/>
                <w:color w:val="427896"/>
                <w:sz w:val="16"/>
                <w:szCs w:val="16"/>
              </w:rPr>
              <w:t>Can</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Sub</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Mid</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Und</w:t>
            </w:r>
            <w:r>
              <w:rPr>
                <w:rFonts w:ascii="Calibri" w:eastAsia="Calibri" w:hAnsi="Calibri" w:cs="Calibri"/>
                <w:color w:val="427896"/>
                <w:sz w:val="16"/>
                <w:szCs w:val="16"/>
                <w:vertAlign w:val="subscript"/>
              </w:rPr>
              <w:t>A</w:t>
            </w:r>
            <w:proofErr w:type="spellEnd"/>
            <w:r>
              <w:rPr>
                <w:rFonts w:ascii="Calibri" w:eastAsia="Calibri" w:hAnsi="Calibri" w:cs="Calibri"/>
                <w:color w:val="000000"/>
                <w:sz w:val="16"/>
                <w:szCs w:val="16"/>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Total</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Can</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Sub</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Mid</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Und</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rPr>
              <w:t xml:space="preserve"> + </w:t>
            </w:r>
            <w:proofErr w:type="spellStart"/>
            <w:r>
              <w:rPr>
                <w:rFonts w:ascii="Calibri" w:eastAsia="Calibri" w:hAnsi="Calibri" w:cs="Calibri"/>
                <w:color w:val="FF6000"/>
                <w:sz w:val="16"/>
                <w:szCs w:val="16"/>
              </w:rPr>
              <w:t>Vert</w:t>
            </w:r>
            <w:r>
              <w:rPr>
                <w:rFonts w:ascii="Calibri" w:eastAsia="Calibri" w:hAnsi="Calibri" w:cs="Calibri"/>
                <w:color w:val="FF6000"/>
                <w:sz w:val="16"/>
                <w:szCs w:val="16"/>
                <w:vertAlign w:val="subscript"/>
              </w:rPr>
              <w:t>V</w:t>
            </w:r>
            <w:proofErr w:type="spellEnd"/>
          </w:p>
        </w:tc>
      </w:tr>
      <w:tr w:rsidR="006B16C2" w14:paraId="70F4A2EE" w14:textId="77777777">
        <w:trPr>
          <w:trHeight w:val="480"/>
        </w:trPr>
        <w:tc>
          <w:tcPr>
            <w:tcW w:w="2200" w:type="dxa"/>
            <w:tcBorders>
              <w:top w:val="nil"/>
              <w:left w:val="nil"/>
              <w:bottom w:val="nil"/>
              <w:right w:val="nil"/>
            </w:tcBorders>
            <w:shd w:val="clear" w:color="auto" w:fill="F2F2F2"/>
            <w:vAlign w:val="center"/>
          </w:tcPr>
          <w:p w14:paraId="000000E2"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4). Configuration</w:t>
            </w:r>
          </w:p>
        </w:tc>
        <w:tc>
          <w:tcPr>
            <w:tcW w:w="3280" w:type="dxa"/>
            <w:tcBorders>
              <w:top w:val="nil"/>
              <w:left w:val="nil"/>
              <w:bottom w:val="nil"/>
              <w:right w:val="nil"/>
            </w:tcBorders>
            <w:shd w:val="clear" w:color="auto" w:fill="F2F2F2"/>
            <w:vAlign w:val="center"/>
          </w:tcPr>
          <w:p w14:paraId="000000E3"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Contains only configurational variables</w:t>
            </w:r>
          </w:p>
        </w:tc>
        <w:tc>
          <w:tcPr>
            <w:tcW w:w="3790" w:type="dxa"/>
            <w:tcBorders>
              <w:top w:val="nil"/>
              <w:left w:val="nil"/>
              <w:bottom w:val="nil"/>
              <w:right w:val="nil"/>
            </w:tcBorders>
            <w:shd w:val="clear" w:color="auto" w:fill="F2F2F2"/>
            <w:vAlign w:val="center"/>
          </w:tcPr>
          <w:p w14:paraId="000000E4" w14:textId="77777777" w:rsidR="006B16C2" w:rsidRDefault="00EB0728">
            <w:pPr>
              <w:rPr>
                <w:rFonts w:ascii="Calibri" w:eastAsia="Calibri" w:hAnsi="Calibri" w:cs="Calibri"/>
                <w:color w:val="FF6000"/>
                <w:sz w:val="16"/>
                <w:szCs w:val="16"/>
              </w:rPr>
            </w:pPr>
            <w:proofErr w:type="spellStart"/>
            <w:r>
              <w:rPr>
                <w:rFonts w:ascii="Calibri" w:eastAsia="Calibri" w:hAnsi="Calibri" w:cs="Calibri"/>
                <w:color w:val="FF6000"/>
                <w:sz w:val="16"/>
                <w:szCs w:val="16"/>
              </w:rPr>
              <w:t>Total</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Can</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Sub</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Mid</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Und</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rPr>
              <w:t xml:space="preserve"> + Variance</w:t>
            </w:r>
          </w:p>
        </w:tc>
      </w:tr>
      <w:tr w:rsidR="006B16C2" w14:paraId="741B7C7E" w14:textId="77777777">
        <w:trPr>
          <w:trHeight w:val="640"/>
        </w:trPr>
        <w:tc>
          <w:tcPr>
            <w:tcW w:w="2200" w:type="dxa"/>
            <w:tcBorders>
              <w:top w:val="nil"/>
              <w:left w:val="nil"/>
              <w:bottom w:val="nil"/>
              <w:right w:val="nil"/>
            </w:tcBorders>
            <w:shd w:val="clear" w:color="auto" w:fill="auto"/>
            <w:vAlign w:val="center"/>
          </w:tcPr>
          <w:p w14:paraId="000000E5"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 xml:space="preserve">5). </w:t>
            </w:r>
            <w:proofErr w:type="spellStart"/>
            <w:r>
              <w:rPr>
                <w:rFonts w:ascii="Calibri" w:eastAsia="Calibri" w:hAnsi="Calibri" w:cs="Calibri"/>
                <w:color w:val="000000"/>
                <w:sz w:val="16"/>
                <w:szCs w:val="16"/>
              </w:rPr>
              <w:t>Configuration_env</w:t>
            </w:r>
            <w:proofErr w:type="spellEnd"/>
          </w:p>
        </w:tc>
        <w:tc>
          <w:tcPr>
            <w:tcW w:w="3280" w:type="dxa"/>
            <w:tcBorders>
              <w:top w:val="nil"/>
              <w:left w:val="nil"/>
              <w:bottom w:val="nil"/>
              <w:right w:val="nil"/>
            </w:tcBorders>
            <w:shd w:val="clear" w:color="auto" w:fill="auto"/>
            <w:vAlign w:val="center"/>
          </w:tcPr>
          <w:p w14:paraId="000000E6"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Contains configurational variables and environmental variables</w:t>
            </w:r>
          </w:p>
        </w:tc>
        <w:tc>
          <w:tcPr>
            <w:tcW w:w="3790" w:type="dxa"/>
            <w:tcBorders>
              <w:top w:val="nil"/>
              <w:left w:val="nil"/>
              <w:bottom w:val="nil"/>
              <w:right w:val="nil"/>
            </w:tcBorders>
            <w:shd w:val="clear" w:color="auto" w:fill="auto"/>
            <w:vAlign w:val="center"/>
          </w:tcPr>
          <w:p w14:paraId="000000E7" w14:textId="77777777" w:rsidR="006B16C2" w:rsidRDefault="00EB0728">
            <w:pPr>
              <w:rPr>
                <w:rFonts w:ascii="Calibri" w:eastAsia="Calibri" w:hAnsi="Calibri" w:cs="Calibri"/>
                <w:color w:val="DD2680"/>
                <w:sz w:val="16"/>
                <w:szCs w:val="16"/>
              </w:rPr>
            </w:pPr>
            <w:proofErr w:type="spellStart"/>
            <w:r>
              <w:rPr>
                <w:rFonts w:ascii="Calibri" w:eastAsia="Calibri" w:hAnsi="Calibri" w:cs="Calibri"/>
                <w:color w:val="CA2275"/>
                <w:sz w:val="16"/>
                <w:szCs w:val="16"/>
              </w:rPr>
              <w:t>TempRange</w:t>
            </w:r>
            <w:proofErr w:type="spellEnd"/>
            <w:r>
              <w:rPr>
                <w:rFonts w:ascii="Calibri" w:eastAsia="Calibri" w:hAnsi="Calibri" w:cs="Calibri"/>
                <w:color w:val="CA2275"/>
                <w:sz w:val="16"/>
                <w:szCs w:val="16"/>
              </w:rPr>
              <w:t xml:space="preserve">+ Elevation + Latitude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Total</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Can</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Sub</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Mid</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Und</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rPr>
              <w:t xml:space="preserve"> + </w:t>
            </w:r>
            <w:proofErr w:type="spellStart"/>
            <w:r>
              <w:rPr>
                <w:rFonts w:ascii="Calibri" w:eastAsia="Calibri" w:hAnsi="Calibri" w:cs="Calibri"/>
                <w:color w:val="FF6000"/>
                <w:sz w:val="16"/>
                <w:szCs w:val="16"/>
              </w:rPr>
              <w:t>Vert</w:t>
            </w:r>
            <w:r>
              <w:rPr>
                <w:rFonts w:ascii="Calibri" w:eastAsia="Calibri" w:hAnsi="Calibri" w:cs="Calibri"/>
                <w:color w:val="FF6000"/>
                <w:sz w:val="16"/>
                <w:szCs w:val="16"/>
                <w:vertAlign w:val="subscript"/>
              </w:rPr>
              <w:t>V</w:t>
            </w:r>
            <w:proofErr w:type="spellEnd"/>
          </w:p>
        </w:tc>
      </w:tr>
      <w:tr w:rsidR="006B16C2" w14:paraId="5D83EDAD" w14:textId="77777777">
        <w:trPr>
          <w:trHeight w:val="340"/>
        </w:trPr>
        <w:tc>
          <w:tcPr>
            <w:tcW w:w="2200" w:type="dxa"/>
            <w:tcBorders>
              <w:top w:val="nil"/>
              <w:left w:val="nil"/>
              <w:bottom w:val="nil"/>
              <w:right w:val="nil"/>
            </w:tcBorders>
            <w:shd w:val="clear" w:color="auto" w:fill="F2F2F2"/>
            <w:vAlign w:val="center"/>
          </w:tcPr>
          <w:p w14:paraId="000000E8"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6). Composition</w:t>
            </w:r>
          </w:p>
        </w:tc>
        <w:tc>
          <w:tcPr>
            <w:tcW w:w="3280" w:type="dxa"/>
            <w:tcBorders>
              <w:top w:val="nil"/>
              <w:left w:val="nil"/>
              <w:bottom w:val="nil"/>
              <w:right w:val="nil"/>
            </w:tcBorders>
            <w:shd w:val="clear" w:color="auto" w:fill="F2F2F2"/>
            <w:vAlign w:val="center"/>
          </w:tcPr>
          <w:p w14:paraId="000000E9"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Contains only compositional variables</w:t>
            </w:r>
          </w:p>
        </w:tc>
        <w:tc>
          <w:tcPr>
            <w:tcW w:w="3790" w:type="dxa"/>
            <w:tcBorders>
              <w:top w:val="nil"/>
              <w:left w:val="nil"/>
              <w:bottom w:val="nil"/>
              <w:right w:val="nil"/>
            </w:tcBorders>
            <w:shd w:val="clear" w:color="auto" w:fill="F2F2F2"/>
            <w:vAlign w:val="center"/>
          </w:tcPr>
          <w:p w14:paraId="000000EA" w14:textId="77777777" w:rsidR="006B16C2" w:rsidRDefault="00EB0728">
            <w:pPr>
              <w:rPr>
                <w:rFonts w:ascii="Calibri" w:eastAsia="Calibri" w:hAnsi="Calibri" w:cs="Calibri"/>
                <w:color w:val="427896"/>
                <w:sz w:val="16"/>
                <w:szCs w:val="16"/>
              </w:rPr>
            </w:pPr>
            <w:proofErr w:type="spellStart"/>
            <w:r>
              <w:rPr>
                <w:rFonts w:ascii="Calibri" w:eastAsia="Calibri" w:hAnsi="Calibri" w:cs="Calibri"/>
                <w:color w:val="427896"/>
                <w:sz w:val="16"/>
                <w:szCs w:val="16"/>
              </w:rPr>
              <w:t>Can</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Sub</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Mid</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Und</w:t>
            </w:r>
            <w:r>
              <w:rPr>
                <w:rFonts w:ascii="Calibri" w:eastAsia="Calibri" w:hAnsi="Calibri" w:cs="Calibri"/>
                <w:color w:val="427896"/>
                <w:sz w:val="16"/>
                <w:szCs w:val="16"/>
                <w:vertAlign w:val="subscript"/>
              </w:rPr>
              <w:t>A</w:t>
            </w:r>
            <w:proofErr w:type="spellEnd"/>
            <w:r>
              <w:rPr>
                <w:rFonts w:ascii="Calibri" w:eastAsia="Calibri" w:hAnsi="Calibri" w:cs="Calibri"/>
                <w:color w:val="000000"/>
                <w:sz w:val="16"/>
                <w:szCs w:val="16"/>
              </w:rPr>
              <w:t xml:space="preserve"> </w:t>
            </w:r>
          </w:p>
        </w:tc>
      </w:tr>
      <w:tr w:rsidR="006B16C2" w14:paraId="2941E216" w14:textId="77777777">
        <w:trPr>
          <w:trHeight w:val="600"/>
        </w:trPr>
        <w:tc>
          <w:tcPr>
            <w:tcW w:w="2200" w:type="dxa"/>
            <w:tcBorders>
              <w:top w:val="nil"/>
              <w:left w:val="nil"/>
              <w:bottom w:val="nil"/>
              <w:right w:val="nil"/>
            </w:tcBorders>
            <w:shd w:val="clear" w:color="auto" w:fill="auto"/>
            <w:vAlign w:val="center"/>
          </w:tcPr>
          <w:p w14:paraId="000000EB"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 xml:space="preserve">7). </w:t>
            </w:r>
            <w:proofErr w:type="spellStart"/>
            <w:r>
              <w:rPr>
                <w:rFonts w:ascii="Calibri" w:eastAsia="Calibri" w:hAnsi="Calibri" w:cs="Calibri"/>
                <w:color w:val="000000"/>
                <w:sz w:val="16"/>
                <w:szCs w:val="16"/>
              </w:rPr>
              <w:t>Composition_env</w:t>
            </w:r>
            <w:proofErr w:type="spellEnd"/>
          </w:p>
        </w:tc>
        <w:tc>
          <w:tcPr>
            <w:tcW w:w="3280" w:type="dxa"/>
            <w:tcBorders>
              <w:top w:val="nil"/>
              <w:left w:val="nil"/>
              <w:bottom w:val="nil"/>
              <w:right w:val="nil"/>
            </w:tcBorders>
            <w:shd w:val="clear" w:color="auto" w:fill="auto"/>
            <w:vAlign w:val="center"/>
          </w:tcPr>
          <w:p w14:paraId="000000EC"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Contains compositional variables and environmental variables</w:t>
            </w:r>
          </w:p>
        </w:tc>
        <w:tc>
          <w:tcPr>
            <w:tcW w:w="3790" w:type="dxa"/>
            <w:tcBorders>
              <w:top w:val="nil"/>
              <w:left w:val="nil"/>
              <w:bottom w:val="nil"/>
              <w:right w:val="nil"/>
            </w:tcBorders>
            <w:shd w:val="clear" w:color="auto" w:fill="auto"/>
            <w:vAlign w:val="center"/>
          </w:tcPr>
          <w:p w14:paraId="000000ED" w14:textId="77777777" w:rsidR="006B16C2" w:rsidRDefault="00EB0728">
            <w:pPr>
              <w:rPr>
                <w:rFonts w:ascii="Calibri" w:eastAsia="Calibri" w:hAnsi="Calibri" w:cs="Calibri"/>
                <w:color w:val="DD2680"/>
                <w:sz w:val="16"/>
                <w:szCs w:val="16"/>
              </w:rPr>
            </w:pPr>
            <w:proofErr w:type="spellStart"/>
            <w:r>
              <w:rPr>
                <w:rFonts w:ascii="Calibri" w:eastAsia="Calibri" w:hAnsi="Calibri" w:cs="Calibri"/>
                <w:color w:val="CA2275"/>
                <w:sz w:val="16"/>
                <w:szCs w:val="16"/>
              </w:rPr>
              <w:t>TempRange</w:t>
            </w:r>
            <w:proofErr w:type="spellEnd"/>
            <w:r>
              <w:rPr>
                <w:rFonts w:ascii="Calibri" w:eastAsia="Calibri" w:hAnsi="Calibri" w:cs="Calibri"/>
                <w:color w:val="CA2275"/>
                <w:sz w:val="16"/>
                <w:szCs w:val="16"/>
              </w:rPr>
              <w:t xml:space="preserve">+ Elevation + Latitude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Can</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Sub</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Mid</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Und</w:t>
            </w:r>
            <w:r>
              <w:rPr>
                <w:rFonts w:ascii="Calibri" w:eastAsia="Calibri" w:hAnsi="Calibri" w:cs="Calibri"/>
                <w:color w:val="427896"/>
                <w:sz w:val="16"/>
                <w:szCs w:val="16"/>
                <w:vertAlign w:val="subscript"/>
              </w:rPr>
              <w:t>A</w:t>
            </w:r>
            <w:proofErr w:type="spellEnd"/>
            <w:r>
              <w:rPr>
                <w:rFonts w:ascii="Calibri" w:eastAsia="Calibri" w:hAnsi="Calibri" w:cs="Calibri"/>
                <w:color w:val="000000"/>
                <w:sz w:val="16"/>
                <w:szCs w:val="16"/>
              </w:rPr>
              <w:t xml:space="preserve"> </w:t>
            </w:r>
          </w:p>
        </w:tc>
      </w:tr>
      <w:tr w:rsidR="006B16C2" w14:paraId="5F8B3078" w14:textId="77777777">
        <w:trPr>
          <w:trHeight w:val="600"/>
        </w:trPr>
        <w:tc>
          <w:tcPr>
            <w:tcW w:w="2200" w:type="dxa"/>
            <w:tcBorders>
              <w:top w:val="nil"/>
              <w:left w:val="nil"/>
              <w:bottom w:val="nil"/>
              <w:right w:val="nil"/>
            </w:tcBorders>
            <w:shd w:val="clear" w:color="auto" w:fill="F2F2F2"/>
            <w:vAlign w:val="center"/>
          </w:tcPr>
          <w:p w14:paraId="000000EE"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8). Horizontal</w:t>
            </w:r>
          </w:p>
        </w:tc>
        <w:tc>
          <w:tcPr>
            <w:tcW w:w="3280" w:type="dxa"/>
            <w:tcBorders>
              <w:top w:val="nil"/>
              <w:left w:val="nil"/>
              <w:bottom w:val="nil"/>
              <w:right w:val="nil"/>
            </w:tcBorders>
            <w:shd w:val="clear" w:color="auto" w:fill="F2F2F2"/>
            <w:vAlign w:val="center"/>
          </w:tcPr>
          <w:p w14:paraId="000000EF"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Contains all structural variables except for vertical variance</w:t>
            </w:r>
          </w:p>
        </w:tc>
        <w:tc>
          <w:tcPr>
            <w:tcW w:w="3790" w:type="dxa"/>
            <w:tcBorders>
              <w:top w:val="nil"/>
              <w:left w:val="nil"/>
              <w:bottom w:val="nil"/>
              <w:right w:val="nil"/>
            </w:tcBorders>
            <w:shd w:val="clear" w:color="auto" w:fill="F2F2F2"/>
            <w:vAlign w:val="center"/>
          </w:tcPr>
          <w:p w14:paraId="000000F0" w14:textId="77777777" w:rsidR="006B16C2" w:rsidRDefault="00EB0728">
            <w:pPr>
              <w:rPr>
                <w:rFonts w:ascii="Calibri" w:eastAsia="Calibri" w:hAnsi="Calibri" w:cs="Calibri"/>
                <w:color w:val="427896"/>
                <w:sz w:val="16"/>
                <w:szCs w:val="16"/>
              </w:rPr>
            </w:pPr>
            <w:proofErr w:type="spellStart"/>
            <w:r>
              <w:rPr>
                <w:rFonts w:ascii="Calibri" w:eastAsia="Calibri" w:hAnsi="Calibri" w:cs="Calibri"/>
                <w:color w:val="427896"/>
                <w:sz w:val="16"/>
                <w:szCs w:val="16"/>
              </w:rPr>
              <w:t>Can</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Sub</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Mid</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Und</w:t>
            </w:r>
            <w:r>
              <w:rPr>
                <w:rFonts w:ascii="Calibri" w:eastAsia="Calibri" w:hAnsi="Calibri" w:cs="Calibri"/>
                <w:color w:val="427896"/>
                <w:sz w:val="16"/>
                <w:szCs w:val="16"/>
                <w:vertAlign w:val="subscript"/>
              </w:rPr>
              <w:t>A</w:t>
            </w:r>
            <w:proofErr w:type="spellEnd"/>
            <w:r>
              <w:rPr>
                <w:rFonts w:ascii="Calibri" w:eastAsia="Calibri" w:hAnsi="Calibri" w:cs="Calibri"/>
                <w:color w:val="000000"/>
                <w:sz w:val="16"/>
                <w:szCs w:val="16"/>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Can</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Sub</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Mid</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Und</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rPr>
              <w:t xml:space="preserve"> </w:t>
            </w:r>
          </w:p>
        </w:tc>
      </w:tr>
      <w:tr w:rsidR="006B16C2" w14:paraId="79CF5A8F" w14:textId="77777777">
        <w:trPr>
          <w:trHeight w:val="900"/>
        </w:trPr>
        <w:tc>
          <w:tcPr>
            <w:tcW w:w="2200" w:type="dxa"/>
            <w:tcBorders>
              <w:top w:val="nil"/>
              <w:left w:val="nil"/>
              <w:bottom w:val="nil"/>
              <w:right w:val="nil"/>
            </w:tcBorders>
            <w:shd w:val="clear" w:color="auto" w:fill="auto"/>
            <w:vAlign w:val="center"/>
          </w:tcPr>
          <w:p w14:paraId="000000F1"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 xml:space="preserve">9). </w:t>
            </w:r>
            <w:proofErr w:type="spellStart"/>
            <w:r>
              <w:rPr>
                <w:rFonts w:ascii="Calibri" w:eastAsia="Calibri" w:hAnsi="Calibri" w:cs="Calibri"/>
                <w:color w:val="000000"/>
                <w:sz w:val="16"/>
                <w:szCs w:val="16"/>
              </w:rPr>
              <w:t>Horizontal_env</w:t>
            </w:r>
            <w:proofErr w:type="spellEnd"/>
          </w:p>
        </w:tc>
        <w:tc>
          <w:tcPr>
            <w:tcW w:w="3280" w:type="dxa"/>
            <w:tcBorders>
              <w:top w:val="nil"/>
              <w:left w:val="nil"/>
              <w:bottom w:val="nil"/>
              <w:right w:val="nil"/>
            </w:tcBorders>
            <w:shd w:val="clear" w:color="auto" w:fill="auto"/>
            <w:vAlign w:val="center"/>
          </w:tcPr>
          <w:p w14:paraId="000000F2"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Contains all structural variables except for vertical variance and environmental variables</w:t>
            </w:r>
          </w:p>
        </w:tc>
        <w:tc>
          <w:tcPr>
            <w:tcW w:w="3790" w:type="dxa"/>
            <w:tcBorders>
              <w:top w:val="nil"/>
              <w:left w:val="nil"/>
              <w:bottom w:val="nil"/>
              <w:right w:val="nil"/>
            </w:tcBorders>
            <w:shd w:val="clear" w:color="auto" w:fill="auto"/>
            <w:vAlign w:val="center"/>
          </w:tcPr>
          <w:p w14:paraId="000000F3" w14:textId="77777777" w:rsidR="006B16C2" w:rsidRDefault="00EB0728">
            <w:pPr>
              <w:rPr>
                <w:rFonts w:ascii="Calibri" w:eastAsia="Calibri" w:hAnsi="Calibri" w:cs="Calibri"/>
                <w:color w:val="DD2680"/>
                <w:sz w:val="16"/>
                <w:szCs w:val="16"/>
              </w:rPr>
            </w:pPr>
            <w:proofErr w:type="spellStart"/>
            <w:r>
              <w:rPr>
                <w:rFonts w:ascii="Calibri" w:eastAsia="Calibri" w:hAnsi="Calibri" w:cs="Calibri"/>
                <w:color w:val="CA2275"/>
                <w:sz w:val="16"/>
                <w:szCs w:val="16"/>
              </w:rPr>
              <w:t>TempRange</w:t>
            </w:r>
            <w:proofErr w:type="spellEnd"/>
            <w:r>
              <w:rPr>
                <w:rFonts w:ascii="Calibri" w:eastAsia="Calibri" w:hAnsi="Calibri" w:cs="Calibri"/>
                <w:color w:val="CA2275"/>
                <w:sz w:val="16"/>
                <w:szCs w:val="16"/>
              </w:rPr>
              <w:t xml:space="preserve">+ Elevation + Latitude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Can</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Sub</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Mid</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Und</w:t>
            </w:r>
            <w:r>
              <w:rPr>
                <w:rFonts w:ascii="Calibri" w:eastAsia="Calibri" w:hAnsi="Calibri" w:cs="Calibri"/>
                <w:color w:val="427896"/>
                <w:sz w:val="16"/>
                <w:szCs w:val="16"/>
                <w:vertAlign w:val="subscript"/>
              </w:rPr>
              <w:t>A</w:t>
            </w:r>
            <w:proofErr w:type="spellEnd"/>
            <w:r>
              <w:rPr>
                <w:rFonts w:ascii="Calibri" w:eastAsia="Calibri" w:hAnsi="Calibri" w:cs="Calibri"/>
                <w:color w:val="000000"/>
                <w:sz w:val="16"/>
                <w:szCs w:val="16"/>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Can</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Sub</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Mid</w:t>
            </w:r>
            <w:r>
              <w:rPr>
                <w:rFonts w:ascii="Calibri" w:eastAsia="Calibri" w:hAnsi="Calibri" w:cs="Calibri"/>
                <w:color w:val="FF6000"/>
                <w:sz w:val="16"/>
                <w:szCs w:val="16"/>
                <w:vertAlign w:val="subscript"/>
              </w:rPr>
              <w:t>C</w:t>
            </w:r>
            <w:proofErr w:type="spellEnd"/>
            <w:r>
              <w:rPr>
                <w:rFonts w:ascii="Calibri" w:eastAsia="Calibri" w:hAnsi="Calibri" w:cs="Calibri"/>
                <w:color w:val="FF6000"/>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Und</w:t>
            </w:r>
            <w:r>
              <w:rPr>
                <w:rFonts w:ascii="Calibri" w:eastAsia="Calibri" w:hAnsi="Calibri" w:cs="Calibri"/>
                <w:color w:val="FF6000"/>
                <w:sz w:val="16"/>
                <w:szCs w:val="16"/>
                <w:vertAlign w:val="subscript"/>
              </w:rPr>
              <w:t>C</w:t>
            </w:r>
            <w:proofErr w:type="spellEnd"/>
          </w:p>
        </w:tc>
      </w:tr>
      <w:tr w:rsidR="006B16C2" w14:paraId="22D22087" w14:textId="77777777">
        <w:trPr>
          <w:trHeight w:val="600"/>
        </w:trPr>
        <w:tc>
          <w:tcPr>
            <w:tcW w:w="2200" w:type="dxa"/>
            <w:tcBorders>
              <w:top w:val="nil"/>
              <w:left w:val="nil"/>
              <w:bottom w:val="nil"/>
              <w:right w:val="nil"/>
            </w:tcBorders>
            <w:shd w:val="clear" w:color="auto" w:fill="F2F2F2"/>
            <w:vAlign w:val="center"/>
          </w:tcPr>
          <w:p w14:paraId="000000F4"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10). Amount</w:t>
            </w:r>
          </w:p>
        </w:tc>
        <w:tc>
          <w:tcPr>
            <w:tcW w:w="3280" w:type="dxa"/>
            <w:tcBorders>
              <w:top w:val="nil"/>
              <w:left w:val="nil"/>
              <w:bottom w:val="nil"/>
              <w:right w:val="nil"/>
            </w:tcBorders>
            <w:shd w:val="clear" w:color="auto" w:fill="F2F2F2"/>
            <w:vAlign w:val="center"/>
          </w:tcPr>
          <w:p w14:paraId="000000F5"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 xml:space="preserve">Contains only </w:t>
            </w:r>
            <w:proofErr w:type="spellStart"/>
            <w:r>
              <w:rPr>
                <w:rFonts w:ascii="Calibri" w:eastAsia="Calibri" w:hAnsi="Calibri" w:cs="Calibri"/>
                <w:color w:val="000000"/>
                <w:sz w:val="16"/>
                <w:szCs w:val="16"/>
              </w:rPr>
              <w:t>TotalA</w:t>
            </w:r>
            <w:proofErr w:type="spellEnd"/>
            <w:r>
              <w:rPr>
                <w:rFonts w:ascii="Calibri" w:eastAsia="Calibri" w:hAnsi="Calibri" w:cs="Calibri"/>
                <w:color w:val="000000"/>
                <w:sz w:val="16"/>
                <w:szCs w:val="16"/>
              </w:rPr>
              <w:t xml:space="preserve"> and environmental variables</w:t>
            </w:r>
          </w:p>
        </w:tc>
        <w:tc>
          <w:tcPr>
            <w:tcW w:w="3790" w:type="dxa"/>
            <w:tcBorders>
              <w:top w:val="nil"/>
              <w:left w:val="nil"/>
              <w:bottom w:val="nil"/>
              <w:right w:val="nil"/>
            </w:tcBorders>
            <w:shd w:val="clear" w:color="auto" w:fill="F2F2F2"/>
            <w:vAlign w:val="center"/>
          </w:tcPr>
          <w:p w14:paraId="000000F6" w14:textId="77777777" w:rsidR="006B16C2" w:rsidRDefault="00EB0728">
            <w:pPr>
              <w:rPr>
                <w:rFonts w:ascii="Calibri" w:eastAsia="Calibri" w:hAnsi="Calibri" w:cs="Calibri"/>
                <w:color w:val="DD2680"/>
                <w:sz w:val="16"/>
                <w:szCs w:val="16"/>
              </w:rPr>
            </w:pPr>
            <w:proofErr w:type="spellStart"/>
            <w:r>
              <w:rPr>
                <w:rFonts w:ascii="Calibri" w:eastAsia="Calibri" w:hAnsi="Calibri" w:cs="Calibri"/>
                <w:color w:val="CA2275"/>
                <w:sz w:val="16"/>
                <w:szCs w:val="16"/>
              </w:rPr>
              <w:t>TempRange</w:t>
            </w:r>
            <w:proofErr w:type="spellEnd"/>
            <w:r>
              <w:rPr>
                <w:rFonts w:ascii="Calibri" w:eastAsia="Calibri" w:hAnsi="Calibri" w:cs="Calibri"/>
                <w:color w:val="CA2275"/>
                <w:sz w:val="16"/>
                <w:szCs w:val="16"/>
              </w:rPr>
              <w:t xml:space="preserve">+ Elevation + Latitude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Total</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p>
        </w:tc>
      </w:tr>
      <w:tr w:rsidR="006B16C2" w14:paraId="7236A931" w14:textId="77777777">
        <w:trPr>
          <w:trHeight w:val="600"/>
        </w:trPr>
        <w:tc>
          <w:tcPr>
            <w:tcW w:w="2200" w:type="dxa"/>
            <w:tcBorders>
              <w:top w:val="nil"/>
              <w:left w:val="nil"/>
              <w:bottom w:val="nil"/>
              <w:right w:val="nil"/>
            </w:tcBorders>
            <w:shd w:val="clear" w:color="auto" w:fill="auto"/>
            <w:vAlign w:val="center"/>
          </w:tcPr>
          <w:p w14:paraId="000000F7"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11). Vertical</w:t>
            </w:r>
          </w:p>
        </w:tc>
        <w:tc>
          <w:tcPr>
            <w:tcW w:w="3280" w:type="dxa"/>
            <w:tcBorders>
              <w:top w:val="nil"/>
              <w:left w:val="nil"/>
              <w:bottom w:val="nil"/>
              <w:right w:val="nil"/>
            </w:tcBorders>
            <w:shd w:val="clear" w:color="auto" w:fill="auto"/>
            <w:vAlign w:val="center"/>
          </w:tcPr>
          <w:p w14:paraId="000000F8"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 xml:space="preserve">Contains </w:t>
            </w:r>
            <w:proofErr w:type="spellStart"/>
            <w:r>
              <w:rPr>
                <w:rFonts w:ascii="Calibri" w:eastAsia="Calibri" w:hAnsi="Calibri" w:cs="Calibri"/>
                <w:color w:val="000000"/>
                <w:sz w:val="16"/>
                <w:szCs w:val="16"/>
              </w:rPr>
              <w:t>TotalA</w:t>
            </w:r>
            <w:proofErr w:type="spellEnd"/>
            <w:r>
              <w:rPr>
                <w:rFonts w:ascii="Calibri" w:eastAsia="Calibri" w:hAnsi="Calibri" w:cs="Calibri"/>
                <w:color w:val="000000"/>
                <w:sz w:val="16"/>
                <w:szCs w:val="16"/>
              </w:rPr>
              <w:t xml:space="preserve"> and vertical variance and environmental variables</w:t>
            </w:r>
          </w:p>
        </w:tc>
        <w:tc>
          <w:tcPr>
            <w:tcW w:w="3790" w:type="dxa"/>
            <w:tcBorders>
              <w:top w:val="nil"/>
              <w:left w:val="nil"/>
              <w:bottom w:val="nil"/>
              <w:right w:val="nil"/>
            </w:tcBorders>
            <w:shd w:val="clear" w:color="auto" w:fill="auto"/>
            <w:vAlign w:val="center"/>
          </w:tcPr>
          <w:p w14:paraId="000000F9" w14:textId="77777777" w:rsidR="006B16C2" w:rsidRDefault="00EB0728">
            <w:pPr>
              <w:rPr>
                <w:rFonts w:ascii="Calibri" w:eastAsia="Calibri" w:hAnsi="Calibri" w:cs="Calibri"/>
                <w:color w:val="DD2680"/>
                <w:sz w:val="16"/>
                <w:szCs w:val="16"/>
              </w:rPr>
            </w:pPr>
            <w:proofErr w:type="spellStart"/>
            <w:r>
              <w:rPr>
                <w:rFonts w:ascii="Calibri" w:eastAsia="Calibri" w:hAnsi="Calibri" w:cs="Calibri"/>
                <w:color w:val="CA2275"/>
                <w:sz w:val="16"/>
                <w:szCs w:val="16"/>
              </w:rPr>
              <w:t>TempRange</w:t>
            </w:r>
            <w:proofErr w:type="spellEnd"/>
            <w:r>
              <w:rPr>
                <w:rFonts w:ascii="Calibri" w:eastAsia="Calibri" w:hAnsi="Calibri" w:cs="Calibri"/>
                <w:color w:val="CA2275"/>
                <w:sz w:val="16"/>
                <w:szCs w:val="16"/>
              </w:rPr>
              <w:t xml:space="preserve">+ Elevation + Latitude </w:t>
            </w:r>
            <w:r>
              <w:rPr>
                <w:rFonts w:ascii="Calibri" w:eastAsia="Calibri" w:hAnsi="Calibri" w:cs="Calibri"/>
                <w:color w:val="427896"/>
                <w:sz w:val="16"/>
                <w:szCs w:val="16"/>
              </w:rPr>
              <w:t xml:space="preserve">+ </w:t>
            </w:r>
            <w:proofErr w:type="spellStart"/>
            <w:r>
              <w:rPr>
                <w:rFonts w:ascii="Calibri" w:eastAsia="Calibri" w:hAnsi="Calibri" w:cs="Calibri"/>
                <w:color w:val="427896"/>
                <w:sz w:val="16"/>
                <w:szCs w:val="16"/>
              </w:rPr>
              <w:t>Total</w:t>
            </w:r>
            <w:r>
              <w:rPr>
                <w:rFonts w:ascii="Calibri" w:eastAsia="Calibri" w:hAnsi="Calibri" w:cs="Calibri"/>
                <w:color w:val="427896"/>
                <w:sz w:val="16"/>
                <w:szCs w:val="16"/>
                <w:vertAlign w:val="subscript"/>
              </w:rPr>
              <w:t>A</w:t>
            </w:r>
            <w:proofErr w:type="spellEnd"/>
            <w:r>
              <w:rPr>
                <w:rFonts w:ascii="Calibri" w:eastAsia="Calibri" w:hAnsi="Calibri" w:cs="Calibri"/>
                <w:color w:val="427896"/>
                <w:sz w:val="16"/>
                <w:szCs w:val="16"/>
                <w:vertAlign w:val="subscript"/>
              </w:rPr>
              <w:t xml:space="preserve"> </w:t>
            </w:r>
            <w:r>
              <w:rPr>
                <w:rFonts w:ascii="Calibri" w:eastAsia="Calibri" w:hAnsi="Calibri" w:cs="Calibri"/>
                <w:color w:val="FF6000"/>
                <w:sz w:val="16"/>
                <w:szCs w:val="16"/>
              </w:rPr>
              <w:t xml:space="preserve">+ </w:t>
            </w:r>
            <w:proofErr w:type="spellStart"/>
            <w:r>
              <w:rPr>
                <w:rFonts w:ascii="Calibri" w:eastAsia="Calibri" w:hAnsi="Calibri" w:cs="Calibri"/>
                <w:color w:val="FF6000"/>
                <w:sz w:val="16"/>
                <w:szCs w:val="16"/>
              </w:rPr>
              <w:t>Vert</w:t>
            </w:r>
            <w:r>
              <w:rPr>
                <w:rFonts w:ascii="Calibri" w:eastAsia="Calibri" w:hAnsi="Calibri" w:cs="Calibri"/>
                <w:color w:val="FF6000"/>
                <w:sz w:val="16"/>
                <w:szCs w:val="16"/>
                <w:vertAlign w:val="subscript"/>
              </w:rPr>
              <w:t>V</w:t>
            </w:r>
            <w:proofErr w:type="spellEnd"/>
          </w:p>
        </w:tc>
      </w:tr>
      <w:tr w:rsidR="006B16C2" w14:paraId="3605A7F3" w14:textId="77777777">
        <w:trPr>
          <w:trHeight w:val="320"/>
        </w:trPr>
        <w:tc>
          <w:tcPr>
            <w:tcW w:w="2200" w:type="dxa"/>
            <w:tcBorders>
              <w:top w:val="nil"/>
              <w:left w:val="nil"/>
              <w:bottom w:val="nil"/>
              <w:right w:val="nil"/>
            </w:tcBorders>
            <w:shd w:val="clear" w:color="auto" w:fill="F2F2F2"/>
            <w:vAlign w:val="center"/>
          </w:tcPr>
          <w:p w14:paraId="000000FA"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12). Climate</w:t>
            </w:r>
          </w:p>
        </w:tc>
        <w:tc>
          <w:tcPr>
            <w:tcW w:w="3280" w:type="dxa"/>
            <w:tcBorders>
              <w:top w:val="nil"/>
              <w:left w:val="nil"/>
              <w:bottom w:val="nil"/>
              <w:right w:val="nil"/>
            </w:tcBorders>
            <w:shd w:val="clear" w:color="auto" w:fill="F2F2F2"/>
            <w:vAlign w:val="center"/>
          </w:tcPr>
          <w:p w14:paraId="000000FB" w14:textId="77777777" w:rsidR="006B16C2" w:rsidRDefault="00EB0728">
            <w:pPr>
              <w:rPr>
                <w:rFonts w:ascii="Calibri" w:eastAsia="Calibri" w:hAnsi="Calibri" w:cs="Calibri"/>
                <w:color w:val="000000"/>
                <w:sz w:val="16"/>
                <w:szCs w:val="16"/>
              </w:rPr>
            </w:pPr>
            <w:r>
              <w:rPr>
                <w:rFonts w:ascii="Calibri" w:eastAsia="Calibri" w:hAnsi="Calibri" w:cs="Calibri"/>
                <w:color w:val="000000"/>
                <w:sz w:val="16"/>
                <w:szCs w:val="16"/>
              </w:rPr>
              <w:t>Environmental variables only</w:t>
            </w:r>
          </w:p>
        </w:tc>
        <w:tc>
          <w:tcPr>
            <w:tcW w:w="3790" w:type="dxa"/>
            <w:tcBorders>
              <w:top w:val="nil"/>
              <w:left w:val="nil"/>
              <w:bottom w:val="nil"/>
              <w:right w:val="nil"/>
            </w:tcBorders>
            <w:shd w:val="clear" w:color="auto" w:fill="F2F2F2"/>
            <w:vAlign w:val="center"/>
          </w:tcPr>
          <w:p w14:paraId="000000FC" w14:textId="77777777" w:rsidR="006B16C2" w:rsidRDefault="00EB0728">
            <w:pPr>
              <w:rPr>
                <w:rFonts w:ascii="Calibri" w:eastAsia="Calibri" w:hAnsi="Calibri" w:cs="Calibri"/>
                <w:color w:val="000000"/>
                <w:sz w:val="16"/>
                <w:szCs w:val="16"/>
              </w:rPr>
            </w:pPr>
            <w:proofErr w:type="spellStart"/>
            <w:r>
              <w:rPr>
                <w:rFonts w:ascii="Calibri" w:eastAsia="Calibri" w:hAnsi="Calibri" w:cs="Calibri"/>
                <w:color w:val="CA2275"/>
                <w:sz w:val="16"/>
                <w:szCs w:val="16"/>
              </w:rPr>
              <w:t>TempRange</w:t>
            </w:r>
            <w:proofErr w:type="spellEnd"/>
            <w:r>
              <w:rPr>
                <w:rFonts w:ascii="Calibri" w:eastAsia="Calibri" w:hAnsi="Calibri" w:cs="Calibri"/>
                <w:color w:val="CA2275"/>
                <w:sz w:val="16"/>
                <w:szCs w:val="16"/>
              </w:rPr>
              <w:t>+ Elevation + Latitude</w:t>
            </w:r>
          </w:p>
        </w:tc>
      </w:tr>
    </w:tbl>
    <w:p w14:paraId="000000FD" w14:textId="77777777" w:rsidR="006B16C2" w:rsidRDefault="00EB0728">
      <w:pPr>
        <w:rPr>
          <w:b/>
          <w:sz w:val="22"/>
          <w:szCs w:val="22"/>
        </w:rPr>
      </w:pPr>
      <w:r>
        <w:br w:type="page"/>
      </w:r>
    </w:p>
    <w:p w14:paraId="000000FE" w14:textId="77777777" w:rsidR="006B16C2" w:rsidRDefault="006B16C2">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b/>
          <w:sz w:val="22"/>
          <w:szCs w:val="22"/>
        </w:rPr>
      </w:pPr>
    </w:p>
    <w:p w14:paraId="000000FF" w14:textId="77777777" w:rsidR="006B16C2" w:rsidRDefault="00EB0728">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b/>
          <w:sz w:val="22"/>
          <w:szCs w:val="22"/>
        </w:rPr>
      </w:pPr>
      <w:r>
        <w:rPr>
          <w:b/>
          <w:noProof/>
          <w:sz w:val="22"/>
          <w:szCs w:val="22"/>
        </w:rPr>
        <w:drawing>
          <wp:inline distT="0" distB="0" distL="0" distR="0" wp14:anchorId="4A77D961" wp14:editId="72DB3813">
            <wp:extent cx="5943600" cy="4255770"/>
            <wp:effectExtent l="0" t="0" r="0" b="0"/>
            <wp:docPr id="11" name="image3.png" descr="A diagram of a multicolored cylinder&#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3.png" descr="A diagram of a multicolored cylinder&#10;&#10;Description automatically generated with medium confidence"/>
                    <pic:cNvPicPr preferRelativeResize="0"/>
                  </pic:nvPicPr>
                  <pic:blipFill>
                    <a:blip r:embed="rId12"/>
                    <a:srcRect/>
                    <a:stretch>
                      <a:fillRect/>
                    </a:stretch>
                  </pic:blipFill>
                  <pic:spPr>
                    <a:xfrm>
                      <a:off x="0" y="0"/>
                      <a:ext cx="5943600" cy="4255770"/>
                    </a:xfrm>
                    <a:prstGeom prst="rect">
                      <a:avLst/>
                    </a:prstGeom>
                    <a:ln/>
                  </pic:spPr>
                </pic:pic>
              </a:graphicData>
            </a:graphic>
          </wp:inline>
        </w:drawing>
      </w:r>
    </w:p>
    <w:p w14:paraId="00000100" w14:textId="77777777" w:rsidR="006B16C2" w:rsidRDefault="00EB0728">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b/>
          <w:sz w:val="22"/>
          <w:szCs w:val="22"/>
        </w:rPr>
      </w:pPr>
      <w:r>
        <w:rPr>
          <w:b/>
          <w:sz w:val="22"/>
          <w:szCs w:val="22"/>
        </w:rPr>
        <w:t xml:space="preserve">Figure 1. </w:t>
      </w:r>
      <w:r>
        <w:rPr>
          <w:sz w:val="22"/>
          <w:szCs w:val="22"/>
        </w:rPr>
        <w:t>Conceptual Diagram of 3D habitat structure calculations. For each of the 385 NEON plots we studied (a), LiDAR data were split into 1m bins (b, left) and discretized into four height strata (understory, Und, 0-5m; midstory, Mid, 5-15m; subcanopy, Sub, 15-25m; canopy, Can,  &gt;25m; b, right). Vertical habitat configuration was quantified as the variance of number of voxels found in each 1m height bin (</w:t>
      </w:r>
      <w:proofErr w:type="spellStart"/>
      <w:r>
        <w:rPr>
          <w:sz w:val="22"/>
          <w:szCs w:val="22"/>
        </w:rPr>
        <w:t>Vert</w:t>
      </w:r>
      <w:r>
        <w:rPr>
          <w:sz w:val="22"/>
          <w:szCs w:val="22"/>
          <w:vertAlign w:val="subscript"/>
        </w:rPr>
        <w:t>V</w:t>
      </w:r>
      <w:proofErr w:type="spellEnd"/>
      <w:r>
        <w:rPr>
          <w:sz w:val="22"/>
          <w:szCs w:val="22"/>
        </w:rPr>
        <w:t>; c). 3D habitat composition was quantified as the number of voxels at each height bin (</w:t>
      </w:r>
      <w:proofErr w:type="spellStart"/>
      <w:r>
        <w:rPr>
          <w:sz w:val="22"/>
          <w:szCs w:val="22"/>
        </w:rPr>
        <w:t>Und</w:t>
      </w:r>
      <w:r>
        <w:rPr>
          <w:sz w:val="22"/>
          <w:szCs w:val="22"/>
          <w:vertAlign w:val="subscript"/>
        </w:rPr>
        <w:t>A</w:t>
      </w:r>
      <w:proofErr w:type="spellEnd"/>
      <w:r>
        <w:rPr>
          <w:sz w:val="22"/>
          <w:szCs w:val="22"/>
        </w:rPr>
        <w:t xml:space="preserve">, </w:t>
      </w:r>
      <w:proofErr w:type="spellStart"/>
      <w:r>
        <w:rPr>
          <w:sz w:val="22"/>
          <w:szCs w:val="22"/>
        </w:rPr>
        <w:t>Mid</w:t>
      </w:r>
      <w:r>
        <w:rPr>
          <w:sz w:val="22"/>
          <w:szCs w:val="22"/>
          <w:vertAlign w:val="subscript"/>
        </w:rPr>
        <w:t>A</w:t>
      </w:r>
      <w:proofErr w:type="spellEnd"/>
      <w:r>
        <w:rPr>
          <w:sz w:val="22"/>
          <w:szCs w:val="22"/>
        </w:rPr>
        <w:t xml:space="preserve">, </w:t>
      </w:r>
      <w:proofErr w:type="spellStart"/>
      <w:r>
        <w:rPr>
          <w:sz w:val="22"/>
          <w:szCs w:val="22"/>
        </w:rPr>
        <w:t>Sub</w:t>
      </w:r>
      <w:r>
        <w:rPr>
          <w:sz w:val="22"/>
          <w:szCs w:val="22"/>
          <w:vertAlign w:val="subscript"/>
        </w:rPr>
        <w:t>A</w:t>
      </w:r>
      <w:proofErr w:type="spellEnd"/>
      <w:r>
        <w:rPr>
          <w:sz w:val="22"/>
          <w:szCs w:val="22"/>
        </w:rPr>
        <w:t xml:space="preserve">, </w:t>
      </w:r>
      <w:proofErr w:type="spellStart"/>
      <w:r>
        <w:rPr>
          <w:sz w:val="22"/>
          <w:szCs w:val="22"/>
        </w:rPr>
        <w:t>Can</w:t>
      </w:r>
      <w:r>
        <w:rPr>
          <w:sz w:val="22"/>
          <w:szCs w:val="22"/>
          <w:vertAlign w:val="subscript"/>
        </w:rPr>
        <w:t>A</w:t>
      </w:r>
      <w:proofErr w:type="spellEnd"/>
      <w:r>
        <w:rPr>
          <w:sz w:val="22"/>
          <w:szCs w:val="22"/>
        </w:rPr>
        <w:t>) and the sum of all voxels (</w:t>
      </w:r>
      <w:proofErr w:type="spellStart"/>
      <w:r>
        <w:rPr>
          <w:sz w:val="22"/>
          <w:szCs w:val="22"/>
        </w:rPr>
        <w:t>Total</w:t>
      </w:r>
      <w:r>
        <w:rPr>
          <w:sz w:val="22"/>
          <w:szCs w:val="22"/>
          <w:vertAlign w:val="subscript"/>
        </w:rPr>
        <w:t>A</w:t>
      </w:r>
      <w:proofErr w:type="spellEnd"/>
      <w:r>
        <w:rPr>
          <w:sz w:val="22"/>
          <w:szCs w:val="22"/>
        </w:rPr>
        <w:t>; d). 3D habitat configuration at each height stratum (</w:t>
      </w:r>
      <w:proofErr w:type="spellStart"/>
      <w:r>
        <w:rPr>
          <w:sz w:val="22"/>
          <w:szCs w:val="22"/>
        </w:rPr>
        <w:t>Und</w:t>
      </w:r>
      <w:r>
        <w:rPr>
          <w:sz w:val="22"/>
          <w:szCs w:val="22"/>
          <w:vertAlign w:val="subscript"/>
        </w:rPr>
        <w:t>C</w:t>
      </w:r>
      <w:proofErr w:type="spellEnd"/>
      <w:r>
        <w:rPr>
          <w:sz w:val="22"/>
          <w:szCs w:val="22"/>
        </w:rPr>
        <w:t xml:space="preserve">, </w:t>
      </w:r>
      <w:proofErr w:type="spellStart"/>
      <w:r>
        <w:rPr>
          <w:sz w:val="22"/>
          <w:szCs w:val="22"/>
        </w:rPr>
        <w:t>Mid</w:t>
      </w:r>
      <w:r>
        <w:rPr>
          <w:sz w:val="22"/>
          <w:szCs w:val="22"/>
          <w:vertAlign w:val="subscript"/>
        </w:rPr>
        <w:t>C</w:t>
      </w:r>
      <w:proofErr w:type="spellEnd"/>
      <w:r>
        <w:rPr>
          <w:sz w:val="22"/>
          <w:szCs w:val="22"/>
        </w:rPr>
        <w:t xml:space="preserve">, </w:t>
      </w:r>
      <w:proofErr w:type="spellStart"/>
      <w:r>
        <w:rPr>
          <w:sz w:val="22"/>
          <w:szCs w:val="22"/>
        </w:rPr>
        <w:t>Sub</w:t>
      </w:r>
      <w:r>
        <w:rPr>
          <w:sz w:val="22"/>
          <w:szCs w:val="22"/>
          <w:vertAlign w:val="subscript"/>
        </w:rPr>
        <w:t>C</w:t>
      </w:r>
      <w:proofErr w:type="spellEnd"/>
      <w:r>
        <w:rPr>
          <w:sz w:val="22"/>
          <w:szCs w:val="22"/>
        </w:rPr>
        <w:t xml:space="preserve">, </w:t>
      </w:r>
      <w:proofErr w:type="spellStart"/>
      <w:r>
        <w:rPr>
          <w:sz w:val="22"/>
          <w:szCs w:val="22"/>
        </w:rPr>
        <w:t>Can</w:t>
      </w:r>
      <w:r>
        <w:rPr>
          <w:sz w:val="22"/>
          <w:szCs w:val="22"/>
          <w:vertAlign w:val="subscript"/>
        </w:rPr>
        <w:t>C</w:t>
      </w:r>
      <w:proofErr w:type="spellEnd"/>
      <w:r>
        <w:rPr>
          <w:sz w:val="22"/>
          <w:szCs w:val="22"/>
        </w:rPr>
        <w:t>) was quantified by converting the voxels in each height stratum into rasters before quantifying the number of habitat patches in the raster and 2D habitat configuration (</w:t>
      </w:r>
      <w:proofErr w:type="spellStart"/>
      <w:r>
        <w:rPr>
          <w:sz w:val="22"/>
          <w:szCs w:val="22"/>
        </w:rPr>
        <w:t>Total</w:t>
      </w:r>
      <w:r>
        <w:rPr>
          <w:sz w:val="22"/>
          <w:szCs w:val="22"/>
          <w:vertAlign w:val="subscript"/>
        </w:rPr>
        <w:t>C</w:t>
      </w:r>
      <w:proofErr w:type="spellEnd"/>
      <w:r>
        <w:rPr>
          <w:sz w:val="22"/>
          <w:szCs w:val="22"/>
        </w:rPr>
        <w:t>) was quantified by converting all voxels in the plot into a raster and then quantifying the number of habitat patches (e).</w:t>
      </w:r>
    </w:p>
    <w:p w14:paraId="00000101" w14:textId="77777777" w:rsidR="006B16C2" w:rsidRDefault="006B16C2">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sz w:val="22"/>
          <w:szCs w:val="22"/>
        </w:rPr>
      </w:pPr>
    </w:p>
    <w:p w14:paraId="00000102" w14:textId="77777777" w:rsidR="006B16C2" w:rsidRDefault="006B16C2">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b/>
          <w:sz w:val="22"/>
          <w:szCs w:val="22"/>
        </w:rPr>
      </w:pPr>
    </w:p>
    <w:p w14:paraId="00000103" w14:textId="77777777" w:rsidR="006B16C2" w:rsidRDefault="006B16C2">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b/>
          <w:sz w:val="22"/>
          <w:szCs w:val="22"/>
        </w:rPr>
      </w:pPr>
    </w:p>
    <w:p w14:paraId="00000104" w14:textId="77777777" w:rsidR="006B16C2" w:rsidRDefault="006B16C2">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b/>
          <w:sz w:val="22"/>
          <w:szCs w:val="22"/>
        </w:rPr>
      </w:pPr>
    </w:p>
    <w:p w14:paraId="00000105" w14:textId="77777777" w:rsidR="006B16C2" w:rsidRDefault="00EB0728">
      <w:pPr>
        <w:rPr>
          <w:b/>
          <w:sz w:val="22"/>
          <w:szCs w:val="22"/>
        </w:rPr>
      </w:pPr>
      <w:r>
        <w:br w:type="page"/>
      </w:r>
    </w:p>
    <w:p w14:paraId="00000106" w14:textId="77777777" w:rsidR="006B16C2" w:rsidRDefault="00EB0728">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b/>
          <w:sz w:val="22"/>
          <w:szCs w:val="22"/>
        </w:rPr>
      </w:pPr>
      <w:r>
        <w:rPr>
          <w:noProof/>
          <w:sz w:val="22"/>
          <w:szCs w:val="22"/>
        </w:rPr>
        <w:lastRenderedPageBreak/>
        <w:drawing>
          <wp:inline distT="0" distB="0" distL="0" distR="0" wp14:anchorId="5F0328F0" wp14:editId="174658BB">
            <wp:extent cx="5843646" cy="5694433"/>
            <wp:effectExtent l="0" t="0" r="0" b="0"/>
            <wp:docPr id="13" name="image6.png" descr="A screenshot of a graph&#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png" descr="A screenshot of a graph&#10;&#10;Description automatically generated"/>
                    <pic:cNvPicPr preferRelativeResize="0"/>
                  </pic:nvPicPr>
                  <pic:blipFill>
                    <a:blip r:embed="rId13"/>
                    <a:srcRect/>
                    <a:stretch>
                      <a:fillRect/>
                    </a:stretch>
                  </pic:blipFill>
                  <pic:spPr>
                    <a:xfrm>
                      <a:off x="0" y="0"/>
                      <a:ext cx="5843646" cy="5694433"/>
                    </a:xfrm>
                    <a:prstGeom prst="rect">
                      <a:avLst/>
                    </a:prstGeom>
                    <a:ln/>
                  </pic:spPr>
                </pic:pic>
              </a:graphicData>
            </a:graphic>
          </wp:inline>
        </w:drawing>
      </w:r>
    </w:p>
    <w:p w14:paraId="00000107" w14:textId="77777777" w:rsidR="006B16C2" w:rsidRDefault="00EB0728">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b/>
          <w:sz w:val="22"/>
          <w:szCs w:val="22"/>
        </w:rPr>
      </w:pPr>
      <w:r>
        <w:rPr>
          <w:b/>
          <w:sz w:val="22"/>
          <w:szCs w:val="22"/>
        </w:rPr>
        <w:t xml:space="preserve">Figure 2. </w:t>
      </w:r>
      <w:r>
        <w:rPr>
          <w:sz w:val="22"/>
          <w:szCs w:val="22"/>
        </w:rPr>
        <w:t>Vectors from Principal Coordinate Analysis (</w:t>
      </w:r>
      <w:proofErr w:type="spellStart"/>
      <w:r>
        <w:rPr>
          <w:sz w:val="22"/>
          <w:szCs w:val="22"/>
        </w:rPr>
        <w:t>PCoA</w:t>
      </w:r>
      <w:proofErr w:type="spellEnd"/>
      <w:r>
        <w:rPr>
          <w:sz w:val="22"/>
          <w:szCs w:val="22"/>
        </w:rPr>
        <w:t>) for the first four Principal Coordinates (PCs) for foraging (a), dietary (b), and morphological (c) traits. The numbers associated with each trait loading specify the PC axis upon which the respective trait exhibits the strongest loading. Vectors are shaded in grey for traits that do not display the strongest loading on the given PC axis. Unknown vertebrate was left off of dietary trait plots because no species in our analysis had this trait axis.</w:t>
      </w:r>
    </w:p>
    <w:p w14:paraId="00000108" w14:textId="77777777" w:rsidR="006B16C2" w:rsidRDefault="006B16C2">
      <w:pPr>
        <w:rPr>
          <w:b/>
          <w:sz w:val="22"/>
          <w:szCs w:val="22"/>
        </w:rPr>
      </w:pPr>
    </w:p>
    <w:p w14:paraId="00000109" w14:textId="77777777" w:rsidR="006B16C2" w:rsidRDefault="00EB0728">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b/>
          <w:sz w:val="22"/>
          <w:szCs w:val="22"/>
        </w:rPr>
      </w:pPr>
      <w:r>
        <w:rPr>
          <w:noProof/>
          <w:sz w:val="22"/>
          <w:szCs w:val="22"/>
        </w:rPr>
        <w:lastRenderedPageBreak/>
        <w:drawing>
          <wp:inline distT="0" distB="0" distL="0" distR="0" wp14:anchorId="00C6B3BC" wp14:editId="61E9F6CE">
            <wp:extent cx="4751631" cy="7076666"/>
            <wp:effectExtent l="0" t="0" r="0" b="0"/>
            <wp:docPr id="12" name="image4.png" descr="A collage of graphs showing different colored dot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ollage of graphs showing different colored dots&#10;&#10;Description automatically generated"/>
                    <pic:cNvPicPr preferRelativeResize="0"/>
                  </pic:nvPicPr>
                  <pic:blipFill>
                    <a:blip r:embed="rId14"/>
                    <a:srcRect/>
                    <a:stretch>
                      <a:fillRect/>
                    </a:stretch>
                  </pic:blipFill>
                  <pic:spPr>
                    <a:xfrm>
                      <a:off x="0" y="0"/>
                      <a:ext cx="4751631" cy="7076666"/>
                    </a:xfrm>
                    <a:prstGeom prst="rect">
                      <a:avLst/>
                    </a:prstGeom>
                    <a:ln/>
                  </pic:spPr>
                </pic:pic>
              </a:graphicData>
            </a:graphic>
          </wp:inline>
        </w:drawing>
      </w:r>
    </w:p>
    <w:p w14:paraId="0000010A" w14:textId="77777777" w:rsidR="006B16C2" w:rsidRDefault="006B16C2">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sz w:val="22"/>
          <w:szCs w:val="22"/>
        </w:rPr>
      </w:pPr>
    </w:p>
    <w:p w14:paraId="0000010B" w14:textId="77777777" w:rsidR="006B16C2" w:rsidRDefault="00EB0728">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b/>
          <w:sz w:val="22"/>
          <w:szCs w:val="22"/>
        </w:rPr>
      </w:pPr>
      <w:r>
        <w:rPr>
          <w:b/>
          <w:sz w:val="22"/>
          <w:szCs w:val="22"/>
        </w:rPr>
        <w:t xml:space="preserve">Figure 3. </w:t>
      </w:r>
      <w:r>
        <w:rPr>
          <w:sz w:val="22"/>
          <w:szCs w:val="22"/>
        </w:rPr>
        <w:t xml:space="preserve">Principal Coordinate (PC) trait space for all avian plots (grey) and avian plots </w:t>
      </w:r>
      <w:proofErr w:type="spellStart"/>
      <w:r>
        <w:rPr>
          <w:sz w:val="22"/>
          <w:szCs w:val="22"/>
        </w:rPr>
        <w:t>subsetted</w:t>
      </w:r>
      <w:proofErr w:type="spellEnd"/>
      <w:r>
        <w:rPr>
          <w:sz w:val="22"/>
          <w:szCs w:val="22"/>
        </w:rPr>
        <w:t xml:space="preserve"> based on the maximum height strata occupied by vegetation (color): Canopy (a), Subcanopy (b), Midstory (c), and Understory (d). Color indicates plots with vegetation that reaches but does not exceed the four height strata. Points indicate NEON plots; values for PC1 – PC4 for each NEON plot represent average PC scores for all species occurring at that plot, weighted by their abundance estimates. All density plots are generated with contour lines up to the 100% percentile.</w:t>
      </w:r>
    </w:p>
    <w:p w14:paraId="0000010C" w14:textId="77777777" w:rsidR="006B16C2" w:rsidRDefault="006B16C2">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b/>
          <w:sz w:val="22"/>
          <w:szCs w:val="22"/>
        </w:rPr>
      </w:pPr>
    </w:p>
    <w:p w14:paraId="0000010D" w14:textId="77777777" w:rsidR="006B16C2" w:rsidRDefault="00EB0728">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b/>
          <w:sz w:val="22"/>
          <w:szCs w:val="22"/>
        </w:rPr>
      </w:pPr>
      <w:r>
        <w:rPr>
          <w:noProof/>
          <w:sz w:val="22"/>
          <w:szCs w:val="22"/>
        </w:rPr>
        <w:drawing>
          <wp:inline distT="0" distB="0" distL="0" distR="0" wp14:anchorId="67AE2FED" wp14:editId="20717C67">
            <wp:extent cx="5943600" cy="5309235"/>
            <wp:effectExtent l="0" t="0" r="0" b="0"/>
            <wp:docPr id="15" name="image5.png" descr="A screenshot of a graph&#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A screenshot of a graph&#10;&#10;Description automatically generated"/>
                    <pic:cNvPicPr preferRelativeResize="0"/>
                  </pic:nvPicPr>
                  <pic:blipFill>
                    <a:blip r:embed="rId15"/>
                    <a:srcRect/>
                    <a:stretch>
                      <a:fillRect/>
                    </a:stretch>
                  </pic:blipFill>
                  <pic:spPr>
                    <a:xfrm>
                      <a:off x="0" y="0"/>
                      <a:ext cx="5943600" cy="5309235"/>
                    </a:xfrm>
                    <a:prstGeom prst="rect">
                      <a:avLst/>
                    </a:prstGeom>
                    <a:ln/>
                  </pic:spPr>
                </pic:pic>
              </a:graphicData>
            </a:graphic>
          </wp:inline>
        </w:drawing>
      </w:r>
    </w:p>
    <w:p w14:paraId="0000010E" w14:textId="77777777" w:rsidR="006B16C2" w:rsidRDefault="00EB0728">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s>
        <w:rPr>
          <w:b/>
          <w:sz w:val="22"/>
          <w:szCs w:val="22"/>
        </w:rPr>
      </w:pPr>
      <w:r>
        <w:rPr>
          <w:b/>
          <w:sz w:val="22"/>
          <w:szCs w:val="22"/>
        </w:rPr>
        <w:t xml:space="preserve">Figure 4. </w:t>
      </w:r>
      <w:r>
        <w:rPr>
          <w:sz w:val="22"/>
          <w:szCs w:val="22"/>
        </w:rPr>
        <w:t>Parameter estimates from each model (excluding full model) for all ten biodiversity response variables (</w:t>
      </w:r>
      <w:proofErr w:type="spellStart"/>
      <w:r>
        <w:rPr>
          <w:sz w:val="22"/>
          <w:szCs w:val="22"/>
        </w:rPr>
        <w:t>SpRich</w:t>
      </w:r>
      <w:proofErr w:type="spellEnd"/>
      <w:r>
        <w:rPr>
          <w:sz w:val="22"/>
          <w:szCs w:val="22"/>
        </w:rPr>
        <w:t xml:space="preserve">=species richness, PD=Faith’s Phylogenetic Diversity, MPD=mean pairwise distance, </w:t>
      </w:r>
      <w:proofErr w:type="spellStart"/>
      <w:r>
        <w:rPr>
          <w:sz w:val="22"/>
          <w:szCs w:val="22"/>
        </w:rPr>
        <w:t>FRich</w:t>
      </w:r>
      <w:proofErr w:type="spellEnd"/>
      <w:r>
        <w:rPr>
          <w:sz w:val="22"/>
          <w:szCs w:val="22"/>
        </w:rPr>
        <w:t xml:space="preserve">=Functional Richness, </w:t>
      </w:r>
      <w:proofErr w:type="spellStart"/>
      <w:r>
        <w:rPr>
          <w:sz w:val="22"/>
          <w:szCs w:val="22"/>
        </w:rPr>
        <w:t>FEven</w:t>
      </w:r>
      <w:proofErr w:type="spellEnd"/>
      <w:r>
        <w:rPr>
          <w:sz w:val="22"/>
          <w:szCs w:val="22"/>
        </w:rPr>
        <w:t xml:space="preserve">=Functional Evenness, </w:t>
      </w:r>
      <w:proofErr w:type="spellStart"/>
      <w:r>
        <w:rPr>
          <w:sz w:val="22"/>
          <w:szCs w:val="22"/>
        </w:rPr>
        <w:t>FDiv</w:t>
      </w:r>
      <w:proofErr w:type="spellEnd"/>
      <w:r>
        <w:rPr>
          <w:sz w:val="22"/>
          <w:szCs w:val="22"/>
        </w:rPr>
        <w:t>=Functional Divergence, PC1= Principal Coordinate 1, PC2=Principal Coordinate 2, PC3=Principal Coordinate 3, PC4=Principal Coordinate 4). Boxes and tails around parameter estimates designate 80% and 95% credible intervals (CIs), respectively. Positive and negative parameter estimates whose 95% CIs do not overlap zero are shown in green and red, respectively. Parameter estimates whose 95% CIs overlap zero are shown in grey. Colored outlines designate parameters in broad categories of environmental (pink), habitat composition (blue), and habitat configuration (orange).</w:t>
      </w:r>
    </w:p>
    <w:sectPr w:rsidR="006B16C2">
      <w:footerReference w:type="even" r:id="rId16"/>
      <w:footerReference w:type="default" r:id="rId17"/>
      <w:pgSz w:w="12240" w:h="15840"/>
      <w:pgMar w:top="1440" w:right="1440" w:bottom="1440" w:left="1440" w:header="720" w:footer="720" w:gutter="0"/>
      <w:lnNumType w:countBy="1" w:restart="continuous"/>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2E8D171" w14:textId="77777777" w:rsidR="00D44B4A" w:rsidRDefault="00D44B4A">
      <w:r>
        <w:separator/>
      </w:r>
    </w:p>
  </w:endnote>
  <w:endnote w:type="continuationSeparator" w:id="0">
    <w:p w14:paraId="07E9DE9C" w14:textId="77777777" w:rsidR="00D44B4A" w:rsidRDefault="00D44B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inionPro-Regular">
    <w:altName w:val="Calibri"/>
    <w:panose1 w:val="020B0604020202020204"/>
    <w:charset w:val="4D"/>
    <w:family w:val="auto"/>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00062E" w14:textId="77777777" w:rsidR="002C16FD" w:rsidRDefault="002C16FD">
    <w:pPr>
      <w:pBdr>
        <w:top w:val="nil"/>
        <w:left w:val="nil"/>
        <w:bottom w:val="nil"/>
        <w:right w:val="nil"/>
        <w:between w:val="nil"/>
      </w:pBdr>
      <w:tabs>
        <w:tab w:val="center" w:pos="4680"/>
        <w:tab w:val="right" w:pos="9360"/>
      </w:tabs>
      <w:jc w:val="right"/>
      <w:rPr>
        <w:rFonts w:ascii="Calibri" w:eastAsia="Calibri" w:hAnsi="Calibri" w:cs="Calibri"/>
        <w:color w:val="000000"/>
      </w:rPr>
    </w:pPr>
    <w:r>
      <w:rPr>
        <w:rFonts w:ascii="Calibri" w:eastAsia="Calibri" w:hAnsi="Calibri" w:cs="Calibri"/>
        <w:color w:val="000000"/>
      </w:rPr>
      <w:fldChar w:fldCharType="begin"/>
    </w:r>
    <w:r>
      <w:rPr>
        <w:rFonts w:ascii="Calibri" w:eastAsia="Calibri" w:hAnsi="Calibri" w:cs="Calibri"/>
        <w:color w:val="000000"/>
      </w:rPr>
      <w:instrText>PAGE</w:instrText>
    </w:r>
    <w:r>
      <w:rPr>
        <w:rFonts w:ascii="Calibri" w:eastAsia="Calibri" w:hAnsi="Calibri" w:cs="Calibri"/>
        <w:color w:val="000000"/>
      </w:rPr>
      <w:fldChar w:fldCharType="end"/>
    </w:r>
  </w:p>
  <w:p w14:paraId="0000062F" w14:textId="77777777" w:rsidR="002C16FD" w:rsidRDefault="002C16FD">
    <w:pPr>
      <w:pBdr>
        <w:top w:val="nil"/>
        <w:left w:val="nil"/>
        <w:bottom w:val="nil"/>
        <w:right w:val="nil"/>
        <w:between w:val="nil"/>
      </w:pBdr>
      <w:tabs>
        <w:tab w:val="center" w:pos="4680"/>
        <w:tab w:val="right" w:pos="9360"/>
      </w:tabs>
      <w:ind w:right="360"/>
      <w:rPr>
        <w:rFonts w:ascii="Calibri" w:eastAsia="Calibri" w:hAnsi="Calibri" w:cs="Calibri"/>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00062C" w14:textId="00D01360" w:rsidR="002C16FD" w:rsidRDefault="002C16FD">
    <w:pPr>
      <w:pBdr>
        <w:top w:val="nil"/>
        <w:left w:val="nil"/>
        <w:bottom w:val="nil"/>
        <w:right w:val="nil"/>
        <w:between w:val="nil"/>
      </w:pBdr>
      <w:tabs>
        <w:tab w:val="center" w:pos="4680"/>
        <w:tab w:val="right" w:pos="9360"/>
      </w:tabs>
      <w:jc w:val="right"/>
      <w:rPr>
        <w:rFonts w:ascii="Calibri" w:eastAsia="Calibri" w:hAnsi="Calibri" w:cs="Calibri"/>
        <w:color w:val="000000"/>
      </w:rPr>
    </w:pPr>
    <w:r>
      <w:rPr>
        <w:rFonts w:ascii="Calibri" w:eastAsia="Calibri" w:hAnsi="Calibri" w:cs="Calibri"/>
        <w:color w:val="000000"/>
      </w:rPr>
      <w:fldChar w:fldCharType="begin"/>
    </w:r>
    <w:r>
      <w:rPr>
        <w:rFonts w:ascii="Calibri" w:eastAsia="Calibri" w:hAnsi="Calibri" w:cs="Calibri"/>
        <w:color w:val="000000"/>
      </w:rPr>
      <w:instrText>PAGE</w:instrText>
    </w:r>
    <w:r>
      <w:rPr>
        <w:rFonts w:ascii="Calibri" w:eastAsia="Calibri" w:hAnsi="Calibri" w:cs="Calibri"/>
        <w:color w:val="000000"/>
      </w:rPr>
      <w:fldChar w:fldCharType="separate"/>
    </w:r>
    <w:r>
      <w:rPr>
        <w:rFonts w:ascii="Calibri" w:eastAsia="Calibri" w:hAnsi="Calibri" w:cs="Calibri"/>
        <w:noProof/>
        <w:color w:val="000000"/>
      </w:rPr>
      <w:t>1</w:t>
    </w:r>
    <w:r>
      <w:rPr>
        <w:rFonts w:ascii="Calibri" w:eastAsia="Calibri" w:hAnsi="Calibri" w:cs="Calibri"/>
        <w:color w:val="000000"/>
      </w:rPr>
      <w:fldChar w:fldCharType="end"/>
    </w:r>
  </w:p>
  <w:p w14:paraId="0000062D" w14:textId="77777777" w:rsidR="002C16FD" w:rsidRDefault="002C16FD">
    <w:pPr>
      <w:pBdr>
        <w:top w:val="nil"/>
        <w:left w:val="nil"/>
        <w:bottom w:val="nil"/>
        <w:right w:val="nil"/>
        <w:between w:val="nil"/>
      </w:pBdr>
      <w:tabs>
        <w:tab w:val="center" w:pos="4680"/>
        <w:tab w:val="right" w:pos="9360"/>
      </w:tabs>
      <w:ind w:right="360"/>
      <w:rPr>
        <w:rFonts w:ascii="Calibri" w:eastAsia="Calibri" w:hAnsi="Calibri" w:cs="Calibri"/>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A612E9C" w14:textId="77777777" w:rsidR="00D44B4A" w:rsidRDefault="00D44B4A">
      <w:r>
        <w:separator/>
      </w:r>
    </w:p>
  </w:footnote>
  <w:footnote w:type="continuationSeparator" w:id="0">
    <w:p w14:paraId="1C3D44E4" w14:textId="77777777" w:rsidR="00D44B4A" w:rsidRDefault="00D44B4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64974504"/>
    <w:multiLevelType w:val="multilevel"/>
    <w:tmpl w:val="0070358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9"/>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16C2"/>
    <w:rsid w:val="00074937"/>
    <w:rsid w:val="000921A2"/>
    <w:rsid w:val="001511F9"/>
    <w:rsid w:val="002010D1"/>
    <w:rsid w:val="002477DA"/>
    <w:rsid w:val="00262D78"/>
    <w:rsid w:val="002C16FD"/>
    <w:rsid w:val="003500CD"/>
    <w:rsid w:val="003817DB"/>
    <w:rsid w:val="00382AAA"/>
    <w:rsid w:val="00471B76"/>
    <w:rsid w:val="004A6E45"/>
    <w:rsid w:val="004E4AF5"/>
    <w:rsid w:val="00525C70"/>
    <w:rsid w:val="00547971"/>
    <w:rsid w:val="005908A4"/>
    <w:rsid w:val="005A76C4"/>
    <w:rsid w:val="005B0F18"/>
    <w:rsid w:val="00604EE5"/>
    <w:rsid w:val="0061768B"/>
    <w:rsid w:val="006A0478"/>
    <w:rsid w:val="006A2CA6"/>
    <w:rsid w:val="006B16C2"/>
    <w:rsid w:val="00716CA1"/>
    <w:rsid w:val="00723921"/>
    <w:rsid w:val="007464D2"/>
    <w:rsid w:val="00804E2C"/>
    <w:rsid w:val="008473C8"/>
    <w:rsid w:val="008767F6"/>
    <w:rsid w:val="008D33A0"/>
    <w:rsid w:val="008E0F49"/>
    <w:rsid w:val="0090075F"/>
    <w:rsid w:val="00906145"/>
    <w:rsid w:val="00917EE2"/>
    <w:rsid w:val="009F28DF"/>
    <w:rsid w:val="009F5837"/>
    <w:rsid w:val="00A43F3C"/>
    <w:rsid w:val="00A56885"/>
    <w:rsid w:val="00AA7C51"/>
    <w:rsid w:val="00AB2D5B"/>
    <w:rsid w:val="00AD14F0"/>
    <w:rsid w:val="00AD596B"/>
    <w:rsid w:val="00AE5DAA"/>
    <w:rsid w:val="00B554D3"/>
    <w:rsid w:val="00B649DE"/>
    <w:rsid w:val="00B84406"/>
    <w:rsid w:val="00BB1A4E"/>
    <w:rsid w:val="00BF3D86"/>
    <w:rsid w:val="00C003F9"/>
    <w:rsid w:val="00C03ABC"/>
    <w:rsid w:val="00C273E2"/>
    <w:rsid w:val="00C318E1"/>
    <w:rsid w:val="00C9586F"/>
    <w:rsid w:val="00C96051"/>
    <w:rsid w:val="00CA1B35"/>
    <w:rsid w:val="00D31770"/>
    <w:rsid w:val="00D44B4A"/>
    <w:rsid w:val="00D51618"/>
    <w:rsid w:val="00D90B88"/>
    <w:rsid w:val="00D95EB8"/>
    <w:rsid w:val="00DD103B"/>
    <w:rsid w:val="00EA17C4"/>
    <w:rsid w:val="00EB0728"/>
    <w:rsid w:val="00ED5643"/>
    <w:rsid w:val="00EE76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6A6156"/>
  <w15:docId w15:val="{71985C3F-6018-DD4F-992C-60A65F9526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163EA"/>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BalloonText">
    <w:name w:val="Balloon Text"/>
    <w:basedOn w:val="Normal"/>
    <w:link w:val="BalloonTextChar"/>
    <w:uiPriority w:val="99"/>
    <w:semiHidden/>
    <w:unhideWhenUsed/>
    <w:rsid w:val="00E35D08"/>
    <w:rPr>
      <w:rFonts w:eastAsiaTheme="minorHAnsi"/>
      <w:sz w:val="18"/>
      <w:szCs w:val="18"/>
    </w:rPr>
  </w:style>
  <w:style w:type="character" w:customStyle="1" w:styleId="BalloonTextChar">
    <w:name w:val="Balloon Text Char"/>
    <w:basedOn w:val="DefaultParagraphFont"/>
    <w:link w:val="BalloonText"/>
    <w:uiPriority w:val="99"/>
    <w:semiHidden/>
    <w:rsid w:val="00E35D08"/>
    <w:rPr>
      <w:rFonts w:ascii="Times New Roman" w:hAnsi="Times New Roman" w:cs="Times New Roman"/>
      <w:sz w:val="18"/>
      <w:szCs w:val="18"/>
    </w:rPr>
  </w:style>
  <w:style w:type="character" w:styleId="CommentReference">
    <w:name w:val="annotation reference"/>
    <w:basedOn w:val="DefaultParagraphFont"/>
    <w:uiPriority w:val="99"/>
    <w:semiHidden/>
    <w:unhideWhenUsed/>
    <w:rsid w:val="00545062"/>
    <w:rPr>
      <w:sz w:val="16"/>
      <w:szCs w:val="16"/>
    </w:rPr>
  </w:style>
  <w:style w:type="paragraph" w:styleId="CommentText">
    <w:name w:val="annotation text"/>
    <w:basedOn w:val="Normal"/>
    <w:link w:val="CommentTextChar"/>
    <w:uiPriority w:val="99"/>
    <w:unhideWhenUsed/>
    <w:rsid w:val="00545062"/>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rsid w:val="00545062"/>
    <w:rPr>
      <w:sz w:val="20"/>
      <w:szCs w:val="20"/>
    </w:rPr>
  </w:style>
  <w:style w:type="paragraph" w:styleId="CommentSubject">
    <w:name w:val="annotation subject"/>
    <w:basedOn w:val="CommentText"/>
    <w:next w:val="CommentText"/>
    <w:link w:val="CommentSubjectChar"/>
    <w:uiPriority w:val="99"/>
    <w:semiHidden/>
    <w:unhideWhenUsed/>
    <w:rsid w:val="00545062"/>
    <w:rPr>
      <w:b/>
      <w:bCs/>
    </w:rPr>
  </w:style>
  <w:style w:type="character" w:customStyle="1" w:styleId="CommentSubjectChar">
    <w:name w:val="Comment Subject Char"/>
    <w:basedOn w:val="CommentTextChar"/>
    <w:link w:val="CommentSubject"/>
    <w:uiPriority w:val="99"/>
    <w:semiHidden/>
    <w:rsid w:val="00545062"/>
    <w:rPr>
      <w:b/>
      <w:bCs/>
      <w:sz w:val="20"/>
      <w:szCs w:val="20"/>
    </w:rPr>
  </w:style>
  <w:style w:type="paragraph" w:styleId="ListParagraph">
    <w:name w:val="List Paragraph"/>
    <w:basedOn w:val="Normal"/>
    <w:uiPriority w:val="34"/>
    <w:qFormat/>
    <w:rsid w:val="00CF545F"/>
    <w:pPr>
      <w:ind w:left="720"/>
      <w:contextualSpacing/>
    </w:pPr>
    <w:rPr>
      <w:rFonts w:asciiTheme="minorHAnsi" w:eastAsiaTheme="minorHAnsi" w:hAnsiTheme="minorHAnsi" w:cstheme="minorBidi"/>
    </w:rPr>
  </w:style>
  <w:style w:type="table" w:styleId="TableGrid">
    <w:name w:val="Table Grid"/>
    <w:basedOn w:val="TableNormal"/>
    <w:uiPriority w:val="39"/>
    <w:rsid w:val="00C86C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uiPriority w:val="99"/>
    <w:rsid w:val="007B3CB9"/>
    <w:pPr>
      <w:autoSpaceDE w:val="0"/>
      <w:autoSpaceDN w:val="0"/>
      <w:adjustRightInd w:val="0"/>
      <w:spacing w:line="288" w:lineRule="auto"/>
      <w:textAlignment w:val="center"/>
    </w:pPr>
    <w:rPr>
      <w:rFonts w:ascii="MinionPro-Regular" w:eastAsiaTheme="minorHAnsi" w:hAnsi="MinionPro-Regular" w:cs="MinionPro-Regular"/>
      <w:color w:val="000000"/>
    </w:rPr>
  </w:style>
  <w:style w:type="paragraph" w:styleId="Footer">
    <w:name w:val="footer"/>
    <w:basedOn w:val="Normal"/>
    <w:link w:val="FooterChar"/>
    <w:uiPriority w:val="99"/>
    <w:unhideWhenUsed/>
    <w:rsid w:val="0042290F"/>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42290F"/>
  </w:style>
  <w:style w:type="character" w:styleId="PageNumber">
    <w:name w:val="page number"/>
    <w:basedOn w:val="DefaultParagraphFont"/>
    <w:uiPriority w:val="99"/>
    <w:semiHidden/>
    <w:unhideWhenUsed/>
    <w:rsid w:val="0042290F"/>
  </w:style>
  <w:style w:type="character" w:styleId="LineNumber">
    <w:name w:val="line number"/>
    <w:basedOn w:val="DefaultParagraphFont"/>
    <w:uiPriority w:val="99"/>
    <w:semiHidden/>
    <w:unhideWhenUsed/>
    <w:rsid w:val="00F33CCC"/>
  </w:style>
  <w:style w:type="paragraph" w:styleId="Revision">
    <w:name w:val="Revision"/>
    <w:hidden/>
    <w:uiPriority w:val="99"/>
    <w:semiHidden/>
    <w:rsid w:val="00A23F3D"/>
  </w:style>
  <w:style w:type="character" w:styleId="PlaceholderText">
    <w:name w:val="Placeholder Text"/>
    <w:basedOn w:val="DefaultParagraphFont"/>
    <w:uiPriority w:val="99"/>
    <w:semiHidden/>
    <w:rsid w:val="008D5D09"/>
    <w:rPr>
      <w:color w:val="808080"/>
    </w:rPr>
  </w:style>
  <w:style w:type="character" w:styleId="Hyperlink">
    <w:name w:val="Hyperlink"/>
    <w:basedOn w:val="DefaultParagraphFont"/>
    <w:uiPriority w:val="99"/>
    <w:unhideWhenUsed/>
    <w:rsid w:val="00BF7FB7"/>
    <w:rPr>
      <w:color w:val="0563C1" w:themeColor="hyperlink"/>
      <w:u w:val="single"/>
    </w:rPr>
  </w:style>
  <w:style w:type="character" w:styleId="UnresolvedMention">
    <w:name w:val="Unresolved Mention"/>
    <w:basedOn w:val="DefaultParagraphFont"/>
    <w:uiPriority w:val="99"/>
    <w:semiHidden/>
    <w:unhideWhenUsed/>
    <w:rsid w:val="00BF7FB7"/>
    <w:rPr>
      <w:color w:val="605E5C"/>
      <w:shd w:val="clear" w:color="auto" w:fill="E1DFDD"/>
    </w:rPr>
  </w:style>
  <w:style w:type="character" w:styleId="FollowedHyperlink">
    <w:name w:val="FollowedHyperlink"/>
    <w:basedOn w:val="DefaultParagraphFont"/>
    <w:uiPriority w:val="99"/>
    <w:semiHidden/>
    <w:unhideWhenUsed/>
    <w:rsid w:val="00D87E9E"/>
    <w:rPr>
      <w:color w:val="954F72" w:themeColor="followedHyperlink"/>
      <w:u w:val="single"/>
    </w:rPr>
  </w:style>
  <w:style w:type="paragraph" w:customStyle="1" w:styleId="msonormal0">
    <w:name w:val="msonormal"/>
    <w:basedOn w:val="Normal"/>
    <w:rsid w:val="000A02C2"/>
    <w:pPr>
      <w:spacing w:before="100" w:beforeAutospacing="1" w:after="100" w:afterAutospacing="1"/>
    </w:pPr>
  </w:style>
  <w:style w:type="paragraph" w:customStyle="1" w:styleId="xl63">
    <w:name w:val="xl63"/>
    <w:basedOn w:val="Normal"/>
    <w:rsid w:val="000A02C2"/>
    <w:pPr>
      <w:spacing w:before="100" w:beforeAutospacing="1" w:after="100" w:afterAutospacing="1"/>
    </w:pPr>
    <w:rPr>
      <w:b/>
      <w:bCs/>
    </w:rPr>
  </w:style>
  <w:style w:type="paragraph" w:customStyle="1" w:styleId="xl64">
    <w:name w:val="xl64"/>
    <w:basedOn w:val="Normal"/>
    <w:rsid w:val="000A02C2"/>
    <w:pPr>
      <w:shd w:val="clear" w:color="000000" w:fill="FCE4D6"/>
      <w:spacing w:before="100" w:beforeAutospacing="1" w:after="100" w:afterAutospacing="1"/>
    </w:pPr>
  </w:style>
  <w:style w:type="paragraph" w:customStyle="1" w:styleId="nova-legacy-e-listitem">
    <w:name w:val="nova-legacy-e-list__item"/>
    <w:basedOn w:val="Normal"/>
    <w:rsid w:val="00540CDB"/>
    <w:pPr>
      <w:spacing w:before="100" w:beforeAutospacing="1" w:after="100" w:afterAutospacing="1"/>
    </w:pPr>
  </w:style>
  <w:style w:type="paragraph" w:styleId="NormalWeb">
    <w:name w:val="Normal (Web)"/>
    <w:basedOn w:val="Normal"/>
    <w:uiPriority w:val="99"/>
    <w:semiHidden/>
    <w:unhideWhenUsed/>
    <w:rsid w:val="00E069F5"/>
    <w:pPr>
      <w:spacing w:before="100" w:beforeAutospacing="1" w:after="100" w:afterAutospacing="1"/>
    </w:pPr>
  </w:style>
  <w:style w:type="character" w:styleId="Strong">
    <w:name w:val="Strong"/>
    <w:basedOn w:val="DefaultParagraphFont"/>
    <w:uiPriority w:val="22"/>
    <w:qFormat/>
    <w:rsid w:val="00E069F5"/>
    <w:rPr>
      <w:b/>
      <w:bC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5">
    <w:name w:val="5"/>
    <w:basedOn w:val="TableNormal"/>
    <w:tblPr>
      <w:tblStyleRowBandSize w:val="1"/>
      <w:tblStyleColBandSize w:val="1"/>
      <w:tblCellMar>
        <w:left w:w="115" w:type="dxa"/>
        <w:right w:w="115" w:type="dxa"/>
      </w:tblCellMar>
    </w:tblPr>
  </w:style>
  <w:style w:type="table" w:customStyle="1" w:styleId="4">
    <w:name w:val="4"/>
    <w:basedOn w:val="TableNormal"/>
    <w:tblPr>
      <w:tblStyleRowBandSize w:val="1"/>
      <w:tblStyleColBandSize w:val="1"/>
    </w:tblPr>
  </w:style>
  <w:style w:type="table" w:customStyle="1" w:styleId="3">
    <w:name w:val="3"/>
    <w:basedOn w:val="TableNormal"/>
    <w:tblPr>
      <w:tblStyleRowBandSize w:val="1"/>
      <w:tblStyleColBandSize w:val="1"/>
      <w:tblCellMar>
        <w:left w:w="115" w:type="dxa"/>
        <w:right w:w="115" w:type="dxa"/>
      </w:tblCellMar>
    </w:tblPr>
  </w:style>
  <w:style w:type="table" w:customStyle="1" w:styleId="2">
    <w:name w:val="2"/>
    <w:basedOn w:val="TableNormal"/>
    <w:tblPr>
      <w:tblStyleRowBandSize w:val="1"/>
      <w:tblStyleColBandSize w:val="1"/>
    </w:tblPr>
  </w:style>
  <w:style w:type="table" w:customStyle="1" w:styleId="1">
    <w:name w:val="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14406914">
      <w:bodyDiv w:val="1"/>
      <w:marLeft w:val="0"/>
      <w:marRight w:val="0"/>
      <w:marTop w:val="0"/>
      <w:marBottom w:val="0"/>
      <w:divBdr>
        <w:top w:val="none" w:sz="0" w:space="0" w:color="auto"/>
        <w:left w:val="none" w:sz="0" w:space="0" w:color="auto"/>
        <w:bottom w:val="none" w:sz="0" w:space="0" w:color="auto"/>
        <w:right w:val="none" w:sz="0" w:space="0" w:color="auto"/>
      </w:divBdr>
    </w:div>
    <w:div w:id="18232365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github.com/ColinPSweeney/3D-habitat-structure-drives-avian-functional-and-trait-diversity-across-North-America.git" TargetMode="External"/><Relationship Id="rId5" Type="http://schemas.openxmlformats.org/officeDocument/2006/relationships/settings" Target="settings.xml"/><Relationship Id="rId15" Type="http://schemas.openxmlformats.org/officeDocument/2006/relationships/image" Target="media/image4.png"/><Relationship Id="rId10" Type="http://schemas.openxmlformats.org/officeDocument/2006/relationships/hyperlink" Target="https://doi.org/10.5061/dryad.t76hdr87q" TargetMode="Externa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mailto:sweeney.316@osu.edu"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vHYSZDx3Ol9Yty8cv1UszGu5Qzw==">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3D9469F-C07E-1845-8AEC-444FD7715D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33</Pages>
  <Words>61923</Words>
  <Characters>352962</Characters>
  <Application>Microsoft Office Word</Application>
  <DocSecurity>0</DocSecurity>
  <Lines>2941</Lines>
  <Paragraphs>828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414057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Sweeney, Colin P.</dc:creator>
  <cp:lastModifiedBy>Sweeney, Colin</cp:lastModifiedBy>
  <cp:revision>4</cp:revision>
  <dcterms:created xsi:type="dcterms:W3CDTF">2024-09-02T17:35:00Z</dcterms:created>
  <dcterms:modified xsi:type="dcterms:W3CDTF">2024-09-03T19:15:00Z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13d3b337-42b6-37ae-9cd4-79325aaf2476</vt:lpwstr>
  </property>
  <property fmtid="{D5CDD505-2E9C-101B-9397-08002B2CF9AE}" pid="4" name="Mendeley Citation Style_1">
    <vt:lpwstr>http://www.zotero.org/styles/ecography</vt:lpwstr>
  </property>
  <property fmtid="{D5CDD505-2E9C-101B-9397-08002B2CF9AE}" pid="5" name="Mendeley Recent Style Id 0_1">
    <vt:lpwstr>http://www.zotero.org/styles/apa</vt:lpwstr>
  </property>
  <property fmtid="{D5CDD505-2E9C-101B-9397-08002B2CF9AE}" pid="6" name="Mendeley Recent Style Name 0_1">
    <vt:lpwstr>American Psychological Association 7th edition</vt:lpwstr>
  </property>
  <property fmtid="{D5CDD505-2E9C-101B-9397-08002B2CF9AE}" pid="7" name="Mendeley Recent Style Id 1_1">
    <vt:lpwstr>http://www.zotero.org/styles/american-sociological-association</vt:lpwstr>
  </property>
  <property fmtid="{D5CDD505-2E9C-101B-9397-08002B2CF9AE}" pid="8" name="Mendeley Recent Style Name 1_1">
    <vt:lpwstr>American Sociological Association 6th edition</vt:lpwstr>
  </property>
  <property fmtid="{D5CDD505-2E9C-101B-9397-08002B2CF9AE}" pid="9" name="Mendeley Recent Style Id 2_1">
    <vt:lpwstr>http://www.zotero.org/styles/chicago-author-date</vt:lpwstr>
  </property>
  <property fmtid="{D5CDD505-2E9C-101B-9397-08002B2CF9AE}" pid="10" name="Mendeley Recent Style Name 2_1">
    <vt:lpwstr>Chicago Manual of Style 17th edition (author-date)</vt:lpwstr>
  </property>
  <property fmtid="{D5CDD505-2E9C-101B-9397-08002B2CF9AE}" pid="11" name="Mendeley Recent Style Id 3_1">
    <vt:lpwstr>http://www.zotero.org/styles/harvard-cite-them-right</vt:lpwstr>
  </property>
  <property fmtid="{D5CDD505-2E9C-101B-9397-08002B2CF9AE}" pid="12" name="Mendeley Recent Style Name 3_1">
    <vt:lpwstr>Cite Them Right 10th edition - Harvard</vt:lpwstr>
  </property>
  <property fmtid="{D5CDD505-2E9C-101B-9397-08002B2CF9AE}" pid="13" name="Mendeley Recent Style Id 4_1">
    <vt:lpwstr>http://www.zotero.org/styles/ecography</vt:lpwstr>
  </property>
  <property fmtid="{D5CDD505-2E9C-101B-9397-08002B2CF9AE}" pid="14" name="Mendeley Recent Style Name 4_1">
    <vt:lpwstr>Ecography</vt:lpwstr>
  </property>
  <property fmtid="{D5CDD505-2E9C-101B-9397-08002B2CF9AE}" pid="15" name="Mendeley Recent Style Id 5_1">
    <vt:lpwstr>http://www.zotero.org/styles/ecology</vt:lpwstr>
  </property>
  <property fmtid="{D5CDD505-2E9C-101B-9397-08002B2CF9AE}" pid="16" name="Mendeley Recent Style Name 5_1">
    <vt:lpwstr>Ecology</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