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010AC6" w14:textId="77777777" w:rsidR="00B47838" w:rsidRDefault="00000000">
      <w:pPr>
        <w:rPr>
          <w:sz w:val="16"/>
          <w:szCs w:val="16"/>
        </w:rPr>
      </w:pPr>
      <w:bookmarkStart w:id="0" w:name="OLE_LINK10"/>
      <w:r>
        <w:rPr>
          <w:b/>
          <w:color w:val="2C2FA6"/>
          <w:sz w:val="16"/>
          <w:szCs w:val="16"/>
        </w:rPr>
        <w:t>Cite this paper:</w:t>
      </w:r>
      <w:r>
        <w:rPr>
          <w:sz w:val="16"/>
          <w:szCs w:val="16"/>
        </w:rPr>
        <w:t xml:space="preserve"> </w:t>
      </w:r>
      <w:r>
        <w:rPr>
          <w:i/>
          <w:sz w:val="16"/>
          <w:szCs w:val="16"/>
        </w:rPr>
        <w:t>Chin. J. Chem.</w:t>
      </w:r>
      <w:r>
        <w:rPr>
          <w:sz w:val="16"/>
          <w:szCs w:val="16"/>
        </w:rPr>
        <w:t xml:space="preserve"> </w:t>
      </w:r>
      <w:r>
        <w:rPr>
          <w:b/>
          <w:sz w:val="16"/>
          <w:szCs w:val="16"/>
        </w:rPr>
        <w:t>202</w:t>
      </w:r>
      <w:r>
        <w:rPr>
          <w:rFonts w:hint="eastAsia"/>
          <w:b/>
          <w:sz w:val="16"/>
          <w:szCs w:val="16"/>
        </w:rPr>
        <w:t>4</w:t>
      </w:r>
      <w:r>
        <w:rPr>
          <w:sz w:val="16"/>
          <w:szCs w:val="16"/>
        </w:rPr>
        <w:t xml:space="preserve">, </w:t>
      </w:r>
      <w:r>
        <w:rPr>
          <w:rFonts w:hint="eastAsia"/>
          <w:i/>
          <w:sz w:val="16"/>
          <w:szCs w:val="16"/>
        </w:rPr>
        <w:t>42</w:t>
      </w:r>
      <w:r>
        <w:rPr>
          <w:sz w:val="16"/>
          <w:szCs w:val="16"/>
        </w:rPr>
        <w:t xml:space="preserve">, XXX—XXX. </w:t>
      </w:r>
      <w:r>
        <w:rPr>
          <w:b/>
          <w:sz w:val="16"/>
          <w:szCs w:val="16"/>
        </w:rPr>
        <w:t>DOI: 10.1002/cjoc.20</w:t>
      </w:r>
      <w:r>
        <w:rPr>
          <w:rFonts w:hint="eastAsia"/>
          <w:b/>
          <w:sz w:val="16"/>
          <w:szCs w:val="16"/>
        </w:rPr>
        <w:t>24</w:t>
      </w:r>
      <w:r>
        <w:rPr>
          <w:b/>
          <w:sz w:val="16"/>
          <w:szCs w:val="16"/>
        </w:rPr>
        <w:t>00</w:t>
      </w:r>
      <w:r>
        <w:rPr>
          <w:rFonts w:hint="eastAsia"/>
          <w:b/>
          <w:sz w:val="16"/>
          <w:szCs w:val="16"/>
        </w:rPr>
        <w:t>XXX</w:t>
      </w:r>
    </w:p>
    <w:bookmarkEnd w:id="0"/>
    <w:p w14:paraId="74010AC7" w14:textId="77777777" w:rsidR="00B47838" w:rsidRDefault="00000000">
      <w:pPr>
        <w:pStyle w:val="Author"/>
        <w:spacing w:line="240" w:lineRule="auto"/>
        <w:rPr>
          <w:szCs w:val="28"/>
        </w:rPr>
      </w:pPr>
      <w:r>
        <w:rPr>
          <w:rFonts w:cs="Arno Pro" w:hint="eastAsia"/>
          <w:b/>
          <w:kern w:val="36"/>
          <w:sz w:val="36"/>
          <w:szCs w:val="36"/>
        </w:rPr>
        <w:t xml:space="preserve">Tuning Hydrophilic Segments to Achieve Acid-free </w:t>
      </w:r>
      <w:r>
        <w:rPr>
          <w:rFonts w:cs="Arno Pro"/>
          <w:b/>
          <w:kern w:val="36"/>
          <w:sz w:val="36"/>
          <w:szCs w:val="36"/>
        </w:rPr>
        <w:t>Proton Conduction</w:t>
      </w:r>
      <w:r>
        <w:rPr>
          <w:rFonts w:cs="Arno Pro" w:hint="eastAsia"/>
          <w:b/>
          <w:kern w:val="36"/>
          <w:sz w:val="36"/>
          <w:szCs w:val="36"/>
        </w:rPr>
        <w:t xml:space="preserve"> in COF</w:t>
      </w:r>
      <w:r>
        <w:rPr>
          <w:szCs w:val="28"/>
        </w:rPr>
        <w:t xml:space="preserve"> </w:t>
      </w:r>
    </w:p>
    <w:p w14:paraId="74010AC8" w14:textId="77777777" w:rsidR="00B47838" w:rsidRDefault="00000000">
      <w:pPr>
        <w:pStyle w:val="Author"/>
        <w:rPr>
          <w:bCs/>
          <w:i/>
          <w:vertAlign w:val="superscript"/>
        </w:rPr>
      </w:pPr>
      <w:bookmarkStart w:id="1" w:name="OLE_LINK3"/>
      <w:r>
        <w:rPr>
          <w:rFonts w:ascii="Arno Pro" w:eastAsia="Arno Pro" w:hAnsi="Arno Pro" w:cs="Arno Pro"/>
          <w:kern w:val="26"/>
          <w:sz w:val="23"/>
          <w:szCs w:val="23"/>
          <w:lang w:bidi="ar"/>
        </w:rPr>
        <w:t>Kun Zhang</w:t>
      </w:r>
      <w:r>
        <w:t xml:space="preserve"> ,</w:t>
      </w:r>
      <w:r>
        <w:rPr>
          <w:rFonts w:hint="eastAsia"/>
          <w:vertAlign w:val="superscript"/>
        </w:rPr>
        <w:t>‡</w:t>
      </w:r>
      <w:r>
        <w:rPr>
          <w:rFonts w:hint="eastAsia"/>
          <w:vertAlign w:val="superscript"/>
        </w:rPr>
        <w:t>,</w:t>
      </w:r>
      <w:r>
        <w:t>*</w:t>
      </w:r>
      <w:r>
        <w:rPr>
          <w:rFonts w:hint="eastAsia"/>
          <w:vertAlign w:val="superscript"/>
        </w:rPr>
        <w:t>,</w:t>
      </w:r>
      <w:r>
        <w:rPr>
          <w:rFonts w:hint="eastAsia"/>
          <w:i/>
          <w:iCs/>
          <w:vertAlign w:val="superscript"/>
        </w:rPr>
        <w:t>a</w:t>
      </w:r>
      <w:r>
        <w:t xml:space="preserve"> </w:t>
      </w:r>
      <w:r>
        <w:rPr>
          <w:rFonts w:ascii="Arno Pro" w:eastAsia="Arno Pro" w:hAnsi="Arno Pro" w:cs="Arno Pro"/>
          <w:kern w:val="26"/>
          <w:sz w:val="23"/>
          <w:szCs w:val="23"/>
          <w:lang w:bidi="ar"/>
        </w:rPr>
        <w:t>Lei Wu</w:t>
      </w:r>
      <w:r>
        <w:t>,</w:t>
      </w:r>
      <w:r>
        <w:rPr>
          <w:rFonts w:hint="eastAsia"/>
          <w:vertAlign w:val="superscript"/>
        </w:rPr>
        <w:t>‡</w:t>
      </w:r>
      <w:r>
        <w:rPr>
          <w:rFonts w:hint="eastAsia"/>
          <w:vertAlign w:val="superscript"/>
        </w:rPr>
        <w:t>,</w:t>
      </w:r>
      <w:r>
        <w:rPr>
          <w:rFonts w:hint="eastAsia"/>
          <w:i/>
          <w:vertAlign w:val="superscript"/>
        </w:rPr>
        <w:t>a</w:t>
      </w:r>
      <w:r>
        <w:rPr>
          <w:rFonts w:hint="eastAsia"/>
        </w:rPr>
        <w:t xml:space="preserve"> </w:t>
      </w:r>
      <w:proofErr w:type="spellStart"/>
      <w:r>
        <w:rPr>
          <w:rFonts w:ascii="Arno Pro" w:eastAsia="等线" w:hAnsi="Arno Pro" w:cs="Arno Pro"/>
          <w:kern w:val="26"/>
          <w:sz w:val="23"/>
          <w:szCs w:val="23"/>
          <w:lang w:bidi="ar"/>
        </w:rPr>
        <w:t>Yan</w:t>
      </w:r>
      <w:r>
        <w:rPr>
          <w:rFonts w:ascii="Arno Pro" w:eastAsia="Arno Pro" w:hAnsi="Arno Pro" w:cs="Arno Pro"/>
          <w:kern w:val="26"/>
          <w:sz w:val="23"/>
          <w:szCs w:val="23"/>
          <w:lang w:bidi="ar"/>
        </w:rPr>
        <w:t>ting</w:t>
      </w:r>
      <w:proofErr w:type="spellEnd"/>
      <w:r>
        <w:rPr>
          <w:rFonts w:ascii="Arno Pro" w:eastAsia="等线" w:hAnsi="Arno Pro" w:cs="Arno Pro"/>
          <w:kern w:val="26"/>
          <w:sz w:val="23"/>
          <w:szCs w:val="23"/>
          <w:lang w:bidi="ar"/>
        </w:rPr>
        <w:t xml:space="preserve"> </w:t>
      </w:r>
      <w:r>
        <w:rPr>
          <w:rFonts w:ascii="Arno Pro" w:eastAsia="Arno Pro" w:hAnsi="Arno Pro" w:cs="Arno Pro"/>
          <w:kern w:val="26"/>
          <w:sz w:val="23"/>
          <w:szCs w:val="23"/>
          <w:lang w:bidi="ar"/>
        </w:rPr>
        <w:t>Zhang</w:t>
      </w:r>
      <w:r>
        <w:rPr>
          <w:rFonts w:ascii="Arno Pro" w:eastAsia="Arno Pro" w:hAnsi="Arno Pro" w:cs="Arno Pro" w:hint="eastAsia"/>
          <w:kern w:val="26"/>
          <w:sz w:val="23"/>
          <w:szCs w:val="23"/>
          <w:lang w:bidi="ar"/>
        </w:rPr>
        <w:t>,</w:t>
      </w:r>
      <w:bookmarkStart w:id="2" w:name="_Hlk170721668"/>
      <w:r>
        <w:rPr>
          <w:rFonts w:hint="eastAsia"/>
          <w:vertAlign w:val="superscript"/>
        </w:rPr>
        <w:t>‡</w:t>
      </w:r>
      <w:bookmarkEnd w:id="2"/>
      <w:r>
        <w:rPr>
          <w:rFonts w:hint="eastAsia"/>
          <w:vertAlign w:val="superscript"/>
        </w:rPr>
        <w:t>,</w:t>
      </w:r>
      <w:r>
        <w:rPr>
          <w:rFonts w:hint="eastAsia"/>
          <w:i/>
          <w:vertAlign w:val="superscript"/>
        </w:rPr>
        <w:t>a</w:t>
      </w:r>
      <w:r>
        <w:rPr>
          <w:rFonts w:hint="eastAsia"/>
          <w:i/>
        </w:rPr>
        <w:t xml:space="preserve"> </w:t>
      </w:r>
      <w:r>
        <w:rPr>
          <w:rFonts w:ascii="Arno Pro" w:eastAsia="Arno Pro" w:hAnsi="Arno Pro" w:cs="Arno Pro" w:hint="eastAsia"/>
          <w:kern w:val="26"/>
          <w:sz w:val="23"/>
          <w:szCs w:val="23"/>
          <w:lang w:bidi="ar"/>
        </w:rPr>
        <w:t xml:space="preserve">Hong </w:t>
      </w:r>
      <w:proofErr w:type="spellStart"/>
      <w:r>
        <w:rPr>
          <w:rFonts w:ascii="Arno Pro" w:eastAsia="Arno Pro" w:hAnsi="Arno Pro" w:cs="Arno Pro" w:hint="eastAsia"/>
          <w:kern w:val="26"/>
          <w:sz w:val="23"/>
          <w:szCs w:val="23"/>
          <w:lang w:bidi="ar"/>
        </w:rPr>
        <w:t>Zhang,</w:t>
      </w:r>
      <w:r>
        <w:rPr>
          <w:rFonts w:ascii="Arno Pro" w:eastAsia="宋体" w:hAnsi="Arno Pro" w:cs="Arno Pro" w:hint="eastAsia"/>
          <w:i/>
          <w:iCs/>
          <w:kern w:val="26"/>
          <w:sz w:val="23"/>
          <w:szCs w:val="23"/>
          <w:vertAlign w:val="superscript"/>
          <w:lang w:bidi="ar"/>
        </w:rPr>
        <w:t>c</w:t>
      </w:r>
      <w:proofErr w:type="spellEnd"/>
      <w:r>
        <w:rPr>
          <w:rFonts w:ascii="Arno Pro" w:eastAsia="Arno Pro" w:hAnsi="Arno Pro" w:cs="Arno Pro" w:hint="eastAsia"/>
          <w:kern w:val="26"/>
          <w:sz w:val="23"/>
          <w:szCs w:val="23"/>
          <w:vertAlign w:val="superscript"/>
          <w:lang w:bidi="ar"/>
        </w:rPr>
        <w:t xml:space="preserve"> </w:t>
      </w:r>
      <w:r>
        <w:rPr>
          <w:rFonts w:ascii="Arno Pro" w:eastAsia="Arno Pro" w:hAnsi="Arno Pro" w:cs="Arno Pro" w:hint="eastAsia"/>
          <w:kern w:val="26"/>
          <w:sz w:val="23"/>
          <w:szCs w:val="23"/>
          <w:lang w:bidi="ar"/>
        </w:rPr>
        <w:t>and</w:t>
      </w:r>
      <w:r>
        <w:t xml:space="preserve"> </w:t>
      </w:r>
      <w:proofErr w:type="spellStart"/>
      <w:r>
        <w:rPr>
          <w:rFonts w:ascii="Arno Pro" w:eastAsia="Arno Pro" w:hAnsi="Arno Pro" w:cs="Arno Pro"/>
          <w:kern w:val="26"/>
          <w:sz w:val="23"/>
          <w:szCs w:val="23"/>
          <w:lang w:bidi="ar"/>
        </w:rPr>
        <w:t>Dongshuang</w:t>
      </w:r>
      <w:proofErr w:type="spellEnd"/>
      <w:r>
        <w:rPr>
          <w:rFonts w:ascii="Arno Pro" w:eastAsia="Arno Pro" w:hAnsi="Arno Pro" w:cs="Arno Pro"/>
          <w:kern w:val="26"/>
          <w:sz w:val="23"/>
          <w:szCs w:val="23"/>
          <w:lang w:bidi="ar"/>
        </w:rPr>
        <w:t xml:space="preserve"> Wu</w:t>
      </w:r>
      <w:r>
        <w:t xml:space="preserve"> *</w:t>
      </w:r>
      <w:r>
        <w:rPr>
          <w:vertAlign w:val="superscript"/>
        </w:rPr>
        <w:t>,</w:t>
      </w:r>
      <w:r>
        <w:rPr>
          <w:rFonts w:hint="eastAsia"/>
          <w:i/>
          <w:vertAlign w:val="superscript"/>
        </w:rPr>
        <w:t>b</w:t>
      </w:r>
      <w:r>
        <w:t xml:space="preserve"> </w:t>
      </w:r>
      <w:bookmarkEnd w:id="1"/>
    </w:p>
    <w:p w14:paraId="74010AC9" w14:textId="77777777" w:rsidR="00B47838" w:rsidRDefault="00000000">
      <w:pPr>
        <w:pStyle w:val="Address"/>
      </w:pPr>
      <w:proofErr w:type="spellStart"/>
      <w:proofErr w:type="gramStart"/>
      <w:r>
        <w:rPr>
          <w:vertAlign w:val="superscript"/>
        </w:rPr>
        <w:t>a</w:t>
      </w:r>
      <w:proofErr w:type="spellEnd"/>
      <w:proofErr w:type="gramEnd"/>
      <w:r>
        <w:rPr>
          <w:color w:val="auto"/>
          <w:vertAlign w:val="superscript"/>
        </w:rPr>
        <w:t xml:space="preserve"> </w:t>
      </w:r>
      <w:r>
        <w:rPr>
          <w:rFonts w:hint="eastAsia"/>
          <w:color w:val="auto"/>
          <w:sz w:val="20"/>
          <w:szCs w:val="20"/>
        </w:rPr>
        <w:t xml:space="preserve">Automotive Engineering Research Institute, Jiangsu University, 301 </w:t>
      </w:r>
      <w:proofErr w:type="spellStart"/>
      <w:r>
        <w:rPr>
          <w:rFonts w:hint="eastAsia"/>
          <w:color w:val="auto"/>
          <w:sz w:val="20"/>
          <w:szCs w:val="20"/>
        </w:rPr>
        <w:t>Xuefu</w:t>
      </w:r>
      <w:proofErr w:type="spellEnd"/>
      <w:r>
        <w:rPr>
          <w:rFonts w:hint="eastAsia"/>
          <w:color w:val="auto"/>
          <w:sz w:val="20"/>
          <w:szCs w:val="20"/>
        </w:rPr>
        <w:t xml:space="preserve"> Road, Zhenjiang 212013, China</w:t>
      </w:r>
      <w:r>
        <w:rPr>
          <w:rFonts w:hint="eastAsia"/>
          <w:color w:val="auto"/>
          <w:vertAlign w:val="superscript"/>
        </w:rPr>
        <w:br/>
        <w:t>b</w:t>
      </w:r>
      <w:r>
        <w:rPr>
          <w:rFonts w:hint="eastAsia"/>
          <w:color w:val="auto"/>
          <w:sz w:val="20"/>
        </w:rPr>
        <w:t xml:space="preserve"> School of Material Science and Engineering, Nanyang Technological University, 50 Nanyang Avenue 639798, Singapore</w:t>
      </w:r>
      <w:r>
        <w:rPr>
          <w:rFonts w:hint="eastAsia"/>
          <w:color w:val="auto"/>
          <w:vertAlign w:val="superscript"/>
        </w:rPr>
        <w:br/>
        <w:t>c</w:t>
      </w:r>
      <w:r>
        <w:rPr>
          <w:color w:val="auto"/>
          <w:vertAlign w:val="superscript"/>
        </w:rPr>
        <w:t xml:space="preserve"> </w:t>
      </w:r>
      <w:r>
        <w:rPr>
          <w:rFonts w:eastAsia="Arno Pro" w:cs="Arno Pro" w:hint="eastAsia"/>
          <w:color w:val="auto"/>
          <w:kern w:val="26"/>
          <w:sz w:val="20"/>
          <w:szCs w:val="20"/>
          <w:lang w:bidi="ar"/>
        </w:rPr>
        <w:t>School of Energy and Power Engineering</w:t>
      </w:r>
      <w:r>
        <w:rPr>
          <w:rFonts w:hint="eastAsia"/>
          <w:color w:val="auto"/>
          <w:sz w:val="20"/>
          <w:szCs w:val="20"/>
        </w:rPr>
        <w:t xml:space="preserve">, Jiangsu University, 301 </w:t>
      </w:r>
      <w:proofErr w:type="spellStart"/>
      <w:r>
        <w:rPr>
          <w:rFonts w:hint="eastAsia"/>
          <w:color w:val="auto"/>
          <w:sz w:val="20"/>
          <w:szCs w:val="20"/>
        </w:rPr>
        <w:t>Xuefu</w:t>
      </w:r>
      <w:proofErr w:type="spellEnd"/>
      <w:r>
        <w:rPr>
          <w:rFonts w:hint="eastAsia"/>
          <w:color w:val="auto"/>
          <w:sz w:val="20"/>
          <w:szCs w:val="20"/>
        </w:rPr>
        <w:t xml:space="preserve"> Road, Zhenjiang 212013, China</w:t>
      </w:r>
    </w:p>
    <w:tbl>
      <w:tblPr>
        <w:tblW w:w="10034" w:type="dxa"/>
        <w:jc w:val="center"/>
        <w:tblBorders>
          <w:top w:val="single" w:sz="8" w:space="0" w:color="2C2FA6"/>
          <w:bottom w:val="single" w:sz="8" w:space="0" w:color="2C2FA6"/>
          <w:insideH w:val="single" w:sz="8" w:space="0" w:color="2C2FA6"/>
          <w:insideV w:val="single" w:sz="8" w:space="0" w:color="2C2FA6"/>
        </w:tblBorders>
        <w:shd w:val="clear" w:color="auto" w:fill="EFF2FB"/>
        <w:tblCellMar>
          <w:left w:w="0" w:type="dxa"/>
          <w:right w:w="0" w:type="dxa"/>
        </w:tblCellMar>
        <w:tblLook w:val="04A0" w:firstRow="1" w:lastRow="0" w:firstColumn="1" w:lastColumn="0" w:noHBand="0" w:noVBand="1"/>
      </w:tblPr>
      <w:tblGrid>
        <w:gridCol w:w="10034"/>
      </w:tblGrid>
      <w:tr w:rsidR="00B47838" w14:paraId="74010ACB" w14:textId="77777777">
        <w:trPr>
          <w:jc w:val="center"/>
        </w:trPr>
        <w:tc>
          <w:tcPr>
            <w:tcW w:w="10034" w:type="dxa"/>
            <w:tcBorders>
              <w:top w:val="nil"/>
              <w:bottom w:val="single" w:sz="8" w:space="0" w:color="D1D9F3"/>
            </w:tcBorders>
            <w:shd w:val="clear" w:color="auto" w:fill="EFF2FB"/>
            <w:tcMar>
              <w:top w:w="0" w:type="dxa"/>
            </w:tcMar>
            <w:vAlign w:val="center"/>
          </w:tcPr>
          <w:p w14:paraId="74010ACA" w14:textId="77777777" w:rsidR="00B47838" w:rsidRDefault="00000000">
            <w:pPr>
              <w:pStyle w:val="Abstract"/>
              <w:spacing w:after="0" w:line="360" w:lineRule="exact"/>
              <w:ind w:left="170" w:right="170"/>
              <w:textAlignment w:val="center"/>
            </w:pPr>
            <w:r>
              <w:rPr>
                <w:rFonts w:hint="eastAsia"/>
                <w:b/>
                <w:color w:val="2C2FA6"/>
                <w:position w:val="2"/>
                <w:sz w:val="28"/>
                <w:szCs w:val="28"/>
              </w:rPr>
              <w:t>Keywords</w:t>
            </w:r>
          </w:p>
        </w:tc>
      </w:tr>
      <w:tr w:rsidR="00B47838" w14:paraId="74010ACD" w14:textId="77777777">
        <w:trPr>
          <w:jc w:val="center"/>
        </w:trPr>
        <w:tc>
          <w:tcPr>
            <w:tcW w:w="10034" w:type="dxa"/>
            <w:tcBorders>
              <w:top w:val="single" w:sz="8" w:space="0" w:color="D1D9F3"/>
              <w:bottom w:val="nil"/>
            </w:tcBorders>
            <w:shd w:val="clear" w:color="auto" w:fill="EFF2FB"/>
            <w:tcMar>
              <w:top w:w="0" w:type="dxa"/>
            </w:tcMar>
            <w:vAlign w:val="center"/>
          </w:tcPr>
          <w:p w14:paraId="74010ACC" w14:textId="77777777" w:rsidR="00B47838" w:rsidRDefault="00000000">
            <w:pPr>
              <w:pStyle w:val="Abstract"/>
              <w:ind w:left="170" w:right="170"/>
              <w:rPr>
                <w:b/>
                <w:color w:val="2C2FA6"/>
                <w:position w:val="2"/>
                <w:sz w:val="28"/>
                <w:szCs w:val="28"/>
              </w:rPr>
            </w:pPr>
            <w:r>
              <w:rPr>
                <w:rFonts w:hint="eastAsia"/>
              </w:rPr>
              <w:t xml:space="preserve">Confined </w:t>
            </w:r>
            <w:proofErr w:type="spellStart"/>
            <w:r>
              <w:rPr>
                <w:rFonts w:hint="eastAsia"/>
              </w:rPr>
              <w:t>water</w:t>
            </w:r>
            <w:r>
              <w:rPr>
                <w:rFonts w:hint="eastAsia"/>
                <w:color w:val="889DE0"/>
              </w:rPr>
              <w:t>|</w:t>
            </w:r>
            <w:r>
              <w:rPr>
                <w:rFonts w:hint="eastAsia"/>
              </w:rPr>
              <w:t>C</w:t>
            </w:r>
            <w:r>
              <w:rPr>
                <w:rFonts w:cstheme="minorHAnsi"/>
              </w:rPr>
              <w:t>ovalent</w:t>
            </w:r>
            <w:proofErr w:type="spellEnd"/>
            <w:r>
              <w:rPr>
                <w:rFonts w:cstheme="minorHAnsi"/>
              </w:rPr>
              <w:t xml:space="preserve"> organic frameworks</w:t>
            </w:r>
            <w:r>
              <w:rPr>
                <w:rFonts w:hint="eastAsia"/>
                <w:color w:val="889DE0"/>
              </w:rPr>
              <w:t>|</w:t>
            </w:r>
            <w:r>
              <w:t xml:space="preserve"> </w:t>
            </w:r>
            <w:r>
              <w:rPr>
                <w:rFonts w:hint="eastAsia"/>
              </w:rPr>
              <w:t xml:space="preserve">Acid-free </w:t>
            </w:r>
            <w:r>
              <w:rPr>
                <w:rFonts w:hint="eastAsia"/>
                <w:color w:val="889DE0"/>
              </w:rPr>
              <w:t>|</w:t>
            </w:r>
            <w:r>
              <w:t xml:space="preserve"> </w:t>
            </w:r>
            <w:r>
              <w:rPr>
                <w:rFonts w:hint="eastAsia"/>
              </w:rPr>
              <w:t xml:space="preserve">Proton conduction </w:t>
            </w:r>
            <w:r>
              <w:rPr>
                <w:rFonts w:hint="eastAsia"/>
                <w:color w:val="889DE0"/>
              </w:rPr>
              <w:t>|</w:t>
            </w:r>
            <w:r>
              <w:t xml:space="preserve"> </w:t>
            </w:r>
            <w:r>
              <w:rPr>
                <w:rFonts w:asciiTheme="minorHAnsi" w:hAnsiTheme="minorHAnsi" w:cstheme="minorHAnsi" w:hint="eastAsia"/>
                <w:bCs/>
                <w:kern w:val="20"/>
              </w:rPr>
              <w:t>H</w:t>
            </w:r>
            <w:r>
              <w:rPr>
                <w:rFonts w:asciiTheme="minorHAnsi" w:hAnsiTheme="minorHAnsi" w:cstheme="minorHAnsi"/>
                <w:bCs/>
                <w:kern w:val="20"/>
              </w:rPr>
              <w:t>ydrophilic fragment</w:t>
            </w:r>
            <w:r>
              <w:rPr>
                <w:rFonts w:hint="eastAsia"/>
              </w:rPr>
              <w:t xml:space="preserve"> </w:t>
            </w:r>
            <w:r>
              <w:rPr>
                <w:rFonts w:hint="eastAsia"/>
                <w:color w:val="889DE0"/>
              </w:rPr>
              <w:t>|</w:t>
            </w:r>
          </w:p>
        </w:tc>
      </w:tr>
      <w:tr w:rsidR="00B47838" w14:paraId="74010ACF" w14:textId="77777777">
        <w:trPr>
          <w:jc w:val="center"/>
        </w:trPr>
        <w:tc>
          <w:tcPr>
            <w:tcW w:w="10034" w:type="dxa"/>
            <w:tcBorders>
              <w:top w:val="nil"/>
              <w:bottom w:val="single" w:sz="8" w:space="0" w:color="D1D9F3"/>
            </w:tcBorders>
            <w:shd w:val="clear" w:color="auto" w:fill="EFF2FB"/>
            <w:tcMar>
              <w:top w:w="0" w:type="dxa"/>
            </w:tcMar>
            <w:vAlign w:val="center"/>
          </w:tcPr>
          <w:p w14:paraId="74010ACE" w14:textId="77777777" w:rsidR="00B47838" w:rsidRDefault="00000000">
            <w:pPr>
              <w:pStyle w:val="Abstract"/>
              <w:spacing w:after="0" w:line="360" w:lineRule="exact"/>
              <w:ind w:left="170" w:right="170"/>
              <w:textAlignment w:val="center"/>
              <w:rPr>
                <w:b/>
                <w:color w:val="2C2FA6"/>
                <w:position w:val="2"/>
                <w:sz w:val="28"/>
                <w:szCs w:val="28"/>
              </w:rPr>
            </w:pPr>
            <w:r>
              <w:rPr>
                <w:b/>
                <w:color w:val="2C2FA6"/>
                <w:position w:val="2"/>
                <w:sz w:val="28"/>
                <w:szCs w:val="28"/>
              </w:rPr>
              <w:t xml:space="preserve">Comprehensive Summary </w:t>
            </w:r>
          </w:p>
        </w:tc>
      </w:tr>
      <w:tr w:rsidR="00B47838" w14:paraId="74010AD3" w14:textId="77777777">
        <w:trPr>
          <w:trHeight w:val="1174"/>
          <w:jc w:val="center"/>
        </w:trPr>
        <w:tc>
          <w:tcPr>
            <w:tcW w:w="10034" w:type="dxa"/>
            <w:tcBorders>
              <w:top w:val="single" w:sz="8" w:space="0" w:color="D1D9F3"/>
              <w:bottom w:val="nil"/>
            </w:tcBorders>
            <w:shd w:val="clear" w:color="auto" w:fill="EFF2FB"/>
            <w:tcMar>
              <w:top w:w="0" w:type="dxa"/>
            </w:tcMar>
            <w:vAlign w:val="center"/>
          </w:tcPr>
          <w:p w14:paraId="74010AD0" w14:textId="77777777" w:rsidR="00B47838" w:rsidRDefault="00000000">
            <w:pPr>
              <w:pStyle w:val="Keywords"/>
              <w:spacing w:before="240" w:after="240" w:line="240" w:lineRule="auto"/>
              <w:jc w:val="center"/>
              <w:rPr>
                <w:color w:val="FF0000"/>
                <w:kern w:val="0"/>
              </w:rPr>
            </w:pPr>
            <w:r>
              <w:rPr>
                <w:rFonts w:hint="eastAsia"/>
                <w:noProof/>
                <w:color w:val="FF0000"/>
                <w:kern w:val="0"/>
              </w:rPr>
              <w:drawing>
                <wp:inline distT="0" distB="0" distL="114300" distR="114300" wp14:anchorId="74010B33" wp14:editId="4492A611">
                  <wp:extent cx="5760000" cy="3240000"/>
                  <wp:effectExtent l="0" t="0" r="0" b="0"/>
                  <wp:docPr id="5" name="图片 5" descr="TOC-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图片 5" descr="TOC-01"/>
                          <pic:cNvPicPr preferRelativeResize="0">
                            <a:picLocks noChangeAspect="1"/>
                          </pic:cNvPicPr>
                        </pic:nvPicPr>
                        <pic:blipFill>
                          <a:blip r:embed="rId12"/>
                          <a:stretch>
                            <a:fillRect/>
                          </a:stretch>
                        </pic:blipFill>
                        <pic:spPr>
                          <a:xfrm>
                            <a:off x="0" y="0"/>
                            <a:ext cx="5760000" cy="3240000"/>
                          </a:xfrm>
                          <a:prstGeom prst="rect">
                            <a:avLst/>
                          </a:prstGeom>
                        </pic:spPr>
                      </pic:pic>
                    </a:graphicData>
                  </a:graphic>
                </wp:inline>
              </w:drawing>
            </w:r>
          </w:p>
          <w:p w14:paraId="74010AD1" w14:textId="77777777" w:rsidR="00B47838" w:rsidRDefault="00000000">
            <w:pPr>
              <w:pStyle w:val="Keywords"/>
              <w:jc w:val="both"/>
              <w:rPr>
                <w:rFonts w:asciiTheme="minorHAnsi" w:hAnsiTheme="minorHAnsi" w:cstheme="minorHAnsi"/>
              </w:rPr>
            </w:pPr>
            <w:r>
              <w:rPr>
                <w:rStyle w:val="BDAbstractTitleChar"/>
                <w:rFonts w:asciiTheme="minorHAnsi" w:hAnsiTheme="minorHAnsi" w:cstheme="minorHAnsi"/>
                <w:b w:val="0"/>
                <w:sz w:val="18"/>
              </w:rPr>
              <w:t>R</w:t>
            </w:r>
            <w:r>
              <w:rPr>
                <w:rFonts w:asciiTheme="minorHAnsi" w:hAnsiTheme="minorHAnsi" w:cstheme="minorHAnsi"/>
                <w:bCs/>
                <w:kern w:val="20"/>
              </w:rPr>
              <w:t>apid dynamics and remarkable proton conduction induced by</w:t>
            </w:r>
            <w:r>
              <w:rPr>
                <w:rFonts w:asciiTheme="minorHAnsi" w:hAnsiTheme="minorHAnsi" w:cstheme="minorHAnsi"/>
                <w:b/>
                <w:kern w:val="20"/>
              </w:rPr>
              <w:t xml:space="preserve"> </w:t>
            </w:r>
            <w:r>
              <w:rPr>
                <w:rFonts w:asciiTheme="minorHAnsi" w:hAnsiTheme="minorHAnsi" w:cstheme="minorHAnsi"/>
                <w:bCs/>
                <w:kern w:val="20"/>
              </w:rPr>
              <w:t>c</w:t>
            </w:r>
            <w:r>
              <w:rPr>
                <w:rStyle w:val="BDAbstractTitleChar"/>
                <w:rFonts w:asciiTheme="minorHAnsi" w:hAnsiTheme="minorHAnsi" w:cstheme="minorHAnsi"/>
                <w:b w:val="0"/>
                <w:sz w:val="18"/>
              </w:rPr>
              <w:t xml:space="preserve">onfined water </w:t>
            </w:r>
            <w:r>
              <w:rPr>
                <w:rFonts w:asciiTheme="minorHAnsi" w:hAnsiTheme="minorHAnsi" w:cstheme="minorHAnsi"/>
                <w:bCs/>
                <w:kern w:val="20"/>
              </w:rPr>
              <w:t xml:space="preserve">in </w:t>
            </w:r>
            <w:proofErr w:type="spellStart"/>
            <w:r>
              <w:rPr>
                <w:rFonts w:asciiTheme="minorHAnsi" w:hAnsiTheme="minorHAnsi" w:cstheme="minorHAnsi"/>
                <w:bCs/>
                <w:kern w:val="20"/>
              </w:rPr>
              <w:t>nanospaces</w:t>
            </w:r>
            <w:proofErr w:type="spellEnd"/>
            <w:r>
              <w:rPr>
                <w:rFonts w:asciiTheme="minorHAnsi" w:hAnsiTheme="minorHAnsi" w:cstheme="minorHAnsi"/>
                <w:bCs/>
                <w:kern w:val="20"/>
              </w:rPr>
              <w:t xml:space="preserve"> have attracted much attentions from researchers, which is crucial for advancing the development of innovative proton conductors and deepening comprehension of proton and water transport mechanisms within biological systems. In this aspect, carbon nanotubes (CNTs) are frequently employed as a research platform. However, they possess certain limitations, such as their inherent electronic conductivity and extreme hydrophobicity, which can impede the accurate assessment and precise regulation of proton conduction. We herein prepared two 2D COFs with different hydrophilic fragment, and obtains maximum acid-free proton conductivity of </w:t>
            </w:r>
            <w:r>
              <w:rPr>
                <w:rFonts w:asciiTheme="minorHAnsi" w:hAnsiTheme="minorHAnsi" w:cstheme="minorHAnsi"/>
                <w:bCs/>
              </w:rPr>
              <w:t>3.04×10</w:t>
            </w:r>
            <w:r>
              <w:rPr>
                <w:rFonts w:asciiTheme="minorHAnsi" w:hAnsiTheme="minorHAnsi" w:cstheme="minorHAnsi"/>
                <w:bCs/>
                <w:vertAlign w:val="superscript"/>
              </w:rPr>
              <w:t>-4</w:t>
            </w:r>
            <w:r>
              <w:rPr>
                <w:rFonts w:asciiTheme="minorHAnsi" w:hAnsiTheme="minorHAnsi" w:cstheme="minorHAnsi"/>
                <w:bCs/>
              </w:rPr>
              <w:t xml:space="preserve"> S cm</w:t>
            </w:r>
            <w:r>
              <w:rPr>
                <w:rFonts w:asciiTheme="minorHAnsi" w:hAnsiTheme="minorHAnsi" w:cstheme="minorHAnsi"/>
                <w:bCs/>
                <w:vertAlign w:val="superscript"/>
              </w:rPr>
              <w:t>-1</w:t>
            </w:r>
            <w:r>
              <w:rPr>
                <w:rFonts w:asciiTheme="minorHAnsi" w:hAnsiTheme="minorHAnsi" w:cstheme="minorHAnsi"/>
                <w:bCs/>
              </w:rPr>
              <w:t xml:space="preserve"> at 70 °C and 100% RH with </w:t>
            </w:r>
            <w:proofErr w:type="spellStart"/>
            <w:r>
              <w:rPr>
                <w:rFonts w:asciiTheme="minorHAnsi" w:hAnsiTheme="minorHAnsi" w:cstheme="minorHAnsi"/>
                <w:bCs/>
                <w:kern w:val="20"/>
              </w:rPr>
              <w:t>Grotthuss</w:t>
            </w:r>
            <w:proofErr w:type="spellEnd"/>
            <w:r>
              <w:rPr>
                <w:rFonts w:asciiTheme="minorHAnsi" w:hAnsiTheme="minorHAnsi" w:cstheme="minorHAnsi"/>
                <w:bCs/>
                <w:kern w:val="20"/>
              </w:rPr>
              <w:t xml:space="preserve"> type activation energy of 0.14 eV.</w:t>
            </w:r>
            <w:r>
              <w:rPr>
                <w:rFonts w:asciiTheme="minorHAnsi" w:hAnsiTheme="minorHAnsi" w:cstheme="minorHAnsi"/>
                <w:kern w:val="20"/>
              </w:rPr>
              <w:t xml:space="preserve"> This is mainly due to that the water molecules in the center of channel form strong hydrogen bonds, enhancing proton dissociation and guiding fast directional diffusion.</w:t>
            </w:r>
          </w:p>
          <w:p w14:paraId="74010AD2" w14:textId="77777777" w:rsidR="00B47838" w:rsidRDefault="00B47838">
            <w:pPr>
              <w:pStyle w:val="Keywords"/>
              <w:ind w:left="0"/>
            </w:pPr>
          </w:p>
        </w:tc>
      </w:tr>
    </w:tbl>
    <w:p w14:paraId="74010AD5" w14:textId="77777777" w:rsidR="00B47838" w:rsidRDefault="00B47838">
      <w:pPr>
        <w:pStyle w:val="1"/>
        <w:numPr>
          <w:ilvl w:val="0"/>
          <w:numId w:val="0"/>
        </w:numPr>
        <w:ind w:left="794"/>
        <w:jc w:val="both"/>
        <w:sectPr w:rsidR="00B47838">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191" w:right="936" w:bottom="1191" w:left="936" w:header="794" w:footer="680" w:gutter="0"/>
          <w:pgNumType w:start="1"/>
          <w:cols w:space="425"/>
          <w:titlePg/>
          <w:docGrid w:type="lines" w:linePitch="312"/>
        </w:sectPr>
      </w:pPr>
    </w:p>
    <w:p w14:paraId="74010AD6" w14:textId="77777777" w:rsidR="00B47838" w:rsidRDefault="00000000">
      <w:pPr>
        <w:pStyle w:val="Title1"/>
        <w:spacing w:before="0"/>
      </w:pPr>
      <w:r>
        <w:lastRenderedPageBreak/>
        <w:t>Background and Originality Content</w:t>
      </w:r>
    </w:p>
    <w:p w14:paraId="74010AD7" w14:textId="77777777" w:rsidR="00B47838" w:rsidRDefault="00000000">
      <w:pPr>
        <w:pStyle w:val="Scheme"/>
        <w:spacing w:after="0" w:line="210" w:lineRule="exact"/>
        <w:ind w:firstLine="284"/>
        <w:jc w:val="both"/>
        <w:rPr>
          <w:rFonts w:cstheme="minorHAnsi"/>
        </w:rPr>
      </w:pPr>
      <w:r>
        <w:rPr>
          <w:rFonts w:cstheme="minorHAnsi"/>
        </w:rPr>
        <w:t xml:space="preserve">Confined water in </w:t>
      </w:r>
      <w:proofErr w:type="spellStart"/>
      <w:r>
        <w:rPr>
          <w:rFonts w:cstheme="minorHAnsi"/>
        </w:rPr>
        <w:t>nanospaces</w:t>
      </w:r>
      <w:proofErr w:type="spellEnd"/>
      <w:r>
        <w:rPr>
          <w:rFonts w:cstheme="minorHAnsi"/>
        </w:rPr>
        <w:t xml:space="preserve"> has attracted much at-</w:t>
      </w:r>
      <w:proofErr w:type="spellStart"/>
      <w:r>
        <w:rPr>
          <w:rFonts w:cstheme="minorHAnsi"/>
        </w:rPr>
        <w:t>tentions</w:t>
      </w:r>
      <w:proofErr w:type="spellEnd"/>
      <w:r>
        <w:rPr>
          <w:rFonts w:cstheme="minorHAnsi"/>
        </w:rPr>
        <w:t xml:space="preserve"> from researchers, which possesses distinctive structural and dynamical attributes that are notably diver-gent from those of bulk water.</w:t>
      </w:r>
      <w:r>
        <w:rPr>
          <w:rFonts w:cstheme="minorHAnsi"/>
          <w:vertAlign w:val="superscript"/>
        </w:rPr>
        <w:fldChar w:fldCharType="begin"/>
      </w:r>
      <w:r>
        <w:rPr>
          <w:rFonts w:cstheme="minorHAnsi"/>
          <w:vertAlign w:val="superscript"/>
        </w:rPr>
        <w:instrText xml:space="preserve"> REF _Ref707 \r \h </w:instrText>
      </w:r>
      <w:r>
        <w:rPr>
          <w:rFonts w:cstheme="minorHAnsi"/>
          <w:vertAlign w:val="superscript"/>
        </w:rPr>
      </w:r>
      <w:r>
        <w:rPr>
          <w:rFonts w:cstheme="minorHAnsi"/>
          <w:vertAlign w:val="superscript"/>
        </w:rPr>
        <w:fldChar w:fldCharType="separate"/>
      </w:r>
      <w:r>
        <w:rPr>
          <w:rFonts w:cstheme="minorHAnsi"/>
          <w:vertAlign w:val="superscript"/>
        </w:rPr>
        <w:t>[1]</w:t>
      </w:r>
      <w:r>
        <w:rPr>
          <w:rFonts w:cstheme="minorHAnsi"/>
          <w:vertAlign w:val="superscript"/>
        </w:rPr>
        <w:fldChar w:fldCharType="end"/>
      </w:r>
      <w:r>
        <w:rPr>
          <w:rFonts w:cstheme="minorHAnsi"/>
        </w:rPr>
        <w:t xml:space="preserve"> Such special </w:t>
      </w:r>
      <w:proofErr w:type="spellStart"/>
      <w:r>
        <w:rPr>
          <w:rFonts w:cstheme="minorHAnsi"/>
        </w:rPr>
        <w:t>characteris</w:t>
      </w:r>
      <w:proofErr w:type="spellEnd"/>
      <w:r>
        <w:rPr>
          <w:rFonts w:cstheme="minorHAnsi"/>
        </w:rPr>
        <w:t>-tics dominantly stem from the reduced number of neigh-boring water molecules and restricted hydrogen-bond network cause by size constraints (&lt;3-4 nm).</w:t>
      </w:r>
      <w:r>
        <w:rPr>
          <w:rFonts w:cstheme="minorHAnsi"/>
          <w:vertAlign w:val="superscript"/>
        </w:rPr>
        <w:fldChar w:fldCharType="begin"/>
      </w:r>
      <w:r>
        <w:rPr>
          <w:rFonts w:cstheme="minorHAnsi"/>
          <w:vertAlign w:val="superscript"/>
        </w:rPr>
        <w:instrText xml:space="preserve"> REF _Ref838 \r \h </w:instrText>
      </w:r>
      <w:r>
        <w:rPr>
          <w:rFonts w:cstheme="minorHAnsi"/>
          <w:vertAlign w:val="superscript"/>
        </w:rPr>
      </w:r>
      <w:r>
        <w:rPr>
          <w:rFonts w:cstheme="minorHAnsi"/>
          <w:vertAlign w:val="superscript"/>
        </w:rPr>
        <w:fldChar w:fldCharType="separate"/>
      </w:r>
      <w:r>
        <w:rPr>
          <w:rFonts w:cstheme="minorHAnsi"/>
          <w:vertAlign w:val="superscript"/>
        </w:rPr>
        <w:t>[2]</w:t>
      </w:r>
      <w:r>
        <w:rPr>
          <w:rFonts w:cstheme="minorHAnsi"/>
          <w:vertAlign w:val="superscript"/>
        </w:rPr>
        <w:fldChar w:fldCharType="end"/>
      </w:r>
      <w:r>
        <w:rPr>
          <w:rFonts w:cstheme="minorHAnsi" w:hint="eastAsia"/>
        </w:rPr>
        <w:t xml:space="preserve"> </w:t>
      </w:r>
      <w:r>
        <w:rPr>
          <w:rFonts w:cstheme="minorHAnsi"/>
        </w:rPr>
        <w:t>To observe the water under confinement effect, one dimensional car-bon nanotubes (CNTs) are typically utilized as research platform,</w:t>
      </w:r>
      <w:r>
        <w:rPr>
          <w:rFonts w:cstheme="minorHAnsi"/>
          <w:vertAlign w:val="superscript"/>
        </w:rPr>
        <w:fldChar w:fldCharType="begin"/>
      </w:r>
      <w:r>
        <w:rPr>
          <w:rFonts w:cstheme="minorHAnsi"/>
          <w:vertAlign w:val="superscript"/>
        </w:rPr>
        <w:instrText xml:space="preserve"> REF _Ref887 \r \h </w:instrText>
      </w:r>
      <w:r>
        <w:rPr>
          <w:rFonts w:cstheme="minorHAnsi"/>
          <w:vertAlign w:val="superscript"/>
        </w:rPr>
      </w:r>
      <w:r>
        <w:rPr>
          <w:rFonts w:cstheme="minorHAnsi"/>
          <w:vertAlign w:val="superscript"/>
        </w:rPr>
        <w:fldChar w:fldCharType="separate"/>
      </w:r>
      <w:r>
        <w:rPr>
          <w:rFonts w:cstheme="minorHAnsi"/>
          <w:vertAlign w:val="superscript"/>
        </w:rPr>
        <w:t>[3]</w:t>
      </w:r>
      <w:r>
        <w:rPr>
          <w:rFonts w:cstheme="minorHAnsi"/>
          <w:vertAlign w:val="superscript"/>
        </w:rPr>
        <w:fldChar w:fldCharType="end"/>
      </w:r>
      <w:r>
        <w:rPr>
          <w:rFonts w:cstheme="minorHAnsi"/>
        </w:rPr>
        <w:t xml:space="preserve"> where the proton conducting property is </w:t>
      </w:r>
      <w:proofErr w:type="spellStart"/>
      <w:r>
        <w:rPr>
          <w:rFonts w:cstheme="minorHAnsi"/>
        </w:rPr>
        <w:t>fre-quently</w:t>
      </w:r>
      <w:proofErr w:type="spellEnd"/>
      <w:r>
        <w:rPr>
          <w:rFonts w:cstheme="minorHAnsi"/>
        </w:rPr>
        <w:t xml:space="preserve"> investigated due to its close relationship with </w:t>
      </w:r>
      <w:proofErr w:type="spellStart"/>
      <w:r>
        <w:rPr>
          <w:rFonts w:cstheme="minorHAnsi"/>
        </w:rPr>
        <w:t>wa-ter</w:t>
      </w:r>
      <w:proofErr w:type="spellEnd"/>
      <w:r>
        <w:rPr>
          <w:rFonts w:cstheme="minorHAnsi"/>
        </w:rPr>
        <w:t xml:space="preserve"> movement (Figure 1a). These studies are particularly significant in the field of biomimetics, providing crucial insights into the transfer mechanisms of proton pumps and water transport proteins.</w:t>
      </w:r>
      <w:r>
        <w:rPr>
          <w:rFonts w:cstheme="minorHAnsi"/>
          <w:vertAlign w:val="superscript"/>
        </w:rPr>
        <w:fldChar w:fldCharType="begin"/>
      </w:r>
      <w:r>
        <w:rPr>
          <w:rFonts w:cstheme="minorHAnsi"/>
          <w:vertAlign w:val="superscript"/>
        </w:rPr>
        <w:instrText xml:space="preserve"> REF _Ref933 \r \h </w:instrText>
      </w:r>
      <w:r>
        <w:rPr>
          <w:rFonts w:cstheme="minorHAnsi"/>
          <w:vertAlign w:val="superscript"/>
        </w:rPr>
      </w:r>
      <w:r>
        <w:rPr>
          <w:rFonts w:cstheme="minorHAnsi"/>
          <w:vertAlign w:val="superscript"/>
        </w:rPr>
        <w:fldChar w:fldCharType="separate"/>
      </w:r>
      <w:r>
        <w:rPr>
          <w:rFonts w:cstheme="minorHAnsi"/>
          <w:vertAlign w:val="superscript"/>
        </w:rPr>
        <w:t>[4]</w:t>
      </w:r>
      <w:r>
        <w:rPr>
          <w:rFonts w:cstheme="minorHAnsi"/>
          <w:vertAlign w:val="superscript"/>
        </w:rPr>
        <w:fldChar w:fldCharType="end"/>
      </w:r>
      <w:r>
        <w:rPr>
          <w:rFonts w:cstheme="minorHAnsi"/>
          <w:vertAlign w:val="superscript"/>
        </w:rPr>
        <w:t xml:space="preserve"> </w:t>
      </w:r>
      <w:r>
        <w:rPr>
          <w:rFonts w:cstheme="minorHAnsi"/>
        </w:rPr>
        <w:t xml:space="preserve">There are, however, </w:t>
      </w:r>
      <w:proofErr w:type="spellStart"/>
      <w:r>
        <w:rPr>
          <w:rFonts w:cstheme="minorHAnsi"/>
        </w:rPr>
        <w:t>cer-tain</w:t>
      </w:r>
      <w:proofErr w:type="spellEnd"/>
      <w:r>
        <w:rPr>
          <w:rFonts w:cstheme="minorHAnsi"/>
        </w:rPr>
        <w:t xml:space="preserve"> limitations in CNTs based system: (1) The poor </w:t>
      </w:r>
      <w:proofErr w:type="spellStart"/>
      <w:r>
        <w:rPr>
          <w:rFonts w:cstheme="minorHAnsi"/>
        </w:rPr>
        <w:t>crys-talline</w:t>
      </w:r>
      <w:proofErr w:type="spellEnd"/>
      <w:r>
        <w:rPr>
          <w:rFonts w:cstheme="minorHAnsi"/>
        </w:rPr>
        <w:t xml:space="preserve"> structure and high electronic conductivity </w:t>
      </w:r>
      <w:proofErr w:type="spellStart"/>
      <w:r>
        <w:rPr>
          <w:rFonts w:cstheme="minorHAnsi"/>
        </w:rPr>
        <w:t>compli</w:t>
      </w:r>
      <w:proofErr w:type="spellEnd"/>
      <w:r>
        <w:rPr>
          <w:rFonts w:cstheme="minorHAnsi"/>
        </w:rPr>
        <w:t>-cate the precise investigation of confined water's structure and proton conduction. (2) The 1D nanochannels are ab-</w:t>
      </w:r>
      <w:proofErr w:type="spellStart"/>
      <w:r>
        <w:rPr>
          <w:rFonts w:cstheme="minorHAnsi"/>
        </w:rPr>
        <w:t>solutely</w:t>
      </w:r>
      <w:proofErr w:type="spellEnd"/>
      <w:r>
        <w:rPr>
          <w:rFonts w:cstheme="minorHAnsi"/>
        </w:rPr>
        <w:t xml:space="preserve"> hydrophobic, differing from aquaporins (AQPs) that have both hydrophilic and hydrophobic groups, which leads to certain deviations from a biomimetic perspective. </w:t>
      </w:r>
    </w:p>
    <w:p w14:paraId="74010AD8" w14:textId="29D74FE7" w:rsidR="00B47838" w:rsidRDefault="00000000">
      <w:pPr>
        <w:pStyle w:val="Scheme"/>
        <w:spacing w:after="0" w:line="210" w:lineRule="exact"/>
        <w:ind w:firstLine="284"/>
        <w:jc w:val="both"/>
        <w:rPr>
          <w:rFonts w:cstheme="minorHAnsi"/>
        </w:rPr>
      </w:pPr>
      <w:r>
        <w:rPr>
          <w:rFonts w:cstheme="minorHAnsi"/>
          <w:noProof/>
          <w:kern w:val="20"/>
        </w:rPr>
        <w:drawing>
          <wp:anchor distT="0" distB="0" distL="114300" distR="114300" simplePos="0" relativeHeight="251661312" behindDoc="0" locked="0" layoutInCell="1" allowOverlap="1" wp14:anchorId="74010B37" wp14:editId="442115ED">
            <wp:simplePos x="0" y="0"/>
            <wp:positionH relativeFrom="column">
              <wp:posOffset>0</wp:posOffset>
            </wp:positionH>
            <wp:positionV relativeFrom="paragraph">
              <wp:posOffset>2096770</wp:posOffset>
            </wp:positionV>
            <wp:extent cx="2880995" cy="2915920"/>
            <wp:effectExtent l="0" t="0" r="0" b="0"/>
            <wp:wrapSquare wrapText="bothSides"/>
            <wp:docPr id="754257740" name="图片 1" descr="073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257740" name="图片 1" descr="0731-2-0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880995" cy="2915920"/>
                    </a:xfrm>
                    <a:prstGeom prst="rect">
                      <a:avLst/>
                    </a:prstGeom>
                    <a:noFill/>
                    <a:ln>
                      <a:noFill/>
                    </a:ln>
                    <a:effectLst/>
                  </pic:spPr>
                </pic:pic>
              </a:graphicData>
            </a:graphic>
          </wp:anchor>
        </w:drawing>
      </w:r>
      <w:r>
        <w:rPr>
          <w:rFonts w:cstheme="minorHAnsi"/>
        </w:rPr>
        <w:t>In contrast to CNTs, covalent organic frameworks (COFs) are constructed through the versatile linking of organic covalent ligands, which endows them with crystal-</w:t>
      </w:r>
      <w:proofErr w:type="spellStart"/>
      <w:r>
        <w:rPr>
          <w:rFonts w:cstheme="minorHAnsi"/>
        </w:rPr>
        <w:t>linity</w:t>
      </w:r>
      <w:proofErr w:type="spellEnd"/>
      <w:r>
        <w:rPr>
          <w:rFonts w:cstheme="minorHAnsi"/>
        </w:rPr>
        <w:t>, porosity, insulation, adjustable hydrophilicity and structural diversification.</w:t>
      </w:r>
      <w:r>
        <w:rPr>
          <w:rFonts w:cstheme="minorHAnsi"/>
          <w:vertAlign w:val="superscript"/>
        </w:rPr>
        <w:fldChar w:fldCharType="begin"/>
      </w:r>
      <w:r>
        <w:rPr>
          <w:rFonts w:cstheme="minorHAnsi"/>
          <w:vertAlign w:val="superscript"/>
        </w:rPr>
        <w:instrText xml:space="preserve"> REF _Ref969 \r \h </w:instrText>
      </w:r>
      <w:r>
        <w:rPr>
          <w:rFonts w:cstheme="minorHAnsi"/>
          <w:vertAlign w:val="superscript"/>
        </w:rPr>
      </w:r>
      <w:r>
        <w:rPr>
          <w:rFonts w:cstheme="minorHAnsi"/>
          <w:vertAlign w:val="superscript"/>
        </w:rPr>
        <w:fldChar w:fldCharType="separate"/>
      </w:r>
      <w:r>
        <w:rPr>
          <w:rFonts w:cstheme="minorHAnsi"/>
          <w:vertAlign w:val="superscript"/>
        </w:rPr>
        <w:t>[5]</w:t>
      </w:r>
      <w:r>
        <w:rPr>
          <w:rFonts w:cstheme="minorHAnsi"/>
          <w:vertAlign w:val="superscript"/>
        </w:rPr>
        <w:fldChar w:fldCharType="end"/>
      </w:r>
      <w:r>
        <w:rPr>
          <w:rFonts w:cstheme="minorHAnsi"/>
        </w:rPr>
        <w:t xml:space="preserve"> Particularly, 2D COFs provide one-dimensional channels that are structurally similar to those found in CNTs and biomass, and within which re-markable proton conduction has been achieved (Figure 1b).</w:t>
      </w:r>
      <w:r>
        <w:rPr>
          <w:rFonts w:cstheme="minorHAnsi"/>
          <w:vertAlign w:val="superscript"/>
        </w:rPr>
        <w:fldChar w:fldCharType="begin"/>
      </w:r>
      <w:r>
        <w:rPr>
          <w:rFonts w:cstheme="minorHAnsi"/>
          <w:vertAlign w:val="superscript"/>
        </w:rPr>
        <w:instrText xml:space="preserve"> REF _Ref1031 \r \h </w:instrText>
      </w:r>
      <w:r>
        <w:rPr>
          <w:rFonts w:cstheme="minorHAnsi"/>
          <w:vertAlign w:val="superscript"/>
        </w:rPr>
      </w:r>
      <w:r>
        <w:rPr>
          <w:rFonts w:cstheme="minorHAnsi"/>
          <w:vertAlign w:val="superscript"/>
        </w:rPr>
        <w:fldChar w:fldCharType="separate"/>
      </w:r>
      <w:r>
        <w:rPr>
          <w:rFonts w:cstheme="minorHAnsi"/>
          <w:vertAlign w:val="superscript"/>
        </w:rPr>
        <w:t>[6]</w:t>
      </w:r>
      <w:r>
        <w:rPr>
          <w:rFonts w:cstheme="minorHAnsi"/>
          <w:vertAlign w:val="superscript"/>
        </w:rPr>
        <w:fldChar w:fldCharType="end"/>
      </w:r>
      <w:r>
        <w:rPr>
          <w:rFonts w:cstheme="minorHAnsi"/>
        </w:rPr>
        <w:t xml:space="preserve"> However, such proton conducting property is </w:t>
      </w:r>
      <w:proofErr w:type="spellStart"/>
      <w:r>
        <w:rPr>
          <w:rFonts w:cstheme="minorHAnsi"/>
        </w:rPr>
        <w:t>typi-cally</w:t>
      </w:r>
      <w:proofErr w:type="spellEnd"/>
      <w:r>
        <w:rPr>
          <w:rFonts w:cstheme="minorHAnsi"/>
        </w:rPr>
        <w:t xml:space="preserve"> obtained through the cooperation of acidic species and guest water,</w:t>
      </w:r>
      <w:r>
        <w:rPr>
          <w:rFonts w:cstheme="minorHAnsi"/>
        </w:rPr>
        <w:fldChar w:fldCharType="begin"/>
      </w:r>
      <w:r>
        <w:rPr>
          <w:rFonts w:cstheme="minorHAnsi"/>
        </w:rPr>
        <w:instrText xml:space="preserve"> REF _Ref1080 \r \h </w:instrText>
      </w:r>
      <w:r>
        <w:rPr>
          <w:rFonts w:cstheme="minorHAnsi"/>
        </w:rPr>
      </w:r>
      <w:r>
        <w:rPr>
          <w:rFonts w:cstheme="minorHAnsi"/>
        </w:rPr>
        <w:fldChar w:fldCharType="separate"/>
      </w:r>
      <w:r>
        <w:rPr>
          <w:rFonts w:cstheme="minorHAnsi"/>
          <w:vertAlign w:val="superscript"/>
        </w:rPr>
        <w:t>[7]</w:t>
      </w:r>
      <w:r>
        <w:rPr>
          <w:rFonts w:cstheme="minorHAnsi"/>
        </w:rPr>
        <w:fldChar w:fldCharType="end"/>
      </w:r>
      <w:r>
        <w:rPr>
          <w:rFonts w:cstheme="minorHAnsi"/>
        </w:rPr>
        <w:t xml:space="preserve"> a process distinctly different from the acid-free proton conduction observed in CNTs, where the process is solely governed by confined water.</w:t>
      </w:r>
      <w:r>
        <w:rPr>
          <w:rFonts w:cstheme="minorHAnsi"/>
          <w:vertAlign w:val="superscript"/>
        </w:rPr>
        <w:fldChar w:fldCharType="begin"/>
      </w:r>
      <w:r>
        <w:rPr>
          <w:rFonts w:cstheme="minorHAnsi"/>
          <w:vertAlign w:val="superscript"/>
        </w:rPr>
        <w:instrText xml:space="preserve"> REF _Ref1135 \r \h </w:instrText>
      </w:r>
      <w:r>
        <w:rPr>
          <w:rFonts w:cstheme="minorHAnsi"/>
          <w:vertAlign w:val="superscript"/>
        </w:rPr>
      </w:r>
      <w:r>
        <w:rPr>
          <w:rFonts w:cstheme="minorHAnsi"/>
          <w:vertAlign w:val="superscript"/>
        </w:rPr>
        <w:fldChar w:fldCharType="separate"/>
      </w:r>
      <w:r>
        <w:rPr>
          <w:rFonts w:cstheme="minorHAnsi"/>
          <w:vertAlign w:val="superscript"/>
        </w:rPr>
        <w:t>[8]</w:t>
      </w:r>
      <w:r>
        <w:rPr>
          <w:rFonts w:cstheme="minorHAnsi"/>
          <w:vertAlign w:val="superscript"/>
        </w:rPr>
        <w:fldChar w:fldCharType="end"/>
      </w:r>
      <w:r>
        <w:rPr>
          <w:rFonts w:cstheme="minorHAnsi"/>
        </w:rPr>
        <w:t xml:space="preserve"> To date, research on proton conduction in acid-free COFs is still scarce,</w:t>
      </w:r>
      <w:r>
        <w:rPr>
          <w:rFonts w:cstheme="minorHAnsi"/>
          <w:vertAlign w:val="superscript"/>
        </w:rPr>
        <w:fldChar w:fldCharType="begin"/>
      </w:r>
      <w:r>
        <w:rPr>
          <w:rFonts w:cstheme="minorHAnsi"/>
          <w:vertAlign w:val="superscript"/>
        </w:rPr>
        <w:instrText xml:space="preserve"> REF _Ref1178 \r \h </w:instrText>
      </w:r>
      <w:r>
        <w:rPr>
          <w:rFonts w:cstheme="minorHAnsi"/>
          <w:vertAlign w:val="superscript"/>
        </w:rPr>
      </w:r>
      <w:r>
        <w:rPr>
          <w:rFonts w:cstheme="minorHAnsi"/>
          <w:vertAlign w:val="superscript"/>
        </w:rPr>
        <w:fldChar w:fldCharType="separate"/>
      </w:r>
      <w:r>
        <w:rPr>
          <w:rFonts w:cstheme="minorHAnsi"/>
          <w:vertAlign w:val="superscript"/>
        </w:rPr>
        <w:t>[9]</w:t>
      </w:r>
      <w:r>
        <w:rPr>
          <w:rFonts w:cstheme="minorHAnsi"/>
          <w:vertAlign w:val="superscript"/>
        </w:rPr>
        <w:fldChar w:fldCharType="end"/>
      </w:r>
      <w:r>
        <w:rPr>
          <w:rFonts w:cstheme="minorHAnsi"/>
        </w:rPr>
        <w:t xml:space="preserve"> which aids in the construction of novel proton conductors and in understanding the confined state of water within biological systems.</w:t>
      </w:r>
    </w:p>
    <w:p w14:paraId="74010AD9" w14:textId="77777777" w:rsidR="00B47838" w:rsidRDefault="00000000">
      <w:pPr>
        <w:pStyle w:val="FigureCaption"/>
        <w:rPr>
          <w:rFonts w:asciiTheme="minorHAnsi" w:hAnsiTheme="minorHAnsi" w:cstheme="minorHAnsi"/>
          <w:kern w:val="20"/>
          <w:sz w:val="18"/>
        </w:rPr>
      </w:pPr>
      <w:r>
        <w:rPr>
          <w:rFonts w:asciiTheme="minorHAnsi" w:hAnsiTheme="minorHAnsi" w:cstheme="minorHAnsi"/>
          <w:b/>
          <w:bCs/>
          <w:lang w:val="pt-BR"/>
        </w:rPr>
        <w:t>Figure 1</w:t>
      </w:r>
      <w:r>
        <w:rPr>
          <w:rFonts w:asciiTheme="minorHAnsi" w:hAnsiTheme="minorHAnsi" w:cstheme="minorHAnsi"/>
          <w:lang w:val="pt-BR"/>
        </w:rPr>
        <w:t xml:space="preserve">  </w:t>
      </w:r>
      <w:r>
        <w:rPr>
          <w:rFonts w:asciiTheme="minorHAnsi" w:hAnsiTheme="minorHAnsi" w:cstheme="minorHAnsi"/>
          <w:kern w:val="20"/>
          <w:sz w:val="18"/>
        </w:rPr>
        <w:t>(a) Proton conduction in water-filled one dimensional carbon nanotubes. (b) Schematic illustration of water mediated proton conduction in 2D-COFs.</w:t>
      </w:r>
    </w:p>
    <w:p w14:paraId="74010ADA" w14:textId="77777777" w:rsidR="00B47838" w:rsidRDefault="00000000">
      <w:pPr>
        <w:spacing w:after="0" w:line="240" w:lineRule="exact"/>
        <w:ind w:firstLineChars="200" w:firstLine="360"/>
        <w:jc w:val="both"/>
        <w:rPr>
          <w:rFonts w:cstheme="minorHAnsi"/>
          <w:kern w:val="20"/>
          <w:sz w:val="18"/>
        </w:rPr>
      </w:pPr>
      <w:r>
        <w:rPr>
          <w:rFonts w:cstheme="minorHAnsi"/>
          <w:kern w:val="20"/>
          <w:sz w:val="18"/>
        </w:rPr>
        <w:t xml:space="preserve">Considering the role of hydrophilic residues of amino acids </w:t>
      </w:r>
      <w:r>
        <w:rPr>
          <w:rFonts w:cstheme="minorHAnsi"/>
          <w:kern w:val="20"/>
          <w:sz w:val="18"/>
        </w:rPr>
        <w:t>on the AQP surface in guiding the molecular orientation and dynamics of water,</w:t>
      </w:r>
      <w:r>
        <w:rPr>
          <w:rFonts w:cstheme="minorHAnsi"/>
          <w:color w:val="000000" w:themeColor="text1"/>
          <w:kern w:val="20"/>
          <w:sz w:val="18"/>
          <w:vertAlign w:val="superscript"/>
        </w:rPr>
        <w:fldChar w:fldCharType="begin"/>
      </w:r>
      <w:r>
        <w:rPr>
          <w:rFonts w:cstheme="minorHAnsi"/>
          <w:color w:val="000000" w:themeColor="text1"/>
          <w:kern w:val="20"/>
          <w:sz w:val="18"/>
          <w:vertAlign w:val="superscript"/>
        </w:rPr>
        <w:instrText xml:space="preserve"> REF _Ref1249 \r \h  \* MERGEFORMAT </w:instrText>
      </w:r>
      <w:r>
        <w:rPr>
          <w:rFonts w:cstheme="minorHAnsi"/>
          <w:color w:val="000000" w:themeColor="text1"/>
          <w:kern w:val="20"/>
          <w:sz w:val="18"/>
          <w:vertAlign w:val="superscript"/>
        </w:rPr>
      </w:r>
      <w:r>
        <w:rPr>
          <w:rFonts w:cstheme="minorHAnsi"/>
          <w:color w:val="000000" w:themeColor="text1"/>
          <w:kern w:val="20"/>
          <w:sz w:val="18"/>
          <w:vertAlign w:val="superscript"/>
        </w:rPr>
        <w:fldChar w:fldCharType="separate"/>
      </w:r>
      <w:r>
        <w:rPr>
          <w:rFonts w:cstheme="minorHAnsi"/>
          <w:color w:val="000000" w:themeColor="text1"/>
          <w:kern w:val="20"/>
          <w:sz w:val="18"/>
          <w:vertAlign w:val="superscript"/>
        </w:rPr>
        <w:t>[10]</w:t>
      </w:r>
      <w:r>
        <w:rPr>
          <w:rFonts w:cstheme="minorHAnsi"/>
          <w:color w:val="000000" w:themeColor="text1"/>
          <w:kern w:val="20"/>
          <w:sz w:val="18"/>
          <w:vertAlign w:val="superscript"/>
        </w:rPr>
        <w:fldChar w:fldCharType="end"/>
      </w:r>
      <w:r>
        <w:rPr>
          <w:rFonts w:cstheme="minorHAnsi"/>
          <w:kern w:val="20"/>
          <w:sz w:val="18"/>
        </w:rPr>
        <w:t xml:space="preserve"> we have prepared two acid-free 2D COFs featuring distinct hydrophilic segments and investigated the confined water’s proton conduction. The COF sample with strong interaction with water (COF-H) achieves superior proton conduction, with maximum value of </w:t>
      </w:r>
      <w:r>
        <w:rPr>
          <w:rFonts w:cstheme="minorHAnsi"/>
          <w:bCs/>
          <w:sz w:val="18"/>
          <w:szCs w:val="18"/>
        </w:rPr>
        <w:t>3.04×10</w:t>
      </w:r>
      <w:r>
        <w:rPr>
          <w:rFonts w:cstheme="minorHAnsi"/>
          <w:bCs/>
          <w:sz w:val="18"/>
          <w:szCs w:val="18"/>
          <w:vertAlign w:val="superscript"/>
        </w:rPr>
        <w:t>-4</w:t>
      </w:r>
      <w:r>
        <w:rPr>
          <w:rFonts w:cstheme="minorHAnsi"/>
          <w:kern w:val="20"/>
          <w:sz w:val="18"/>
        </w:rPr>
        <w:t xml:space="preserve"> S cm</w:t>
      </w:r>
      <w:r>
        <w:rPr>
          <w:rFonts w:cstheme="minorHAnsi"/>
          <w:kern w:val="20"/>
          <w:sz w:val="18"/>
          <w:vertAlign w:val="superscript"/>
        </w:rPr>
        <w:t>-1</w:t>
      </w:r>
      <w:r>
        <w:rPr>
          <w:rFonts w:cstheme="minorHAnsi"/>
          <w:kern w:val="20"/>
          <w:sz w:val="18"/>
        </w:rPr>
        <w:t xml:space="preserve"> and </w:t>
      </w:r>
      <w:proofErr w:type="spellStart"/>
      <w:r>
        <w:rPr>
          <w:rFonts w:cstheme="minorHAnsi"/>
          <w:kern w:val="20"/>
          <w:sz w:val="18"/>
        </w:rPr>
        <w:t>Grotthuss</w:t>
      </w:r>
      <w:proofErr w:type="spellEnd"/>
      <w:r>
        <w:rPr>
          <w:rFonts w:cstheme="minorHAnsi"/>
          <w:kern w:val="20"/>
          <w:sz w:val="18"/>
        </w:rPr>
        <w:t xml:space="preserve"> type activation energy of 0.14 eV. This is primarily because interfacial water molecules are more tightly bound near the channel surface of COF-H, which makes the central channel water molecules (core water) relatively independent. Consequently, these core water can form strong hydrogen bonds internally, facilitating proton dissociation and rapid diffusion. </w:t>
      </w:r>
    </w:p>
    <w:p w14:paraId="74010ADB" w14:textId="77777777" w:rsidR="00B47838" w:rsidRDefault="00000000">
      <w:pPr>
        <w:pStyle w:val="Title1"/>
      </w:pPr>
      <w:r>
        <w:t>Results and Discussion</w:t>
      </w:r>
    </w:p>
    <w:p w14:paraId="74010ADC" w14:textId="7630FAE1" w:rsidR="00B47838" w:rsidRDefault="00000000">
      <w:pPr>
        <w:suppressAutoHyphens/>
        <w:spacing w:after="0" w:line="210" w:lineRule="exact"/>
        <w:ind w:firstLine="284"/>
        <w:jc w:val="both"/>
        <w:rPr>
          <w:rFonts w:cstheme="minorHAnsi"/>
          <w:sz w:val="18"/>
          <w:szCs w:val="18"/>
        </w:rPr>
      </w:pPr>
      <w:r>
        <w:rPr>
          <w:rFonts w:cstheme="minorHAnsi"/>
          <w:sz w:val="18"/>
          <w:szCs w:val="18"/>
        </w:rPr>
        <w:t>The 2D COFs</w:t>
      </w:r>
      <w:r>
        <w:rPr>
          <w:rFonts w:eastAsia="AdvOT999035f4" w:cstheme="minorHAnsi"/>
          <w:sz w:val="18"/>
          <w:szCs w:val="18"/>
        </w:rPr>
        <w:t>, designated as COF-H and COF-NH, are synthesized through the condensation of hydrazine monohydrochloride with either 1,3,5-triformylphloroglucinol or 1,3,5-triformylbenzene</w:t>
      </w:r>
      <w:r>
        <w:rPr>
          <w:rFonts w:cstheme="minorHAnsi"/>
          <w:sz w:val="18"/>
          <w:szCs w:val="18"/>
        </w:rPr>
        <w:t xml:space="preserve"> (</w:t>
      </w:r>
      <w:r>
        <w:rPr>
          <w:rFonts w:cstheme="minorHAnsi"/>
          <w:color w:val="0000FF"/>
          <w:kern w:val="20"/>
          <w:sz w:val="18"/>
        </w:rPr>
        <w:t>Figure 2a)</w:t>
      </w:r>
      <w:r>
        <w:rPr>
          <w:rFonts w:eastAsia="AdvOT999035f4" w:cstheme="minorHAnsi"/>
          <w:sz w:val="18"/>
          <w:szCs w:val="18"/>
        </w:rPr>
        <w:t>. Characteristic broad peak around 1480-1700 cm</w:t>
      </w:r>
      <w:r>
        <w:rPr>
          <w:rFonts w:eastAsia="AdvOT999035f4" w:cstheme="minorHAnsi"/>
          <w:sz w:val="18"/>
          <w:szCs w:val="18"/>
          <w:vertAlign w:val="superscript"/>
        </w:rPr>
        <w:t>-1</w:t>
      </w:r>
      <w:r>
        <w:rPr>
          <w:rFonts w:eastAsia="AdvOT999035f4" w:cstheme="minorHAnsi"/>
          <w:sz w:val="18"/>
          <w:szCs w:val="18"/>
        </w:rPr>
        <w:t xml:space="preserve"> in COF-H and new peak indicative of C=N stretching vibration in COF-NH are observed</w:t>
      </w:r>
      <w:r>
        <w:rPr>
          <w:rFonts w:cstheme="minorHAnsi"/>
          <w:sz w:val="18"/>
          <w:szCs w:val="18"/>
        </w:rPr>
        <w:t xml:space="preserve"> (</w:t>
      </w:r>
      <w:r>
        <w:rPr>
          <w:rFonts w:cstheme="minorHAnsi"/>
          <w:color w:val="0000FF"/>
          <w:sz w:val="18"/>
          <w:szCs w:val="18"/>
        </w:rPr>
        <w:t>Figure S1-S2</w:t>
      </w:r>
      <w:r>
        <w:rPr>
          <w:rFonts w:cstheme="minorHAnsi"/>
          <w:sz w:val="18"/>
          <w:szCs w:val="18"/>
        </w:rPr>
        <w:t>)</w:t>
      </w:r>
      <w:r>
        <w:rPr>
          <w:rFonts w:eastAsia="AdvOT999035f4" w:cstheme="minorHAnsi"/>
          <w:sz w:val="18"/>
          <w:szCs w:val="18"/>
        </w:rPr>
        <w:t>, confirming the formation of the COF</w:t>
      </w:r>
      <w:r>
        <w:rPr>
          <w:rFonts w:cstheme="minorHAnsi"/>
          <w:sz w:val="18"/>
          <w:szCs w:val="18"/>
        </w:rPr>
        <w:t>s’</w:t>
      </w:r>
      <w:r>
        <w:rPr>
          <w:rFonts w:eastAsia="AdvOT999035f4" w:cstheme="minorHAnsi"/>
          <w:sz w:val="18"/>
          <w:szCs w:val="18"/>
        </w:rPr>
        <w:t xml:space="preserve"> structures.</w:t>
      </w:r>
      <w:r>
        <w:rPr>
          <w:rFonts w:cstheme="minorHAnsi"/>
          <w:sz w:val="18"/>
          <w:szCs w:val="18"/>
        </w:rPr>
        <w:t xml:space="preserve"> The </w:t>
      </w:r>
      <w:r>
        <w:rPr>
          <w:rFonts w:cstheme="minorHAnsi"/>
          <w:kern w:val="20"/>
          <w:sz w:val="18"/>
        </w:rPr>
        <w:t>crystallinity of COFs are evaluated by powder X-ray diffraction simulation (</w:t>
      </w:r>
      <w:r>
        <w:rPr>
          <w:rFonts w:cstheme="minorHAnsi"/>
          <w:color w:val="0000FF"/>
          <w:kern w:val="20"/>
          <w:sz w:val="18"/>
        </w:rPr>
        <w:t>Figure 2b</w:t>
      </w:r>
      <w:r>
        <w:rPr>
          <w:rFonts w:cstheme="minorHAnsi"/>
          <w:kern w:val="20"/>
          <w:sz w:val="18"/>
        </w:rPr>
        <w:t xml:space="preserve">, </w:t>
      </w:r>
      <w:proofErr w:type="spellStart"/>
      <w:proofErr w:type="gramStart"/>
      <w:r>
        <w:rPr>
          <w:rFonts w:cstheme="minorHAnsi"/>
          <w:color w:val="0000FF"/>
          <w:kern w:val="20"/>
          <w:sz w:val="18"/>
        </w:rPr>
        <w:t>Figur</w:t>
      </w:r>
      <w:proofErr w:type="spellEnd"/>
      <w:r>
        <w:rPr>
          <w:rFonts w:cstheme="minorHAnsi" w:hint="eastAsia"/>
          <w:color w:val="0000FF"/>
          <w:kern w:val="20"/>
          <w:sz w:val="18"/>
        </w:rPr>
        <w:t xml:space="preserve">  </w:t>
      </w:r>
      <w:r>
        <w:rPr>
          <w:rFonts w:cstheme="minorHAnsi"/>
          <w:color w:val="0000FF"/>
          <w:kern w:val="20"/>
          <w:sz w:val="18"/>
        </w:rPr>
        <w:t>S</w:t>
      </w:r>
      <w:proofErr w:type="gramEnd"/>
      <w:r>
        <w:rPr>
          <w:rFonts w:cstheme="minorHAnsi"/>
          <w:color w:val="0000FF"/>
          <w:kern w:val="20"/>
          <w:sz w:val="18"/>
        </w:rPr>
        <w:t>3-S4</w:t>
      </w:r>
      <w:r>
        <w:rPr>
          <w:rFonts w:cstheme="minorHAnsi"/>
          <w:kern w:val="20"/>
          <w:sz w:val="18"/>
        </w:rPr>
        <w:t>). It is observed that both COF-H and COF-NH adopt a same space group of P3(143) and similar pore size of ~11 Å (</w:t>
      </w:r>
      <w:r>
        <w:rPr>
          <w:rFonts w:cstheme="minorHAnsi"/>
          <w:color w:val="0000FF"/>
          <w:kern w:val="20"/>
          <w:sz w:val="18"/>
        </w:rPr>
        <w:t>Table S4-S5</w:t>
      </w:r>
      <w:r>
        <w:rPr>
          <w:rFonts w:cstheme="minorHAnsi"/>
          <w:kern w:val="20"/>
          <w:sz w:val="18"/>
        </w:rPr>
        <w:t xml:space="preserve">). The </w:t>
      </w:r>
      <w:r w:rsidR="00C30320" w:rsidRPr="00B647AF">
        <w:rPr>
          <w:rFonts w:cstheme="minorHAnsi" w:hint="eastAsia"/>
          <w:kern w:val="20"/>
          <w:sz w:val="18"/>
        </w:rPr>
        <w:t>00</w:t>
      </w:r>
      <w:r w:rsidRPr="00B647AF">
        <w:rPr>
          <w:rFonts w:cstheme="minorHAnsi"/>
          <w:kern w:val="20"/>
          <w:sz w:val="18"/>
        </w:rPr>
        <w:t>1</w:t>
      </w:r>
      <w:r>
        <w:rPr>
          <w:rFonts w:cstheme="minorHAnsi"/>
          <w:kern w:val="20"/>
          <w:sz w:val="18"/>
        </w:rPr>
        <w:t xml:space="preserve"> peaks are 27.360</w:t>
      </w:r>
      <w:r>
        <w:rPr>
          <w:rFonts w:cstheme="minorHAnsi"/>
          <w:kern w:val="20"/>
          <w:sz w:val="18"/>
          <w:vertAlign w:val="superscript"/>
        </w:rPr>
        <w:t>o</w:t>
      </w:r>
      <w:r>
        <w:rPr>
          <w:rFonts w:cstheme="minorHAnsi"/>
          <w:kern w:val="20"/>
          <w:sz w:val="18"/>
        </w:rPr>
        <w:t xml:space="preserve"> and 26.560</w:t>
      </w:r>
      <w:r>
        <w:rPr>
          <w:rFonts w:cstheme="minorHAnsi"/>
          <w:kern w:val="20"/>
          <w:sz w:val="18"/>
          <w:vertAlign w:val="superscript"/>
        </w:rPr>
        <w:t>o</w:t>
      </w:r>
      <w:r>
        <w:rPr>
          <w:rFonts w:cstheme="minorHAnsi"/>
          <w:kern w:val="20"/>
          <w:sz w:val="18"/>
        </w:rPr>
        <w:t xml:space="preserve"> for COF-H and COF-NH (</w:t>
      </w:r>
      <w:r>
        <w:rPr>
          <w:rFonts w:cstheme="minorHAnsi"/>
          <w:color w:val="0000FF"/>
          <w:kern w:val="20"/>
          <w:sz w:val="18"/>
        </w:rPr>
        <w:t>Figure 2c</w:t>
      </w:r>
      <w:r>
        <w:rPr>
          <w:rFonts w:cstheme="minorHAnsi"/>
          <w:kern w:val="20"/>
          <w:sz w:val="18"/>
        </w:rPr>
        <w:t>), with corresponding interlayer distance of 3.272 Å and 3.364 Å (</w:t>
      </w:r>
      <w:r>
        <w:rPr>
          <w:rFonts w:cstheme="minorHAnsi"/>
          <w:color w:val="0000FF"/>
          <w:kern w:val="20"/>
          <w:sz w:val="18"/>
        </w:rPr>
        <w:t>Figure 2d</w:t>
      </w:r>
      <w:r>
        <w:rPr>
          <w:rFonts w:cstheme="minorHAnsi"/>
          <w:kern w:val="20"/>
          <w:sz w:val="18"/>
        </w:rPr>
        <w:t xml:space="preserve">), indicating that the layer stacking of COF-H is much tighter. This is because </w:t>
      </w:r>
      <w:r>
        <w:rPr>
          <w:rFonts w:cstheme="minorHAnsi"/>
          <w:sz w:val="18"/>
          <w:szCs w:val="18"/>
        </w:rPr>
        <w:t>COF-H</w:t>
      </w:r>
      <w:r>
        <w:rPr>
          <w:rFonts w:cstheme="minorHAnsi"/>
          <w:kern w:val="20"/>
          <w:sz w:val="18"/>
        </w:rPr>
        <w:t xml:space="preserve"> has strong intralayer H-bond rings (</w:t>
      </w:r>
      <w:r>
        <w:rPr>
          <w:rFonts w:cstheme="minorHAnsi"/>
          <w:color w:val="0000FF"/>
          <w:kern w:val="20"/>
          <w:sz w:val="18"/>
        </w:rPr>
        <w:t>Figure 2e</w:t>
      </w:r>
      <w:r>
        <w:rPr>
          <w:rFonts w:cstheme="minorHAnsi"/>
          <w:kern w:val="20"/>
          <w:sz w:val="18"/>
        </w:rPr>
        <w:t xml:space="preserve">), which facilitates the formation of coplanar layers and layer stacking. Given the shorter interlayer distance in COF-H, the effect of H- bond rings </w:t>
      </w:r>
      <w:proofErr w:type="gramStart"/>
      <w:r>
        <w:rPr>
          <w:rFonts w:cstheme="minorHAnsi"/>
          <w:kern w:val="20"/>
          <w:sz w:val="18"/>
        </w:rPr>
        <w:t>is</w:t>
      </w:r>
      <w:proofErr w:type="gramEnd"/>
      <w:r>
        <w:rPr>
          <w:rFonts w:cstheme="minorHAnsi"/>
          <w:kern w:val="20"/>
          <w:sz w:val="18"/>
        </w:rPr>
        <w:t xml:space="preserve"> even stronger than that of the </w:t>
      </w:r>
      <w:r>
        <w:rPr>
          <w:rFonts w:cstheme="minorHAnsi"/>
          <w:sz w:val="18"/>
          <w:szCs w:val="18"/>
        </w:rPr>
        <w:t>π-π</w:t>
      </w:r>
      <w:r>
        <w:rPr>
          <w:rFonts w:cstheme="minorHAnsi"/>
          <w:kern w:val="20"/>
          <w:sz w:val="18"/>
        </w:rPr>
        <w:t xml:space="preserve"> stacking induced by the benzene rings in COF-NH. The detailed hydrogen bonding (N-H…O) is shown in </w:t>
      </w:r>
      <w:r>
        <w:rPr>
          <w:rFonts w:cstheme="minorHAnsi"/>
          <w:color w:val="0000FF"/>
          <w:kern w:val="20"/>
          <w:sz w:val="18"/>
        </w:rPr>
        <w:t>Figure 2e</w:t>
      </w:r>
      <w:r>
        <w:rPr>
          <w:rFonts w:cstheme="minorHAnsi"/>
          <w:kern w:val="20"/>
          <w:sz w:val="18"/>
        </w:rPr>
        <w:t xml:space="preserve">, which is formed between the hydrogen atom on the secondary amine and the oxygen atom on the ketone group in same layer. The H-bonds have distance about 2.2 Å, forming six membered rings with adjacent atoms. </w:t>
      </w:r>
      <w:r>
        <w:rPr>
          <w:rFonts w:cstheme="minorHAnsi"/>
          <w:sz w:val="18"/>
          <w:szCs w:val="18"/>
        </w:rPr>
        <w:t>According to the XPS analysis (</w:t>
      </w:r>
      <w:r>
        <w:rPr>
          <w:rFonts w:cstheme="minorHAnsi"/>
          <w:color w:val="0000FF"/>
          <w:sz w:val="18"/>
          <w:szCs w:val="18"/>
        </w:rPr>
        <w:t>Figure S6</w:t>
      </w:r>
      <w:r>
        <w:rPr>
          <w:rFonts w:cstheme="minorHAnsi"/>
          <w:sz w:val="18"/>
          <w:szCs w:val="18"/>
        </w:rPr>
        <w:t xml:space="preserve">, </w:t>
      </w:r>
      <w:r>
        <w:rPr>
          <w:rFonts w:cstheme="minorHAnsi"/>
          <w:color w:val="0000FF"/>
          <w:sz w:val="18"/>
          <w:szCs w:val="18"/>
        </w:rPr>
        <w:t>Table S1</w:t>
      </w:r>
      <w:r>
        <w:rPr>
          <w:rFonts w:cstheme="minorHAnsi"/>
          <w:sz w:val="18"/>
          <w:szCs w:val="18"/>
        </w:rPr>
        <w:t>), the mole ratio of N/Cl is 83.38 and 75.23 to COF-H and COF-NH, whereas the corresponding value for hydrazine monohydrochloride, based on its molecular formula, is 2. This indicates that almost all chloride ions escaped during the synthesis process, and that no nitrogen atom is protonated within the framework.</w:t>
      </w:r>
    </w:p>
    <w:p w14:paraId="74010ADD" w14:textId="77777777" w:rsidR="00B47838" w:rsidRDefault="00000000">
      <w:pPr>
        <w:spacing w:after="0" w:line="210" w:lineRule="exact"/>
        <w:ind w:firstLine="284"/>
        <w:jc w:val="both"/>
        <w:rPr>
          <w:rFonts w:eastAsia="等线" w:cstheme="minorHAnsi"/>
          <w:kern w:val="20"/>
          <w:sz w:val="18"/>
          <w:szCs w:val="18"/>
        </w:rPr>
      </w:pPr>
      <w:r>
        <w:rPr>
          <w:rFonts w:cstheme="minorHAnsi"/>
          <w:sz w:val="18"/>
          <w:szCs w:val="18"/>
        </w:rPr>
        <w:t>The proton conductivity values were derived from the Nyquist plots (</w:t>
      </w:r>
      <w:r>
        <w:rPr>
          <w:rFonts w:cstheme="minorHAnsi"/>
          <w:color w:val="0000FF"/>
          <w:sz w:val="18"/>
          <w:szCs w:val="18"/>
        </w:rPr>
        <w:t>Figure S7-S9</w:t>
      </w:r>
      <w:r>
        <w:rPr>
          <w:rFonts w:cstheme="minorHAnsi"/>
          <w:sz w:val="18"/>
          <w:szCs w:val="18"/>
        </w:rPr>
        <w:t>). COF-NH exhibits notably low proton conductivity, peaking at a mere 1.36×10</w:t>
      </w:r>
      <w:r>
        <w:rPr>
          <w:rFonts w:cstheme="minorHAnsi"/>
          <w:sz w:val="18"/>
          <w:szCs w:val="18"/>
          <w:vertAlign w:val="superscript"/>
        </w:rPr>
        <w:t>-6</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at 70 °C and 100% RH. In stark contrast, COF-H demonstrates significantly higher proton conductivity, exceeding ~10</w:t>
      </w:r>
      <w:r>
        <w:rPr>
          <w:rFonts w:cstheme="minorHAnsi"/>
          <w:sz w:val="18"/>
          <w:szCs w:val="18"/>
          <w:vertAlign w:val="superscript"/>
        </w:rPr>
        <w:t>-4</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at 100% RH, with its peak value reaching 3.04×10</w:t>
      </w:r>
      <w:r>
        <w:rPr>
          <w:rFonts w:cstheme="minorHAnsi"/>
          <w:sz w:val="18"/>
          <w:szCs w:val="18"/>
          <w:vertAlign w:val="superscript"/>
        </w:rPr>
        <w:t>-4</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at 70 °C (</w:t>
      </w:r>
      <w:r>
        <w:rPr>
          <w:rFonts w:cstheme="minorHAnsi"/>
          <w:color w:val="0000FF"/>
          <w:sz w:val="18"/>
          <w:szCs w:val="18"/>
        </w:rPr>
        <w:t>Figure 3a</w:t>
      </w:r>
      <w:r>
        <w:rPr>
          <w:rFonts w:cstheme="minorHAnsi"/>
          <w:sz w:val="18"/>
          <w:szCs w:val="18"/>
        </w:rPr>
        <w:t xml:space="preserve">). This performance is on par with other COFs and metal-organic frameworks (MOFs), as detailed in </w:t>
      </w:r>
      <w:r>
        <w:rPr>
          <w:rFonts w:cstheme="minorHAnsi"/>
          <w:color w:val="3A00FF"/>
          <w:sz w:val="18"/>
          <w:szCs w:val="18"/>
        </w:rPr>
        <w:t>Tables S2 and S3</w:t>
      </w:r>
      <w:r>
        <w:rPr>
          <w:rFonts w:cstheme="minorHAnsi"/>
          <w:sz w:val="18"/>
          <w:szCs w:val="18"/>
        </w:rPr>
        <w:t>. More importantly, COF-H is acid-free, differing from those proton conductors that typically possess acid species such as -SO</w:t>
      </w:r>
      <w:r>
        <w:rPr>
          <w:rFonts w:cstheme="minorHAnsi"/>
          <w:sz w:val="18"/>
          <w:szCs w:val="18"/>
          <w:vertAlign w:val="subscript"/>
        </w:rPr>
        <w:t>3</w:t>
      </w:r>
      <w:r>
        <w:rPr>
          <w:rFonts w:cstheme="minorHAnsi"/>
          <w:sz w:val="18"/>
          <w:szCs w:val="18"/>
        </w:rPr>
        <w:t>H and H</w:t>
      </w:r>
      <w:r>
        <w:rPr>
          <w:rFonts w:cstheme="minorHAnsi"/>
          <w:sz w:val="18"/>
          <w:szCs w:val="18"/>
          <w:vertAlign w:val="subscript"/>
        </w:rPr>
        <w:t>3</w:t>
      </w:r>
      <w:r>
        <w:rPr>
          <w:rFonts w:cstheme="minorHAnsi"/>
          <w:sz w:val="18"/>
          <w:szCs w:val="18"/>
        </w:rPr>
        <w:t>PO</w:t>
      </w:r>
      <w:r>
        <w:rPr>
          <w:rFonts w:cstheme="minorHAnsi"/>
          <w:sz w:val="18"/>
          <w:szCs w:val="18"/>
          <w:vertAlign w:val="subscript"/>
        </w:rPr>
        <w:t>4</w:t>
      </w:r>
      <w:r>
        <w:rPr>
          <w:rFonts w:cstheme="minorHAnsi"/>
          <w:sz w:val="18"/>
          <w:szCs w:val="18"/>
        </w:rPr>
        <w:t>.</w:t>
      </w:r>
      <w:r>
        <w:rPr>
          <w:rFonts w:cstheme="minorHAnsi"/>
          <w:color w:val="000000" w:themeColor="text1"/>
          <w:sz w:val="18"/>
          <w:szCs w:val="18"/>
          <w:vertAlign w:val="superscript"/>
        </w:rPr>
        <w:fldChar w:fldCharType="begin"/>
      </w:r>
      <w:r>
        <w:rPr>
          <w:rFonts w:cstheme="minorHAnsi"/>
          <w:color w:val="000000" w:themeColor="text1"/>
          <w:sz w:val="18"/>
          <w:szCs w:val="18"/>
          <w:vertAlign w:val="superscript"/>
        </w:rPr>
        <w:instrText xml:space="preserve"> REF _Ref1527 \r \h  \* MERGEFORMAT </w:instrText>
      </w:r>
      <w:r>
        <w:rPr>
          <w:rFonts w:cstheme="minorHAnsi"/>
          <w:color w:val="000000" w:themeColor="text1"/>
          <w:sz w:val="18"/>
          <w:szCs w:val="18"/>
          <w:vertAlign w:val="superscript"/>
        </w:rPr>
      </w:r>
      <w:r>
        <w:rPr>
          <w:rFonts w:cstheme="minorHAnsi"/>
          <w:color w:val="000000" w:themeColor="text1"/>
          <w:sz w:val="18"/>
          <w:szCs w:val="18"/>
          <w:vertAlign w:val="superscript"/>
        </w:rPr>
        <w:fldChar w:fldCharType="separate"/>
      </w:r>
      <w:r>
        <w:rPr>
          <w:rFonts w:cstheme="minorHAnsi"/>
          <w:color w:val="000000" w:themeColor="text1"/>
          <w:sz w:val="18"/>
          <w:szCs w:val="18"/>
          <w:vertAlign w:val="superscript"/>
        </w:rPr>
        <w:t>[11]</w:t>
      </w:r>
      <w:r>
        <w:rPr>
          <w:rFonts w:cstheme="minorHAnsi"/>
          <w:color w:val="000000" w:themeColor="text1"/>
          <w:sz w:val="18"/>
          <w:szCs w:val="18"/>
          <w:vertAlign w:val="superscript"/>
        </w:rPr>
        <w:fldChar w:fldCharType="end"/>
      </w:r>
      <w:r>
        <w:rPr>
          <w:rFonts w:cstheme="minorHAnsi"/>
          <w:sz w:val="18"/>
          <w:szCs w:val="18"/>
        </w:rPr>
        <w:t xml:space="preserve"> </w:t>
      </w:r>
      <w:r>
        <w:rPr>
          <w:rFonts w:cstheme="minorHAnsi"/>
          <w:kern w:val="20"/>
          <w:sz w:val="18"/>
          <w:szCs w:val="18"/>
        </w:rPr>
        <w:t xml:space="preserve">The activation energy is fitted by Arrhenius equation: </w:t>
      </w:r>
    </w:p>
    <w:p w14:paraId="74010ADE" w14:textId="77777777" w:rsidR="00B47838" w:rsidRDefault="00000000">
      <w:pPr>
        <w:ind w:firstLineChars="400" w:firstLine="720"/>
        <w:rPr>
          <w:rFonts w:cstheme="minorHAnsi"/>
          <w:kern w:val="20"/>
          <w:sz w:val="18"/>
          <w:szCs w:val="18"/>
        </w:rPr>
      </w:pPr>
      <w:r>
        <w:rPr>
          <w:rFonts w:ascii="Arno Pro" w:hAnsi="Arno Pro" w:cs="Arno Pro"/>
          <w:kern w:val="20"/>
          <w:position w:val="-30"/>
          <w:sz w:val="18"/>
          <w:szCs w:val="18"/>
        </w:rPr>
        <w:object w:dxaOrig="1364" w:dyaOrig="517" w14:anchorId="74010B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pt;height:25.85pt" o:ole="">
            <v:imagedata r:id="rId20" o:title=""/>
          </v:shape>
          <o:OLEObject Type="Embed" ProgID="Msxml2.SAXXMLReader.6.0" ShapeID="_x0000_i1025" DrawAspect="Content" ObjectID="_1781334864" r:id="rId21"/>
        </w:object>
      </w:r>
      <w:r>
        <w:rPr>
          <w:rFonts w:ascii="Arno Pro" w:hAnsi="Arno Pro" w:cs="Arno Pro"/>
          <w:kern w:val="20"/>
          <w:sz w:val="18"/>
          <w:szCs w:val="18"/>
        </w:rPr>
        <w:t xml:space="preserve">                      </w:t>
      </w:r>
      <w:r>
        <w:rPr>
          <w:rFonts w:cstheme="minorHAnsi"/>
          <w:kern w:val="20"/>
          <w:sz w:val="18"/>
          <w:szCs w:val="18"/>
        </w:rPr>
        <w:t>(1)</w:t>
      </w:r>
    </w:p>
    <w:p w14:paraId="74010ADF" w14:textId="77777777" w:rsidR="00B47838" w:rsidRDefault="00000000">
      <w:pPr>
        <w:spacing w:after="0" w:line="210" w:lineRule="exact"/>
        <w:ind w:firstLine="284"/>
        <w:jc w:val="both"/>
        <w:rPr>
          <w:rFonts w:cstheme="minorHAnsi"/>
          <w:sz w:val="18"/>
          <w:szCs w:val="18"/>
        </w:rPr>
        <w:sectPr w:rsidR="00B47838">
          <w:headerReference w:type="default" r:id="rId22"/>
          <w:footerReference w:type="even" r:id="rId23"/>
          <w:footerReference w:type="default" r:id="rId24"/>
          <w:headerReference w:type="first" r:id="rId25"/>
          <w:footerReference w:type="first" r:id="rId26"/>
          <w:type w:val="continuous"/>
          <w:pgSz w:w="11906" w:h="16838"/>
          <w:pgMar w:top="1191" w:right="936" w:bottom="1191" w:left="936" w:header="794" w:footer="680" w:gutter="57"/>
          <w:cols w:num="2" w:space="284"/>
          <w:titlePg/>
          <w:docGrid w:type="lines" w:linePitch="312"/>
        </w:sectPr>
      </w:pPr>
      <w:r>
        <w:rPr>
          <w:rFonts w:cstheme="minorHAnsi"/>
          <w:kern w:val="20"/>
          <w:sz w:val="18"/>
          <w:szCs w:val="18"/>
        </w:rPr>
        <w:t xml:space="preserve">where </w:t>
      </w:r>
      <w:proofErr w:type="spellStart"/>
      <w:r>
        <w:rPr>
          <w:rFonts w:cstheme="minorHAnsi"/>
          <w:i/>
          <w:kern w:val="20"/>
          <w:sz w:val="18"/>
          <w:szCs w:val="18"/>
        </w:rPr>
        <w:t>E</w:t>
      </w:r>
      <w:r>
        <w:rPr>
          <w:rFonts w:cstheme="minorHAnsi"/>
          <w:i/>
          <w:kern w:val="20"/>
          <w:sz w:val="18"/>
          <w:szCs w:val="18"/>
          <w:vertAlign w:val="subscript"/>
        </w:rPr>
        <w:t>a</w:t>
      </w:r>
      <w:proofErr w:type="spellEnd"/>
      <w:r>
        <w:rPr>
          <w:rFonts w:cstheme="minorHAnsi"/>
          <w:i/>
          <w:kern w:val="20"/>
          <w:sz w:val="18"/>
          <w:szCs w:val="18"/>
          <w:vertAlign w:val="subscript"/>
        </w:rPr>
        <w:t xml:space="preserve"> </w:t>
      </w:r>
      <w:r>
        <w:rPr>
          <w:rFonts w:cstheme="minorHAnsi"/>
          <w:kern w:val="20"/>
          <w:sz w:val="18"/>
          <w:szCs w:val="18"/>
        </w:rPr>
        <w:t xml:space="preserve">is the transport activation energy, </w:t>
      </w:r>
      <w:r>
        <w:rPr>
          <w:rFonts w:cstheme="minorHAnsi"/>
          <w:i/>
          <w:kern w:val="20"/>
          <w:sz w:val="18"/>
          <w:szCs w:val="18"/>
        </w:rPr>
        <w:t>k</w:t>
      </w:r>
      <w:r>
        <w:rPr>
          <w:rFonts w:cstheme="minorHAnsi"/>
          <w:i/>
          <w:kern w:val="20"/>
          <w:sz w:val="18"/>
          <w:szCs w:val="18"/>
          <w:vertAlign w:val="subscript"/>
        </w:rPr>
        <w:t>B</w:t>
      </w:r>
      <w:r>
        <w:rPr>
          <w:rFonts w:cstheme="minorHAnsi"/>
          <w:kern w:val="20"/>
          <w:sz w:val="18"/>
          <w:szCs w:val="18"/>
        </w:rPr>
        <w:t xml:space="preserve"> is the Boltzmann constant, </w:t>
      </w:r>
      <w:r>
        <w:rPr>
          <w:rFonts w:cstheme="minorHAnsi"/>
          <w:i/>
          <w:kern w:val="20"/>
          <w:sz w:val="18"/>
          <w:szCs w:val="18"/>
        </w:rPr>
        <w:t xml:space="preserve">T </w:t>
      </w:r>
      <w:r>
        <w:rPr>
          <w:rFonts w:cstheme="minorHAnsi"/>
          <w:kern w:val="20"/>
          <w:sz w:val="18"/>
          <w:szCs w:val="18"/>
        </w:rPr>
        <w:t xml:space="preserve">is temperature, and </w:t>
      </w:r>
      <w:r>
        <w:rPr>
          <w:rFonts w:cstheme="minorHAnsi"/>
          <w:i/>
          <w:kern w:val="20"/>
          <w:sz w:val="18"/>
          <w:szCs w:val="18"/>
        </w:rPr>
        <w:t>A</w:t>
      </w:r>
      <w:r>
        <w:rPr>
          <w:rFonts w:cstheme="minorHAnsi"/>
          <w:kern w:val="20"/>
          <w:sz w:val="18"/>
          <w:szCs w:val="18"/>
        </w:rPr>
        <w:t xml:space="preserve"> is a pre-exponential factor. </w:t>
      </w:r>
      <w:r>
        <w:rPr>
          <w:rFonts w:cstheme="minorHAnsi"/>
          <w:sz w:val="18"/>
          <w:szCs w:val="18"/>
        </w:rPr>
        <w:t>The best fitting provides activation energy values of 0.14 eV for COF-H and 0.74 eV for COF-NH (</w:t>
      </w:r>
      <w:r>
        <w:rPr>
          <w:rFonts w:cstheme="minorHAnsi"/>
          <w:color w:val="0000FF"/>
          <w:sz w:val="18"/>
          <w:szCs w:val="18"/>
        </w:rPr>
        <w:t>Figure 3b</w:t>
      </w:r>
      <w:r>
        <w:rPr>
          <w:rFonts w:cstheme="minorHAnsi"/>
          <w:sz w:val="18"/>
          <w:szCs w:val="18"/>
        </w:rPr>
        <w:t xml:space="preserve">), implying the </w:t>
      </w:r>
    </w:p>
    <w:p w14:paraId="74010AE0" w14:textId="77777777" w:rsidR="00B47838" w:rsidRDefault="00000000">
      <w:pPr>
        <w:jc w:val="center"/>
        <w:rPr>
          <w:kern w:val="0"/>
          <w:sz w:val="24"/>
          <w14:ligatures w14:val="none"/>
        </w:rPr>
      </w:pPr>
      <w:r>
        <w:rPr>
          <w:rFonts w:ascii="Arno Pro" w:hAnsi="Arno Pro"/>
          <w:noProof/>
          <w:kern w:val="21"/>
          <w:sz w:val="18"/>
          <w:szCs w:val="18"/>
        </w:rPr>
        <w:lastRenderedPageBreak/>
        <w:drawing>
          <wp:inline distT="0" distB="0" distL="114300" distR="114300" wp14:anchorId="74010B3A" wp14:editId="74010B3B">
            <wp:extent cx="5760085" cy="6519545"/>
            <wp:effectExtent l="0" t="0" r="12065" b="14605"/>
            <wp:docPr id="11" name="图片 4" descr="Fig.3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Fig.3 -2-01"/>
                    <pic:cNvPicPr>
                      <a:picLocks noChangeAspect="1"/>
                    </pic:cNvPicPr>
                  </pic:nvPicPr>
                  <pic:blipFill>
                    <a:blip r:embed="rId27"/>
                    <a:stretch>
                      <a:fillRect/>
                    </a:stretch>
                  </pic:blipFill>
                  <pic:spPr>
                    <a:xfrm>
                      <a:off x="0" y="0"/>
                      <a:ext cx="5760085" cy="6519545"/>
                    </a:xfrm>
                    <a:prstGeom prst="rect">
                      <a:avLst/>
                    </a:prstGeom>
                    <a:noFill/>
                    <a:ln>
                      <a:noFill/>
                    </a:ln>
                  </pic:spPr>
                </pic:pic>
              </a:graphicData>
            </a:graphic>
          </wp:inline>
        </w:drawing>
      </w:r>
    </w:p>
    <w:p w14:paraId="74010AE1" w14:textId="77777777" w:rsidR="00B47838" w:rsidRDefault="00000000">
      <w:pPr>
        <w:pStyle w:val="FigureCaption"/>
        <w:rPr>
          <w:rFonts w:cstheme="minorHAnsi"/>
          <w:kern w:val="20"/>
          <w:sz w:val="18"/>
        </w:rPr>
      </w:pPr>
      <w:r>
        <w:rPr>
          <w:rFonts w:asciiTheme="minorHAnsi" w:hAnsiTheme="minorHAnsi" w:cstheme="minorHAnsi"/>
          <w:b/>
          <w:bCs/>
          <w:lang w:val="pt-BR"/>
        </w:rPr>
        <w:t xml:space="preserve">Figure </w:t>
      </w:r>
      <w:r>
        <w:rPr>
          <w:rFonts w:asciiTheme="minorHAnsi" w:hAnsiTheme="minorHAnsi" w:cstheme="minorHAnsi" w:hint="eastAsia"/>
          <w:b/>
          <w:bCs/>
          <w:lang w:val="pt-BR"/>
        </w:rPr>
        <w:t>2</w:t>
      </w:r>
      <w:r>
        <w:rPr>
          <w:rFonts w:asciiTheme="minorHAnsi" w:hAnsiTheme="minorHAnsi" w:cstheme="minorHAnsi"/>
          <w:lang w:val="pt-BR"/>
        </w:rPr>
        <w:t xml:space="preserve">  </w:t>
      </w:r>
      <w:r>
        <w:rPr>
          <w:rFonts w:cstheme="minorHAnsi"/>
          <w:kern w:val="20"/>
          <w:sz w:val="18"/>
        </w:rPr>
        <w:t xml:space="preserve">(a) Schematic representation of the synthesis of </w:t>
      </w:r>
      <w:r>
        <w:rPr>
          <w:rFonts w:cstheme="minorHAnsi" w:hint="eastAsia"/>
          <w:kern w:val="20"/>
          <w:sz w:val="18"/>
        </w:rPr>
        <w:t>COF-H and COF-NH.</w:t>
      </w:r>
      <w:r>
        <w:rPr>
          <w:rFonts w:cstheme="minorHAnsi"/>
          <w:kern w:val="20"/>
          <w:sz w:val="18"/>
        </w:rPr>
        <w:t xml:space="preserve"> (b) Simulated and experimental PXRD patterns of </w:t>
      </w:r>
      <w:r>
        <w:rPr>
          <w:rFonts w:cstheme="minorHAnsi" w:hint="eastAsia"/>
          <w:kern w:val="20"/>
          <w:sz w:val="18"/>
        </w:rPr>
        <w:t>COF-H</w:t>
      </w:r>
      <w:r>
        <w:rPr>
          <w:rFonts w:cstheme="minorHAnsi"/>
          <w:kern w:val="20"/>
          <w:sz w:val="18"/>
        </w:rPr>
        <w:t xml:space="preserve">. </w:t>
      </w:r>
      <w:r>
        <w:rPr>
          <w:rFonts w:cstheme="minorHAnsi" w:hint="eastAsia"/>
          <w:kern w:val="20"/>
          <w:sz w:val="18"/>
        </w:rPr>
        <w:t>(c) PXRD comparison of COF-H and COF-NH.</w:t>
      </w:r>
      <w:r>
        <w:rPr>
          <w:rFonts w:cstheme="minorHAnsi"/>
          <w:kern w:val="20"/>
          <w:sz w:val="18"/>
        </w:rPr>
        <w:t xml:space="preserve"> (</w:t>
      </w:r>
      <w:r>
        <w:rPr>
          <w:rFonts w:cstheme="minorHAnsi" w:hint="eastAsia"/>
          <w:kern w:val="20"/>
          <w:sz w:val="18"/>
        </w:rPr>
        <w:t>d</w:t>
      </w:r>
      <w:r>
        <w:rPr>
          <w:rFonts w:cstheme="minorHAnsi"/>
          <w:kern w:val="20"/>
          <w:sz w:val="18"/>
        </w:rPr>
        <w:t xml:space="preserve">) </w:t>
      </w:r>
      <w:r>
        <w:rPr>
          <w:rFonts w:cstheme="minorHAnsi" w:hint="eastAsia"/>
          <w:kern w:val="20"/>
          <w:sz w:val="18"/>
        </w:rPr>
        <w:t>L</w:t>
      </w:r>
      <w:r>
        <w:rPr>
          <w:rFonts w:cstheme="minorHAnsi"/>
          <w:kern w:val="20"/>
          <w:sz w:val="18"/>
        </w:rPr>
        <w:t>ayer structure</w:t>
      </w:r>
      <w:r>
        <w:rPr>
          <w:rFonts w:cstheme="minorHAnsi" w:hint="eastAsia"/>
          <w:kern w:val="20"/>
          <w:sz w:val="18"/>
        </w:rPr>
        <w:t>s of COF-H and COF-NH with different stacking distance</w:t>
      </w:r>
      <w:r>
        <w:rPr>
          <w:rFonts w:cstheme="minorHAnsi"/>
          <w:kern w:val="20"/>
          <w:sz w:val="18"/>
        </w:rPr>
        <w:t>. (</w:t>
      </w:r>
      <w:r>
        <w:rPr>
          <w:rFonts w:cstheme="minorHAnsi" w:hint="eastAsia"/>
          <w:kern w:val="20"/>
          <w:sz w:val="18"/>
        </w:rPr>
        <w:t>e</w:t>
      </w:r>
      <w:r>
        <w:rPr>
          <w:rFonts w:cstheme="minorHAnsi"/>
          <w:kern w:val="20"/>
          <w:sz w:val="18"/>
        </w:rPr>
        <w:t>)</w:t>
      </w:r>
      <w:r>
        <w:rPr>
          <w:rFonts w:cstheme="minorHAnsi" w:hint="eastAsia"/>
          <w:kern w:val="20"/>
          <w:sz w:val="18"/>
        </w:rPr>
        <w:t xml:space="preserve"> </w:t>
      </w:r>
      <w:r>
        <w:rPr>
          <w:rFonts w:cstheme="minorHAnsi"/>
          <w:kern w:val="20"/>
          <w:sz w:val="18"/>
        </w:rPr>
        <w:t>AA manner along c-axis generating one-dimensional channels</w:t>
      </w:r>
      <w:r>
        <w:rPr>
          <w:rFonts w:cstheme="minorHAnsi" w:hint="eastAsia"/>
          <w:kern w:val="20"/>
          <w:sz w:val="18"/>
        </w:rPr>
        <w:t xml:space="preserve"> </w:t>
      </w:r>
      <w:r>
        <w:rPr>
          <w:rFonts w:cstheme="minorHAnsi"/>
          <w:kern w:val="20"/>
          <w:sz w:val="18"/>
        </w:rPr>
        <w:t xml:space="preserve">of </w:t>
      </w:r>
      <w:r>
        <w:rPr>
          <w:rFonts w:cstheme="minorHAnsi" w:hint="eastAsia"/>
          <w:kern w:val="20"/>
          <w:sz w:val="18"/>
        </w:rPr>
        <w:t>COF-H</w:t>
      </w:r>
      <w:r>
        <w:rPr>
          <w:rFonts w:cstheme="minorHAnsi"/>
          <w:kern w:val="20"/>
          <w:sz w:val="18"/>
        </w:rPr>
        <w:t xml:space="preserve"> (</w:t>
      </w:r>
      <w:r>
        <w:rPr>
          <w:rFonts w:cstheme="minorHAnsi" w:hint="eastAsia"/>
          <w:kern w:val="20"/>
          <w:sz w:val="18"/>
        </w:rPr>
        <w:t>left</w:t>
      </w:r>
      <w:r>
        <w:rPr>
          <w:rFonts w:cstheme="minorHAnsi"/>
          <w:kern w:val="20"/>
          <w:sz w:val="18"/>
        </w:rPr>
        <w:t xml:space="preserve">) </w:t>
      </w:r>
      <w:r>
        <w:rPr>
          <w:rFonts w:cstheme="minorHAnsi" w:hint="eastAsia"/>
          <w:kern w:val="20"/>
          <w:sz w:val="18"/>
        </w:rPr>
        <w:t>and</w:t>
      </w:r>
      <w:r>
        <w:rPr>
          <w:rFonts w:cstheme="minorHAnsi"/>
          <w:kern w:val="20"/>
          <w:sz w:val="18"/>
        </w:rPr>
        <w:t xml:space="preserve"> H-bond </w:t>
      </w:r>
      <w:r>
        <w:rPr>
          <w:rFonts w:cstheme="minorHAnsi" w:hint="eastAsia"/>
          <w:kern w:val="20"/>
          <w:sz w:val="18"/>
        </w:rPr>
        <w:t>ring on the framework (right)</w:t>
      </w:r>
      <w:r>
        <w:rPr>
          <w:rFonts w:cstheme="minorHAnsi"/>
          <w:kern w:val="20"/>
          <w:sz w:val="18"/>
        </w:rPr>
        <w:t>.</w:t>
      </w:r>
    </w:p>
    <w:p w14:paraId="74010AE2" w14:textId="77777777" w:rsidR="00B47838" w:rsidRDefault="00B47838">
      <w:pPr>
        <w:spacing w:after="0" w:line="210" w:lineRule="exact"/>
        <w:ind w:firstLine="284"/>
        <w:jc w:val="both"/>
        <w:rPr>
          <w:rFonts w:cstheme="minorHAnsi"/>
          <w:sz w:val="18"/>
          <w:szCs w:val="18"/>
        </w:rPr>
        <w:sectPr w:rsidR="00B47838">
          <w:type w:val="continuous"/>
          <w:pgSz w:w="11906" w:h="16838"/>
          <w:pgMar w:top="1191" w:right="936" w:bottom="1191" w:left="936" w:header="794" w:footer="680" w:gutter="57"/>
          <w:cols w:space="284"/>
          <w:titlePg/>
          <w:docGrid w:type="lines" w:linePitch="312"/>
        </w:sectPr>
      </w:pPr>
    </w:p>
    <w:p w14:paraId="74010AE3" w14:textId="77777777" w:rsidR="00B47838" w:rsidRDefault="00000000">
      <w:pPr>
        <w:spacing w:after="0" w:line="210" w:lineRule="exact"/>
        <w:ind w:firstLine="284"/>
        <w:jc w:val="both"/>
        <w:rPr>
          <w:rFonts w:cstheme="minorHAnsi"/>
          <w:sz w:val="18"/>
          <w:szCs w:val="18"/>
        </w:rPr>
      </w:pPr>
      <w:proofErr w:type="spellStart"/>
      <w:r>
        <w:rPr>
          <w:rFonts w:cstheme="minorHAnsi"/>
          <w:sz w:val="18"/>
          <w:szCs w:val="18"/>
        </w:rPr>
        <w:t>Grotthuss</w:t>
      </w:r>
      <w:proofErr w:type="spellEnd"/>
      <w:r>
        <w:rPr>
          <w:rFonts w:cstheme="minorHAnsi"/>
          <w:sz w:val="18"/>
          <w:szCs w:val="18"/>
        </w:rPr>
        <w:t xml:space="preserve"> and Vehicle mechanisms, respectively. Therefore, the proton conduction processes in COF-H and COF-NH are distinct: protons in COF-H jump along the hydrogen bonding network, while in COF-NH, they move with hydronium ions as a whole. The proton conductivity decreases significantly with decreased relative humidity. For instance, it is </w:t>
      </w:r>
      <w:r>
        <w:rPr>
          <w:rFonts w:cstheme="minorHAnsi" w:hint="eastAsia"/>
          <w:sz w:val="18"/>
          <w:szCs w:val="18"/>
        </w:rPr>
        <w:t>8</w:t>
      </w:r>
      <w:r>
        <w:rPr>
          <w:rFonts w:cstheme="minorHAnsi"/>
          <w:sz w:val="18"/>
          <w:szCs w:val="18"/>
        </w:rPr>
        <w:t>×10</w:t>
      </w:r>
      <w:r>
        <w:rPr>
          <w:rFonts w:cstheme="minorHAnsi"/>
          <w:sz w:val="18"/>
          <w:szCs w:val="18"/>
          <w:vertAlign w:val="superscript"/>
        </w:rPr>
        <w:t>-</w:t>
      </w:r>
      <w:r>
        <w:rPr>
          <w:rFonts w:cstheme="minorHAnsi" w:hint="eastAsia"/>
          <w:sz w:val="18"/>
          <w:szCs w:val="18"/>
          <w:vertAlign w:val="superscript"/>
        </w:rPr>
        <w:t>8</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and </w:t>
      </w:r>
      <w:r>
        <w:rPr>
          <w:rFonts w:cstheme="minorHAnsi" w:hint="eastAsia"/>
          <w:sz w:val="18"/>
          <w:szCs w:val="18"/>
        </w:rPr>
        <w:t>1</w:t>
      </w:r>
      <w:r>
        <w:rPr>
          <w:rFonts w:cstheme="minorHAnsi"/>
          <w:sz w:val="18"/>
          <w:szCs w:val="18"/>
        </w:rPr>
        <w:t>×10</w:t>
      </w:r>
      <w:r>
        <w:rPr>
          <w:rFonts w:cstheme="minorHAnsi"/>
          <w:sz w:val="18"/>
          <w:szCs w:val="18"/>
          <w:vertAlign w:val="superscript"/>
        </w:rPr>
        <w:t>-</w:t>
      </w:r>
      <w:r>
        <w:rPr>
          <w:rFonts w:cstheme="minorHAnsi" w:hint="eastAsia"/>
          <w:sz w:val="18"/>
          <w:szCs w:val="18"/>
          <w:vertAlign w:val="superscript"/>
        </w:rPr>
        <w:t>8</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for COF-H and COF-NH at 30 °C and 85% RH (</w:t>
      </w:r>
      <w:r>
        <w:rPr>
          <w:rFonts w:cstheme="minorHAnsi"/>
          <w:color w:val="0000FF"/>
          <w:sz w:val="18"/>
          <w:szCs w:val="18"/>
        </w:rPr>
        <w:t>Figure 3c</w:t>
      </w:r>
      <w:r>
        <w:rPr>
          <w:rFonts w:cstheme="minorHAnsi"/>
          <w:sz w:val="18"/>
          <w:szCs w:val="18"/>
        </w:rPr>
        <w:t>), demonstrating that the proton conduction is highly correlated with the amount of loaded water in COFs’ channel.</w:t>
      </w:r>
    </w:p>
    <w:p w14:paraId="74010AE4" w14:textId="77777777" w:rsidR="00B47838" w:rsidRDefault="00000000">
      <w:pPr>
        <w:spacing w:after="0" w:line="210" w:lineRule="exact"/>
        <w:ind w:firstLine="284"/>
        <w:jc w:val="both"/>
        <w:rPr>
          <w:rFonts w:cstheme="minorHAnsi"/>
          <w:sz w:val="18"/>
          <w:szCs w:val="18"/>
        </w:rPr>
        <w:sectPr w:rsidR="00B47838">
          <w:type w:val="continuous"/>
          <w:pgSz w:w="11906" w:h="16838"/>
          <w:pgMar w:top="1191" w:right="936" w:bottom="1191" w:left="936" w:header="794" w:footer="680" w:gutter="57"/>
          <w:cols w:num="2" w:space="284"/>
          <w:titlePg/>
          <w:docGrid w:type="lines" w:linePitch="312"/>
        </w:sectPr>
      </w:pPr>
      <w:r>
        <w:rPr>
          <w:rFonts w:cstheme="minorHAnsi"/>
          <w:sz w:val="18"/>
          <w:szCs w:val="18"/>
        </w:rPr>
        <w:t>The water adsorption models in COFs are established based on DTF calculation. From water density distribution map, water molecules are preferentially adsorbed at channel interfaces at low humidity (</w:t>
      </w:r>
      <w:r>
        <w:rPr>
          <w:rFonts w:cstheme="minorHAnsi"/>
          <w:color w:val="0000FF"/>
          <w:sz w:val="18"/>
          <w:szCs w:val="18"/>
        </w:rPr>
        <w:t>Figure S11</w:t>
      </w:r>
      <w:r>
        <w:rPr>
          <w:rFonts w:cstheme="minorHAnsi"/>
          <w:sz w:val="18"/>
          <w:szCs w:val="18"/>
        </w:rPr>
        <w:t xml:space="preserve"> and left in </w:t>
      </w:r>
      <w:r>
        <w:rPr>
          <w:rFonts w:cstheme="minorHAnsi"/>
          <w:color w:val="0000FF"/>
          <w:sz w:val="18"/>
          <w:szCs w:val="18"/>
        </w:rPr>
        <w:t>Figure 4a</w:t>
      </w:r>
      <w:r>
        <w:rPr>
          <w:rFonts w:cstheme="minorHAnsi"/>
          <w:sz w:val="18"/>
          <w:szCs w:val="18"/>
        </w:rPr>
        <w:t xml:space="preserve">), which aligns with the mechanism where guest molecules are adsorbed first at pore </w:t>
      </w:r>
      <w:r>
        <w:rPr>
          <w:rFonts w:cstheme="minorHAnsi"/>
          <w:sz w:val="18"/>
          <w:szCs w:val="18"/>
        </w:rPr>
        <w:t>interfaces.</w:t>
      </w:r>
      <w:r>
        <w:rPr>
          <w:rFonts w:cstheme="minorHAnsi"/>
          <w:color w:val="FF0000"/>
          <w:sz w:val="18"/>
          <w:szCs w:val="18"/>
          <w:vertAlign w:val="superscript"/>
        </w:rPr>
        <w:fldChar w:fldCharType="begin"/>
      </w:r>
      <w:r>
        <w:rPr>
          <w:rFonts w:cstheme="minorHAnsi"/>
          <w:color w:val="FF0000"/>
          <w:sz w:val="18"/>
          <w:szCs w:val="18"/>
          <w:vertAlign w:val="superscript"/>
        </w:rPr>
        <w:instrText xml:space="preserve"> REF _Ref1681 \r \h  \* MERGEFORMAT </w:instrText>
      </w:r>
      <w:r>
        <w:rPr>
          <w:rFonts w:cstheme="minorHAnsi"/>
          <w:color w:val="FF0000"/>
          <w:sz w:val="18"/>
          <w:szCs w:val="18"/>
          <w:vertAlign w:val="superscript"/>
        </w:rPr>
      </w:r>
      <w:r>
        <w:rPr>
          <w:rFonts w:cstheme="minorHAnsi"/>
          <w:color w:val="FF0000"/>
          <w:sz w:val="18"/>
          <w:szCs w:val="18"/>
          <w:vertAlign w:val="superscript"/>
        </w:rPr>
        <w:fldChar w:fldCharType="separate"/>
      </w:r>
      <w:r>
        <w:rPr>
          <w:rFonts w:cstheme="minorHAnsi"/>
          <w:color w:val="000000" w:themeColor="text1"/>
          <w:sz w:val="18"/>
          <w:szCs w:val="18"/>
          <w:vertAlign w:val="superscript"/>
        </w:rPr>
        <w:t>[12]</w:t>
      </w:r>
      <w:r>
        <w:rPr>
          <w:rFonts w:cstheme="minorHAnsi"/>
          <w:color w:val="FF0000"/>
          <w:sz w:val="18"/>
          <w:szCs w:val="18"/>
          <w:vertAlign w:val="superscript"/>
        </w:rPr>
        <w:fldChar w:fldCharType="end"/>
      </w:r>
      <w:r>
        <w:rPr>
          <w:rFonts w:cstheme="minorHAnsi"/>
          <w:sz w:val="18"/>
          <w:szCs w:val="18"/>
        </w:rPr>
        <w:t xml:space="preserve"> At high humidity, the adsorbed water molecules can be divided into core water (water at center of channel) and interfacial water (water near the channel surface) (marked with green background in the middle of </w:t>
      </w:r>
      <w:r>
        <w:rPr>
          <w:rFonts w:cstheme="minorHAnsi"/>
          <w:color w:val="0000FF"/>
          <w:sz w:val="18"/>
          <w:szCs w:val="18"/>
        </w:rPr>
        <w:t>Figure 4a</w:t>
      </w:r>
      <w:r>
        <w:rPr>
          <w:rFonts w:cstheme="minorHAnsi"/>
          <w:sz w:val="18"/>
          <w:szCs w:val="18"/>
        </w:rPr>
        <w:t xml:space="preserve">). Besides this, the energy distribution shows that the interfacial water’s energy is relatively high (marked with purple background in </w:t>
      </w:r>
      <w:r>
        <w:rPr>
          <w:rFonts w:cstheme="minorHAnsi"/>
          <w:color w:val="0000FF"/>
          <w:sz w:val="18"/>
          <w:szCs w:val="18"/>
        </w:rPr>
        <w:t>Figure S13</w:t>
      </w:r>
      <w:r>
        <w:rPr>
          <w:rFonts w:cstheme="minorHAnsi"/>
          <w:sz w:val="18"/>
          <w:szCs w:val="18"/>
        </w:rPr>
        <w:t xml:space="preserve"> and left of </w:t>
      </w:r>
      <w:r>
        <w:rPr>
          <w:rFonts w:cstheme="minorHAnsi"/>
          <w:color w:val="0000FF"/>
          <w:sz w:val="18"/>
          <w:szCs w:val="18"/>
        </w:rPr>
        <w:t>Figure 4b</w:t>
      </w:r>
      <w:r>
        <w:rPr>
          <w:rFonts w:cstheme="minorHAnsi"/>
          <w:sz w:val="18"/>
          <w:szCs w:val="18"/>
        </w:rPr>
        <w:t xml:space="preserve">), which is red color near the edge of frameworks. </w:t>
      </w:r>
      <w:r>
        <w:rPr>
          <w:rFonts w:cstheme="minorHAnsi"/>
          <w:color w:val="0000FF"/>
          <w:sz w:val="18"/>
          <w:szCs w:val="18"/>
        </w:rPr>
        <w:t>Figure 4c</w:t>
      </w:r>
      <w:r>
        <w:rPr>
          <w:rFonts w:cstheme="minorHAnsi"/>
          <w:sz w:val="18"/>
          <w:szCs w:val="18"/>
        </w:rPr>
        <w:t xml:space="preserve"> gives two water adsorption energy peaks for both COF-H and COF-NH (-1.95 kcal/mol and -1.65 kcal/mol for COF-H, -1.75 kcal/mol and -1.45 kcal/mol for COF-NH). Combining energy distribution, the high absolute values belong core water while low absolute values belong to interfacial water. The higher adsorption energy of core water (-1.95 kcal/mol for COF-H, -1.75 kcal/mol for COF-NH) is also beneficial for water molecules aggregating at the </w:t>
      </w:r>
    </w:p>
    <w:p w14:paraId="74010AE5" w14:textId="77777777" w:rsidR="00B47838" w:rsidRDefault="00000000">
      <w:pPr>
        <w:jc w:val="center"/>
        <w:rPr>
          <w:kern w:val="0"/>
          <w:sz w:val="24"/>
          <w14:ligatures w14:val="none"/>
        </w:rPr>
      </w:pPr>
      <w:r>
        <w:rPr>
          <w:rFonts w:ascii="Arno Pro" w:hAnsi="Arno Pro" w:cs="Arno Pro" w:hint="eastAsia"/>
          <w:noProof/>
          <w:kern w:val="20"/>
          <w:sz w:val="18"/>
        </w:rPr>
        <w:lastRenderedPageBreak/>
        <w:drawing>
          <wp:inline distT="0" distB="0" distL="114300" distR="114300" wp14:anchorId="74010B3C" wp14:editId="74010B3D">
            <wp:extent cx="5760085" cy="1658620"/>
            <wp:effectExtent l="0" t="0" r="12065" b="17780"/>
            <wp:docPr id="12" name="图片 5" descr="fig-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fig-2-01"/>
                    <pic:cNvPicPr>
                      <a:picLocks noChangeAspect="1"/>
                    </pic:cNvPicPr>
                  </pic:nvPicPr>
                  <pic:blipFill>
                    <a:blip r:embed="rId28"/>
                    <a:stretch>
                      <a:fillRect/>
                    </a:stretch>
                  </pic:blipFill>
                  <pic:spPr>
                    <a:xfrm>
                      <a:off x="0" y="0"/>
                      <a:ext cx="5760085" cy="1658620"/>
                    </a:xfrm>
                    <a:prstGeom prst="rect">
                      <a:avLst/>
                    </a:prstGeom>
                    <a:noFill/>
                    <a:ln>
                      <a:noFill/>
                    </a:ln>
                  </pic:spPr>
                </pic:pic>
              </a:graphicData>
            </a:graphic>
          </wp:inline>
        </w:drawing>
      </w:r>
    </w:p>
    <w:p w14:paraId="74010AE6" w14:textId="77777777" w:rsidR="00B47838" w:rsidRDefault="00000000">
      <w:pPr>
        <w:pStyle w:val="FigureCaption"/>
        <w:rPr>
          <w:rFonts w:cstheme="minorHAnsi"/>
          <w:kern w:val="20"/>
          <w:sz w:val="18"/>
        </w:rPr>
      </w:pPr>
      <w:r>
        <w:rPr>
          <w:rFonts w:asciiTheme="minorHAnsi" w:hAnsiTheme="minorHAnsi" w:cstheme="minorHAnsi"/>
          <w:b/>
          <w:bCs/>
          <w:lang w:val="pt-BR"/>
        </w:rPr>
        <w:t xml:space="preserve">Figure </w:t>
      </w:r>
      <w:r>
        <w:rPr>
          <w:rFonts w:asciiTheme="minorHAnsi" w:hAnsiTheme="minorHAnsi" w:cstheme="minorHAnsi" w:hint="eastAsia"/>
          <w:b/>
          <w:bCs/>
          <w:lang w:val="pt-BR"/>
        </w:rPr>
        <w:t>3</w:t>
      </w:r>
      <w:r>
        <w:rPr>
          <w:rFonts w:asciiTheme="minorHAnsi" w:hAnsiTheme="minorHAnsi" w:cstheme="minorHAnsi"/>
          <w:lang w:val="pt-BR"/>
        </w:rPr>
        <w:t xml:space="preserve">  </w:t>
      </w:r>
      <w:r>
        <w:rPr>
          <w:rFonts w:cstheme="minorHAnsi" w:hint="eastAsia"/>
          <w:kern w:val="20"/>
          <w:sz w:val="18"/>
        </w:rPr>
        <w:t xml:space="preserve">(a) Proton conductivity of COF-H and COF-NH at 100% RH versus different temperature. (b) Arrhenius plot of the proton conductivity of COF-H and COF-NH under 100% RH. (c) Proton conductivity of COF-H </w:t>
      </w:r>
      <w:proofErr w:type="spellStart"/>
      <w:r>
        <w:rPr>
          <w:rFonts w:cstheme="minorHAnsi" w:hint="eastAsia"/>
          <w:kern w:val="20"/>
          <w:sz w:val="18"/>
        </w:rPr>
        <w:t>nad</w:t>
      </w:r>
      <w:proofErr w:type="spellEnd"/>
      <w:r>
        <w:rPr>
          <w:rFonts w:cstheme="minorHAnsi" w:hint="eastAsia"/>
          <w:kern w:val="20"/>
          <w:sz w:val="18"/>
        </w:rPr>
        <w:t xml:space="preserve"> COF-NH at 100% RH and 85% RH (3</w:t>
      </w:r>
      <w:r>
        <w:rPr>
          <w:rFonts w:cstheme="minorHAnsi"/>
          <w:kern w:val="20"/>
          <w:sz w:val="18"/>
        </w:rPr>
        <w:t>0 °C</w:t>
      </w:r>
      <w:r>
        <w:rPr>
          <w:rFonts w:cstheme="minorHAnsi" w:hint="eastAsia"/>
          <w:kern w:val="20"/>
          <w:sz w:val="18"/>
        </w:rPr>
        <w:t>).</w:t>
      </w:r>
    </w:p>
    <w:p w14:paraId="74010AE7" w14:textId="77777777" w:rsidR="00B47838" w:rsidRDefault="00B47838">
      <w:pPr>
        <w:spacing w:after="0" w:line="210" w:lineRule="exact"/>
        <w:ind w:firstLine="284"/>
        <w:jc w:val="both"/>
        <w:rPr>
          <w:rFonts w:cstheme="minorHAnsi"/>
          <w:sz w:val="18"/>
          <w:szCs w:val="18"/>
        </w:rPr>
        <w:sectPr w:rsidR="00B47838">
          <w:type w:val="continuous"/>
          <w:pgSz w:w="11906" w:h="16838"/>
          <w:pgMar w:top="1191" w:right="936" w:bottom="1191" w:left="936" w:header="794" w:footer="680" w:gutter="57"/>
          <w:cols w:space="284"/>
          <w:titlePg/>
          <w:docGrid w:type="lines" w:linePitch="312"/>
        </w:sectPr>
      </w:pPr>
    </w:p>
    <w:p w14:paraId="74010AE8" w14:textId="77777777" w:rsidR="00B47838" w:rsidRDefault="00000000">
      <w:pPr>
        <w:spacing w:after="0" w:line="210" w:lineRule="exact"/>
        <w:ind w:firstLine="284"/>
        <w:jc w:val="both"/>
        <w:rPr>
          <w:rFonts w:cstheme="minorHAnsi"/>
          <w:sz w:val="18"/>
          <w:szCs w:val="18"/>
        </w:rPr>
      </w:pPr>
      <w:r>
        <w:rPr>
          <w:rFonts w:cstheme="minorHAnsi"/>
          <w:sz w:val="18"/>
          <w:szCs w:val="18"/>
        </w:rPr>
        <w:t xml:space="preserve">center of channel, thus greater density distribution of core water can be seen in COF-H (seen from comparison of core water in middle and right of </w:t>
      </w:r>
      <w:r>
        <w:rPr>
          <w:rFonts w:cstheme="minorHAnsi"/>
          <w:color w:val="3A00FF"/>
          <w:sz w:val="18"/>
          <w:szCs w:val="18"/>
        </w:rPr>
        <w:t>Figure 4a</w:t>
      </w:r>
      <w:r>
        <w:rPr>
          <w:rFonts w:cstheme="minorHAnsi"/>
          <w:sz w:val="18"/>
          <w:szCs w:val="18"/>
        </w:rPr>
        <w:t>), and will further contribute to the formation of denser H-bond networks. According to radial distribution function (RDF), water molecules themselves in COF-H form one type of strong hydrogen bonds with a distribution of distance of 1.714 Å (</w:t>
      </w:r>
      <w:r>
        <w:rPr>
          <w:rFonts w:cstheme="minorHAnsi"/>
          <w:color w:val="3A00FF"/>
          <w:sz w:val="18"/>
          <w:szCs w:val="18"/>
        </w:rPr>
        <w:t>Figure 4d</w:t>
      </w:r>
      <w:r>
        <w:rPr>
          <w:rFonts w:cstheme="minorHAnsi"/>
          <w:sz w:val="18"/>
          <w:szCs w:val="18"/>
        </w:rPr>
        <w:t xml:space="preserve">). Considering the higher adsorption energy of core water in COF-H (-1.95 kcal/mol), such strong hydrogen </w:t>
      </w:r>
      <w:r>
        <w:rPr>
          <w:rFonts w:cstheme="minorHAnsi"/>
          <w:sz w:val="18"/>
          <w:szCs w:val="18"/>
        </w:rPr>
        <w:t>bonds are present at center of channel in COF-H. Ab initio molecular dynamics (AIMD) simulation further gives local diffusion of water along Z-axis direction (parallel to the direction of channel) (</w:t>
      </w:r>
      <w:r>
        <w:rPr>
          <w:rFonts w:cstheme="minorHAnsi"/>
          <w:color w:val="3A00FF"/>
          <w:sz w:val="18"/>
          <w:szCs w:val="18"/>
        </w:rPr>
        <w:t>Figure 4e</w:t>
      </w:r>
      <w:r>
        <w:rPr>
          <w:rFonts w:cstheme="minorHAnsi"/>
          <w:sz w:val="18"/>
          <w:szCs w:val="18"/>
        </w:rPr>
        <w:t>). The diffusion constant is 0.42 Å</w:t>
      </w:r>
      <w:r>
        <w:rPr>
          <w:rFonts w:cstheme="minorHAnsi"/>
          <w:sz w:val="18"/>
          <w:szCs w:val="18"/>
          <w:vertAlign w:val="superscript"/>
        </w:rPr>
        <w:t>2</w:t>
      </w:r>
      <w:r>
        <w:rPr>
          <w:rFonts w:cstheme="minorHAnsi"/>
          <w:sz w:val="18"/>
          <w:szCs w:val="18"/>
        </w:rPr>
        <w:t>/</w:t>
      </w:r>
      <w:proofErr w:type="spellStart"/>
      <w:r>
        <w:rPr>
          <w:rFonts w:cstheme="minorHAnsi"/>
          <w:sz w:val="18"/>
          <w:szCs w:val="18"/>
        </w:rPr>
        <w:t>ps</w:t>
      </w:r>
      <w:proofErr w:type="spellEnd"/>
      <w:r>
        <w:rPr>
          <w:rFonts w:cstheme="minorHAnsi"/>
          <w:sz w:val="18"/>
          <w:szCs w:val="18"/>
        </w:rPr>
        <w:t>, 0.72 Å</w:t>
      </w:r>
      <w:r>
        <w:rPr>
          <w:rFonts w:cstheme="minorHAnsi"/>
          <w:sz w:val="18"/>
          <w:szCs w:val="18"/>
          <w:vertAlign w:val="superscript"/>
        </w:rPr>
        <w:t>2</w:t>
      </w:r>
      <w:r>
        <w:rPr>
          <w:rFonts w:cstheme="minorHAnsi"/>
          <w:sz w:val="18"/>
          <w:szCs w:val="18"/>
        </w:rPr>
        <w:t>/</w:t>
      </w:r>
      <w:proofErr w:type="spellStart"/>
      <w:r>
        <w:rPr>
          <w:rFonts w:cstheme="minorHAnsi"/>
          <w:sz w:val="18"/>
          <w:szCs w:val="18"/>
        </w:rPr>
        <w:t>ps</w:t>
      </w:r>
      <w:proofErr w:type="spellEnd"/>
      <w:r>
        <w:rPr>
          <w:rFonts w:cstheme="minorHAnsi"/>
          <w:sz w:val="18"/>
          <w:szCs w:val="18"/>
        </w:rPr>
        <w:t>, 1.01 Å</w:t>
      </w:r>
      <w:r>
        <w:rPr>
          <w:rFonts w:cstheme="minorHAnsi"/>
          <w:sz w:val="18"/>
          <w:szCs w:val="18"/>
          <w:vertAlign w:val="superscript"/>
        </w:rPr>
        <w:t>2</w:t>
      </w:r>
      <w:r>
        <w:rPr>
          <w:rFonts w:cstheme="minorHAnsi"/>
          <w:sz w:val="18"/>
          <w:szCs w:val="18"/>
        </w:rPr>
        <w:t>/</w:t>
      </w:r>
      <w:proofErr w:type="spellStart"/>
      <w:r>
        <w:rPr>
          <w:rFonts w:cstheme="minorHAnsi"/>
          <w:sz w:val="18"/>
          <w:szCs w:val="18"/>
        </w:rPr>
        <w:t>ps</w:t>
      </w:r>
      <w:proofErr w:type="spellEnd"/>
      <w:r>
        <w:rPr>
          <w:rFonts w:cstheme="minorHAnsi"/>
          <w:sz w:val="18"/>
          <w:szCs w:val="18"/>
        </w:rPr>
        <w:t xml:space="preserve"> and 0.49 Å</w:t>
      </w:r>
      <w:r>
        <w:rPr>
          <w:rFonts w:cstheme="minorHAnsi"/>
          <w:sz w:val="18"/>
          <w:szCs w:val="18"/>
          <w:vertAlign w:val="superscript"/>
        </w:rPr>
        <w:t>2</w:t>
      </w:r>
      <w:r>
        <w:rPr>
          <w:rFonts w:cstheme="minorHAnsi"/>
          <w:sz w:val="18"/>
          <w:szCs w:val="18"/>
        </w:rPr>
        <w:t>/</w:t>
      </w:r>
      <w:proofErr w:type="spellStart"/>
      <w:r>
        <w:rPr>
          <w:rFonts w:cstheme="minorHAnsi"/>
          <w:sz w:val="18"/>
          <w:szCs w:val="18"/>
        </w:rPr>
        <w:t>ps</w:t>
      </w:r>
      <w:proofErr w:type="spellEnd"/>
      <w:r>
        <w:rPr>
          <w:rFonts w:cstheme="minorHAnsi"/>
          <w:sz w:val="18"/>
          <w:szCs w:val="18"/>
        </w:rPr>
        <w:t xml:space="preserve"> for interfacial water of COF-H, core water of COF-H, interfacial water of COF-NH and core water of COF-NH, implying proton conduction mainly occurs in core water of COF-H and interfacial water of COF-NH. </w:t>
      </w:r>
    </w:p>
    <w:p w14:paraId="74010AE9" w14:textId="77777777" w:rsidR="00B47838" w:rsidRDefault="00B47838">
      <w:pPr>
        <w:spacing w:after="0" w:line="210" w:lineRule="exact"/>
        <w:ind w:firstLine="284"/>
        <w:jc w:val="both"/>
        <w:rPr>
          <w:rFonts w:cstheme="minorHAnsi"/>
          <w:sz w:val="18"/>
          <w:szCs w:val="18"/>
        </w:rPr>
        <w:sectPr w:rsidR="00B47838">
          <w:type w:val="continuous"/>
          <w:pgSz w:w="11906" w:h="16838"/>
          <w:pgMar w:top="1191" w:right="936" w:bottom="1191" w:left="936" w:header="794" w:footer="680" w:gutter="57"/>
          <w:cols w:num="2" w:space="284"/>
          <w:titlePg/>
          <w:docGrid w:type="lines" w:linePitch="312"/>
        </w:sectPr>
      </w:pPr>
    </w:p>
    <w:p w14:paraId="74010AEA" w14:textId="77777777" w:rsidR="00B47838" w:rsidRDefault="00000000">
      <w:pPr>
        <w:jc w:val="center"/>
        <w:rPr>
          <w:kern w:val="0"/>
          <w:sz w:val="24"/>
          <w14:ligatures w14:val="none"/>
        </w:rPr>
      </w:pPr>
      <w:r>
        <w:rPr>
          <w:rFonts w:ascii="Arno Pro" w:hAnsi="Arno Pro" w:cs="Arno Pro" w:hint="eastAsia"/>
          <w:noProof/>
          <w:sz w:val="18"/>
          <w:szCs w:val="18"/>
        </w:rPr>
        <w:drawing>
          <wp:inline distT="0" distB="0" distL="114300" distR="114300" wp14:anchorId="74010B3E" wp14:editId="74010B3F">
            <wp:extent cx="5760085" cy="4657090"/>
            <wp:effectExtent l="0" t="0" r="12065" b="10160"/>
            <wp:docPr id="13" name="图片 6" descr="Fig.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Fig.4-01"/>
                    <pic:cNvPicPr>
                      <a:picLocks noChangeAspect="1"/>
                    </pic:cNvPicPr>
                  </pic:nvPicPr>
                  <pic:blipFill>
                    <a:blip r:embed="rId29"/>
                    <a:stretch>
                      <a:fillRect/>
                    </a:stretch>
                  </pic:blipFill>
                  <pic:spPr>
                    <a:xfrm>
                      <a:off x="0" y="0"/>
                      <a:ext cx="5760085" cy="4657090"/>
                    </a:xfrm>
                    <a:prstGeom prst="rect">
                      <a:avLst/>
                    </a:prstGeom>
                    <a:noFill/>
                    <a:ln>
                      <a:noFill/>
                    </a:ln>
                  </pic:spPr>
                </pic:pic>
              </a:graphicData>
            </a:graphic>
          </wp:inline>
        </w:drawing>
      </w:r>
    </w:p>
    <w:p w14:paraId="74010AEB" w14:textId="77777777" w:rsidR="00B47838" w:rsidRDefault="00000000">
      <w:pPr>
        <w:pStyle w:val="FigureCaption"/>
        <w:rPr>
          <w:rFonts w:cstheme="minorHAnsi"/>
          <w:kern w:val="20"/>
          <w:sz w:val="18"/>
        </w:rPr>
      </w:pPr>
      <w:r>
        <w:rPr>
          <w:rFonts w:asciiTheme="minorHAnsi" w:hAnsiTheme="minorHAnsi" w:cstheme="minorHAnsi"/>
          <w:b/>
          <w:bCs/>
          <w:lang w:val="pt-BR"/>
        </w:rPr>
        <w:t xml:space="preserve">Figure </w:t>
      </w:r>
      <w:r>
        <w:rPr>
          <w:rFonts w:asciiTheme="minorHAnsi" w:hAnsiTheme="minorHAnsi" w:cstheme="minorHAnsi" w:hint="eastAsia"/>
          <w:b/>
          <w:bCs/>
          <w:lang w:val="pt-BR"/>
        </w:rPr>
        <w:t>4</w:t>
      </w:r>
      <w:r>
        <w:rPr>
          <w:rFonts w:asciiTheme="minorHAnsi" w:hAnsiTheme="minorHAnsi" w:cstheme="minorHAnsi"/>
          <w:lang w:val="pt-BR"/>
        </w:rPr>
        <w:t xml:space="preserve">  </w:t>
      </w:r>
      <w:r>
        <w:rPr>
          <w:rFonts w:cstheme="minorHAnsi" w:hint="eastAsia"/>
          <w:kern w:val="20"/>
          <w:sz w:val="18"/>
        </w:rPr>
        <w:t>(a) Water density distribution of COFs in different relative humidity. (b) Energy distribution of water in COFs at high RH. (c) Water adsorption energy of COFs. (d) Distribution of O-H distance of H-bonds between water molecules. (e) Diffusion of different types of water along distinct axes. COF-H</w:t>
      </w:r>
      <w:r>
        <w:rPr>
          <w:rFonts w:cstheme="minorHAnsi"/>
          <w:kern w:val="20"/>
          <w:sz w:val="18"/>
        </w:rPr>
        <w:t>’</w:t>
      </w:r>
      <w:r>
        <w:rPr>
          <w:rFonts w:cstheme="minorHAnsi" w:hint="eastAsia"/>
          <w:kern w:val="20"/>
          <w:sz w:val="18"/>
        </w:rPr>
        <w:t>s interfacial water and core water, COF-NH</w:t>
      </w:r>
      <w:r>
        <w:rPr>
          <w:rFonts w:cstheme="minorHAnsi"/>
          <w:kern w:val="20"/>
          <w:sz w:val="18"/>
        </w:rPr>
        <w:t>’</w:t>
      </w:r>
      <w:r>
        <w:rPr>
          <w:rFonts w:cstheme="minorHAnsi" w:hint="eastAsia"/>
          <w:kern w:val="20"/>
          <w:sz w:val="18"/>
        </w:rPr>
        <w:t>s interfacial water and core water are abbreviated as H(</w:t>
      </w:r>
      <w:proofErr w:type="spellStart"/>
      <w:r>
        <w:rPr>
          <w:rFonts w:cstheme="minorHAnsi" w:hint="eastAsia"/>
          <w:kern w:val="20"/>
          <w:sz w:val="18"/>
        </w:rPr>
        <w:t>i</w:t>
      </w:r>
      <w:proofErr w:type="spellEnd"/>
      <w:r>
        <w:rPr>
          <w:rFonts w:cstheme="minorHAnsi" w:hint="eastAsia"/>
          <w:kern w:val="20"/>
          <w:sz w:val="18"/>
        </w:rPr>
        <w:t>), H(c), NH(</w:t>
      </w:r>
      <w:proofErr w:type="spellStart"/>
      <w:r>
        <w:rPr>
          <w:rFonts w:cstheme="minorHAnsi" w:hint="eastAsia"/>
          <w:kern w:val="20"/>
          <w:sz w:val="18"/>
        </w:rPr>
        <w:t>i</w:t>
      </w:r>
      <w:proofErr w:type="spellEnd"/>
      <w:r>
        <w:rPr>
          <w:rFonts w:cstheme="minorHAnsi" w:hint="eastAsia"/>
          <w:kern w:val="20"/>
          <w:sz w:val="18"/>
        </w:rPr>
        <w:t>) and NH(c) respectively.</w:t>
      </w:r>
    </w:p>
    <w:p w14:paraId="74010AEC" w14:textId="77777777" w:rsidR="00B47838" w:rsidRDefault="00B47838">
      <w:pPr>
        <w:spacing w:after="0" w:line="210" w:lineRule="exact"/>
        <w:ind w:firstLine="284"/>
        <w:jc w:val="both"/>
        <w:rPr>
          <w:rFonts w:cstheme="minorHAnsi"/>
          <w:sz w:val="18"/>
          <w:szCs w:val="18"/>
        </w:rPr>
        <w:sectPr w:rsidR="00B47838">
          <w:type w:val="continuous"/>
          <w:pgSz w:w="11906" w:h="16838"/>
          <w:pgMar w:top="1191" w:right="936" w:bottom="1191" w:left="936" w:header="794" w:footer="680" w:gutter="57"/>
          <w:cols w:space="284"/>
          <w:titlePg/>
          <w:docGrid w:type="lines" w:linePitch="312"/>
        </w:sectPr>
      </w:pPr>
    </w:p>
    <w:p w14:paraId="74010AED" w14:textId="77777777" w:rsidR="00B47838" w:rsidRDefault="00000000">
      <w:pPr>
        <w:spacing w:after="0" w:line="210" w:lineRule="exact"/>
        <w:ind w:firstLine="284"/>
        <w:jc w:val="both"/>
        <w:rPr>
          <w:rFonts w:cstheme="minorHAnsi"/>
          <w:sz w:val="18"/>
          <w:szCs w:val="18"/>
        </w:rPr>
      </w:pPr>
      <w:r>
        <w:rPr>
          <w:rFonts w:cstheme="minorHAnsi"/>
          <w:sz w:val="18"/>
          <w:szCs w:val="18"/>
        </w:rPr>
        <w:t xml:space="preserve">The diffusion constant of COFs has not reached a difference of </w:t>
      </w:r>
      <w:r>
        <w:rPr>
          <w:rFonts w:cstheme="minorHAnsi"/>
          <w:sz w:val="18"/>
          <w:szCs w:val="18"/>
        </w:rPr>
        <w:t xml:space="preserve">more than an order of magnitude. Therefore, it is not the key </w:t>
      </w:r>
      <w:r>
        <w:rPr>
          <w:rFonts w:cstheme="minorHAnsi"/>
          <w:sz w:val="18"/>
          <w:szCs w:val="18"/>
        </w:rPr>
        <w:lastRenderedPageBreak/>
        <w:t>factor for the distinct proton conductivity (1.36×10</w:t>
      </w:r>
      <w:r>
        <w:rPr>
          <w:rFonts w:cstheme="minorHAnsi"/>
          <w:sz w:val="18"/>
          <w:szCs w:val="18"/>
          <w:vertAlign w:val="superscript"/>
        </w:rPr>
        <w:t>-6</w:t>
      </w:r>
      <w:r>
        <w:rPr>
          <w:rFonts w:cstheme="minorHAnsi"/>
          <w:sz w:val="18"/>
          <w:szCs w:val="18"/>
        </w:rPr>
        <w:t xml:space="preserve"> S cm</w:t>
      </w:r>
      <w:r>
        <w:rPr>
          <w:rFonts w:cstheme="minorHAnsi"/>
          <w:sz w:val="18"/>
          <w:szCs w:val="18"/>
          <w:vertAlign w:val="superscript"/>
        </w:rPr>
        <w:t>-1</w:t>
      </w:r>
      <w:r>
        <w:rPr>
          <w:rFonts w:cstheme="minorHAnsi"/>
          <w:sz w:val="18"/>
          <w:szCs w:val="18"/>
        </w:rPr>
        <w:t xml:space="preserve"> and 3.04×10</w:t>
      </w:r>
      <w:r>
        <w:rPr>
          <w:rFonts w:cstheme="minorHAnsi"/>
          <w:sz w:val="18"/>
          <w:szCs w:val="18"/>
          <w:vertAlign w:val="superscript"/>
        </w:rPr>
        <w:t>-4</w:t>
      </w:r>
      <w:r>
        <w:rPr>
          <w:rFonts w:cstheme="minorHAnsi"/>
          <w:sz w:val="18"/>
          <w:szCs w:val="18"/>
        </w:rPr>
        <w:t xml:space="preserve"> S cm</w:t>
      </w:r>
      <w:r>
        <w:rPr>
          <w:rFonts w:cstheme="minorHAnsi"/>
          <w:sz w:val="18"/>
          <w:szCs w:val="18"/>
          <w:vertAlign w:val="superscript"/>
        </w:rPr>
        <w:t xml:space="preserve">-1 </w:t>
      </w:r>
      <w:r>
        <w:rPr>
          <w:rFonts w:cstheme="minorHAnsi"/>
          <w:sz w:val="18"/>
          <w:szCs w:val="18"/>
        </w:rPr>
        <w:t>for COF-NH and COF-H at 70 °C and 100% RH) according to Einstein relation</w:t>
      </w:r>
      <w:r>
        <w:rPr>
          <w:rFonts w:cstheme="minorHAnsi"/>
          <w:color w:val="000000" w:themeColor="text1"/>
          <w:sz w:val="18"/>
          <w:szCs w:val="18"/>
        </w:rPr>
        <w:t>:</w:t>
      </w:r>
      <w:r>
        <w:rPr>
          <w:rFonts w:cstheme="minorHAnsi"/>
          <w:color w:val="000000" w:themeColor="text1"/>
          <w:sz w:val="18"/>
          <w:szCs w:val="18"/>
          <w:vertAlign w:val="superscript"/>
        </w:rPr>
        <w:fldChar w:fldCharType="begin"/>
      </w:r>
      <w:r>
        <w:rPr>
          <w:rFonts w:cstheme="minorHAnsi"/>
          <w:color w:val="000000" w:themeColor="text1"/>
          <w:sz w:val="18"/>
          <w:szCs w:val="18"/>
          <w:vertAlign w:val="superscript"/>
        </w:rPr>
        <w:instrText xml:space="preserve"> REF _Ref1772 \r \h  \* MERGEFORMAT </w:instrText>
      </w:r>
      <w:r>
        <w:rPr>
          <w:rFonts w:cstheme="minorHAnsi"/>
          <w:color w:val="000000" w:themeColor="text1"/>
          <w:sz w:val="18"/>
          <w:szCs w:val="18"/>
          <w:vertAlign w:val="superscript"/>
        </w:rPr>
      </w:r>
      <w:r>
        <w:rPr>
          <w:rFonts w:cstheme="minorHAnsi"/>
          <w:color w:val="000000" w:themeColor="text1"/>
          <w:sz w:val="18"/>
          <w:szCs w:val="18"/>
          <w:vertAlign w:val="superscript"/>
        </w:rPr>
        <w:fldChar w:fldCharType="separate"/>
      </w:r>
      <w:r>
        <w:rPr>
          <w:rFonts w:cstheme="minorHAnsi"/>
          <w:color w:val="000000" w:themeColor="text1"/>
          <w:sz w:val="18"/>
          <w:szCs w:val="18"/>
          <w:vertAlign w:val="superscript"/>
        </w:rPr>
        <w:t>[13]</w:t>
      </w:r>
      <w:r>
        <w:rPr>
          <w:rFonts w:cstheme="minorHAnsi"/>
          <w:color w:val="000000" w:themeColor="text1"/>
          <w:sz w:val="18"/>
          <w:szCs w:val="18"/>
          <w:vertAlign w:val="superscript"/>
        </w:rPr>
        <w:fldChar w:fldCharType="end"/>
      </w:r>
    </w:p>
    <w:p w14:paraId="74010AEE" w14:textId="77777777" w:rsidR="00B47838" w:rsidRDefault="00000000">
      <w:pPr>
        <w:ind w:firstLineChars="400" w:firstLine="960"/>
        <w:rPr>
          <w:rFonts w:cstheme="minorHAnsi"/>
          <w:color w:val="000000"/>
          <w:sz w:val="18"/>
          <w:szCs w:val="18"/>
          <w:shd w:val="clear" w:color="FFFFFF" w:fill="D9D9D9"/>
        </w:rPr>
      </w:pPr>
      <w:r>
        <w:rPr>
          <w:rFonts w:ascii="Arial" w:hAnsi="Arial" w:cs="Arial"/>
          <w:color w:val="000000"/>
          <w:position w:val="-30"/>
          <w:sz w:val="24"/>
          <w:vertAlign w:val="subscript"/>
        </w:rPr>
        <w:object w:dxaOrig="870" w:dyaOrig="541" w14:anchorId="74010B40">
          <v:shape id="_x0000_i1026" type="#_x0000_t75" style="width:43.5pt;height:27.05pt" o:ole="">
            <v:imagedata r:id="rId30" o:title=""/>
          </v:shape>
          <o:OLEObject Type="Embed" ProgID="Equation.3" ShapeID="_x0000_i1026" DrawAspect="Content" ObjectID="_1781334865" r:id="rId31"/>
        </w:object>
      </w:r>
      <w:r>
        <w:rPr>
          <w:rFonts w:ascii="Arial" w:hAnsi="Arial" w:cs="Arial"/>
          <w:color w:val="000000"/>
          <w:sz w:val="24"/>
        </w:rPr>
        <w:t xml:space="preserve"> </w:t>
      </w:r>
      <w:r>
        <w:rPr>
          <w:rFonts w:ascii="Arial" w:hAnsi="Arial" w:cs="Arial" w:hint="eastAsia"/>
          <w:color w:val="000000"/>
          <w:sz w:val="24"/>
        </w:rPr>
        <w:t xml:space="preserve">          </w:t>
      </w:r>
      <w:r>
        <w:rPr>
          <w:rFonts w:ascii="Arial" w:hAnsi="Arial" w:cs="Arial"/>
          <w:color w:val="000000"/>
          <w:sz w:val="24"/>
        </w:rPr>
        <w:t xml:space="preserve">    </w:t>
      </w:r>
      <w:r>
        <w:rPr>
          <w:rFonts w:cstheme="minorHAnsi"/>
          <w:color w:val="000000"/>
          <w:sz w:val="24"/>
        </w:rPr>
        <w:t xml:space="preserve"> </w:t>
      </w:r>
      <w:r>
        <w:rPr>
          <w:rFonts w:cstheme="minorHAnsi"/>
          <w:color w:val="000000"/>
          <w:sz w:val="18"/>
          <w:szCs w:val="18"/>
        </w:rPr>
        <w:t>(2)</w:t>
      </w:r>
    </w:p>
    <w:p w14:paraId="74010AEF" w14:textId="77777777" w:rsidR="00B47838" w:rsidRDefault="00000000">
      <w:pPr>
        <w:spacing w:after="0" w:line="210" w:lineRule="exact"/>
        <w:ind w:firstLine="284"/>
        <w:jc w:val="both"/>
        <w:rPr>
          <w:rFonts w:cstheme="minorHAnsi"/>
          <w:color w:val="FF0000"/>
          <w:sz w:val="18"/>
          <w:szCs w:val="18"/>
        </w:rPr>
      </w:pPr>
      <w:r>
        <w:rPr>
          <w:rFonts w:cstheme="minorHAnsi"/>
          <w:sz w:val="18"/>
          <w:szCs w:val="18"/>
        </w:rPr>
        <w:t xml:space="preserve">where </w:t>
      </w:r>
      <w:r>
        <w:rPr>
          <w:rFonts w:cstheme="minorHAnsi"/>
          <w:i/>
          <w:iCs/>
          <w:sz w:val="18"/>
          <w:szCs w:val="18"/>
        </w:rPr>
        <w:t>D,</w:t>
      </w:r>
      <w:r>
        <w:rPr>
          <w:rFonts w:cstheme="minorHAnsi"/>
          <w:sz w:val="18"/>
          <w:szCs w:val="18"/>
        </w:rPr>
        <w:t xml:space="preserve"> </w:t>
      </w:r>
      <w:r>
        <w:rPr>
          <w:rFonts w:cstheme="minorHAnsi"/>
          <w:i/>
          <w:iCs/>
          <w:color w:val="000000"/>
          <w:sz w:val="18"/>
          <w:szCs w:val="18"/>
        </w:rPr>
        <w:t>n,</w:t>
      </w:r>
      <w:r>
        <w:rPr>
          <w:rFonts w:cstheme="minorHAnsi"/>
          <w:color w:val="000000"/>
          <w:sz w:val="18"/>
          <w:szCs w:val="18"/>
        </w:rPr>
        <w:t xml:space="preserve"> </w:t>
      </w:r>
      <w:r>
        <w:rPr>
          <w:rFonts w:cstheme="minorHAnsi"/>
          <w:i/>
          <w:iCs/>
          <w:color w:val="000000"/>
          <w:sz w:val="18"/>
          <w:szCs w:val="18"/>
        </w:rPr>
        <w:t>k</w:t>
      </w:r>
      <w:r>
        <w:rPr>
          <w:rFonts w:cstheme="minorHAnsi"/>
          <w:i/>
          <w:iCs/>
          <w:color w:val="000000"/>
          <w:sz w:val="18"/>
          <w:szCs w:val="18"/>
          <w:vertAlign w:val="subscript"/>
        </w:rPr>
        <w:t>B</w:t>
      </w:r>
      <w:r>
        <w:rPr>
          <w:rFonts w:cstheme="minorHAnsi"/>
          <w:i/>
          <w:iCs/>
          <w:color w:val="000000"/>
          <w:sz w:val="18"/>
          <w:szCs w:val="18"/>
        </w:rPr>
        <w:t>,</w:t>
      </w:r>
      <w:r>
        <w:rPr>
          <w:rFonts w:cstheme="minorHAnsi"/>
          <w:color w:val="000000"/>
          <w:sz w:val="18"/>
          <w:szCs w:val="18"/>
        </w:rPr>
        <w:t xml:space="preserve"> and </w:t>
      </w:r>
      <w:r>
        <w:rPr>
          <w:rFonts w:cstheme="minorHAnsi"/>
          <w:i/>
          <w:iCs/>
          <w:color w:val="000000"/>
          <w:sz w:val="18"/>
          <w:szCs w:val="18"/>
        </w:rPr>
        <w:t>T</w:t>
      </w:r>
      <w:r>
        <w:rPr>
          <w:rFonts w:cstheme="minorHAnsi"/>
          <w:color w:val="000000"/>
          <w:sz w:val="18"/>
          <w:szCs w:val="18"/>
        </w:rPr>
        <w:t xml:space="preserve"> </w:t>
      </w:r>
      <w:r>
        <w:rPr>
          <w:rFonts w:cstheme="minorHAnsi"/>
          <w:sz w:val="18"/>
          <w:szCs w:val="18"/>
        </w:rPr>
        <w:t xml:space="preserve">represent the diffusion constant, concentration, Boltzmann constant and absolute temperature. The key factor is considered to be mobile proton concentration, which can be improved by the strong H-bonds of core water in COF-H. As the hydrogen bond distance becomes shorter, the double potential well in which the proton resides will gradually transition to a single potential well, which facilitates proton dissociation and generates large amount of mobile proton. The reason for the strong H-bonds formed in core of COF-H’s channel is further discussed. It can be seen that the channel surface of COFs can be divided into two parts: (1) the space between layers, marked with orange background and abbreviated as space-b; (2) the space within layers, marked with green background and abbreviated as space-w (middle and right in </w:t>
      </w:r>
      <w:r>
        <w:rPr>
          <w:rFonts w:cstheme="minorHAnsi"/>
          <w:color w:val="3A00FF"/>
          <w:sz w:val="18"/>
          <w:szCs w:val="18"/>
        </w:rPr>
        <w:t>Figure 4b</w:t>
      </w:r>
      <w:r>
        <w:rPr>
          <w:rFonts w:cstheme="minorHAnsi"/>
          <w:sz w:val="18"/>
          <w:szCs w:val="18"/>
        </w:rPr>
        <w:t xml:space="preserve">). The space-b and space-w of COF-H and COF-NH is further abbreviated as space-b-H, space-b-NH, space-w-H and space-w-NH for the convenience of narration. The Space-b is similar to vacuum (no atoms in it), almost having no interaction with water. Therefore, it can be approximately considered that the larger the volume of space-b, the weaker the binding effect on water molecules. Due to the greater interlayer distance of COF-NH, the volume of space-b-NH is larger than that of space-b-H, thus the interfacial water in space-b-NH is weakly bound and has high energy (The energy distribution of space-b-NH exhibits a more vibrant red color compared to that of space-b-H in the middle and right in </w:t>
      </w:r>
      <w:r>
        <w:rPr>
          <w:rFonts w:cstheme="minorHAnsi"/>
          <w:color w:val="3A00FF"/>
          <w:sz w:val="18"/>
          <w:szCs w:val="18"/>
        </w:rPr>
        <w:t>Figure 4</w:t>
      </w:r>
      <w:proofErr w:type="gramStart"/>
      <w:r>
        <w:rPr>
          <w:rFonts w:cstheme="minorHAnsi"/>
          <w:color w:val="3A00FF"/>
          <w:sz w:val="18"/>
          <w:szCs w:val="18"/>
        </w:rPr>
        <w:t>b</w:t>
      </w:r>
      <w:r>
        <w:rPr>
          <w:rFonts w:cstheme="minorHAnsi"/>
          <w:sz w:val="18"/>
          <w:szCs w:val="18"/>
        </w:rPr>
        <w:t xml:space="preserve"> )</w:t>
      </w:r>
      <w:proofErr w:type="gramEnd"/>
      <w:r>
        <w:rPr>
          <w:rFonts w:cstheme="minorHAnsi"/>
          <w:sz w:val="18"/>
          <w:szCs w:val="18"/>
        </w:rPr>
        <w:t>. On the other hand, COF-NH’s distribution of N…H (N from C=N, H from water) distance (5.61 Å) is longer than COF-H’s distribution of O…H (O from C=O, H from water) and H…O (H from N-H, O from water) distance (1.950 Å and 2.511 Å). Therefore, space-w-NH possesses weaker H-bond attraction to interfacial water compared to space-w-H, leading to higher energy of interfacial water. Taken overall of space-b and space-w, the channel surface of COF-</w:t>
      </w:r>
      <w:proofErr w:type="gramStart"/>
      <w:r>
        <w:rPr>
          <w:rFonts w:cstheme="minorHAnsi"/>
          <w:sz w:val="18"/>
          <w:szCs w:val="18"/>
        </w:rPr>
        <w:t>NH  has</w:t>
      </w:r>
      <w:proofErr w:type="gramEnd"/>
      <w:r>
        <w:rPr>
          <w:rFonts w:cstheme="minorHAnsi"/>
          <w:sz w:val="18"/>
          <w:szCs w:val="18"/>
        </w:rPr>
        <w:t xml:space="preserve"> frail attraction to interfacial water, making the interfacial water relatively loose and easily interact with the core water. This interaction between core water and interfacial water occurs in the direction perpendicular to Z-axis, which weakens the dynamics of core water along the Z-axis. This also leads to a weakening of the internal interactions of the core water and a reduction in the strength of hydrogen bonds, which is unfavorable for the dissociation of protons. In contrast, the channel surface of COF-H produces strong attraction to interfacial water, further generates weak interaction between interfacial water and core water (a clear boundary marked with blue background in </w:t>
      </w:r>
      <w:r>
        <w:rPr>
          <w:rFonts w:cstheme="minorHAnsi"/>
          <w:color w:val="3A00FF"/>
          <w:sz w:val="18"/>
          <w:szCs w:val="18"/>
        </w:rPr>
        <w:t>Figure 4a</w:t>
      </w:r>
      <w:r>
        <w:rPr>
          <w:rFonts w:cstheme="minorHAnsi"/>
          <w:sz w:val="18"/>
          <w:szCs w:val="18"/>
        </w:rPr>
        <w:t>), and finally causes strong internal interaction among core water, leading to fast diffusion along Z-axis and strong proton ionization ability of core water.</w:t>
      </w:r>
      <w:r>
        <w:rPr>
          <w:rFonts w:cstheme="minorHAnsi"/>
          <w:color w:val="FF0000"/>
          <w:sz w:val="18"/>
          <w:szCs w:val="18"/>
        </w:rPr>
        <w:t xml:space="preserve"> </w:t>
      </w:r>
    </w:p>
    <w:p w14:paraId="74010AF0" w14:textId="77777777" w:rsidR="00B47838" w:rsidRDefault="00000000">
      <w:pPr>
        <w:jc w:val="center"/>
        <w:rPr>
          <w:kern w:val="0"/>
          <w:sz w:val="24"/>
          <w14:ligatures w14:val="none"/>
        </w:rPr>
      </w:pPr>
      <w:r>
        <w:rPr>
          <w:rFonts w:hint="eastAsia"/>
          <w:noProof/>
          <w:kern w:val="0"/>
          <w:sz w:val="24"/>
          <w14:ligatures w14:val="none"/>
        </w:rPr>
        <w:drawing>
          <wp:inline distT="0" distB="0" distL="114300" distR="114300" wp14:anchorId="74010B41" wp14:editId="74010B42">
            <wp:extent cx="2879725" cy="1537335"/>
            <wp:effectExtent l="0" t="0" r="15875" b="5715"/>
            <wp:docPr id="6" name="图片 6" descr="tu-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tu-01"/>
                    <pic:cNvPicPr>
                      <a:picLocks noChangeAspect="1"/>
                    </pic:cNvPicPr>
                  </pic:nvPicPr>
                  <pic:blipFill>
                    <a:blip r:embed="rId32"/>
                    <a:stretch>
                      <a:fillRect/>
                    </a:stretch>
                  </pic:blipFill>
                  <pic:spPr>
                    <a:xfrm>
                      <a:off x="0" y="0"/>
                      <a:ext cx="2879725" cy="1537335"/>
                    </a:xfrm>
                    <a:prstGeom prst="rect">
                      <a:avLst/>
                    </a:prstGeom>
                  </pic:spPr>
                </pic:pic>
              </a:graphicData>
            </a:graphic>
          </wp:inline>
        </w:drawing>
      </w:r>
    </w:p>
    <w:p w14:paraId="74010AF1" w14:textId="77777777" w:rsidR="00B47838" w:rsidRDefault="00000000">
      <w:pPr>
        <w:pStyle w:val="FigureCaption"/>
        <w:rPr>
          <w:rFonts w:asciiTheme="minorHAnsi" w:hAnsiTheme="minorHAnsi" w:cstheme="minorHAnsi"/>
          <w:kern w:val="20"/>
          <w:sz w:val="18"/>
        </w:rPr>
      </w:pPr>
      <w:r>
        <w:rPr>
          <w:rFonts w:asciiTheme="minorHAnsi" w:hAnsiTheme="minorHAnsi" w:cstheme="minorHAnsi"/>
          <w:b/>
          <w:bCs/>
          <w:lang w:val="pt-BR"/>
        </w:rPr>
        <w:t xml:space="preserve">Figure </w:t>
      </w:r>
      <w:r>
        <w:rPr>
          <w:rFonts w:asciiTheme="minorHAnsi" w:hAnsiTheme="minorHAnsi" w:cstheme="minorHAnsi" w:hint="eastAsia"/>
          <w:b/>
          <w:bCs/>
          <w:lang w:val="pt-BR"/>
        </w:rPr>
        <w:t>5</w:t>
      </w:r>
      <w:r>
        <w:rPr>
          <w:rFonts w:asciiTheme="minorHAnsi" w:hAnsiTheme="minorHAnsi" w:cstheme="minorHAnsi"/>
          <w:lang w:val="pt-BR"/>
        </w:rPr>
        <w:t xml:space="preserve">  </w:t>
      </w:r>
      <w:r>
        <w:rPr>
          <w:rFonts w:asciiTheme="minorHAnsi" w:hAnsiTheme="minorHAnsi" w:cstheme="minorHAnsi"/>
          <w:kern w:val="20"/>
          <w:sz w:val="18"/>
        </w:rPr>
        <w:t xml:space="preserve">(a) Schematic diagram of potential well for strong H-bond and short H-bond. (b) Distance distribution between </w:t>
      </w:r>
      <w:proofErr w:type="spellStart"/>
      <w:r>
        <w:rPr>
          <w:rFonts w:asciiTheme="minorHAnsi" w:hAnsiTheme="minorHAnsi" w:cstheme="minorHAnsi"/>
          <w:kern w:val="20"/>
          <w:sz w:val="18"/>
        </w:rPr>
        <w:t>wa-ter</w:t>
      </w:r>
      <w:proofErr w:type="spellEnd"/>
      <w:r>
        <w:rPr>
          <w:rFonts w:asciiTheme="minorHAnsi" w:hAnsiTheme="minorHAnsi" w:cstheme="minorHAnsi"/>
          <w:kern w:val="20"/>
          <w:sz w:val="18"/>
        </w:rPr>
        <w:t xml:space="preserve"> and hydrophilic groups on COFs’ framework (C=O, N-H from COF-H, C=N from COF-NH).</w:t>
      </w:r>
    </w:p>
    <w:p w14:paraId="74010AF2" w14:textId="77777777" w:rsidR="00B47838" w:rsidRDefault="00000000">
      <w:pPr>
        <w:pStyle w:val="Title1"/>
        <w:rPr>
          <w:kern w:val="0"/>
        </w:rPr>
      </w:pPr>
      <w:r>
        <w:t>Conclusions</w:t>
      </w:r>
    </w:p>
    <w:p w14:paraId="74010AF3" w14:textId="77777777" w:rsidR="00B47838" w:rsidRDefault="00000000">
      <w:pPr>
        <w:pStyle w:val="Text"/>
        <w:jc w:val="both"/>
        <w:rPr>
          <w:rFonts w:asciiTheme="minorHAnsi" w:hAnsiTheme="minorHAnsi" w:cstheme="minorHAnsi"/>
          <w:kern w:val="0"/>
        </w:rPr>
      </w:pPr>
      <w:r>
        <w:rPr>
          <w:rFonts w:asciiTheme="minorHAnsi" w:hAnsiTheme="minorHAnsi" w:cstheme="minorHAnsi"/>
        </w:rPr>
        <w:t>In summary, we prepared</w:t>
      </w:r>
      <w:r>
        <w:rPr>
          <w:rFonts w:asciiTheme="minorHAnsi" w:hAnsiTheme="minorHAnsi" w:cstheme="minorHAnsi"/>
          <w:kern w:val="20"/>
        </w:rPr>
        <w:t xml:space="preserve"> two 2D COFs with different hydrophilic fragment and studied acid-free proton conduction within them. The COF-H acquires higher proton conductivity, with </w:t>
      </w:r>
      <w:proofErr w:type="spellStart"/>
      <w:r>
        <w:rPr>
          <w:rFonts w:asciiTheme="minorHAnsi" w:hAnsiTheme="minorHAnsi" w:cstheme="minorHAnsi"/>
          <w:kern w:val="20"/>
        </w:rPr>
        <w:t>Grotthuss</w:t>
      </w:r>
      <w:proofErr w:type="spellEnd"/>
      <w:r>
        <w:rPr>
          <w:rFonts w:asciiTheme="minorHAnsi" w:hAnsiTheme="minorHAnsi" w:cstheme="minorHAnsi"/>
          <w:kern w:val="20"/>
        </w:rPr>
        <w:t xml:space="preserve"> type proton conducting process and maximum value of </w:t>
      </w:r>
      <w:r>
        <w:rPr>
          <w:rFonts w:asciiTheme="minorHAnsi" w:hAnsiTheme="minorHAnsi" w:cstheme="minorHAnsi"/>
        </w:rPr>
        <w:t>3.04×10</w:t>
      </w:r>
      <w:r>
        <w:rPr>
          <w:rFonts w:asciiTheme="minorHAnsi" w:hAnsiTheme="minorHAnsi" w:cstheme="minorHAnsi"/>
          <w:vertAlign w:val="superscript"/>
        </w:rPr>
        <w:t>-4</w:t>
      </w:r>
      <w:r>
        <w:rPr>
          <w:rFonts w:asciiTheme="minorHAnsi" w:hAnsiTheme="minorHAnsi" w:cstheme="minorHAnsi"/>
        </w:rPr>
        <w:t xml:space="preserve"> S cm</w:t>
      </w:r>
      <w:r>
        <w:rPr>
          <w:rFonts w:asciiTheme="minorHAnsi" w:hAnsiTheme="minorHAnsi" w:cstheme="minorHAnsi"/>
          <w:vertAlign w:val="superscript"/>
        </w:rPr>
        <w:t>-1</w:t>
      </w:r>
      <w:r>
        <w:rPr>
          <w:rFonts w:asciiTheme="minorHAnsi" w:hAnsiTheme="minorHAnsi" w:cstheme="minorHAnsi"/>
        </w:rPr>
        <w:t xml:space="preserve"> at 70 °C and 100% RH.</w:t>
      </w:r>
      <w:r>
        <w:rPr>
          <w:rFonts w:asciiTheme="minorHAnsi" w:hAnsiTheme="minorHAnsi" w:cstheme="minorHAnsi"/>
          <w:kern w:val="20"/>
        </w:rPr>
        <w:t xml:space="preserve"> The channel surface of COF-H produces strong interaction with interfacial water, making core water more independent and improving its dynamics and proton dissociation capability. Our research has guiding significance for the development of acid-free proton conductors and helps to understand biomass such as water and protons transport in biological systems.  </w:t>
      </w:r>
    </w:p>
    <w:p w14:paraId="74010AF4" w14:textId="77777777" w:rsidR="00B47838" w:rsidRDefault="00000000">
      <w:pPr>
        <w:pStyle w:val="Title1"/>
        <w:rPr>
          <w:kern w:val="0"/>
        </w:rPr>
      </w:pPr>
      <w:r>
        <w:t>Experimental</w:t>
      </w:r>
    </w:p>
    <w:p w14:paraId="74010AF5" w14:textId="77777777" w:rsidR="00B47838" w:rsidRDefault="00000000">
      <w:pPr>
        <w:pStyle w:val="Text"/>
        <w:rPr>
          <w:kern w:val="0"/>
        </w:rPr>
      </w:pPr>
      <w:r>
        <w:rPr>
          <w:rFonts w:cs="Calibri"/>
          <w:color w:val="000000"/>
        </w:rPr>
        <w:t>All experimental details are listed in Supporting Information.</w:t>
      </w:r>
    </w:p>
    <w:p w14:paraId="74010AF6" w14:textId="77777777" w:rsidR="00B47838" w:rsidRDefault="00000000">
      <w:pPr>
        <w:pStyle w:val="Title1"/>
        <w:rPr>
          <w:kern w:val="0"/>
        </w:rPr>
      </w:pPr>
      <w:r>
        <w:t>Supporting Information</w:t>
      </w:r>
    </w:p>
    <w:p w14:paraId="74010AF7" w14:textId="77777777" w:rsidR="00B47838" w:rsidRDefault="00000000">
      <w:pPr>
        <w:pStyle w:val="Text"/>
        <w:rPr>
          <w:kern w:val="0"/>
        </w:rPr>
      </w:pPr>
      <w:r>
        <w:rPr>
          <w:rFonts w:hint="eastAsia"/>
          <w:kern w:val="0"/>
        </w:rPr>
        <w:t>The s</w:t>
      </w:r>
      <w:r>
        <w:rPr>
          <w:kern w:val="0"/>
        </w:rPr>
        <w:t xml:space="preserve">upporting information for this article is available on the WWW under </w:t>
      </w:r>
      <w:r>
        <w:t>http</w:t>
      </w:r>
      <w:r>
        <w:rPr>
          <w:rFonts w:hint="eastAsia"/>
        </w:rPr>
        <w:t>s</w:t>
      </w:r>
      <w:r>
        <w:t>://doi.org/10.1002/cjoc.20</w:t>
      </w:r>
      <w:r>
        <w:rPr>
          <w:rFonts w:hint="eastAsia"/>
        </w:rPr>
        <w:t>2400</w:t>
      </w:r>
      <w:r>
        <w:t>xxx</w:t>
      </w:r>
      <w:r>
        <w:rPr>
          <w:rFonts w:hint="eastAsia"/>
          <w:kern w:val="0"/>
        </w:rPr>
        <w:t>.</w:t>
      </w:r>
    </w:p>
    <w:p w14:paraId="74010AF8" w14:textId="77777777" w:rsidR="00B47838" w:rsidRDefault="00000000">
      <w:pPr>
        <w:pStyle w:val="Title1"/>
        <w:rPr>
          <w:kern w:val="0"/>
        </w:rPr>
      </w:pPr>
      <w:r>
        <w:t>Acknowledgement</w:t>
      </w:r>
    </w:p>
    <w:p w14:paraId="74010AF9" w14:textId="76CA962F" w:rsidR="00B47838" w:rsidRDefault="00000000">
      <w:pPr>
        <w:pStyle w:val="Text"/>
        <w:spacing w:before="120" w:after="240" w:line="212" w:lineRule="exact"/>
        <w:jc w:val="both"/>
        <w:rPr>
          <w:kern w:val="0"/>
        </w:rPr>
      </w:pPr>
      <w:r>
        <w:rPr>
          <w:rFonts w:hint="eastAsia"/>
          <w:kern w:val="0"/>
        </w:rPr>
        <w:t xml:space="preserve">This work was supported by National Natural Science Foundation of China (52207238), China Postdoctoral Science Foundation (2023M731361) and Jiangsu University Senior Talent Launch Fund. </w:t>
      </w:r>
      <w:r>
        <w:rPr>
          <w:kern w:val="0"/>
        </w:rPr>
        <w:t xml:space="preserve">The author is grateful to Mr. Yang from </w:t>
      </w:r>
      <w:proofErr w:type="spellStart"/>
      <w:r>
        <w:rPr>
          <w:kern w:val="0"/>
        </w:rPr>
        <w:t>Huasuan</w:t>
      </w:r>
      <w:proofErr w:type="spellEnd"/>
      <w:r>
        <w:rPr>
          <w:kern w:val="0"/>
        </w:rPr>
        <w:t xml:space="preserve"> for </w:t>
      </w:r>
      <w:r>
        <w:rPr>
          <w:rFonts w:hint="eastAsia"/>
          <w:kern w:val="0"/>
        </w:rPr>
        <w:t xml:space="preserve">the discussion of DFT </w:t>
      </w:r>
      <w:r>
        <w:rPr>
          <w:kern w:val="0"/>
        </w:rPr>
        <w:t>calculation</w:t>
      </w:r>
      <w:r>
        <w:rPr>
          <w:rFonts w:hint="eastAsia"/>
          <w:kern w:val="0"/>
        </w:rPr>
        <w:t xml:space="preserve">. Kun Zhang, Lei Wu and </w:t>
      </w:r>
      <w:proofErr w:type="spellStart"/>
      <w:r>
        <w:rPr>
          <w:rFonts w:hint="eastAsia"/>
          <w:kern w:val="0"/>
        </w:rPr>
        <w:t>Yanting</w:t>
      </w:r>
      <w:proofErr w:type="spellEnd"/>
      <w:r>
        <w:rPr>
          <w:rFonts w:hint="eastAsia"/>
          <w:kern w:val="0"/>
        </w:rPr>
        <w:t xml:space="preserve"> Zhang contribute equally and are marked with </w:t>
      </w:r>
      <w:r w:rsidR="009A648E" w:rsidRPr="009A648E">
        <w:rPr>
          <w:rFonts w:hint="eastAsia"/>
          <w:kern w:val="0"/>
        </w:rPr>
        <w:t>‡</w:t>
      </w:r>
      <w:r>
        <w:rPr>
          <w:rFonts w:hint="eastAsia"/>
          <w:kern w:val="0"/>
        </w:rPr>
        <w:t>.</w:t>
      </w:r>
    </w:p>
    <w:p w14:paraId="74010AFA" w14:textId="77777777" w:rsidR="00B47838" w:rsidRDefault="00000000">
      <w:pPr>
        <w:pStyle w:val="Title1"/>
        <w:rPr>
          <w:kern w:val="0"/>
        </w:rPr>
      </w:pPr>
      <w:r>
        <w:t>References</w:t>
      </w:r>
    </w:p>
    <w:p w14:paraId="74010AFB" w14:textId="77777777" w:rsidR="00B47838" w:rsidRDefault="00000000">
      <w:pPr>
        <w:pStyle w:val="References"/>
        <w:spacing w:after="0"/>
        <w:jc w:val="both"/>
      </w:pPr>
      <w:bookmarkStart w:id="3" w:name="_Ref707"/>
      <w:r>
        <w:rPr>
          <w:rFonts w:hint="eastAsia"/>
        </w:rPr>
        <w:t xml:space="preserve">(a) </w:t>
      </w:r>
      <w:r>
        <w:t>Li,</w:t>
      </w:r>
      <w:r>
        <w:rPr>
          <w:rFonts w:hint="eastAsia"/>
        </w:rPr>
        <w:t xml:space="preserve"> Q.;</w:t>
      </w:r>
      <w:r>
        <w:t xml:space="preserve"> Song,</w:t>
      </w:r>
      <w:r>
        <w:rPr>
          <w:rFonts w:hint="eastAsia"/>
        </w:rPr>
        <w:t xml:space="preserve"> J.;</w:t>
      </w:r>
      <w:r>
        <w:t xml:space="preserve"> Besenbacher,</w:t>
      </w:r>
      <w:r>
        <w:rPr>
          <w:rFonts w:hint="eastAsia"/>
        </w:rPr>
        <w:t xml:space="preserve"> F.;</w:t>
      </w:r>
      <w:r>
        <w:t xml:space="preserve"> Dong</w:t>
      </w:r>
      <w:r>
        <w:rPr>
          <w:rFonts w:hint="eastAsia"/>
        </w:rPr>
        <w:t xml:space="preserve">, M. </w:t>
      </w:r>
      <w:r>
        <w:t>Two-</w:t>
      </w:r>
      <w:r>
        <w:rPr>
          <w:rFonts w:hint="eastAsia"/>
        </w:rPr>
        <w:t>d</w:t>
      </w:r>
      <w:r>
        <w:t xml:space="preserve">imensional </w:t>
      </w:r>
      <w:r>
        <w:rPr>
          <w:rFonts w:hint="eastAsia"/>
        </w:rPr>
        <w:t>m</w:t>
      </w:r>
      <w:r>
        <w:t xml:space="preserve">aterial </w:t>
      </w:r>
      <w:r>
        <w:rPr>
          <w:rFonts w:hint="eastAsia"/>
        </w:rPr>
        <w:t>c</w:t>
      </w:r>
      <w:r>
        <w:t xml:space="preserve">onfined </w:t>
      </w:r>
      <w:r>
        <w:rPr>
          <w:rFonts w:hint="eastAsia"/>
        </w:rPr>
        <w:t>w</w:t>
      </w:r>
      <w:r>
        <w:t>ater</w:t>
      </w:r>
      <w:r>
        <w:rPr>
          <w:rFonts w:hint="eastAsia"/>
        </w:rPr>
        <w:t xml:space="preserve">. </w:t>
      </w:r>
      <w:r>
        <w:rPr>
          <w:i/>
          <w:iCs/>
        </w:rPr>
        <w:t>Acc. Chem. Res</w:t>
      </w:r>
      <w:r>
        <w:rPr>
          <w:rFonts w:hint="eastAsia"/>
          <w:i/>
          <w:iCs/>
        </w:rPr>
        <w:t>.</w:t>
      </w:r>
      <w:r>
        <w:t xml:space="preserve"> </w:t>
      </w:r>
      <w:r>
        <w:rPr>
          <w:rFonts w:hint="eastAsia"/>
          <w:b/>
          <w:bCs/>
        </w:rPr>
        <w:t>2014</w:t>
      </w:r>
      <w:r>
        <w:rPr>
          <w:rFonts w:hint="eastAsia"/>
        </w:rPr>
        <w:t xml:space="preserve">, </w:t>
      </w:r>
      <w:r>
        <w:rPr>
          <w:i/>
          <w:iCs/>
        </w:rPr>
        <w:t>48</w:t>
      </w:r>
      <w:r>
        <w:t>, 119-127</w:t>
      </w:r>
      <w:r>
        <w:rPr>
          <w:rFonts w:hint="eastAsia"/>
        </w:rPr>
        <w:t xml:space="preserve">; (b) </w:t>
      </w:r>
      <w:r>
        <w:t>Park, H. G.</w:t>
      </w:r>
      <w:r>
        <w:rPr>
          <w:rFonts w:hint="eastAsia"/>
        </w:rPr>
        <w:t>;</w:t>
      </w:r>
      <w:r>
        <w:t xml:space="preserve"> Jung, Y. Carbon </w:t>
      </w:r>
      <w:proofErr w:type="spellStart"/>
      <w:r>
        <w:t>nanofluidics</w:t>
      </w:r>
      <w:proofErr w:type="spellEnd"/>
      <w:r>
        <w:t xml:space="preserve"> of rapid water transport for energy applications. </w:t>
      </w:r>
      <w:r>
        <w:rPr>
          <w:i/>
          <w:iCs/>
        </w:rPr>
        <w:t>Chem. Soc. Rev.</w:t>
      </w:r>
      <w:r>
        <w:t xml:space="preserve"> </w:t>
      </w:r>
      <w:r>
        <w:rPr>
          <w:rFonts w:hint="eastAsia"/>
          <w:b/>
          <w:bCs/>
        </w:rPr>
        <w:t>2014</w:t>
      </w:r>
      <w:r>
        <w:rPr>
          <w:rFonts w:hint="eastAsia"/>
        </w:rPr>
        <w:t xml:space="preserve">, </w:t>
      </w:r>
      <w:r>
        <w:rPr>
          <w:i/>
          <w:iCs/>
        </w:rPr>
        <w:t>43</w:t>
      </w:r>
      <w:r>
        <w:t>, 565-576.</w:t>
      </w:r>
      <w:bookmarkEnd w:id="3"/>
    </w:p>
    <w:p w14:paraId="74010AFC" w14:textId="77777777" w:rsidR="00B47838" w:rsidRDefault="00000000">
      <w:pPr>
        <w:pStyle w:val="References"/>
        <w:spacing w:after="0"/>
        <w:jc w:val="both"/>
      </w:pPr>
      <w:bookmarkStart w:id="4" w:name="_Ref838"/>
      <w:r>
        <w:rPr>
          <w:rFonts w:hint="eastAsia"/>
        </w:rPr>
        <w:t xml:space="preserve">(a) </w:t>
      </w:r>
      <w:r>
        <w:t>Park, H. G.</w:t>
      </w:r>
      <w:bookmarkStart w:id="5" w:name="OLE_LINK1"/>
      <w:r>
        <w:rPr>
          <w:rFonts w:hint="eastAsia"/>
        </w:rPr>
        <w:t>;</w:t>
      </w:r>
      <w:bookmarkEnd w:id="5"/>
      <w:r>
        <w:t xml:space="preserve"> Jung, Y. Carbon </w:t>
      </w:r>
      <w:proofErr w:type="spellStart"/>
      <w:r>
        <w:t>nanofluidics</w:t>
      </w:r>
      <w:proofErr w:type="spellEnd"/>
      <w:r>
        <w:t xml:space="preserve"> of rapid water transport for energy applications. </w:t>
      </w:r>
      <w:r>
        <w:rPr>
          <w:i/>
          <w:iCs/>
        </w:rPr>
        <w:t>Chem. Soc. Rev.</w:t>
      </w:r>
      <w:r>
        <w:t xml:space="preserve"> </w:t>
      </w:r>
      <w:r>
        <w:rPr>
          <w:rFonts w:hint="eastAsia"/>
          <w:b/>
          <w:bCs/>
        </w:rPr>
        <w:t>2014</w:t>
      </w:r>
      <w:r>
        <w:rPr>
          <w:rFonts w:hint="eastAsia"/>
        </w:rPr>
        <w:t xml:space="preserve">, </w:t>
      </w:r>
      <w:r>
        <w:rPr>
          <w:i/>
          <w:iCs/>
        </w:rPr>
        <w:t>43</w:t>
      </w:r>
      <w:r>
        <w:t>, 565-576.</w:t>
      </w:r>
      <w:r>
        <w:rPr>
          <w:rFonts w:hint="eastAsia"/>
        </w:rPr>
        <w:t xml:space="preserve"> (b) </w:t>
      </w:r>
      <w:proofErr w:type="spellStart"/>
      <w:r>
        <w:t>Alexiadis</w:t>
      </w:r>
      <w:proofErr w:type="spellEnd"/>
      <w:r>
        <w:rPr>
          <w:rFonts w:hint="eastAsia"/>
        </w:rPr>
        <w:t xml:space="preserve">, A.; </w:t>
      </w:r>
      <w:proofErr w:type="spellStart"/>
      <w:r>
        <w:t>Kassinos</w:t>
      </w:r>
      <w:proofErr w:type="spellEnd"/>
      <w:r>
        <w:rPr>
          <w:rFonts w:hint="eastAsia"/>
        </w:rPr>
        <w:t>, S.</w:t>
      </w:r>
      <w:r>
        <w:t xml:space="preserve"> Molecular </w:t>
      </w:r>
      <w:r>
        <w:rPr>
          <w:rFonts w:hint="eastAsia"/>
        </w:rPr>
        <w:t>s</w:t>
      </w:r>
      <w:r>
        <w:t xml:space="preserve">imulation of </w:t>
      </w:r>
      <w:r>
        <w:rPr>
          <w:rFonts w:hint="eastAsia"/>
        </w:rPr>
        <w:t>w</w:t>
      </w:r>
      <w:r>
        <w:t xml:space="preserve">ater in </w:t>
      </w:r>
      <w:r>
        <w:rPr>
          <w:rFonts w:hint="eastAsia"/>
        </w:rPr>
        <w:t>c</w:t>
      </w:r>
      <w:r>
        <w:t xml:space="preserve">arbon </w:t>
      </w:r>
      <w:r>
        <w:rPr>
          <w:rFonts w:hint="eastAsia"/>
        </w:rPr>
        <w:t>n</w:t>
      </w:r>
      <w:r>
        <w:t>anotubes</w:t>
      </w:r>
      <w:r>
        <w:rPr>
          <w:rFonts w:hint="eastAsia"/>
        </w:rPr>
        <w:t>.</w:t>
      </w:r>
      <w:r>
        <w:rPr>
          <w:rFonts w:hint="eastAsia"/>
          <w:i/>
          <w:iCs/>
        </w:rPr>
        <w:t xml:space="preserve"> </w:t>
      </w:r>
      <w:r>
        <w:rPr>
          <w:i/>
          <w:iCs/>
        </w:rPr>
        <w:t>Chem. Rev.</w:t>
      </w:r>
      <w:r>
        <w:t xml:space="preserve"> </w:t>
      </w:r>
      <w:r>
        <w:rPr>
          <w:b/>
          <w:bCs/>
        </w:rPr>
        <w:t>2008</w:t>
      </w:r>
      <w:r>
        <w:t xml:space="preserve">, </w:t>
      </w:r>
      <w:r>
        <w:rPr>
          <w:i/>
          <w:iCs/>
        </w:rPr>
        <w:t>108</w:t>
      </w:r>
      <w:r>
        <w:t>, 5014–5034</w:t>
      </w:r>
      <w:r>
        <w:rPr>
          <w:rFonts w:hint="eastAsia"/>
        </w:rPr>
        <w:t>.</w:t>
      </w:r>
      <w:bookmarkEnd w:id="4"/>
    </w:p>
    <w:p w14:paraId="74010AFD" w14:textId="77777777" w:rsidR="00B47838" w:rsidRDefault="00000000">
      <w:pPr>
        <w:pStyle w:val="References"/>
        <w:spacing w:after="0"/>
        <w:jc w:val="both"/>
      </w:pPr>
      <w:bookmarkStart w:id="6" w:name="_Ref887"/>
      <w:r>
        <w:rPr>
          <w:rFonts w:hint="eastAsia"/>
        </w:rPr>
        <w:t>(a)</w:t>
      </w:r>
      <w:r>
        <w:t xml:space="preserve"> Cao,</w:t>
      </w:r>
      <w:r>
        <w:rPr>
          <w:rFonts w:hint="eastAsia"/>
        </w:rPr>
        <w:t xml:space="preserve"> Z.;</w:t>
      </w:r>
      <w:r>
        <w:t xml:space="preserve"> Peng,</w:t>
      </w:r>
      <w:r>
        <w:rPr>
          <w:rFonts w:hint="eastAsia"/>
        </w:rPr>
        <w:t xml:space="preserve"> Y.; </w:t>
      </w:r>
      <w:r>
        <w:t>Yan,</w:t>
      </w:r>
      <w:r>
        <w:rPr>
          <w:rFonts w:hint="eastAsia"/>
        </w:rPr>
        <w:t xml:space="preserve"> T.;</w:t>
      </w:r>
      <w:r>
        <w:t xml:space="preserve"> Li,</w:t>
      </w:r>
      <w:r>
        <w:rPr>
          <w:rFonts w:hint="eastAsia"/>
        </w:rPr>
        <w:t xml:space="preserve"> S.;</w:t>
      </w:r>
      <w:r>
        <w:t xml:space="preserve"> Li,</w:t>
      </w:r>
      <w:r>
        <w:rPr>
          <w:rFonts w:hint="eastAsia"/>
        </w:rPr>
        <w:t xml:space="preserve"> A.;</w:t>
      </w:r>
      <w:r>
        <w:t xml:space="preserve"> Voth</w:t>
      </w:r>
      <w:r>
        <w:rPr>
          <w:rFonts w:hint="eastAsia"/>
        </w:rPr>
        <w:t xml:space="preserve">. G. A. </w:t>
      </w:r>
      <w:r>
        <w:t xml:space="preserve">Mechanism of </w:t>
      </w:r>
      <w:r>
        <w:rPr>
          <w:rFonts w:hint="eastAsia"/>
        </w:rPr>
        <w:t>f</w:t>
      </w:r>
      <w:r>
        <w:t xml:space="preserve">ast </w:t>
      </w:r>
      <w:r>
        <w:rPr>
          <w:rFonts w:hint="eastAsia"/>
        </w:rPr>
        <w:t>p</w:t>
      </w:r>
      <w:r>
        <w:t xml:space="preserve">roton </w:t>
      </w:r>
      <w:r>
        <w:rPr>
          <w:rFonts w:hint="eastAsia"/>
        </w:rPr>
        <w:t>t</w:t>
      </w:r>
      <w:r>
        <w:t xml:space="preserve">ransport along </w:t>
      </w:r>
      <w:r>
        <w:rPr>
          <w:rFonts w:hint="eastAsia"/>
        </w:rPr>
        <w:t>o</w:t>
      </w:r>
      <w:r>
        <w:t>ne-</w:t>
      </w:r>
      <w:r>
        <w:rPr>
          <w:rFonts w:hint="eastAsia"/>
        </w:rPr>
        <w:t>d</w:t>
      </w:r>
      <w:r>
        <w:t xml:space="preserve">imensional </w:t>
      </w:r>
      <w:r>
        <w:rPr>
          <w:rFonts w:hint="eastAsia"/>
        </w:rPr>
        <w:t>w</w:t>
      </w:r>
      <w:r>
        <w:t xml:space="preserve">ater </w:t>
      </w:r>
      <w:r>
        <w:rPr>
          <w:rFonts w:hint="eastAsia"/>
        </w:rPr>
        <w:t>c</w:t>
      </w:r>
      <w:r>
        <w:t>hains</w:t>
      </w:r>
      <w:r>
        <w:rPr>
          <w:rFonts w:hint="eastAsia"/>
        </w:rPr>
        <w:t xml:space="preserve"> c</w:t>
      </w:r>
      <w:r>
        <w:t xml:space="preserve">onfined in </w:t>
      </w:r>
      <w:r>
        <w:rPr>
          <w:rFonts w:hint="eastAsia"/>
        </w:rPr>
        <w:t>c</w:t>
      </w:r>
      <w:r>
        <w:t xml:space="preserve">arbon </w:t>
      </w:r>
      <w:r>
        <w:rPr>
          <w:rFonts w:hint="eastAsia"/>
        </w:rPr>
        <w:t>n</w:t>
      </w:r>
      <w:r>
        <w:t>anotubes</w:t>
      </w:r>
      <w:r>
        <w:rPr>
          <w:rFonts w:hint="eastAsia"/>
        </w:rPr>
        <w:t xml:space="preserve">. </w:t>
      </w:r>
      <w:r>
        <w:rPr>
          <w:i/>
          <w:iCs/>
        </w:rPr>
        <w:t xml:space="preserve">J. </w:t>
      </w:r>
      <w:r>
        <w:rPr>
          <w:rFonts w:hint="eastAsia"/>
          <w:i/>
          <w:iCs/>
        </w:rPr>
        <w:t>Am</w:t>
      </w:r>
      <w:r>
        <w:rPr>
          <w:i/>
          <w:iCs/>
        </w:rPr>
        <w:t>. C</w:t>
      </w:r>
      <w:r>
        <w:rPr>
          <w:rFonts w:hint="eastAsia"/>
          <w:i/>
          <w:iCs/>
        </w:rPr>
        <w:t>hem</w:t>
      </w:r>
      <w:r>
        <w:rPr>
          <w:i/>
          <w:iCs/>
        </w:rPr>
        <w:t>. S</w:t>
      </w:r>
      <w:r>
        <w:rPr>
          <w:rFonts w:hint="eastAsia"/>
          <w:i/>
          <w:iCs/>
        </w:rPr>
        <w:t>oc</w:t>
      </w:r>
      <w:r>
        <w:rPr>
          <w:i/>
          <w:iCs/>
        </w:rPr>
        <w:t>.</w:t>
      </w:r>
      <w:r>
        <w:t xml:space="preserve"> </w:t>
      </w:r>
      <w:r>
        <w:rPr>
          <w:b/>
          <w:bCs/>
        </w:rPr>
        <w:t>2010</w:t>
      </w:r>
      <w:r>
        <w:t xml:space="preserve">, </w:t>
      </w:r>
      <w:r>
        <w:rPr>
          <w:i/>
          <w:iCs/>
        </w:rPr>
        <w:t>132</w:t>
      </w:r>
      <w:r>
        <w:t>, 11395–11397</w:t>
      </w:r>
      <w:r>
        <w:rPr>
          <w:rFonts w:hint="eastAsia"/>
        </w:rPr>
        <w:t xml:space="preserve">. (b) Hummer, G.; </w:t>
      </w:r>
      <w:proofErr w:type="spellStart"/>
      <w:r>
        <w:rPr>
          <w:rFonts w:hint="eastAsia"/>
        </w:rPr>
        <w:t>Rasaish</w:t>
      </w:r>
      <w:proofErr w:type="spellEnd"/>
      <w:r>
        <w:rPr>
          <w:rFonts w:hint="eastAsia"/>
        </w:rPr>
        <w:t xml:space="preserve">, j, C.; Noworyta, J, P. Water conduction through the </w:t>
      </w:r>
      <w:proofErr w:type="spellStart"/>
      <w:r>
        <w:rPr>
          <w:rFonts w:hint="eastAsia"/>
        </w:rPr>
        <w:t>hudrophbic</w:t>
      </w:r>
      <w:proofErr w:type="spellEnd"/>
      <w:r>
        <w:rPr>
          <w:rFonts w:hint="eastAsia"/>
        </w:rPr>
        <w:t xml:space="preserve"> channel of a carbon nanotube. </w:t>
      </w:r>
      <w:r>
        <w:rPr>
          <w:rFonts w:hint="eastAsia"/>
          <w:i/>
          <w:iCs/>
        </w:rPr>
        <w:t xml:space="preserve">Nature </w:t>
      </w:r>
      <w:r>
        <w:rPr>
          <w:rFonts w:hint="eastAsia"/>
          <w:b/>
          <w:bCs/>
        </w:rPr>
        <w:t>2001</w:t>
      </w:r>
      <w:r>
        <w:rPr>
          <w:rFonts w:hint="eastAsia"/>
          <w:i/>
          <w:iCs/>
        </w:rPr>
        <w:t xml:space="preserve">, 414, </w:t>
      </w:r>
      <w:r>
        <w:rPr>
          <w:rFonts w:hint="eastAsia"/>
        </w:rPr>
        <w:t>188-190</w:t>
      </w:r>
      <w:r>
        <w:rPr>
          <w:rFonts w:hint="eastAsia"/>
          <w:i/>
          <w:iCs/>
        </w:rPr>
        <w:t>.</w:t>
      </w:r>
      <w:r>
        <w:rPr>
          <w:rFonts w:hint="eastAsia"/>
        </w:rPr>
        <w:t xml:space="preserve"> (c) Brewer. M. L.; Schmitt. </w:t>
      </w:r>
      <w:r>
        <w:t>U</w:t>
      </w:r>
      <w:r>
        <w:rPr>
          <w:rFonts w:hint="eastAsia"/>
        </w:rPr>
        <w:t xml:space="preserve">.W.; Voth. G. A. </w:t>
      </w:r>
      <w:r>
        <w:t xml:space="preserve">The </w:t>
      </w:r>
      <w:r>
        <w:rPr>
          <w:rFonts w:hint="eastAsia"/>
        </w:rPr>
        <w:t>f</w:t>
      </w:r>
      <w:r>
        <w:t xml:space="preserve">ormation and </w:t>
      </w:r>
      <w:r>
        <w:rPr>
          <w:rFonts w:hint="eastAsia"/>
        </w:rPr>
        <w:t>d</w:t>
      </w:r>
      <w:r>
        <w:t xml:space="preserve">ynamics of </w:t>
      </w:r>
      <w:r>
        <w:rPr>
          <w:rFonts w:hint="eastAsia"/>
        </w:rPr>
        <w:t>p</w:t>
      </w:r>
      <w:r>
        <w:t xml:space="preserve">roton </w:t>
      </w:r>
      <w:r>
        <w:rPr>
          <w:rFonts w:hint="eastAsia"/>
        </w:rPr>
        <w:t>w</w:t>
      </w:r>
      <w:r>
        <w:t xml:space="preserve">ires in </w:t>
      </w:r>
      <w:r>
        <w:rPr>
          <w:rFonts w:hint="eastAsia"/>
        </w:rPr>
        <w:t>c</w:t>
      </w:r>
      <w:r>
        <w:t xml:space="preserve">hannel </w:t>
      </w:r>
      <w:r>
        <w:rPr>
          <w:rFonts w:hint="eastAsia"/>
        </w:rPr>
        <w:t>e</w:t>
      </w:r>
      <w:r>
        <w:t>nvironments</w:t>
      </w:r>
      <w:r>
        <w:rPr>
          <w:rFonts w:hint="eastAsia"/>
        </w:rPr>
        <w:t xml:space="preserve">. </w:t>
      </w:r>
      <w:proofErr w:type="spellStart"/>
      <w:r>
        <w:rPr>
          <w:rFonts w:hint="eastAsia"/>
          <w:i/>
          <w:iCs/>
        </w:rPr>
        <w:t>Biophys</w:t>
      </w:r>
      <w:proofErr w:type="spellEnd"/>
      <w:r>
        <w:rPr>
          <w:rFonts w:hint="eastAsia"/>
          <w:i/>
          <w:iCs/>
        </w:rPr>
        <w:t>. J.</w:t>
      </w:r>
      <w:r>
        <w:rPr>
          <w:rFonts w:hint="eastAsia"/>
        </w:rPr>
        <w:t xml:space="preserve"> </w:t>
      </w:r>
      <w:r>
        <w:rPr>
          <w:rFonts w:hint="eastAsia"/>
          <w:b/>
          <w:bCs/>
        </w:rPr>
        <w:t>2001</w:t>
      </w:r>
      <w:r>
        <w:rPr>
          <w:rFonts w:hint="eastAsia"/>
        </w:rPr>
        <w:t xml:space="preserve">, </w:t>
      </w:r>
      <w:r>
        <w:rPr>
          <w:rFonts w:hint="eastAsia"/>
          <w:i/>
          <w:iCs/>
        </w:rPr>
        <w:t>80</w:t>
      </w:r>
      <w:r>
        <w:rPr>
          <w:rFonts w:hint="eastAsia"/>
        </w:rPr>
        <w:t xml:space="preserve">, 1691-1702. (d) </w:t>
      </w:r>
      <w:proofErr w:type="spellStart"/>
      <w:r>
        <w:t>Dellago</w:t>
      </w:r>
      <w:proofErr w:type="spellEnd"/>
      <w:r>
        <w:t>, C., Naor, M. M.</w:t>
      </w:r>
      <w:r>
        <w:rPr>
          <w:rFonts w:hint="eastAsia"/>
        </w:rPr>
        <w:t>;</w:t>
      </w:r>
      <w:r>
        <w:t xml:space="preserve"> Hummer, G. Proton </w:t>
      </w:r>
      <w:r>
        <w:rPr>
          <w:rFonts w:hint="eastAsia"/>
        </w:rPr>
        <w:t>t</w:t>
      </w:r>
      <w:r>
        <w:t xml:space="preserve">ransport through </w:t>
      </w:r>
      <w:r>
        <w:rPr>
          <w:rFonts w:hint="eastAsia"/>
        </w:rPr>
        <w:t>w</w:t>
      </w:r>
      <w:r>
        <w:t>ater-</w:t>
      </w:r>
      <w:r>
        <w:rPr>
          <w:rFonts w:hint="eastAsia"/>
        </w:rPr>
        <w:t>f</w:t>
      </w:r>
      <w:r>
        <w:t xml:space="preserve">illed </w:t>
      </w:r>
      <w:r>
        <w:rPr>
          <w:rFonts w:hint="eastAsia"/>
        </w:rPr>
        <w:t>c</w:t>
      </w:r>
      <w:r>
        <w:t xml:space="preserve">arbon </w:t>
      </w:r>
      <w:r>
        <w:rPr>
          <w:rFonts w:hint="eastAsia"/>
        </w:rPr>
        <w:t>n</w:t>
      </w:r>
      <w:r>
        <w:t xml:space="preserve">anotubes. </w:t>
      </w:r>
      <w:proofErr w:type="spellStart"/>
      <w:r>
        <w:rPr>
          <w:i/>
          <w:iCs/>
        </w:rPr>
        <w:t>Phy</w:t>
      </w:r>
      <w:proofErr w:type="spellEnd"/>
      <w:r>
        <w:rPr>
          <w:rFonts w:hint="eastAsia"/>
          <w:i/>
          <w:iCs/>
        </w:rPr>
        <w:t>.</w:t>
      </w:r>
      <w:r>
        <w:rPr>
          <w:i/>
          <w:iCs/>
        </w:rPr>
        <w:t xml:space="preserve"> Rev</w:t>
      </w:r>
      <w:r>
        <w:rPr>
          <w:rFonts w:hint="eastAsia"/>
          <w:i/>
          <w:iCs/>
        </w:rPr>
        <w:t>.</w:t>
      </w:r>
      <w:r>
        <w:rPr>
          <w:i/>
          <w:iCs/>
        </w:rPr>
        <w:t xml:space="preserve"> Lett</w:t>
      </w:r>
      <w:r>
        <w:rPr>
          <w:rFonts w:hint="eastAsia"/>
          <w:i/>
          <w:iCs/>
        </w:rPr>
        <w:t>.</w:t>
      </w:r>
      <w:r>
        <w:t xml:space="preserve"> </w:t>
      </w:r>
      <w:r>
        <w:rPr>
          <w:rFonts w:hint="eastAsia"/>
          <w:b/>
          <w:bCs/>
        </w:rPr>
        <w:t>2003</w:t>
      </w:r>
      <w:r>
        <w:rPr>
          <w:rFonts w:hint="eastAsia"/>
        </w:rPr>
        <w:t xml:space="preserve">, </w:t>
      </w:r>
      <w:r>
        <w:rPr>
          <w:i/>
          <w:iCs/>
        </w:rPr>
        <w:t>90</w:t>
      </w:r>
      <w:r>
        <w:t>,</w:t>
      </w:r>
      <w:r>
        <w:rPr>
          <w:rFonts w:hint="eastAsia"/>
        </w:rPr>
        <w:t xml:space="preserve"> </w:t>
      </w:r>
      <w:r>
        <w:t>105902.</w:t>
      </w:r>
      <w:bookmarkEnd w:id="6"/>
    </w:p>
    <w:p w14:paraId="74010AFE" w14:textId="77777777" w:rsidR="00B47838" w:rsidRDefault="00000000">
      <w:pPr>
        <w:pStyle w:val="References"/>
        <w:spacing w:after="0"/>
        <w:jc w:val="both"/>
      </w:pPr>
      <w:bookmarkStart w:id="7" w:name="_Ref933"/>
      <w:r>
        <w:rPr>
          <w:rFonts w:hint="eastAsia"/>
        </w:rPr>
        <w:t xml:space="preserve">(a) Sui, H.; Han, B. G.; Lee, J. K.; Walian, P.; Jap, B. K. Structural basis of water-specific transport through the AQP1 water channel. Nature </w:t>
      </w:r>
      <w:r>
        <w:rPr>
          <w:rFonts w:hint="eastAsia"/>
          <w:b/>
          <w:bCs/>
        </w:rPr>
        <w:t>2001</w:t>
      </w:r>
      <w:r>
        <w:rPr>
          <w:rFonts w:hint="eastAsia"/>
        </w:rPr>
        <w:t xml:space="preserve">, </w:t>
      </w:r>
      <w:r>
        <w:rPr>
          <w:rFonts w:hint="eastAsia"/>
          <w:i/>
          <w:iCs/>
        </w:rPr>
        <w:t>414</w:t>
      </w:r>
      <w:r>
        <w:rPr>
          <w:rFonts w:hint="eastAsia"/>
        </w:rPr>
        <w:t xml:space="preserve">, 872-878. (b) </w:t>
      </w:r>
      <w:r>
        <w:t>de Groot, B. L.</w:t>
      </w:r>
      <w:r>
        <w:rPr>
          <w:rFonts w:hint="eastAsia"/>
        </w:rPr>
        <w:t>;</w:t>
      </w:r>
      <w:r>
        <w:t xml:space="preserve"> </w:t>
      </w:r>
      <w:proofErr w:type="spellStart"/>
      <w:r>
        <w:t>Grubmüller</w:t>
      </w:r>
      <w:proofErr w:type="spellEnd"/>
      <w:r>
        <w:t xml:space="preserve">, H. Water </w:t>
      </w:r>
      <w:r>
        <w:rPr>
          <w:rFonts w:hint="eastAsia"/>
        </w:rPr>
        <w:t>p</w:t>
      </w:r>
      <w:r>
        <w:t xml:space="preserve">ermeation </w:t>
      </w:r>
      <w:r>
        <w:rPr>
          <w:rFonts w:hint="eastAsia"/>
        </w:rPr>
        <w:t>a</w:t>
      </w:r>
      <w:r>
        <w:t xml:space="preserve">cross </w:t>
      </w:r>
      <w:r>
        <w:rPr>
          <w:rFonts w:hint="eastAsia"/>
        </w:rPr>
        <w:t>b</w:t>
      </w:r>
      <w:r>
        <w:t xml:space="preserve">iological </w:t>
      </w:r>
      <w:r>
        <w:rPr>
          <w:rFonts w:hint="eastAsia"/>
        </w:rPr>
        <w:t>m</w:t>
      </w:r>
      <w:r>
        <w:t xml:space="preserve">embranes: </w:t>
      </w:r>
      <w:r>
        <w:rPr>
          <w:rFonts w:hint="eastAsia"/>
        </w:rPr>
        <w:t>m</w:t>
      </w:r>
      <w:r>
        <w:t xml:space="preserve">echanism and </w:t>
      </w:r>
      <w:r>
        <w:rPr>
          <w:rFonts w:hint="eastAsia"/>
        </w:rPr>
        <w:t>d</w:t>
      </w:r>
      <w:r>
        <w:t xml:space="preserve">ynamics of </w:t>
      </w:r>
      <w:r>
        <w:rPr>
          <w:rFonts w:hint="eastAsia"/>
        </w:rPr>
        <w:t>a</w:t>
      </w:r>
      <w:r>
        <w:t xml:space="preserve">quaporin-1 and </w:t>
      </w:r>
      <w:proofErr w:type="spellStart"/>
      <w:r>
        <w:t>GlpF</w:t>
      </w:r>
      <w:proofErr w:type="spellEnd"/>
      <w:r>
        <w:t xml:space="preserve">. </w:t>
      </w:r>
      <w:r>
        <w:rPr>
          <w:i/>
          <w:iCs/>
        </w:rPr>
        <w:t>Science</w:t>
      </w:r>
      <w:r>
        <w:rPr>
          <w:rFonts w:hint="eastAsia"/>
        </w:rPr>
        <w:t xml:space="preserve"> </w:t>
      </w:r>
      <w:r>
        <w:rPr>
          <w:rFonts w:hint="eastAsia"/>
          <w:b/>
          <w:bCs/>
        </w:rPr>
        <w:t>2001</w:t>
      </w:r>
      <w:r>
        <w:rPr>
          <w:rFonts w:hint="eastAsia"/>
        </w:rPr>
        <w:t>,</w:t>
      </w:r>
      <w:r>
        <w:t xml:space="preserve"> </w:t>
      </w:r>
      <w:r>
        <w:rPr>
          <w:i/>
          <w:iCs/>
        </w:rPr>
        <w:t>294</w:t>
      </w:r>
      <w:r>
        <w:t>, 2353-2357.</w:t>
      </w:r>
      <w:r>
        <w:rPr>
          <w:rFonts w:hint="eastAsia"/>
        </w:rPr>
        <w:t xml:space="preserve"> (c) Murata, K.; Mitsuoka, K.; Hirai, T.; Walz, T.; Agre, P.; Heymann, J. B.; Engel, A.; Fujiyoshi, Y. Structural determinants of water permeation through </w:t>
      </w:r>
      <w:r>
        <w:rPr>
          <w:rFonts w:hint="eastAsia"/>
        </w:rPr>
        <w:lastRenderedPageBreak/>
        <w:t xml:space="preserve">aquaporin-1. </w:t>
      </w:r>
      <w:r>
        <w:rPr>
          <w:rFonts w:hint="eastAsia"/>
          <w:i/>
          <w:iCs/>
        </w:rPr>
        <w:t>Nature</w:t>
      </w:r>
      <w:r>
        <w:rPr>
          <w:rFonts w:hint="eastAsia"/>
        </w:rPr>
        <w:t xml:space="preserve"> </w:t>
      </w:r>
      <w:r>
        <w:rPr>
          <w:rFonts w:hint="eastAsia"/>
          <w:b/>
          <w:bCs/>
        </w:rPr>
        <w:t>2000</w:t>
      </w:r>
      <w:r>
        <w:rPr>
          <w:rFonts w:hint="eastAsia"/>
        </w:rPr>
        <w:t xml:space="preserve">, </w:t>
      </w:r>
      <w:r>
        <w:rPr>
          <w:rFonts w:hint="eastAsia"/>
          <w:i/>
          <w:iCs/>
        </w:rPr>
        <w:t>407</w:t>
      </w:r>
      <w:r>
        <w:rPr>
          <w:rFonts w:hint="eastAsia"/>
        </w:rPr>
        <w:t>, 599-605.</w:t>
      </w:r>
      <w:bookmarkEnd w:id="7"/>
    </w:p>
    <w:p w14:paraId="74010AFF" w14:textId="77777777" w:rsidR="00B47838" w:rsidRDefault="00000000">
      <w:pPr>
        <w:pStyle w:val="References"/>
        <w:spacing w:after="0"/>
        <w:jc w:val="both"/>
        <w:rPr>
          <w:rFonts w:asciiTheme="minorHAnsi" w:hAnsiTheme="minorHAnsi" w:cstheme="minorHAnsi"/>
          <w:szCs w:val="16"/>
        </w:rPr>
      </w:pPr>
      <w:bookmarkStart w:id="8" w:name="_Ref969"/>
      <w:r>
        <w:rPr>
          <w:rFonts w:hint="eastAsia"/>
        </w:rPr>
        <w:t xml:space="preserve">(a) </w:t>
      </w:r>
      <w:r>
        <w:t>Li, X.</w:t>
      </w:r>
      <w:r>
        <w:rPr>
          <w:rFonts w:hint="eastAsia"/>
        </w:rPr>
        <w:t xml:space="preserve">; Gao, Q.; Wang, J.; Chen, Y.; Chen, Z.; Xu, H.; Tang, W.; Leng, K.; Ning, G.; Wu, J.; Xu, Q.; Quek, S. Y.; Lu, Y.; Loh, K. P. </w:t>
      </w:r>
      <w:proofErr w:type="spellStart"/>
      <w:r>
        <w:t>Tuneable</w:t>
      </w:r>
      <w:proofErr w:type="spellEnd"/>
      <w:r>
        <w:t xml:space="preserve"> near white-emissive two-dimensional covalent organic frameworks.</w:t>
      </w:r>
      <w:r>
        <w:rPr>
          <w:rFonts w:hint="eastAsia"/>
        </w:rPr>
        <w:t xml:space="preserve"> </w:t>
      </w:r>
      <w:r>
        <w:rPr>
          <w:rFonts w:hint="eastAsia"/>
          <w:i/>
          <w:iCs/>
        </w:rPr>
        <w:t xml:space="preserve">Nat. </w:t>
      </w:r>
      <w:proofErr w:type="spellStart"/>
      <w:r>
        <w:rPr>
          <w:rFonts w:hint="eastAsia"/>
          <w:i/>
          <w:iCs/>
        </w:rPr>
        <w:t>Commun</w:t>
      </w:r>
      <w:proofErr w:type="spellEnd"/>
      <w:r>
        <w:rPr>
          <w:rFonts w:hint="eastAsia"/>
          <w:i/>
          <w:iCs/>
        </w:rPr>
        <w:t>.</w:t>
      </w:r>
      <w:r>
        <w:rPr>
          <w:rFonts w:hint="eastAsia"/>
        </w:rPr>
        <w:t xml:space="preserve"> </w:t>
      </w:r>
      <w:r>
        <w:rPr>
          <w:rFonts w:hint="eastAsia"/>
          <w:b/>
          <w:bCs/>
        </w:rPr>
        <w:t>2018</w:t>
      </w:r>
      <w:r>
        <w:rPr>
          <w:rFonts w:hint="eastAsia"/>
        </w:rPr>
        <w:t xml:space="preserve">, </w:t>
      </w:r>
      <w:r>
        <w:rPr>
          <w:rFonts w:hint="eastAsia"/>
          <w:i/>
          <w:iCs/>
        </w:rPr>
        <w:t>9</w:t>
      </w:r>
      <w:r>
        <w:rPr>
          <w:rFonts w:hint="eastAsia"/>
        </w:rPr>
        <w:t xml:space="preserve">, 2335. (b) Li, X.; Xu, H.; Leng, K.; Chee, S. W.; Zhao, X.; Jain, N.; Xu, H.; Qiao, J.; Gao, Q.; Park, I.; Quek. S. Y.; </w:t>
      </w:r>
      <w:proofErr w:type="spellStart"/>
      <w:r>
        <w:rPr>
          <w:rFonts w:hint="eastAsia"/>
        </w:rPr>
        <w:t>Mirsaidov</w:t>
      </w:r>
      <w:proofErr w:type="spellEnd"/>
      <w:r>
        <w:rPr>
          <w:rFonts w:hint="eastAsia"/>
        </w:rPr>
        <w:t xml:space="preserve">, U.; Loh, P. </w:t>
      </w:r>
      <w:r>
        <w:rPr>
          <w:rFonts w:asciiTheme="minorHAnsi" w:hAnsiTheme="minorHAnsi" w:cstheme="minorHAnsi"/>
          <w:szCs w:val="16"/>
        </w:rPr>
        <w:t>Partitioning the interlayer space of</w:t>
      </w:r>
      <w:r>
        <w:rPr>
          <w:rFonts w:asciiTheme="minorHAnsi" w:hAnsiTheme="minorHAnsi" w:cstheme="minorHAnsi" w:hint="eastAsia"/>
          <w:szCs w:val="16"/>
        </w:rPr>
        <w:t xml:space="preserve"> </w:t>
      </w:r>
      <w:r>
        <w:rPr>
          <w:rFonts w:asciiTheme="minorHAnsi" w:hAnsiTheme="minorHAnsi" w:cstheme="minorHAnsi"/>
          <w:szCs w:val="16"/>
        </w:rPr>
        <w:t>covalent organic frameworks by embedding</w:t>
      </w:r>
      <w:r>
        <w:rPr>
          <w:rFonts w:asciiTheme="minorHAnsi" w:hAnsiTheme="minorHAnsi" w:cstheme="minorHAnsi" w:hint="eastAsia"/>
          <w:szCs w:val="16"/>
        </w:rPr>
        <w:t xml:space="preserve"> </w:t>
      </w:r>
      <w:proofErr w:type="spellStart"/>
      <w:r>
        <w:rPr>
          <w:rFonts w:asciiTheme="minorHAnsi" w:hAnsiTheme="minorHAnsi" w:cstheme="minorHAnsi" w:hint="eastAsia"/>
          <w:szCs w:val="16"/>
        </w:rPr>
        <w:t>p</w:t>
      </w:r>
      <w:r>
        <w:rPr>
          <w:rFonts w:asciiTheme="minorHAnsi" w:hAnsiTheme="minorHAnsi" w:cstheme="minorHAnsi"/>
          <w:szCs w:val="16"/>
        </w:rPr>
        <w:t>seudorotaxanes</w:t>
      </w:r>
      <w:proofErr w:type="spellEnd"/>
      <w:r>
        <w:rPr>
          <w:rFonts w:asciiTheme="minorHAnsi" w:hAnsiTheme="minorHAnsi" w:cstheme="minorHAnsi"/>
          <w:szCs w:val="16"/>
        </w:rPr>
        <w:t xml:space="preserve"> in their backbones</w:t>
      </w:r>
      <w:r>
        <w:rPr>
          <w:rFonts w:asciiTheme="minorHAnsi" w:hAnsiTheme="minorHAnsi" w:cstheme="minorHAnsi" w:hint="eastAsia"/>
          <w:szCs w:val="16"/>
        </w:rPr>
        <w:t xml:space="preserve">. </w:t>
      </w:r>
      <w:r>
        <w:rPr>
          <w:rFonts w:asciiTheme="minorHAnsi" w:hAnsiTheme="minorHAnsi" w:cstheme="minorHAnsi" w:hint="eastAsia"/>
          <w:i/>
          <w:iCs/>
          <w:szCs w:val="16"/>
        </w:rPr>
        <w:t>Nat. Chem.</w:t>
      </w:r>
      <w:r>
        <w:rPr>
          <w:rFonts w:asciiTheme="minorHAnsi" w:hAnsiTheme="minorHAnsi" w:cstheme="minorHAnsi" w:hint="eastAsia"/>
          <w:szCs w:val="16"/>
        </w:rPr>
        <w:t xml:space="preserve"> </w:t>
      </w:r>
      <w:r>
        <w:rPr>
          <w:rFonts w:asciiTheme="minorHAnsi" w:hAnsiTheme="minorHAnsi" w:cstheme="minorHAnsi" w:hint="eastAsia"/>
          <w:b/>
          <w:bCs/>
          <w:szCs w:val="16"/>
        </w:rPr>
        <w:t>2020</w:t>
      </w:r>
      <w:r>
        <w:rPr>
          <w:rFonts w:asciiTheme="minorHAnsi" w:hAnsiTheme="minorHAnsi" w:cstheme="minorHAnsi" w:hint="eastAsia"/>
          <w:szCs w:val="16"/>
        </w:rPr>
        <w:t xml:space="preserve">, </w:t>
      </w:r>
      <w:r>
        <w:rPr>
          <w:rFonts w:asciiTheme="minorHAnsi" w:hAnsiTheme="minorHAnsi" w:cstheme="minorHAnsi" w:hint="eastAsia"/>
          <w:i/>
          <w:iCs/>
          <w:szCs w:val="16"/>
        </w:rPr>
        <w:t>12</w:t>
      </w:r>
      <w:r>
        <w:rPr>
          <w:rFonts w:asciiTheme="minorHAnsi" w:hAnsiTheme="minorHAnsi" w:cstheme="minorHAnsi" w:hint="eastAsia"/>
          <w:szCs w:val="16"/>
        </w:rPr>
        <w:t>, 1115-1122. (c) Das, G.</w:t>
      </w:r>
      <w:r>
        <w:rPr>
          <w:rFonts w:hint="eastAsia"/>
        </w:rPr>
        <w:t>;</w:t>
      </w:r>
      <w:r>
        <w:rPr>
          <w:rFonts w:asciiTheme="minorHAnsi" w:hAnsiTheme="minorHAnsi" w:cstheme="minorHAnsi" w:hint="eastAsia"/>
          <w:szCs w:val="16"/>
        </w:rPr>
        <w:t xml:space="preserve"> Shinde, D, B.</w:t>
      </w:r>
      <w:r>
        <w:rPr>
          <w:rFonts w:hint="eastAsia"/>
        </w:rPr>
        <w:t>;</w:t>
      </w:r>
      <w:r>
        <w:rPr>
          <w:rFonts w:asciiTheme="minorHAnsi" w:hAnsiTheme="minorHAnsi" w:cstheme="minorHAnsi" w:hint="eastAsia"/>
          <w:szCs w:val="16"/>
        </w:rPr>
        <w:t xml:space="preserve"> </w:t>
      </w:r>
      <w:proofErr w:type="spellStart"/>
      <w:r>
        <w:rPr>
          <w:rFonts w:asciiTheme="minorHAnsi" w:hAnsiTheme="minorHAnsi" w:cstheme="minorHAnsi" w:hint="eastAsia"/>
          <w:szCs w:val="16"/>
        </w:rPr>
        <w:t>Melepurakkal</w:t>
      </w:r>
      <w:proofErr w:type="spellEnd"/>
      <w:r>
        <w:rPr>
          <w:rFonts w:asciiTheme="minorHAnsi" w:hAnsiTheme="minorHAnsi" w:cstheme="minorHAnsi" w:hint="eastAsia"/>
          <w:szCs w:val="16"/>
        </w:rPr>
        <w:t>, A.</w:t>
      </w:r>
      <w:r>
        <w:rPr>
          <w:rFonts w:hint="eastAsia"/>
        </w:rPr>
        <w:t>;</w:t>
      </w:r>
      <w:r>
        <w:rPr>
          <w:rFonts w:asciiTheme="minorHAnsi" w:hAnsiTheme="minorHAnsi" w:cstheme="minorHAnsi" w:hint="eastAsia"/>
          <w:szCs w:val="16"/>
        </w:rPr>
        <w:t xml:space="preserve"> Shelke, M. V.</w:t>
      </w:r>
      <w:r>
        <w:rPr>
          <w:rFonts w:hint="eastAsia"/>
        </w:rPr>
        <w:t>;</w:t>
      </w:r>
      <w:r>
        <w:rPr>
          <w:rFonts w:asciiTheme="minorHAnsi" w:hAnsiTheme="minorHAnsi" w:cstheme="minorHAnsi" w:hint="eastAsia"/>
          <w:szCs w:val="16"/>
        </w:rPr>
        <w:t xml:space="preserve"> Garai, B., Bazin, P.</w:t>
      </w:r>
      <w:r>
        <w:rPr>
          <w:rFonts w:hint="eastAsia"/>
        </w:rPr>
        <w:t xml:space="preserve">; </w:t>
      </w:r>
      <w:proofErr w:type="spellStart"/>
      <w:r>
        <w:rPr>
          <w:rFonts w:hint="eastAsia"/>
        </w:rPr>
        <w:t>Blal</w:t>
      </w:r>
      <w:proofErr w:type="spellEnd"/>
      <w:r>
        <w:rPr>
          <w:rFonts w:hint="eastAsia"/>
        </w:rPr>
        <w:t xml:space="preserve">, A. A.; Benyettou, F.; Prakasam, T.; Halin, R. A.; Ibrahim, F, A.; Sharma, S. K.; Varghese, S.; Weston, J.; Jagannathan, R.; Addicoat, M. A.; Gandara, F.; Olson, M A.; EI-Roz, M.; </w:t>
      </w:r>
      <w:proofErr w:type="spellStart"/>
      <w:r>
        <w:rPr>
          <w:rFonts w:hint="eastAsia"/>
        </w:rPr>
        <w:t>Trabolsi</w:t>
      </w:r>
      <w:proofErr w:type="spellEnd"/>
      <w:r>
        <w:rPr>
          <w:rFonts w:hint="eastAsia"/>
        </w:rPr>
        <w:t xml:space="preserve">, A. Synergistic humidity-responsive mechanical motion and proton conductivity in a cationic covalent organic framework. </w:t>
      </w:r>
      <w:r>
        <w:rPr>
          <w:rFonts w:hint="eastAsia"/>
          <w:i/>
          <w:iCs/>
        </w:rPr>
        <w:t>Chem</w:t>
      </w:r>
      <w:r>
        <w:rPr>
          <w:rFonts w:hint="eastAsia"/>
        </w:rPr>
        <w:t xml:space="preserve"> </w:t>
      </w:r>
      <w:r>
        <w:rPr>
          <w:rFonts w:hint="eastAsia"/>
          <w:b/>
          <w:bCs/>
        </w:rPr>
        <w:t>2024</w:t>
      </w:r>
      <w:r>
        <w:rPr>
          <w:rFonts w:hint="eastAsia"/>
        </w:rPr>
        <w:t xml:space="preserve">, </w:t>
      </w:r>
      <w:r>
        <w:rPr>
          <w:rFonts w:hint="eastAsia"/>
          <w:i/>
          <w:iCs/>
        </w:rPr>
        <w:t>10</w:t>
      </w:r>
      <w:r>
        <w:rPr>
          <w:rFonts w:hint="eastAsia"/>
        </w:rPr>
        <w:t>, 1-18. (d) Wu, X.; Hong, Y.; Xu, B.</w:t>
      </w:r>
      <w:proofErr w:type="gramStart"/>
      <w:r>
        <w:rPr>
          <w:rFonts w:hint="eastAsia"/>
        </w:rPr>
        <w:t>;  Nishiyama</w:t>
      </w:r>
      <w:proofErr w:type="gramEnd"/>
      <w:r>
        <w:rPr>
          <w:rFonts w:hint="eastAsia"/>
        </w:rPr>
        <w:t xml:space="preserve">, Y.; Jiang, W.; Zhu, J.; Zhang, G.; Kitagawa, S.; </w:t>
      </w:r>
      <w:proofErr w:type="spellStart"/>
      <w:r>
        <w:rPr>
          <w:rFonts w:hint="eastAsia"/>
        </w:rPr>
        <w:t>Horike</w:t>
      </w:r>
      <w:proofErr w:type="spellEnd"/>
      <w:r>
        <w:rPr>
          <w:rFonts w:hint="eastAsia"/>
        </w:rPr>
        <w:t xml:space="preserve">, S.; </w:t>
      </w:r>
      <w:r>
        <w:rPr>
          <w:rFonts w:hint="eastAsia"/>
          <w:i/>
          <w:iCs/>
        </w:rPr>
        <w:t>J Am. Chem. Soc.</w:t>
      </w:r>
      <w:r>
        <w:rPr>
          <w:rFonts w:hint="eastAsia"/>
        </w:rPr>
        <w:t xml:space="preserve"> </w:t>
      </w:r>
      <w:r>
        <w:rPr>
          <w:rFonts w:hint="eastAsia"/>
          <w:b/>
          <w:bCs/>
        </w:rPr>
        <w:t>2020</w:t>
      </w:r>
      <w:r>
        <w:rPr>
          <w:rFonts w:hint="eastAsia"/>
        </w:rPr>
        <w:t xml:space="preserve">, </w:t>
      </w:r>
      <w:r>
        <w:rPr>
          <w:rFonts w:hint="eastAsia"/>
          <w:i/>
          <w:iCs/>
        </w:rPr>
        <w:t>142</w:t>
      </w:r>
      <w:r>
        <w:rPr>
          <w:rFonts w:hint="eastAsia"/>
        </w:rPr>
        <w:t>, 14357-14364.</w:t>
      </w:r>
      <w:bookmarkEnd w:id="8"/>
    </w:p>
    <w:p w14:paraId="74010B00" w14:textId="77777777" w:rsidR="00B47838" w:rsidRDefault="00000000">
      <w:pPr>
        <w:pStyle w:val="References"/>
        <w:spacing w:after="0"/>
        <w:jc w:val="both"/>
        <w:rPr>
          <w:rFonts w:asciiTheme="minorHAnsi" w:hAnsiTheme="minorHAnsi" w:cstheme="minorHAnsi"/>
          <w:szCs w:val="16"/>
        </w:rPr>
      </w:pPr>
      <w:bookmarkStart w:id="9" w:name="_Ref1031"/>
      <w:r>
        <w:rPr>
          <w:rFonts w:asciiTheme="minorHAnsi" w:hAnsiTheme="minorHAnsi" w:cstheme="minorHAnsi" w:hint="eastAsia"/>
          <w:szCs w:val="16"/>
        </w:rPr>
        <w:t xml:space="preserve">(a) Fu, Y.; Wu, Y.; Chen, S.; Zhang, W.; Zhang, </w:t>
      </w:r>
      <w:proofErr w:type="spellStart"/>
      <w:proofErr w:type="gramStart"/>
      <w:r>
        <w:rPr>
          <w:rFonts w:asciiTheme="minorHAnsi" w:hAnsiTheme="minorHAnsi" w:cstheme="minorHAnsi" w:hint="eastAsia"/>
          <w:szCs w:val="16"/>
        </w:rPr>
        <w:t>Y.;Yan</w:t>
      </w:r>
      <w:proofErr w:type="spellEnd"/>
      <w:proofErr w:type="gramEnd"/>
      <w:r>
        <w:rPr>
          <w:rFonts w:asciiTheme="minorHAnsi" w:hAnsiTheme="minorHAnsi" w:cstheme="minorHAnsi" w:hint="eastAsia"/>
          <w:szCs w:val="16"/>
        </w:rPr>
        <w:t xml:space="preserve">, T.; Yang, B.; Ma, H. Zwitterionic covalent organic frameworks: attractive porous host for gas separation and anhydrous proton conduction. </w:t>
      </w:r>
      <w:r>
        <w:rPr>
          <w:rFonts w:asciiTheme="minorHAnsi" w:hAnsiTheme="minorHAnsi" w:cstheme="minorHAnsi" w:hint="eastAsia"/>
          <w:i/>
          <w:iCs/>
          <w:szCs w:val="16"/>
        </w:rPr>
        <w:t xml:space="preserve">ACS Nano </w:t>
      </w:r>
      <w:r>
        <w:rPr>
          <w:rFonts w:asciiTheme="minorHAnsi" w:hAnsiTheme="minorHAnsi" w:cstheme="minorHAnsi" w:hint="eastAsia"/>
          <w:b/>
          <w:bCs/>
          <w:szCs w:val="16"/>
        </w:rPr>
        <w:t>2021</w:t>
      </w:r>
      <w:r>
        <w:rPr>
          <w:rFonts w:asciiTheme="minorHAnsi" w:hAnsiTheme="minorHAnsi" w:cstheme="minorHAnsi" w:hint="eastAsia"/>
          <w:szCs w:val="16"/>
        </w:rPr>
        <w:t xml:space="preserve">, </w:t>
      </w:r>
      <w:r>
        <w:rPr>
          <w:rFonts w:asciiTheme="minorHAnsi" w:hAnsiTheme="minorHAnsi" w:cstheme="minorHAnsi" w:hint="eastAsia"/>
          <w:i/>
          <w:iCs/>
          <w:szCs w:val="16"/>
        </w:rPr>
        <w:t>15</w:t>
      </w:r>
      <w:r>
        <w:rPr>
          <w:rFonts w:asciiTheme="minorHAnsi" w:hAnsiTheme="minorHAnsi" w:cstheme="minorHAnsi" w:hint="eastAsia"/>
          <w:szCs w:val="16"/>
        </w:rPr>
        <w:t xml:space="preserve">, 19743-19755. (b) Tao, S.; Jiang, D. Accelerating anhydrous proton transport in covalent organic frameworks: pore chemistry and its impacts. </w:t>
      </w:r>
      <w:proofErr w:type="spellStart"/>
      <w:r>
        <w:rPr>
          <w:rFonts w:asciiTheme="minorHAnsi" w:hAnsiTheme="minorHAnsi" w:cstheme="minorHAnsi" w:hint="eastAsia"/>
          <w:i/>
          <w:iCs/>
          <w:szCs w:val="16"/>
        </w:rPr>
        <w:t>Angew</w:t>
      </w:r>
      <w:proofErr w:type="spellEnd"/>
      <w:r>
        <w:rPr>
          <w:rFonts w:asciiTheme="minorHAnsi" w:hAnsiTheme="minorHAnsi" w:cstheme="minorHAnsi" w:hint="eastAsia"/>
          <w:i/>
          <w:iCs/>
          <w:szCs w:val="16"/>
        </w:rPr>
        <w:t>. Chem. Int. Edit.</w:t>
      </w:r>
      <w:r>
        <w:rPr>
          <w:rFonts w:asciiTheme="minorHAnsi" w:hAnsiTheme="minorHAnsi" w:cstheme="minorHAnsi" w:hint="eastAsia"/>
          <w:b/>
          <w:bCs/>
          <w:szCs w:val="16"/>
        </w:rPr>
        <w:t xml:space="preserve"> 2024</w:t>
      </w:r>
      <w:r>
        <w:rPr>
          <w:rFonts w:asciiTheme="minorHAnsi" w:hAnsiTheme="minorHAnsi" w:cstheme="minorHAnsi" w:hint="eastAsia"/>
          <w:szCs w:val="16"/>
        </w:rPr>
        <w:t xml:space="preserve">, e202408296. (c) Jiang, G.; Zou, W.; Ou, Z.; Zhang, L.; Zhang, W.; Wang, X.; Song, H.; Gui, Z.; Liang, Z.; Du, L. Tuning the interlayer interactions of 2D covalent organic frameworks enables an </w:t>
      </w:r>
      <w:proofErr w:type="spellStart"/>
      <w:r>
        <w:rPr>
          <w:rFonts w:asciiTheme="minorHAnsi" w:hAnsiTheme="minorHAnsi" w:cstheme="minorHAnsi" w:hint="eastAsia"/>
          <w:szCs w:val="16"/>
        </w:rPr>
        <w:t>ultrastable</w:t>
      </w:r>
      <w:proofErr w:type="spellEnd"/>
      <w:r>
        <w:rPr>
          <w:rFonts w:asciiTheme="minorHAnsi" w:hAnsiTheme="minorHAnsi" w:cstheme="minorHAnsi" w:hint="eastAsia"/>
          <w:szCs w:val="16"/>
        </w:rPr>
        <w:t xml:space="preserve"> platform for anhydrous proton transport. </w:t>
      </w:r>
      <w:proofErr w:type="spellStart"/>
      <w:r>
        <w:rPr>
          <w:rFonts w:asciiTheme="minorHAnsi" w:hAnsiTheme="minorHAnsi" w:cstheme="minorHAnsi" w:hint="eastAsia"/>
          <w:i/>
          <w:iCs/>
          <w:szCs w:val="16"/>
        </w:rPr>
        <w:t>Angew</w:t>
      </w:r>
      <w:proofErr w:type="spellEnd"/>
      <w:r>
        <w:rPr>
          <w:rFonts w:asciiTheme="minorHAnsi" w:hAnsiTheme="minorHAnsi" w:cstheme="minorHAnsi" w:hint="eastAsia"/>
          <w:i/>
          <w:iCs/>
          <w:szCs w:val="16"/>
        </w:rPr>
        <w:t xml:space="preserve">. Chem. Int. Edit. </w:t>
      </w:r>
      <w:r>
        <w:rPr>
          <w:rFonts w:asciiTheme="minorHAnsi" w:hAnsiTheme="minorHAnsi" w:cstheme="minorHAnsi" w:hint="eastAsia"/>
          <w:b/>
          <w:bCs/>
          <w:szCs w:val="16"/>
        </w:rPr>
        <w:t>2022</w:t>
      </w:r>
      <w:r>
        <w:rPr>
          <w:rFonts w:asciiTheme="minorHAnsi" w:hAnsiTheme="minorHAnsi" w:cstheme="minorHAnsi" w:hint="eastAsia"/>
          <w:szCs w:val="16"/>
        </w:rPr>
        <w:t xml:space="preserve">, e202208086. (d)  Zhang, J.; Kong, Y.; Liu, Y.; Lou, H.; Zou, Y.; Zang, S.; Ren, X. </w:t>
      </w:r>
      <w:proofErr w:type="spellStart"/>
      <w:r>
        <w:rPr>
          <w:rFonts w:asciiTheme="minorHAnsi" w:hAnsiTheme="minorHAnsi" w:cstheme="minorHAnsi" w:hint="eastAsia"/>
          <w:szCs w:val="16"/>
        </w:rPr>
        <w:t>Superprotonic</w:t>
      </w:r>
      <w:proofErr w:type="spellEnd"/>
      <w:r>
        <w:rPr>
          <w:rFonts w:asciiTheme="minorHAnsi" w:hAnsiTheme="minorHAnsi" w:cstheme="minorHAnsi" w:hint="eastAsia"/>
          <w:szCs w:val="16"/>
        </w:rPr>
        <w:t xml:space="preserve"> conduction of acidified benzimidazole-linked covalent organic framework. </w:t>
      </w:r>
      <w:bookmarkStart w:id="10" w:name="OLE_LINK2"/>
      <w:r>
        <w:rPr>
          <w:rFonts w:asciiTheme="minorHAnsi" w:hAnsiTheme="minorHAnsi" w:cstheme="minorHAnsi" w:hint="eastAsia"/>
          <w:i/>
          <w:iCs/>
          <w:szCs w:val="16"/>
        </w:rPr>
        <w:t>ACS Materials. Lett</w:t>
      </w:r>
      <w:bookmarkEnd w:id="10"/>
      <w:r>
        <w:rPr>
          <w:rFonts w:asciiTheme="minorHAnsi" w:hAnsiTheme="minorHAnsi" w:cstheme="minorHAnsi" w:hint="eastAsia"/>
          <w:szCs w:val="16"/>
        </w:rPr>
        <w:t xml:space="preserve">. </w:t>
      </w:r>
      <w:r>
        <w:rPr>
          <w:rFonts w:asciiTheme="minorHAnsi" w:hAnsiTheme="minorHAnsi" w:cstheme="minorHAnsi" w:hint="eastAsia"/>
          <w:b/>
          <w:bCs/>
          <w:szCs w:val="16"/>
        </w:rPr>
        <w:t>2022</w:t>
      </w:r>
      <w:r>
        <w:rPr>
          <w:rFonts w:asciiTheme="minorHAnsi" w:hAnsiTheme="minorHAnsi" w:cstheme="minorHAnsi" w:hint="eastAsia"/>
          <w:szCs w:val="16"/>
        </w:rPr>
        <w:t xml:space="preserve">, </w:t>
      </w:r>
      <w:r>
        <w:rPr>
          <w:rFonts w:asciiTheme="minorHAnsi" w:hAnsiTheme="minorHAnsi" w:cstheme="minorHAnsi" w:hint="eastAsia"/>
          <w:i/>
          <w:iCs/>
          <w:szCs w:val="16"/>
        </w:rPr>
        <w:t>4</w:t>
      </w:r>
      <w:r>
        <w:rPr>
          <w:rFonts w:asciiTheme="minorHAnsi" w:hAnsiTheme="minorHAnsi" w:cstheme="minorHAnsi" w:hint="eastAsia"/>
          <w:szCs w:val="16"/>
        </w:rPr>
        <w:t>, 2597-2603.</w:t>
      </w:r>
      <w:bookmarkEnd w:id="9"/>
    </w:p>
    <w:p w14:paraId="74010B01" w14:textId="77777777" w:rsidR="00B47838" w:rsidRDefault="00000000">
      <w:pPr>
        <w:pStyle w:val="References"/>
        <w:spacing w:after="0"/>
        <w:jc w:val="both"/>
        <w:rPr>
          <w:rFonts w:asciiTheme="minorHAnsi" w:hAnsiTheme="minorHAnsi" w:cstheme="minorHAnsi"/>
          <w:szCs w:val="16"/>
        </w:rPr>
      </w:pPr>
      <w:bookmarkStart w:id="11" w:name="_Ref1080"/>
      <w:r>
        <w:rPr>
          <w:rFonts w:asciiTheme="minorHAnsi" w:hAnsiTheme="minorHAnsi" w:cstheme="minorHAnsi" w:hint="eastAsia"/>
          <w:szCs w:val="16"/>
        </w:rPr>
        <w:t xml:space="preserve">(a) Shi, B.; Pang, X.; Li, S.; Wu, H.; Shen, J.; Wang, X.; Fan, C.; Cao, </w:t>
      </w:r>
      <w:proofErr w:type="spellStart"/>
      <w:proofErr w:type="gramStart"/>
      <w:r>
        <w:rPr>
          <w:rFonts w:asciiTheme="minorHAnsi" w:hAnsiTheme="minorHAnsi" w:cstheme="minorHAnsi" w:hint="eastAsia"/>
          <w:szCs w:val="16"/>
        </w:rPr>
        <w:t>L.;Zhu</w:t>
      </w:r>
      <w:proofErr w:type="spellEnd"/>
      <w:proofErr w:type="gramEnd"/>
      <w:r>
        <w:rPr>
          <w:rFonts w:asciiTheme="minorHAnsi" w:hAnsiTheme="minorHAnsi" w:cstheme="minorHAnsi" w:hint="eastAsia"/>
          <w:szCs w:val="16"/>
        </w:rPr>
        <w:t xml:space="preserve">, T.; Qiu, M.; Yin, Z.; Kong, Y.; Liu, Y.; Zhang, M.; Liu, Y.; Pan, F.; Jiang, Z. Short hydrogen-bond network confined on COF surfaces enables ultrahigh proton conductivity. </w:t>
      </w:r>
      <w:r>
        <w:rPr>
          <w:rFonts w:asciiTheme="minorHAnsi" w:hAnsiTheme="minorHAnsi" w:cstheme="minorHAnsi" w:hint="eastAsia"/>
          <w:i/>
          <w:iCs/>
          <w:szCs w:val="16"/>
        </w:rPr>
        <w:t xml:space="preserve">Nat. </w:t>
      </w:r>
      <w:proofErr w:type="spellStart"/>
      <w:r>
        <w:rPr>
          <w:rFonts w:asciiTheme="minorHAnsi" w:hAnsiTheme="minorHAnsi" w:cstheme="minorHAnsi" w:hint="eastAsia"/>
          <w:i/>
          <w:iCs/>
          <w:szCs w:val="16"/>
        </w:rPr>
        <w:t>Commun</w:t>
      </w:r>
      <w:proofErr w:type="spellEnd"/>
      <w:r>
        <w:rPr>
          <w:rFonts w:asciiTheme="minorHAnsi" w:hAnsiTheme="minorHAnsi" w:cstheme="minorHAnsi" w:hint="eastAsia"/>
          <w:i/>
          <w:iCs/>
          <w:szCs w:val="16"/>
        </w:rPr>
        <w:t xml:space="preserve">. </w:t>
      </w:r>
      <w:r>
        <w:rPr>
          <w:rFonts w:asciiTheme="minorHAnsi" w:hAnsiTheme="minorHAnsi" w:cstheme="minorHAnsi" w:hint="eastAsia"/>
          <w:b/>
          <w:bCs/>
          <w:szCs w:val="16"/>
        </w:rPr>
        <w:t>2022</w:t>
      </w:r>
      <w:r>
        <w:rPr>
          <w:rFonts w:asciiTheme="minorHAnsi" w:hAnsiTheme="minorHAnsi" w:cstheme="minorHAnsi" w:hint="eastAsia"/>
          <w:szCs w:val="16"/>
        </w:rPr>
        <w:t xml:space="preserve">, </w:t>
      </w:r>
      <w:r>
        <w:rPr>
          <w:rFonts w:asciiTheme="minorHAnsi" w:hAnsiTheme="minorHAnsi" w:cstheme="minorHAnsi" w:hint="eastAsia"/>
          <w:i/>
          <w:iCs/>
          <w:szCs w:val="16"/>
        </w:rPr>
        <w:t>13</w:t>
      </w:r>
      <w:r>
        <w:rPr>
          <w:rFonts w:asciiTheme="minorHAnsi" w:hAnsiTheme="minorHAnsi" w:cstheme="minorHAnsi" w:hint="eastAsia"/>
          <w:szCs w:val="16"/>
        </w:rPr>
        <w:t xml:space="preserve">, 6666. (b) Zou, W.; Jiang, G.; Zhang, W.; Zhang, L.; Cui, Z.; Song, H.; Liang, Z.; </w:t>
      </w:r>
      <w:proofErr w:type="spellStart"/>
      <w:proofErr w:type="gramStart"/>
      <w:r>
        <w:rPr>
          <w:rFonts w:asciiTheme="minorHAnsi" w:hAnsiTheme="minorHAnsi" w:cstheme="minorHAnsi" w:hint="eastAsia"/>
          <w:szCs w:val="16"/>
        </w:rPr>
        <w:t>Du,L</w:t>
      </w:r>
      <w:proofErr w:type="spellEnd"/>
      <w:r>
        <w:rPr>
          <w:rFonts w:asciiTheme="minorHAnsi" w:hAnsiTheme="minorHAnsi" w:cstheme="minorHAnsi" w:hint="eastAsia"/>
          <w:szCs w:val="16"/>
        </w:rPr>
        <w:t>.</w:t>
      </w:r>
      <w:proofErr w:type="gramEnd"/>
      <w:r>
        <w:rPr>
          <w:rFonts w:asciiTheme="minorHAnsi" w:hAnsiTheme="minorHAnsi" w:cstheme="minorHAnsi" w:hint="eastAsia"/>
          <w:szCs w:val="16"/>
        </w:rPr>
        <w:t xml:space="preserve"> Hierarchically macro</w:t>
      </w:r>
      <w:r>
        <w:rPr>
          <w:rFonts w:asciiTheme="minorHAnsi" w:hAnsiTheme="minorHAnsi" w:cstheme="minorHAnsi" w:hint="eastAsia"/>
          <w:szCs w:val="16"/>
        </w:rPr>
        <w:t>–</w:t>
      </w:r>
      <w:r>
        <w:rPr>
          <w:rFonts w:asciiTheme="minorHAnsi" w:hAnsiTheme="minorHAnsi" w:cstheme="minorHAnsi" w:hint="eastAsia"/>
          <w:szCs w:val="16"/>
        </w:rPr>
        <w:t xml:space="preserve">microporous covalent organic frameworks for efficient proton conduction. </w:t>
      </w:r>
      <w:r>
        <w:rPr>
          <w:rFonts w:asciiTheme="minorHAnsi" w:hAnsiTheme="minorHAnsi" w:cstheme="minorHAnsi" w:hint="eastAsia"/>
          <w:i/>
          <w:iCs/>
          <w:szCs w:val="16"/>
        </w:rPr>
        <w:t xml:space="preserve">Adv. </w:t>
      </w:r>
      <w:proofErr w:type="spellStart"/>
      <w:r>
        <w:rPr>
          <w:rFonts w:asciiTheme="minorHAnsi" w:hAnsiTheme="minorHAnsi" w:cstheme="minorHAnsi" w:hint="eastAsia"/>
          <w:i/>
          <w:iCs/>
          <w:szCs w:val="16"/>
        </w:rPr>
        <w:t>Funct</w:t>
      </w:r>
      <w:proofErr w:type="spellEnd"/>
      <w:r>
        <w:rPr>
          <w:rFonts w:asciiTheme="minorHAnsi" w:hAnsiTheme="minorHAnsi" w:cstheme="minorHAnsi" w:hint="eastAsia"/>
          <w:i/>
          <w:iCs/>
          <w:szCs w:val="16"/>
        </w:rPr>
        <w:t xml:space="preserve">. Mater. </w:t>
      </w:r>
      <w:r>
        <w:rPr>
          <w:rFonts w:asciiTheme="minorHAnsi" w:hAnsiTheme="minorHAnsi" w:cstheme="minorHAnsi" w:hint="eastAsia"/>
          <w:b/>
          <w:bCs/>
          <w:szCs w:val="16"/>
        </w:rPr>
        <w:t>2023</w:t>
      </w:r>
      <w:r>
        <w:rPr>
          <w:rFonts w:asciiTheme="minorHAnsi" w:hAnsiTheme="minorHAnsi" w:cstheme="minorHAnsi" w:hint="eastAsia"/>
          <w:szCs w:val="16"/>
        </w:rPr>
        <w:t xml:space="preserve">, </w:t>
      </w:r>
      <w:r>
        <w:rPr>
          <w:rFonts w:asciiTheme="minorHAnsi" w:hAnsiTheme="minorHAnsi" w:cstheme="minorHAnsi" w:hint="eastAsia"/>
          <w:i/>
          <w:iCs/>
          <w:szCs w:val="16"/>
        </w:rPr>
        <w:t>33</w:t>
      </w:r>
      <w:r>
        <w:rPr>
          <w:rFonts w:asciiTheme="minorHAnsi" w:hAnsiTheme="minorHAnsi" w:cstheme="minorHAnsi" w:hint="eastAsia"/>
          <w:szCs w:val="16"/>
        </w:rPr>
        <w:t xml:space="preserve">, 2213642. (c) Su, Y.; Wan, Y.; Xu, H.; Otake, K.; Tang, X.; Huang, L.; Kitagawa, S.; Gu, C. Crystalline and stable benzofuran-linked covalent organic frameworks from irreversible cascade reactions. </w:t>
      </w:r>
      <w:proofErr w:type="gramStart"/>
      <w:r>
        <w:rPr>
          <w:rFonts w:asciiTheme="minorHAnsi" w:hAnsiTheme="minorHAnsi" w:cstheme="minorHAnsi" w:hint="eastAsia"/>
          <w:i/>
          <w:iCs/>
          <w:szCs w:val="16"/>
        </w:rPr>
        <w:t>J  Am.</w:t>
      </w:r>
      <w:proofErr w:type="gramEnd"/>
      <w:r>
        <w:rPr>
          <w:rFonts w:asciiTheme="minorHAnsi" w:hAnsiTheme="minorHAnsi" w:cstheme="minorHAnsi" w:hint="eastAsia"/>
          <w:i/>
          <w:iCs/>
          <w:szCs w:val="16"/>
        </w:rPr>
        <w:t xml:space="preserve"> Chem. Soc.</w:t>
      </w:r>
      <w:r>
        <w:rPr>
          <w:rFonts w:asciiTheme="minorHAnsi" w:hAnsiTheme="minorHAnsi" w:cstheme="minorHAnsi" w:hint="eastAsia"/>
          <w:szCs w:val="16"/>
        </w:rPr>
        <w:t xml:space="preserve"> </w:t>
      </w:r>
      <w:r>
        <w:rPr>
          <w:rFonts w:asciiTheme="minorHAnsi" w:hAnsiTheme="minorHAnsi" w:cstheme="minorHAnsi" w:hint="eastAsia"/>
          <w:b/>
          <w:bCs/>
          <w:szCs w:val="16"/>
        </w:rPr>
        <w:t>2020</w:t>
      </w:r>
      <w:r>
        <w:rPr>
          <w:rFonts w:asciiTheme="minorHAnsi" w:hAnsiTheme="minorHAnsi" w:cstheme="minorHAnsi" w:hint="eastAsia"/>
          <w:szCs w:val="16"/>
        </w:rPr>
        <w:t xml:space="preserve">, </w:t>
      </w:r>
      <w:r>
        <w:rPr>
          <w:rFonts w:asciiTheme="minorHAnsi" w:hAnsiTheme="minorHAnsi" w:cstheme="minorHAnsi" w:hint="eastAsia"/>
          <w:i/>
          <w:iCs/>
          <w:szCs w:val="16"/>
        </w:rPr>
        <w:t>142</w:t>
      </w:r>
      <w:r>
        <w:rPr>
          <w:rFonts w:asciiTheme="minorHAnsi" w:hAnsiTheme="minorHAnsi" w:cstheme="minorHAnsi" w:hint="eastAsia"/>
          <w:szCs w:val="16"/>
        </w:rPr>
        <w:t>, 13316-13321. (d) Sahoo, R.; Mondal, S.; Pal, S, C.; Mukherjee, D.; Das, M, C. Covalent</w:t>
      </w:r>
      <w:r>
        <w:rPr>
          <w:rFonts w:asciiTheme="minorHAnsi" w:hAnsiTheme="minorHAnsi" w:cstheme="minorHAnsi" w:hint="eastAsia"/>
          <w:szCs w:val="16"/>
        </w:rPr>
        <w:t>‐</w:t>
      </w:r>
      <w:r>
        <w:rPr>
          <w:rFonts w:asciiTheme="minorHAnsi" w:hAnsiTheme="minorHAnsi" w:cstheme="minorHAnsi" w:hint="eastAsia"/>
          <w:szCs w:val="16"/>
        </w:rPr>
        <w:t xml:space="preserve">organic frameworks (COFs) as proton conductors. </w:t>
      </w:r>
      <w:r>
        <w:rPr>
          <w:rFonts w:asciiTheme="minorHAnsi" w:hAnsiTheme="minorHAnsi" w:cstheme="minorHAnsi" w:hint="eastAsia"/>
          <w:i/>
          <w:iCs/>
          <w:szCs w:val="16"/>
        </w:rPr>
        <w:t xml:space="preserve">Adv. Energy. Mater. </w:t>
      </w:r>
      <w:r>
        <w:rPr>
          <w:rFonts w:asciiTheme="minorHAnsi" w:hAnsiTheme="minorHAnsi" w:cstheme="minorHAnsi" w:hint="eastAsia"/>
          <w:b/>
          <w:bCs/>
          <w:szCs w:val="16"/>
        </w:rPr>
        <w:t>2021</w:t>
      </w:r>
      <w:r>
        <w:rPr>
          <w:rFonts w:asciiTheme="minorHAnsi" w:hAnsiTheme="minorHAnsi" w:cstheme="minorHAnsi" w:hint="eastAsia"/>
          <w:szCs w:val="16"/>
        </w:rPr>
        <w:t xml:space="preserve">, </w:t>
      </w:r>
      <w:r>
        <w:rPr>
          <w:rFonts w:asciiTheme="minorHAnsi" w:hAnsiTheme="minorHAnsi" w:cstheme="minorHAnsi" w:hint="eastAsia"/>
          <w:i/>
          <w:iCs/>
          <w:szCs w:val="16"/>
        </w:rPr>
        <w:t>11</w:t>
      </w:r>
      <w:r>
        <w:rPr>
          <w:rFonts w:asciiTheme="minorHAnsi" w:hAnsiTheme="minorHAnsi" w:cstheme="minorHAnsi" w:hint="eastAsia"/>
          <w:szCs w:val="16"/>
        </w:rPr>
        <w:t xml:space="preserve">, 2102300. </w:t>
      </w:r>
      <w:bookmarkEnd w:id="11"/>
    </w:p>
    <w:p w14:paraId="74010B02" w14:textId="77777777" w:rsidR="00B47838" w:rsidRDefault="00000000">
      <w:pPr>
        <w:pStyle w:val="References"/>
        <w:spacing w:after="0"/>
        <w:jc w:val="both"/>
        <w:rPr>
          <w:rFonts w:asciiTheme="minorHAnsi" w:hAnsiTheme="minorHAnsi" w:cstheme="minorHAnsi"/>
          <w:szCs w:val="16"/>
        </w:rPr>
      </w:pPr>
      <w:bookmarkStart w:id="12" w:name="_Ref1135"/>
      <w:r>
        <w:t>Cao,</w:t>
      </w:r>
      <w:r>
        <w:rPr>
          <w:rFonts w:hint="eastAsia"/>
        </w:rPr>
        <w:t xml:space="preserve"> Z.;</w:t>
      </w:r>
      <w:r>
        <w:t xml:space="preserve"> Peng,</w:t>
      </w:r>
      <w:r>
        <w:rPr>
          <w:rFonts w:hint="eastAsia"/>
        </w:rPr>
        <w:t xml:space="preserve"> Y.; </w:t>
      </w:r>
      <w:r>
        <w:t>Yan,</w:t>
      </w:r>
      <w:r>
        <w:rPr>
          <w:rFonts w:hint="eastAsia"/>
        </w:rPr>
        <w:t xml:space="preserve"> T.;</w:t>
      </w:r>
      <w:r>
        <w:t xml:space="preserve"> Li,</w:t>
      </w:r>
      <w:r>
        <w:rPr>
          <w:rFonts w:hint="eastAsia"/>
        </w:rPr>
        <w:t xml:space="preserve"> S.;</w:t>
      </w:r>
      <w:r>
        <w:t xml:space="preserve"> Li,</w:t>
      </w:r>
      <w:r>
        <w:rPr>
          <w:rFonts w:hint="eastAsia"/>
        </w:rPr>
        <w:t xml:space="preserve"> A.;</w:t>
      </w:r>
      <w:r>
        <w:t xml:space="preserve"> Voth</w:t>
      </w:r>
      <w:r>
        <w:rPr>
          <w:rFonts w:hint="eastAsia"/>
        </w:rPr>
        <w:t xml:space="preserve">. G. A. </w:t>
      </w:r>
      <w:r>
        <w:t xml:space="preserve">Mechanism of </w:t>
      </w:r>
      <w:r>
        <w:rPr>
          <w:rFonts w:hint="eastAsia"/>
        </w:rPr>
        <w:t>f</w:t>
      </w:r>
      <w:r>
        <w:t xml:space="preserve">ast </w:t>
      </w:r>
      <w:r>
        <w:rPr>
          <w:rFonts w:hint="eastAsia"/>
        </w:rPr>
        <w:t>p</w:t>
      </w:r>
      <w:r>
        <w:t xml:space="preserve">roton </w:t>
      </w:r>
      <w:r>
        <w:rPr>
          <w:rFonts w:hint="eastAsia"/>
        </w:rPr>
        <w:t>t</w:t>
      </w:r>
      <w:r>
        <w:t xml:space="preserve">ransport along </w:t>
      </w:r>
      <w:r>
        <w:rPr>
          <w:rFonts w:hint="eastAsia"/>
        </w:rPr>
        <w:t>o</w:t>
      </w:r>
      <w:r>
        <w:t>ne-</w:t>
      </w:r>
      <w:r>
        <w:rPr>
          <w:rFonts w:hint="eastAsia"/>
        </w:rPr>
        <w:t>d</w:t>
      </w:r>
      <w:r>
        <w:t xml:space="preserve">imensional </w:t>
      </w:r>
      <w:r>
        <w:rPr>
          <w:rFonts w:hint="eastAsia"/>
        </w:rPr>
        <w:t>w</w:t>
      </w:r>
      <w:r>
        <w:t xml:space="preserve">ater </w:t>
      </w:r>
      <w:r>
        <w:rPr>
          <w:rFonts w:hint="eastAsia"/>
        </w:rPr>
        <w:t>c</w:t>
      </w:r>
      <w:r>
        <w:t>hains</w:t>
      </w:r>
      <w:r>
        <w:rPr>
          <w:rFonts w:hint="eastAsia"/>
        </w:rPr>
        <w:t xml:space="preserve"> c</w:t>
      </w:r>
      <w:r>
        <w:t xml:space="preserve">onfined in </w:t>
      </w:r>
      <w:r>
        <w:rPr>
          <w:rFonts w:hint="eastAsia"/>
        </w:rPr>
        <w:t>c</w:t>
      </w:r>
      <w:r>
        <w:t xml:space="preserve">arbon </w:t>
      </w:r>
      <w:r>
        <w:rPr>
          <w:rFonts w:hint="eastAsia"/>
        </w:rPr>
        <w:t>n</w:t>
      </w:r>
      <w:r>
        <w:t>anotubes</w:t>
      </w:r>
      <w:r>
        <w:rPr>
          <w:rFonts w:hint="eastAsia"/>
        </w:rPr>
        <w:t xml:space="preserve">. </w:t>
      </w:r>
      <w:r>
        <w:rPr>
          <w:i/>
          <w:iCs/>
        </w:rPr>
        <w:t xml:space="preserve">J. </w:t>
      </w:r>
      <w:r>
        <w:rPr>
          <w:rFonts w:hint="eastAsia"/>
          <w:i/>
          <w:iCs/>
        </w:rPr>
        <w:t>Am</w:t>
      </w:r>
      <w:r>
        <w:rPr>
          <w:i/>
          <w:iCs/>
        </w:rPr>
        <w:t>. C</w:t>
      </w:r>
      <w:r>
        <w:rPr>
          <w:rFonts w:hint="eastAsia"/>
          <w:i/>
          <w:iCs/>
        </w:rPr>
        <w:t>hem</w:t>
      </w:r>
      <w:r>
        <w:rPr>
          <w:i/>
          <w:iCs/>
        </w:rPr>
        <w:t>. S</w:t>
      </w:r>
      <w:r>
        <w:rPr>
          <w:rFonts w:hint="eastAsia"/>
          <w:i/>
          <w:iCs/>
        </w:rPr>
        <w:t>oc</w:t>
      </w:r>
      <w:r>
        <w:rPr>
          <w:i/>
          <w:iCs/>
        </w:rPr>
        <w:t>.</w:t>
      </w:r>
      <w:r>
        <w:t xml:space="preserve"> </w:t>
      </w:r>
      <w:r>
        <w:rPr>
          <w:b/>
          <w:bCs/>
        </w:rPr>
        <w:t>2010</w:t>
      </w:r>
      <w:r>
        <w:t xml:space="preserve">, </w:t>
      </w:r>
      <w:r>
        <w:rPr>
          <w:i/>
          <w:iCs/>
        </w:rPr>
        <w:t>132</w:t>
      </w:r>
      <w:r>
        <w:t>, 11395–11397</w:t>
      </w:r>
      <w:r>
        <w:rPr>
          <w:rFonts w:hint="eastAsia"/>
        </w:rPr>
        <w:t>.</w:t>
      </w:r>
      <w:bookmarkEnd w:id="12"/>
    </w:p>
    <w:p w14:paraId="74010B03" w14:textId="77777777" w:rsidR="00B47838" w:rsidRDefault="00000000">
      <w:pPr>
        <w:pStyle w:val="References"/>
        <w:spacing w:after="0"/>
        <w:jc w:val="both"/>
        <w:rPr>
          <w:rFonts w:asciiTheme="minorHAnsi" w:hAnsiTheme="minorHAnsi" w:cstheme="minorHAnsi"/>
          <w:szCs w:val="16"/>
        </w:rPr>
      </w:pPr>
      <w:bookmarkStart w:id="13" w:name="_Ref1178"/>
      <w:r>
        <w:rPr>
          <w:rFonts w:asciiTheme="minorHAnsi" w:hAnsiTheme="minorHAnsi" w:cstheme="minorHAnsi"/>
          <w:szCs w:val="16"/>
        </w:rPr>
        <w:t>Zhang, S.</w:t>
      </w:r>
      <w:r>
        <w:rPr>
          <w:rFonts w:asciiTheme="minorHAnsi" w:hAnsiTheme="minorHAnsi" w:cstheme="minorHAnsi" w:hint="eastAsia"/>
          <w:szCs w:val="16"/>
        </w:rPr>
        <w:t>;</w:t>
      </w:r>
      <w:r>
        <w:rPr>
          <w:rFonts w:asciiTheme="minorHAnsi" w:hAnsiTheme="minorHAnsi" w:cstheme="minorHAnsi"/>
          <w:szCs w:val="16"/>
        </w:rPr>
        <w:t xml:space="preserve"> Guo, Z.-C</w:t>
      </w:r>
      <w:r>
        <w:rPr>
          <w:rFonts w:asciiTheme="minorHAnsi" w:hAnsiTheme="minorHAnsi" w:cstheme="minorHAnsi" w:hint="eastAsia"/>
          <w:szCs w:val="16"/>
        </w:rPr>
        <w:t>.;</w:t>
      </w:r>
      <w:r>
        <w:rPr>
          <w:rFonts w:asciiTheme="minorHAnsi" w:hAnsiTheme="minorHAnsi" w:cstheme="minorHAnsi"/>
          <w:szCs w:val="16"/>
        </w:rPr>
        <w:t xml:space="preserve"> Xu, K.</w:t>
      </w:r>
      <w:r>
        <w:rPr>
          <w:rFonts w:asciiTheme="minorHAnsi" w:hAnsiTheme="minorHAnsi" w:cstheme="minorHAnsi" w:hint="eastAsia"/>
          <w:szCs w:val="16"/>
        </w:rPr>
        <w:t>;</w:t>
      </w:r>
      <w:r>
        <w:rPr>
          <w:rFonts w:asciiTheme="minorHAnsi" w:hAnsiTheme="minorHAnsi" w:cstheme="minorHAnsi"/>
          <w:szCs w:val="16"/>
        </w:rPr>
        <w:t xml:space="preserve"> Li, Z.</w:t>
      </w:r>
      <w:r>
        <w:rPr>
          <w:rFonts w:asciiTheme="minorHAnsi" w:hAnsiTheme="minorHAnsi" w:cstheme="minorHAnsi" w:hint="eastAsia"/>
          <w:szCs w:val="16"/>
        </w:rPr>
        <w:t>;</w:t>
      </w:r>
      <w:r>
        <w:rPr>
          <w:rFonts w:asciiTheme="minorHAnsi" w:hAnsiTheme="minorHAnsi" w:cstheme="minorHAnsi"/>
          <w:szCs w:val="16"/>
        </w:rPr>
        <w:t xml:space="preserve"> Li, G. Design, </w:t>
      </w:r>
      <w:r>
        <w:rPr>
          <w:rFonts w:asciiTheme="minorHAnsi" w:hAnsiTheme="minorHAnsi" w:cstheme="minorHAnsi" w:hint="eastAsia"/>
          <w:szCs w:val="16"/>
        </w:rPr>
        <w:t>p</w:t>
      </w:r>
      <w:r>
        <w:rPr>
          <w:rFonts w:asciiTheme="minorHAnsi" w:hAnsiTheme="minorHAnsi" w:cstheme="minorHAnsi"/>
          <w:szCs w:val="16"/>
        </w:rPr>
        <w:t xml:space="preserve">reparation, and </w:t>
      </w:r>
      <w:r>
        <w:rPr>
          <w:rFonts w:asciiTheme="minorHAnsi" w:hAnsiTheme="minorHAnsi" w:cstheme="minorHAnsi" w:hint="eastAsia"/>
          <w:szCs w:val="16"/>
        </w:rPr>
        <w:t>h</w:t>
      </w:r>
      <w:r>
        <w:rPr>
          <w:rFonts w:asciiTheme="minorHAnsi" w:hAnsiTheme="minorHAnsi" w:cstheme="minorHAnsi"/>
          <w:szCs w:val="16"/>
        </w:rPr>
        <w:t xml:space="preserve">igh </w:t>
      </w:r>
      <w:r>
        <w:rPr>
          <w:rFonts w:asciiTheme="minorHAnsi" w:hAnsiTheme="minorHAnsi" w:cstheme="minorHAnsi" w:hint="eastAsia"/>
          <w:szCs w:val="16"/>
        </w:rPr>
        <w:t>i</w:t>
      </w:r>
      <w:r>
        <w:rPr>
          <w:rFonts w:asciiTheme="minorHAnsi" w:hAnsiTheme="minorHAnsi" w:cstheme="minorHAnsi"/>
          <w:szCs w:val="16"/>
        </w:rPr>
        <w:t xml:space="preserve">ntrinsic </w:t>
      </w:r>
      <w:r>
        <w:rPr>
          <w:rFonts w:asciiTheme="minorHAnsi" w:hAnsiTheme="minorHAnsi" w:cstheme="minorHAnsi" w:hint="eastAsia"/>
          <w:szCs w:val="16"/>
        </w:rPr>
        <w:t>p</w:t>
      </w:r>
      <w:r>
        <w:rPr>
          <w:rFonts w:asciiTheme="minorHAnsi" w:hAnsiTheme="minorHAnsi" w:cstheme="minorHAnsi"/>
          <w:szCs w:val="16"/>
        </w:rPr>
        <w:t xml:space="preserve">roton </w:t>
      </w:r>
      <w:r>
        <w:rPr>
          <w:rFonts w:asciiTheme="minorHAnsi" w:hAnsiTheme="minorHAnsi" w:cstheme="minorHAnsi" w:hint="eastAsia"/>
          <w:szCs w:val="16"/>
        </w:rPr>
        <w:t>c</w:t>
      </w:r>
      <w:r>
        <w:rPr>
          <w:rFonts w:asciiTheme="minorHAnsi" w:hAnsiTheme="minorHAnsi" w:cstheme="minorHAnsi"/>
          <w:szCs w:val="16"/>
        </w:rPr>
        <w:t xml:space="preserve">onductivity of </w:t>
      </w:r>
      <w:r>
        <w:rPr>
          <w:rFonts w:asciiTheme="minorHAnsi" w:hAnsiTheme="minorHAnsi" w:cstheme="minorHAnsi" w:hint="eastAsia"/>
          <w:szCs w:val="16"/>
        </w:rPr>
        <w:t>t</w:t>
      </w:r>
      <w:r>
        <w:rPr>
          <w:rFonts w:asciiTheme="minorHAnsi" w:hAnsiTheme="minorHAnsi" w:cstheme="minorHAnsi"/>
          <w:szCs w:val="16"/>
        </w:rPr>
        <w:t xml:space="preserve">wo </w:t>
      </w:r>
      <w:r>
        <w:rPr>
          <w:rFonts w:asciiTheme="minorHAnsi" w:hAnsiTheme="minorHAnsi" w:cstheme="minorHAnsi" w:hint="eastAsia"/>
          <w:szCs w:val="16"/>
        </w:rPr>
        <w:t>h</w:t>
      </w:r>
      <w:r>
        <w:rPr>
          <w:rFonts w:asciiTheme="minorHAnsi" w:hAnsiTheme="minorHAnsi" w:cstheme="minorHAnsi"/>
          <w:szCs w:val="16"/>
        </w:rPr>
        <w:t xml:space="preserve">ighly </w:t>
      </w:r>
      <w:r>
        <w:rPr>
          <w:rFonts w:asciiTheme="minorHAnsi" w:hAnsiTheme="minorHAnsi" w:cstheme="minorHAnsi" w:hint="eastAsia"/>
          <w:szCs w:val="16"/>
        </w:rPr>
        <w:t>s</w:t>
      </w:r>
      <w:r>
        <w:rPr>
          <w:rFonts w:asciiTheme="minorHAnsi" w:hAnsiTheme="minorHAnsi" w:cstheme="minorHAnsi"/>
          <w:szCs w:val="16"/>
        </w:rPr>
        <w:t xml:space="preserve">table </w:t>
      </w:r>
      <w:r>
        <w:rPr>
          <w:rFonts w:asciiTheme="minorHAnsi" w:hAnsiTheme="minorHAnsi" w:cstheme="minorHAnsi" w:hint="eastAsia"/>
          <w:szCs w:val="16"/>
        </w:rPr>
        <w:t>h</w:t>
      </w:r>
      <w:r>
        <w:rPr>
          <w:rFonts w:asciiTheme="minorHAnsi" w:hAnsiTheme="minorHAnsi" w:cstheme="minorHAnsi"/>
          <w:szCs w:val="16"/>
        </w:rPr>
        <w:t>ydrazone-</w:t>
      </w:r>
      <w:r>
        <w:rPr>
          <w:rFonts w:asciiTheme="minorHAnsi" w:hAnsiTheme="minorHAnsi" w:cstheme="minorHAnsi" w:hint="eastAsia"/>
          <w:szCs w:val="16"/>
        </w:rPr>
        <w:t>l</w:t>
      </w:r>
      <w:r>
        <w:rPr>
          <w:rFonts w:asciiTheme="minorHAnsi" w:hAnsiTheme="minorHAnsi" w:cstheme="minorHAnsi"/>
          <w:szCs w:val="16"/>
        </w:rPr>
        <w:t xml:space="preserve">inked </w:t>
      </w:r>
      <w:r>
        <w:rPr>
          <w:rFonts w:asciiTheme="minorHAnsi" w:hAnsiTheme="minorHAnsi" w:cstheme="minorHAnsi" w:hint="eastAsia"/>
          <w:szCs w:val="16"/>
        </w:rPr>
        <w:t>c</w:t>
      </w:r>
      <w:r>
        <w:rPr>
          <w:rFonts w:asciiTheme="minorHAnsi" w:hAnsiTheme="minorHAnsi" w:cstheme="minorHAnsi"/>
          <w:szCs w:val="16"/>
        </w:rPr>
        <w:t xml:space="preserve">ovalent </w:t>
      </w:r>
      <w:r>
        <w:rPr>
          <w:rFonts w:asciiTheme="minorHAnsi" w:hAnsiTheme="minorHAnsi" w:cstheme="minorHAnsi" w:hint="eastAsia"/>
          <w:szCs w:val="16"/>
        </w:rPr>
        <w:t>o</w:t>
      </w:r>
      <w:r>
        <w:rPr>
          <w:rFonts w:asciiTheme="minorHAnsi" w:hAnsiTheme="minorHAnsi" w:cstheme="minorHAnsi"/>
          <w:szCs w:val="16"/>
        </w:rPr>
        <w:t xml:space="preserve">rganic </w:t>
      </w:r>
      <w:r>
        <w:rPr>
          <w:rFonts w:asciiTheme="minorHAnsi" w:hAnsiTheme="minorHAnsi" w:cstheme="minorHAnsi" w:hint="eastAsia"/>
          <w:szCs w:val="16"/>
        </w:rPr>
        <w:t>f</w:t>
      </w:r>
      <w:r>
        <w:rPr>
          <w:rFonts w:asciiTheme="minorHAnsi" w:hAnsiTheme="minorHAnsi" w:cstheme="minorHAnsi"/>
          <w:szCs w:val="16"/>
        </w:rPr>
        <w:t xml:space="preserve">rameworks. </w:t>
      </w:r>
      <w:r>
        <w:rPr>
          <w:rFonts w:asciiTheme="minorHAnsi" w:hAnsiTheme="minorHAnsi" w:cstheme="minorHAnsi"/>
          <w:i/>
          <w:iCs/>
          <w:szCs w:val="16"/>
        </w:rPr>
        <w:t>ACS Appl</w:t>
      </w:r>
      <w:r>
        <w:rPr>
          <w:rFonts w:asciiTheme="minorHAnsi" w:hAnsiTheme="minorHAnsi" w:cstheme="minorHAnsi" w:hint="eastAsia"/>
          <w:i/>
          <w:iCs/>
          <w:szCs w:val="16"/>
        </w:rPr>
        <w:t>.</w:t>
      </w:r>
      <w:r>
        <w:rPr>
          <w:rFonts w:asciiTheme="minorHAnsi" w:hAnsiTheme="minorHAnsi" w:cstheme="minorHAnsi"/>
          <w:i/>
          <w:iCs/>
          <w:szCs w:val="16"/>
        </w:rPr>
        <w:t xml:space="preserve"> Mater</w:t>
      </w:r>
      <w:r>
        <w:rPr>
          <w:rFonts w:asciiTheme="minorHAnsi" w:hAnsiTheme="minorHAnsi" w:cstheme="minorHAnsi" w:hint="eastAsia"/>
          <w:i/>
          <w:iCs/>
          <w:szCs w:val="16"/>
        </w:rPr>
        <w:t>.</w:t>
      </w:r>
      <w:r>
        <w:rPr>
          <w:rFonts w:asciiTheme="minorHAnsi" w:hAnsiTheme="minorHAnsi" w:cstheme="minorHAnsi"/>
          <w:i/>
          <w:iCs/>
          <w:szCs w:val="16"/>
        </w:rPr>
        <w:t xml:space="preserve"> Interfaces</w:t>
      </w:r>
      <w:r>
        <w:rPr>
          <w:rFonts w:asciiTheme="minorHAnsi" w:hAnsiTheme="minorHAnsi" w:cstheme="minorHAnsi" w:hint="eastAsia"/>
          <w:i/>
          <w:iCs/>
          <w:szCs w:val="16"/>
        </w:rPr>
        <w:t>.</w:t>
      </w:r>
      <w:r>
        <w:rPr>
          <w:rFonts w:asciiTheme="minorHAnsi" w:hAnsiTheme="minorHAnsi" w:cstheme="minorHAnsi" w:hint="eastAsia"/>
          <w:szCs w:val="16"/>
        </w:rPr>
        <w:t xml:space="preserve"> </w:t>
      </w:r>
      <w:r>
        <w:rPr>
          <w:rFonts w:asciiTheme="minorHAnsi" w:hAnsiTheme="minorHAnsi" w:cstheme="minorHAnsi" w:hint="eastAsia"/>
          <w:b/>
          <w:bCs/>
          <w:szCs w:val="16"/>
        </w:rPr>
        <w:t>2023</w:t>
      </w:r>
      <w:r>
        <w:rPr>
          <w:rFonts w:asciiTheme="minorHAnsi" w:hAnsiTheme="minorHAnsi" w:cstheme="minorHAnsi" w:hint="eastAsia"/>
          <w:szCs w:val="16"/>
        </w:rPr>
        <w:t>,</w:t>
      </w:r>
      <w:r>
        <w:rPr>
          <w:rFonts w:asciiTheme="minorHAnsi" w:hAnsiTheme="minorHAnsi" w:cstheme="minorHAnsi"/>
          <w:szCs w:val="16"/>
        </w:rPr>
        <w:t xml:space="preserve"> </w:t>
      </w:r>
      <w:r>
        <w:rPr>
          <w:rFonts w:asciiTheme="minorHAnsi" w:hAnsiTheme="minorHAnsi" w:cstheme="minorHAnsi"/>
          <w:i/>
          <w:iCs/>
          <w:szCs w:val="16"/>
        </w:rPr>
        <w:t>15</w:t>
      </w:r>
      <w:r>
        <w:rPr>
          <w:rFonts w:asciiTheme="minorHAnsi" w:hAnsiTheme="minorHAnsi" w:cstheme="minorHAnsi"/>
          <w:szCs w:val="16"/>
        </w:rPr>
        <w:t>, 33148-33158.</w:t>
      </w:r>
      <w:bookmarkEnd w:id="13"/>
    </w:p>
    <w:p w14:paraId="74010B04" w14:textId="77777777" w:rsidR="00B47838" w:rsidRDefault="00000000">
      <w:pPr>
        <w:pStyle w:val="References"/>
        <w:spacing w:after="0"/>
        <w:jc w:val="both"/>
        <w:rPr>
          <w:rFonts w:asciiTheme="minorHAnsi" w:hAnsiTheme="minorHAnsi" w:cstheme="minorHAnsi"/>
          <w:szCs w:val="16"/>
        </w:rPr>
      </w:pPr>
      <w:bookmarkStart w:id="14" w:name="_Ref1249"/>
      <w:r>
        <w:rPr>
          <w:rFonts w:asciiTheme="minorHAnsi" w:hAnsiTheme="minorHAnsi" w:cstheme="minorHAnsi" w:hint="eastAsia"/>
          <w:szCs w:val="16"/>
        </w:rPr>
        <w:t xml:space="preserve">(a) </w:t>
      </w:r>
      <w:proofErr w:type="spellStart"/>
      <w:r>
        <w:rPr>
          <w:rFonts w:asciiTheme="minorHAnsi" w:hAnsiTheme="minorHAnsi" w:cstheme="minorHAnsi" w:hint="eastAsia"/>
          <w:szCs w:val="16"/>
        </w:rPr>
        <w:t>Bonechi</w:t>
      </w:r>
      <w:proofErr w:type="spellEnd"/>
      <w:r>
        <w:rPr>
          <w:rFonts w:asciiTheme="minorHAnsi" w:hAnsiTheme="minorHAnsi" w:cstheme="minorHAnsi" w:hint="eastAsia"/>
          <w:szCs w:val="16"/>
        </w:rPr>
        <w:t xml:space="preserve">, C.; Tamasi, G.; Pardini, A.; Donati, A.; Volpi, V.; Leone, G.; </w:t>
      </w:r>
      <w:proofErr w:type="spellStart"/>
      <w:r>
        <w:rPr>
          <w:rFonts w:asciiTheme="minorHAnsi" w:hAnsiTheme="minorHAnsi" w:cstheme="minorHAnsi" w:hint="eastAsia"/>
          <w:szCs w:val="16"/>
        </w:rPr>
        <w:t>Consumi</w:t>
      </w:r>
      <w:proofErr w:type="spellEnd"/>
      <w:r>
        <w:rPr>
          <w:rFonts w:asciiTheme="minorHAnsi" w:hAnsiTheme="minorHAnsi" w:cstheme="minorHAnsi" w:hint="eastAsia"/>
          <w:szCs w:val="16"/>
        </w:rPr>
        <w:t xml:space="preserve">, M.; Rossi, C.  Ordering effect of protein surfaces on water dynamics: NMR relaxation study. </w:t>
      </w:r>
      <w:proofErr w:type="spellStart"/>
      <w:r>
        <w:rPr>
          <w:rFonts w:asciiTheme="minorHAnsi" w:hAnsiTheme="minorHAnsi" w:cstheme="minorHAnsi" w:hint="eastAsia"/>
          <w:i/>
          <w:iCs/>
          <w:szCs w:val="16"/>
        </w:rPr>
        <w:t>Biophys</w:t>
      </w:r>
      <w:proofErr w:type="spellEnd"/>
      <w:r>
        <w:rPr>
          <w:rFonts w:asciiTheme="minorHAnsi" w:hAnsiTheme="minorHAnsi" w:cstheme="minorHAnsi" w:hint="eastAsia"/>
          <w:i/>
          <w:iCs/>
          <w:szCs w:val="16"/>
        </w:rPr>
        <w:t>. Chem.</w:t>
      </w:r>
      <w:r>
        <w:rPr>
          <w:rFonts w:asciiTheme="minorHAnsi" w:hAnsiTheme="minorHAnsi" w:cstheme="minorHAnsi" w:hint="eastAsia"/>
          <w:szCs w:val="16"/>
        </w:rPr>
        <w:t xml:space="preserve"> </w:t>
      </w:r>
      <w:r>
        <w:rPr>
          <w:rFonts w:asciiTheme="minorHAnsi" w:hAnsiTheme="minorHAnsi" w:cstheme="minorHAnsi" w:hint="eastAsia"/>
          <w:b/>
          <w:bCs/>
          <w:szCs w:val="16"/>
        </w:rPr>
        <w:t>2019</w:t>
      </w:r>
      <w:r>
        <w:rPr>
          <w:rFonts w:asciiTheme="minorHAnsi" w:hAnsiTheme="minorHAnsi" w:cstheme="minorHAnsi" w:hint="eastAsia"/>
          <w:szCs w:val="16"/>
        </w:rPr>
        <w:t xml:space="preserve">, </w:t>
      </w:r>
      <w:r>
        <w:rPr>
          <w:rFonts w:asciiTheme="minorHAnsi" w:hAnsiTheme="minorHAnsi" w:cstheme="minorHAnsi" w:hint="eastAsia"/>
          <w:i/>
          <w:iCs/>
          <w:szCs w:val="16"/>
        </w:rPr>
        <w:t>249</w:t>
      </w:r>
      <w:r>
        <w:rPr>
          <w:rFonts w:asciiTheme="minorHAnsi" w:hAnsiTheme="minorHAnsi" w:cstheme="minorHAnsi" w:hint="eastAsia"/>
          <w:szCs w:val="16"/>
        </w:rPr>
        <w:t xml:space="preserve">, 106149. (b) Zhao, Y.; Xie, H.; Wang, L.; Shen, Y.; Chen, W.; Song, B.; Zhang, Z.; Zheng, A.; Lin, Q.; Fu, R.; Wang, J.; Yang, J. Gating mechanism of aquaporin Z in synthetic bilayers and native membranes revealed by solid-state NMR spectroscopy. </w:t>
      </w:r>
      <w:r>
        <w:rPr>
          <w:rFonts w:asciiTheme="minorHAnsi" w:hAnsiTheme="minorHAnsi" w:cstheme="minorHAnsi" w:hint="eastAsia"/>
          <w:i/>
          <w:iCs/>
          <w:szCs w:val="16"/>
        </w:rPr>
        <w:t>J Am. Chem. Soc.</w:t>
      </w:r>
      <w:r>
        <w:rPr>
          <w:rFonts w:asciiTheme="minorHAnsi" w:hAnsiTheme="minorHAnsi" w:cstheme="minorHAnsi" w:hint="eastAsia"/>
          <w:szCs w:val="16"/>
        </w:rPr>
        <w:t xml:space="preserve"> </w:t>
      </w:r>
      <w:r>
        <w:rPr>
          <w:rFonts w:asciiTheme="minorHAnsi" w:hAnsiTheme="minorHAnsi" w:cstheme="minorHAnsi" w:hint="eastAsia"/>
          <w:b/>
          <w:bCs/>
          <w:szCs w:val="16"/>
        </w:rPr>
        <w:t>2018</w:t>
      </w:r>
      <w:r>
        <w:rPr>
          <w:rFonts w:asciiTheme="minorHAnsi" w:hAnsiTheme="minorHAnsi" w:cstheme="minorHAnsi" w:hint="eastAsia"/>
          <w:szCs w:val="16"/>
        </w:rPr>
        <w:t xml:space="preserve">, </w:t>
      </w:r>
      <w:r>
        <w:rPr>
          <w:rFonts w:asciiTheme="minorHAnsi" w:hAnsiTheme="minorHAnsi" w:cstheme="minorHAnsi" w:hint="eastAsia"/>
          <w:i/>
          <w:iCs/>
          <w:szCs w:val="16"/>
        </w:rPr>
        <w:t>140</w:t>
      </w:r>
      <w:r>
        <w:rPr>
          <w:rFonts w:asciiTheme="minorHAnsi" w:hAnsiTheme="minorHAnsi" w:cstheme="minorHAnsi" w:hint="eastAsia"/>
          <w:szCs w:val="16"/>
        </w:rPr>
        <w:t>, 7885-7895.</w:t>
      </w:r>
      <w:bookmarkEnd w:id="14"/>
    </w:p>
    <w:p w14:paraId="74010B05" w14:textId="77777777" w:rsidR="00B47838" w:rsidRDefault="00000000">
      <w:pPr>
        <w:pStyle w:val="References"/>
        <w:spacing w:after="0"/>
        <w:jc w:val="both"/>
        <w:rPr>
          <w:rFonts w:asciiTheme="minorHAnsi" w:hAnsiTheme="minorHAnsi" w:cstheme="minorHAnsi"/>
          <w:szCs w:val="16"/>
        </w:rPr>
      </w:pPr>
      <w:bookmarkStart w:id="15" w:name="_Ref1527"/>
      <w:r>
        <w:rPr>
          <w:rFonts w:asciiTheme="minorHAnsi" w:hAnsiTheme="minorHAnsi" w:cstheme="minorHAnsi" w:hint="eastAsia"/>
          <w:szCs w:val="16"/>
        </w:rPr>
        <w:t xml:space="preserve">(a) Yang, F.; Xu, G.; Dou, Y.; Wang, B.; Zhang, H.; </w:t>
      </w:r>
      <w:proofErr w:type="spellStart"/>
      <w:proofErr w:type="gramStart"/>
      <w:r>
        <w:rPr>
          <w:rFonts w:asciiTheme="minorHAnsi" w:hAnsiTheme="minorHAnsi" w:cstheme="minorHAnsi" w:hint="eastAsia"/>
          <w:szCs w:val="16"/>
        </w:rPr>
        <w:t>Wu,H</w:t>
      </w:r>
      <w:proofErr w:type="spellEnd"/>
      <w:r>
        <w:rPr>
          <w:rFonts w:asciiTheme="minorHAnsi" w:hAnsiTheme="minorHAnsi" w:cstheme="minorHAnsi" w:hint="eastAsia"/>
          <w:szCs w:val="16"/>
        </w:rPr>
        <w:t>.</w:t>
      </w:r>
      <w:proofErr w:type="gramEnd"/>
      <w:r>
        <w:rPr>
          <w:rFonts w:asciiTheme="minorHAnsi" w:hAnsiTheme="minorHAnsi" w:cstheme="minorHAnsi" w:hint="eastAsia"/>
          <w:szCs w:val="16"/>
        </w:rPr>
        <w:t>; Zhou, W.; Li, J.; Chen, B. A flexible metal</w:t>
      </w:r>
      <w:r>
        <w:rPr>
          <w:rFonts w:asciiTheme="minorHAnsi" w:hAnsiTheme="minorHAnsi" w:cstheme="minorHAnsi" w:hint="eastAsia"/>
          <w:szCs w:val="16"/>
        </w:rPr>
        <w:t>–</w:t>
      </w:r>
      <w:r>
        <w:rPr>
          <w:rFonts w:asciiTheme="minorHAnsi" w:hAnsiTheme="minorHAnsi" w:cstheme="minorHAnsi" w:hint="eastAsia"/>
          <w:szCs w:val="16"/>
        </w:rPr>
        <w:t xml:space="preserve">organic framework with a high density of sulfonic acid sites for proton conduction. </w:t>
      </w:r>
      <w:r>
        <w:rPr>
          <w:rFonts w:asciiTheme="minorHAnsi" w:hAnsiTheme="minorHAnsi" w:cstheme="minorHAnsi" w:hint="eastAsia"/>
          <w:i/>
          <w:iCs/>
          <w:szCs w:val="16"/>
        </w:rPr>
        <w:t xml:space="preserve">Nat. Energy. </w:t>
      </w:r>
      <w:r>
        <w:rPr>
          <w:rFonts w:asciiTheme="minorHAnsi" w:hAnsiTheme="minorHAnsi" w:cstheme="minorHAnsi" w:hint="eastAsia"/>
          <w:b/>
          <w:bCs/>
          <w:szCs w:val="16"/>
        </w:rPr>
        <w:t>2017</w:t>
      </w:r>
      <w:r>
        <w:rPr>
          <w:rFonts w:asciiTheme="minorHAnsi" w:hAnsiTheme="minorHAnsi" w:cstheme="minorHAnsi" w:hint="eastAsia"/>
          <w:i/>
          <w:iCs/>
          <w:szCs w:val="16"/>
        </w:rPr>
        <w:t>,</w:t>
      </w:r>
      <w:r>
        <w:rPr>
          <w:rFonts w:asciiTheme="minorHAnsi" w:hAnsiTheme="minorHAnsi" w:cstheme="minorHAnsi" w:hint="eastAsia"/>
          <w:szCs w:val="16"/>
        </w:rPr>
        <w:t xml:space="preserve"> </w:t>
      </w:r>
      <w:r>
        <w:rPr>
          <w:rFonts w:asciiTheme="minorHAnsi" w:hAnsiTheme="minorHAnsi" w:cstheme="minorHAnsi" w:hint="eastAsia"/>
          <w:i/>
          <w:iCs/>
          <w:szCs w:val="16"/>
        </w:rPr>
        <w:t>2</w:t>
      </w:r>
      <w:r>
        <w:rPr>
          <w:rFonts w:asciiTheme="minorHAnsi" w:hAnsiTheme="minorHAnsi" w:cstheme="minorHAnsi" w:hint="eastAsia"/>
          <w:szCs w:val="16"/>
        </w:rPr>
        <w:t xml:space="preserve">, 877-883. (b) Xu, H.; Tao, S.; Jiang, D. Proton conduction in crystalline and porous covalent organic frameworks. </w:t>
      </w:r>
      <w:r>
        <w:rPr>
          <w:rFonts w:asciiTheme="minorHAnsi" w:hAnsiTheme="minorHAnsi" w:cstheme="minorHAnsi" w:hint="eastAsia"/>
          <w:i/>
          <w:iCs/>
          <w:szCs w:val="16"/>
        </w:rPr>
        <w:t>Nat. Mater.</w:t>
      </w:r>
      <w:r>
        <w:rPr>
          <w:rFonts w:asciiTheme="minorHAnsi" w:hAnsiTheme="minorHAnsi" w:cstheme="minorHAnsi" w:hint="eastAsia"/>
          <w:szCs w:val="16"/>
        </w:rPr>
        <w:t xml:space="preserve"> </w:t>
      </w:r>
      <w:r>
        <w:rPr>
          <w:rFonts w:asciiTheme="minorHAnsi" w:hAnsiTheme="minorHAnsi" w:cstheme="minorHAnsi" w:hint="eastAsia"/>
          <w:b/>
          <w:bCs/>
          <w:szCs w:val="16"/>
        </w:rPr>
        <w:t>2016</w:t>
      </w:r>
      <w:r>
        <w:rPr>
          <w:rFonts w:asciiTheme="minorHAnsi" w:hAnsiTheme="minorHAnsi" w:cstheme="minorHAnsi" w:hint="eastAsia"/>
          <w:szCs w:val="16"/>
        </w:rPr>
        <w:t xml:space="preserve">, </w:t>
      </w:r>
      <w:r>
        <w:rPr>
          <w:rFonts w:asciiTheme="minorHAnsi" w:hAnsiTheme="minorHAnsi" w:cstheme="minorHAnsi" w:hint="eastAsia"/>
          <w:i/>
          <w:iCs/>
          <w:szCs w:val="16"/>
        </w:rPr>
        <w:t>15</w:t>
      </w:r>
      <w:r>
        <w:rPr>
          <w:rFonts w:asciiTheme="minorHAnsi" w:hAnsiTheme="minorHAnsi" w:cstheme="minorHAnsi" w:hint="eastAsia"/>
          <w:szCs w:val="16"/>
        </w:rPr>
        <w:t>, 722-726. (c) Li, X.; Dong, L.; Li, S.; Xu, G.; Liu, J.; Zhang, F.; Lu, L.; Lan, Y.  Conductivity effect in a proton sources-coupled metal</w:t>
      </w:r>
      <w:r>
        <w:rPr>
          <w:rFonts w:asciiTheme="minorHAnsi" w:hAnsiTheme="minorHAnsi" w:cstheme="minorHAnsi" w:hint="eastAsia"/>
          <w:szCs w:val="16"/>
        </w:rPr>
        <w:t>–</w:t>
      </w:r>
      <w:r>
        <w:rPr>
          <w:rFonts w:asciiTheme="minorHAnsi" w:hAnsiTheme="minorHAnsi" w:cstheme="minorHAnsi" w:hint="eastAsia"/>
          <w:szCs w:val="16"/>
        </w:rPr>
        <w:t xml:space="preserve">organic framework. </w:t>
      </w:r>
      <w:r>
        <w:rPr>
          <w:rFonts w:asciiTheme="minorHAnsi" w:hAnsiTheme="minorHAnsi" w:cstheme="minorHAnsi" w:hint="eastAsia"/>
          <w:i/>
          <w:iCs/>
          <w:szCs w:val="16"/>
        </w:rPr>
        <w:t>ACS Energy. Lett.</w:t>
      </w:r>
      <w:r>
        <w:rPr>
          <w:rFonts w:asciiTheme="minorHAnsi" w:hAnsiTheme="minorHAnsi" w:cstheme="minorHAnsi" w:hint="eastAsia"/>
          <w:szCs w:val="16"/>
        </w:rPr>
        <w:t xml:space="preserve"> </w:t>
      </w:r>
      <w:r>
        <w:rPr>
          <w:rFonts w:asciiTheme="minorHAnsi" w:hAnsiTheme="minorHAnsi" w:cstheme="minorHAnsi" w:hint="eastAsia"/>
          <w:b/>
          <w:bCs/>
          <w:szCs w:val="16"/>
        </w:rPr>
        <w:t>2017</w:t>
      </w:r>
      <w:r>
        <w:rPr>
          <w:rFonts w:asciiTheme="minorHAnsi" w:hAnsiTheme="minorHAnsi" w:cstheme="minorHAnsi" w:hint="eastAsia"/>
          <w:szCs w:val="16"/>
        </w:rPr>
        <w:t xml:space="preserve">, </w:t>
      </w:r>
      <w:r>
        <w:rPr>
          <w:rFonts w:asciiTheme="minorHAnsi" w:hAnsiTheme="minorHAnsi" w:cstheme="minorHAnsi" w:hint="eastAsia"/>
          <w:i/>
          <w:iCs/>
          <w:szCs w:val="16"/>
        </w:rPr>
        <w:t>2</w:t>
      </w:r>
      <w:r>
        <w:rPr>
          <w:rFonts w:asciiTheme="minorHAnsi" w:hAnsiTheme="minorHAnsi" w:cstheme="minorHAnsi" w:hint="eastAsia"/>
          <w:szCs w:val="16"/>
        </w:rPr>
        <w:t>, 2313-2318.</w:t>
      </w:r>
      <w:bookmarkEnd w:id="15"/>
    </w:p>
    <w:p w14:paraId="74010B06" w14:textId="77777777" w:rsidR="00B47838" w:rsidRDefault="00000000">
      <w:pPr>
        <w:pStyle w:val="References"/>
        <w:spacing w:after="0"/>
        <w:jc w:val="both"/>
        <w:rPr>
          <w:rFonts w:asciiTheme="minorHAnsi" w:hAnsiTheme="minorHAnsi" w:cstheme="minorHAnsi"/>
          <w:szCs w:val="16"/>
        </w:rPr>
      </w:pPr>
      <w:bookmarkStart w:id="16" w:name="_Ref1681"/>
      <w:r>
        <w:rPr>
          <w:rFonts w:asciiTheme="minorHAnsi" w:hAnsiTheme="minorHAnsi" w:cstheme="minorHAnsi" w:hint="eastAsia"/>
          <w:szCs w:val="16"/>
        </w:rPr>
        <w:t>(a) Yoshida, Y.; Fujie, K.; Lim, D. W.; Ikeda, R.; Kitagawa, H. Superionic conduction over a wide temperature range in a metal</w:t>
      </w:r>
      <w:r>
        <w:rPr>
          <w:rFonts w:asciiTheme="minorHAnsi" w:hAnsiTheme="minorHAnsi" w:cstheme="minorHAnsi" w:hint="eastAsia"/>
          <w:szCs w:val="16"/>
        </w:rPr>
        <w:t>–</w:t>
      </w:r>
      <w:r>
        <w:rPr>
          <w:rFonts w:asciiTheme="minorHAnsi" w:hAnsiTheme="minorHAnsi" w:cstheme="minorHAnsi" w:hint="eastAsia"/>
          <w:szCs w:val="16"/>
        </w:rPr>
        <w:t xml:space="preserve">organic framework impregnated with ionic liquids. </w:t>
      </w:r>
      <w:proofErr w:type="spellStart"/>
      <w:r>
        <w:rPr>
          <w:rFonts w:asciiTheme="minorHAnsi" w:hAnsiTheme="minorHAnsi" w:cstheme="minorHAnsi" w:hint="eastAsia"/>
          <w:i/>
          <w:iCs/>
          <w:szCs w:val="16"/>
        </w:rPr>
        <w:t>Angew</w:t>
      </w:r>
      <w:proofErr w:type="spellEnd"/>
      <w:r>
        <w:rPr>
          <w:rFonts w:asciiTheme="minorHAnsi" w:hAnsiTheme="minorHAnsi" w:cstheme="minorHAnsi" w:hint="eastAsia"/>
          <w:i/>
          <w:iCs/>
          <w:szCs w:val="16"/>
        </w:rPr>
        <w:t>. Chem. Int. Edit.</w:t>
      </w:r>
      <w:r>
        <w:rPr>
          <w:rFonts w:asciiTheme="minorHAnsi" w:hAnsiTheme="minorHAnsi" w:cstheme="minorHAnsi" w:hint="eastAsia"/>
          <w:szCs w:val="16"/>
        </w:rPr>
        <w:t xml:space="preserve"> </w:t>
      </w:r>
      <w:r>
        <w:rPr>
          <w:rFonts w:asciiTheme="minorHAnsi" w:hAnsiTheme="minorHAnsi" w:cstheme="minorHAnsi" w:hint="eastAsia"/>
          <w:b/>
          <w:bCs/>
          <w:szCs w:val="16"/>
        </w:rPr>
        <w:t>2019</w:t>
      </w:r>
      <w:r>
        <w:rPr>
          <w:rFonts w:asciiTheme="minorHAnsi" w:hAnsiTheme="minorHAnsi" w:cstheme="minorHAnsi" w:hint="eastAsia"/>
          <w:szCs w:val="16"/>
        </w:rPr>
        <w:t xml:space="preserve">, </w:t>
      </w:r>
      <w:r>
        <w:rPr>
          <w:rFonts w:asciiTheme="minorHAnsi" w:hAnsiTheme="minorHAnsi" w:cstheme="minorHAnsi" w:hint="eastAsia"/>
          <w:i/>
          <w:iCs/>
          <w:szCs w:val="16"/>
        </w:rPr>
        <w:t>58</w:t>
      </w:r>
      <w:r>
        <w:rPr>
          <w:rFonts w:asciiTheme="minorHAnsi" w:hAnsiTheme="minorHAnsi" w:cstheme="minorHAnsi" w:hint="eastAsia"/>
          <w:szCs w:val="16"/>
        </w:rPr>
        <w:t xml:space="preserve">, 10909-1091. (b) Ori, G.; </w:t>
      </w:r>
      <w:proofErr w:type="spellStart"/>
      <w:r>
        <w:rPr>
          <w:rFonts w:asciiTheme="minorHAnsi" w:hAnsiTheme="minorHAnsi" w:cstheme="minorHAnsi" w:hint="eastAsia"/>
          <w:szCs w:val="16"/>
        </w:rPr>
        <w:t>Villemot</w:t>
      </w:r>
      <w:proofErr w:type="spellEnd"/>
      <w:r>
        <w:rPr>
          <w:rFonts w:asciiTheme="minorHAnsi" w:hAnsiTheme="minorHAnsi" w:cstheme="minorHAnsi" w:hint="eastAsia"/>
          <w:szCs w:val="16"/>
        </w:rPr>
        <w:t xml:space="preserve">, F.; Viau, L.; </w:t>
      </w:r>
      <w:proofErr w:type="spellStart"/>
      <w:r>
        <w:rPr>
          <w:rFonts w:asciiTheme="minorHAnsi" w:hAnsiTheme="minorHAnsi" w:cstheme="minorHAnsi" w:hint="eastAsia"/>
          <w:szCs w:val="16"/>
        </w:rPr>
        <w:t>Vioux</w:t>
      </w:r>
      <w:proofErr w:type="spellEnd"/>
      <w:r>
        <w:rPr>
          <w:rFonts w:asciiTheme="minorHAnsi" w:hAnsiTheme="minorHAnsi" w:cstheme="minorHAnsi" w:hint="eastAsia"/>
          <w:szCs w:val="16"/>
        </w:rPr>
        <w:t xml:space="preserve">, A.; </w:t>
      </w:r>
      <w:proofErr w:type="spellStart"/>
      <w:r>
        <w:rPr>
          <w:rFonts w:asciiTheme="minorHAnsi" w:hAnsiTheme="minorHAnsi" w:cstheme="minorHAnsi" w:hint="eastAsia"/>
          <w:szCs w:val="16"/>
        </w:rPr>
        <w:t>Coasne</w:t>
      </w:r>
      <w:proofErr w:type="spellEnd"/>
      <w:r>
        <w:rPr>
          <w:rFonts w:asciiTheme="minorHAnsi" w:hAnsiTheme="minorHAnsi" w:cstheme="minorHAnsi" w:hint="eastAsia"/>
          <w:szCs w:val="16"/>
        </w:rPr>
        <w:t>, B. Ionic liquid confined in silica nanopores: molecular dynamics in the isobaric</w:t>
      </w:r>
      <w:r>
        <w:rPr>
          <w:rFonts w:asciiTheme="minorHAnsi" w:hAnsiTheme="minorHAnsi" w:cstheme="minorHAnsi" w:hint="eastAsia"/>
          <w:szCs w:val="16"/>
        </w:rPr>
        <w:t>–</w:t>
      </w:r>
      <w:r>
        <w:rPr>
          <w:rFonts w:asciiTheme="minorHAnsi" w:hAnsiTheme="minorHAnsi" w:cstheme="minorHAnsi" w:hint="eastAsia"/>
          <w:szCs w:val="16"/>
        </w:rPr>
        <w:t xml:space="preserve">isothermal ensemble. </w:t>
      </w:r>
      <w:r>
        <w:rPr>
          <w:rFonts w:asciiTheme="minorHAnsi" w:hAnsiTheme="minorHAnsi" w:cstheme="minorHAnsi" w:hint="eastAsia"/>
          <w:i/>
          <w:iCs/>
          <w:szCs w:val="16"/>
        </w:rPr>
        <w:t>Mol. Phys.</w:t>
      </w:r>
      <w:r>
        <w:rPr>
          <w:rFonts w:asciiTheme="minorHAnsi" w:hAnsiTheme="minorHAnsi" w:cstheme="minorHAnsi" w:hint="eastAsia"/>
          <w:szCs w:val="16"/>
        </w:rPr>
        <w:t xml:space="preserve"> </w:t>
      </w:r>
      <w:r>
        <w:rPr>
          <w:rFonts w:asciiTheme="minorHAnsi" w:hAnsiTheme="minorHAnsi" w:cstheme="minorHAnsi" w:hint="eastAsia"/>
          <w:b/>
          <w:bCs/>
          <w:szCs w:val="16"/>
        </w:rPr>
        <w:t>2014</w:t>
      </w:r>
      <w:r>
        <w:rPr>
          <w:rFonts w:asciiTheme="minorHAnsi" w:hAnsiTheme="minorHAnsi" w:cstheme="minorHAnsi" w:hint="eastAsia"/>
          <w:szCs w:val="16"/>
        </w:rPr>
        <w:t xml:space="preserve">, </w:t>
      </w:r>
      <w:r>
        <w:rPr>
          <w:rFonts w:asciiTheme="minorHAnsi" w:hAnsiTheme="minorHAnsi" w:cstheme="minorHAnsi" w:hint="eastAsia"/>
          <w:i/>
          <w:iCs/>
          <w:szCs w:val="16"/>
        </w:rPr>
        <w:t>112</w:t>
      </w:r>
      <w:r>
        <w:rPr>
          <w:rFonts w:asciiTheme="minorHAnsi" w:hAnsiTheme="minorHAnsi" w:cstheme="minorHAnsi" w:hint="eastAsia"/>
          <w:szCs w:val="16"/>
        </w:rPr>
        <w:t>, 1350-1361.</w:t>
      </w:r>
      <w:bookmarkEnd w:id="16"/>
    </w:p>
    <w:p w14:paraId="74010B07" w14:textId="77777777" w:rsidR="00B47838" w:rsidRDefault="00000000">
      <w:pPr>
        <w:pStyle w:val="References"/>
        <w:spacing w:after="0"/>
        <w:jc w:val="both"/>
        <w:rPr>
          <w:rFonts w:asciiTheme="minorHAnsi" w:hAnsiTheme="minorHAnsi" w:cstheme="minorHAnsi"/>
          <w:szCs w:val="16"/>
        </w:rPr>
      </w:pPr>
      <w:bookmarkStart w:id="17" w:name="_Ref1772"/>
      <w:r>
        <w:rPr>
          <w:rFonts w:asciiTheme="minorHAnsi" w:hAnsiTheme="minorHAnsi" w:cstheme="minorHAnsi"/>
          <w:szCs w:val="16"/>
        </w:rPr>
        <w:t>Ochi, S.</w:t>
      </w:r>
      <w:r>
        <w:rPr>
          <w:rFonts w:asciiTheme="minorHAnsi" w:hAnsiTheme="minorHAnsi" w:cstheme="minorHAnsi" w:hint="eastAsia"/>
          <w:szCs w:val="16"/>
        </w:rPr>
        <w:t>;</w:t>
      </w:r>
      <w:r>
        <w:rPr>
          <w:rFonts w:asciiTheme="minorHAnsi" w:hAnsiTheme="minorHAnsi" w:cstheme="minorHAnsi"/>
          <w:szCs w:val="16"/>
        </w:rPr>
        <w:t xml:space="preserve"> </w:t>
      </w:r>
      <w:proofErr w:type="spellStart"/>
      <w:r>
        <w:rPr>
          <w:rFonts w:asciiTheme="minorHAnsi" w:hAnsiTheme="minorHAnsi" w:cstheme="minorHAnsi"/>
          <w:szCs w:val="16"/>
        </w:rPr>
        <w:t>Kamishima</w:t>
      </w:r>
      <w:proofErr w:type="spellEnd"/>
      <w:r>
        <w:rPr>
          <w:rFonts w:asciiTheme="minorHAnsi" w:hAnsiTheme="minorHAnsi" w:cstheme="minorHAnsi"/>
          <w:szCs w:val="16"/>
        </w:rPr>
        <w:t>, O.</w:t>
      </w:r>
      <w:r>
        <w:rPr>
          <w:rFonts w:asciiTheme="minorHAnsi" w:hAnsiTheme="minorHAnsi" w:cstheme="minorHAnsi" w:hint="eastAsia"/>
          <w:szCs w:val="16"/>
        </w:rPr>
        <w:t>;</w:t>
      </w:r>
      <w:r>
        <w:rPr>
          <w:rFonts w:asciiTheme="minorHAnsi" w:hAnsiTheme="minorHAnsi" w:cstheme="minorHAnsi"/>
          <w:szCs w:val="16"/>
        </w:rPr>
        <w:t xml:space="preserve"> Mizusaki, J.</w:t>
      </w:r>
      <w:r>
        <w:rPr>
          <w:rFonts w:asciiTheme="minorHAnsi" w:hAnsiTheme="minorHAnsi" w:cstheme="minorHAnsi" w:hint="eastAsia"/>
          <w:szCs w:val="16"/>
        </w:rPr>
        <w:t>;</w:t>
      </w:r>
      <w:r>
        <w:rPr>
          <w:rFonts w:asciiTheme="minorHAnsi" w:hAnsiTheme="minorHAnsi" w:cstheme="minorHAnsi"/>
          <w:szCs w:val="16"/>
        </w:rPr>
        <w:t xml:space="preserve"> Kawamura, J. Investigation of proton diffusion in Nafion®117 membrane by electrical conductivity and NMR. </w:t>
      </w:r>
      <w:r>
        <w:rPr>
          <w:rFonts w:asciiTheme="minorHAnsi" w:hAnsiTheme="minorHAnsi" w:cstheme="minorHAnsi"/>
          <w:i/>
          <w:iCs/>
          <w:szCs w:val="16"/>
        </w:rPr>
        <w:t>Solid</w:t>
      </w:r>
      <w:r>
        <w:rPr>
          <w:rFonts w:asciiTheme="minorHAnsi" w:hAnsiTheme="minorHAnsi" w:cstheme="minorHAnsi" w:hint="eastAsia"/>
          <w:i/>
          <w:iCs/>
          <w:szCs w:val="16"/>
        </w:rPr>
        <w:t>.</w:t>
      </w:r>
      <w:r>
        <w:rPr>
          <w:rFonts w:asciiTheme="minorHAnsi" w:hAnsiTheme="minorHAnsi" w:cstheme="minorHAnsi"/>
          <w:i/>
          <w:iCs/>
          <w:szCs w:val="16"/>
        </w:rPr>
        <w:t xml:space="preserve"> State</w:t>
      </w:r>
      <w:r>
        <w:rPr>
          <w:rFonts w:asciiTheme="minorHAnsi" w:hAnsiTheme="minorHAnsi" w:cstheme="minorHAnsi" w:hint="eastAsia"/>
          <w:i/>
          <w:iCs/>
          <w:szCs w:val="16"/>
        </w:rPr>
        <w:t>.</w:t>
      </w:r>
      <w:r>
        <w:rPr>
          <w:rFonts w:asciiTheme="minorHAnsi" w:hAnsiTheme="minorHAnsi" w:cstheme="minorHAnsi"/>
          <w:i/>
          <w:iCs/>
          <w:szCs w:val="16"/>
        </w:rPr>
        <w:t xml:space="preserve"> Ionics</w:t>
      </w:r>
      <w:r>
        <w:rPr>
          <w:rFonts w:asciiTheme="minorHAnsi" w:hAnsiTheme="minorHAnsi" w:cstheme="minorHAnsi" w:hint="eastAsia"/>
          <w:i/>
          <w:iCs/>
          <w:szCs w:val="16"/>
        </w:rPr>
        <w:t>.</w:t>
      </w:r>
      <w:r>
        <w:rPr>
          <w:rFonts w:asciiTheme="minorHAnsi" w:hAnsiTheme="minorHAnsi" w:cstheme="minorHAnsi"/>
          <w:szCs w:val="16"/>
        </w:rPr>
        <w:t xml:space="preserve"> </w:t>
      </w:r>
      <w:r>
        <w:rPr>
          <w:rFonts w:asciiTheme="minorHAnsi" w:hAnsiTheme="minorHAnsi" w:cstheme="minorHAnsi" w:hint="eastAsia"/>
          <w:b/>
          <w:bCs/>
          <w:szCs w:val="16"/>
        </w:rPr>
        <w:t>2009</w:t>
      </w:r>
      <w:r>
        <w:rPr>
          <w:rFonts w:asciiTheme="minorHAnsi" w:hAnsiTheme="minorHAnsi" w:cstheme="minorHAnsi" w:hint="eastAsia"/>
          <w:szCs w:val="16"/>
        </w:rPr>
        <w:t xml:space="preserve">, </w:t>
      </w:r>
      <w:r>
        <w:rPr>
          <w:rFonts w:asciiTheme="minorHAnsi" w:hAnsiTheme="minorHAnsi" w:cstheme="minorHAnsi"/>
          <w:i/>
          <w:iCs/>
          <w:szCs w:val="16"/>
        </w:rPr>
        <w:t>180</w:t>
      </w:r>
      <w:r>
        <w:rPr>
          <w:rFonts w:asciiTheme="minorHAnsi" w:hAnsiTheme="minorHAnsi" w:cstheme="minorHAnsi"/>
          <w:szCs w:val="16"/>
        </w:rPr>
        <w:t>, 580-584</w:t>
      </w:r>
      <w:r>
        <w:rPr>
          <w:rFonts w:asciiTheme="minorHAnsi" w:hAnsiTheme="minorHAnsi" w:cstheme="minorHAnsi" w:hint="eastAsia"/>
          <w:szCs w:val="16"/>
        </w:rPr>
        <w:t>.</w:t>
      </w:r>
      <w:bookmarkEnd w:id="17"/>
    </w:p>
    <w:tbl>
      <w:tblPr>
        <w:tblStyle w:val="ac"/>
        <w:tblW w:w="9696" w:type="dxa"/>
        <w:tblCellMar>
          <w:left w:w="0" w:type="dxa"/>
          <w:right w:w="0" w:type="dxa"/>
        </w:tblCellMar>
        <w:tblLook w:val="04A0" w:firstRow="1" w:lastRow="0" w:firstColumn="1" w:lastColumn="0" w:noHBand="0" w:noVBand="1"/>
      </w:tblPr>
      <w:tblGrid>
        <w:gridCol w:w="4848"/>
        <w:gridCol w:w="4848"/>
      </w:tblGrid>
      <w:tr w:rsidR="00B47838" w14:paraId="74010B0A" w14:textId="77777777">
        <w:trPr>
          <w:trHeight w:val="57"/>
        </w:trPr>
        <w:tc>
          <w:tcPr>
            <w:tcW w:w="4848" w:type="dxa"/>
            <w:tcBorders>
              <w:top w:val="nil"/>
              <w:left w:val="nil"/>
              <w:bottom w:val="single" w:sz="4" w:space="0" w:color="auto"/>
              <w:right w:val="nil"/>
            </w:tcBorders>
          </w:tcPr>
          <w:p w14:paraId="74010B08" w14:textId="77777777" w:rsidR="00B47838" w:rsidRDefault="00B47838">
            <w:pPr>
              <w:pStyle w:val="References"/>
              <w:numPr>
                <w:ilvl w:val="0"/>
                <w:numId w:val="0"/>
              </w:numPr>
              <w:spacing w:line="60" w:lineRule="exact"/>
              <w:outlineLvl w:val="9"/>
            </w:pPr>
          </w:p>
        </w:tc>
        <w:tc>
          <w:tcPr>
            <w:tcW w:w="4848" w:type="dxa"/>
            <w:tcBorders>
              <w:top w:val="nil"/>
              <w:left w:val="nil"/>
              <w:bottom w:val="single" w:sz="4" w:space="0" w:color="auto"/>
              <w:right w:val="nil"/>
            </w:tcBorders>
          </w:tcPr>
          <w:p w14:paraId="74010B09" w14:textId="77777777" w:rsidR="00B47838" w:rsidRDefault="00B47838">
            <w:pPr>
              <w:pStyle w:val="References"/>
              <w:numPr>
                <w:ilvl w:val="0"/>
                <w:numId w:val="0"/>
              </w:numPr>
              <w:spacing w:line="60" w:lineRule="exact"/>
              <w:outlineLvl w:val="9"/>
            </w:pPr>
          </w:p>
        </w:tc>
      </w:tr>
      <w:tr w:rsidR="00B47838" w14:paraId="74010B0D" w14:textId="77777777">
        <w:tc>
          <w:tcPr>
            <w:tcW w:w="4848" w:type="dxa"/>
            <w:tcBorders>
              <w:top w:val="single" w:sz="4" w:space="0" w:color="auto"/>
              <w:left w:val="nil"/>
              <w:bottom w:val="nil"/>
              <w:right w:val="nil"/>
            </w:tcBorders>
          </w:tcPr>
          <w:p w14:paraId="74010B0B" w14:textId="77777777" w:rsidR="00B47838" w:rsidRDefault="00B47838">
            <w:pPr>
              <w:pStyle w:val="References"/>
              <w:numPr>
                <w:ilvl w:val="0"/>
                <w:numId w:val="0"/>
              </w:numPr>
              <w:spacing w:line="340" w:lineRule="exact"/>
            </w:pPr>
          </w:p>
        </w:tc>
        <w:tc>
          <w:tcPr>
            <w:tcW w:w="4848" w:type="dxa"/>
            <w:tcBorders>
              <w:top w:val="single" w:sz="4" w:space="0" w:color="auto"/>
              <w:left w:val="nil"/>
              <w:bottom w:val="nil"/>
              <w:right w:val="nil"/>
            </w:tcBorders>
          </w:tcPr>
          <w:p w14:paraId="74010B0C" w14:textId="77777777" w:rsidR="00B47838" w:rsidRDefault="00B47838">
            <w:pPr>
              <w:pStyle w:val="References"/>
              <w:numPr>
                <w:ilvl w:val="0"/>
                <w:numId w:val="0"/>
              </w:numPr>
              <w:spacing w:line="340" w:lineRule="exact"/>
            </w:pPr>
          </w:p>
        </w:tc>
      </w:tr>
      <w:tr w:rsidR="00B47838" w14:paraId="74010B13" w14:textId="77777777">
        <w:tc>
          <w:tcPr>
            <w:tcW w:w="4848" w:type="dxa"/>
            <w:tcBorders>
              <w:top w:val="nil"/>
              <w:left w:val="nil"/>
              <w:bottom w:val="nil"/>
              <w:right w:val="nil"/>
            </w:tcBorders>
          </w:tcPr>
          <w:p w14:paraId="74010B0E" w14:textId="77777777" w:rsidR="00B47838" w:rsidRDefault="00000000">
            <w:pPr>
              <w:autoSpaceDE w:val="0"/>
              <w:autoSpaceDN w:val="0"/>
              <w:adjustRightInd w:val="0"/>
              <w:spacing w:line="210" w:lineRule="exact"/>
              <w:rPr>
                <w:rFonts w:cs="AdvMYR4"/>
                <w:kern w:val="0"/>
                <w:sz w:val="16"/>
                <w:szCs w:val="16"/>
              </w:rPr>
            </w:pPr>
            <w:r>
              <w:rPr>
                <w:rFonts w:cs="AdvMYR4"/>
                <w:kern w:val="0"/>
                <w:sz w:val="16"/>
                <w:szCs w:val="16"/>
              </w:rPr>
              <w:t>Manuscript received: XXXX, 20</w:t>
            </w:r>
            <w:r>
              <w:rPr>
                <w:rFonts w:cs="AdvMYR4" w:hint="eastAsia"/>
                <w:kern w:val="0"/>
                <w:sz w:val="16"/>
                <w:szCs w:val="16"/>
              </w:rPr>
              <w:t>24</w:t>
            </w:r>
          </w:p>
          <w:p w14:paraId="74010B0F" w14:textId="77777777" w:rsidR="00B47838" w:rsidRDefault="00000000">
            <w:pPr>
              <w:autoSpaceDE w:val="0"/>
              <w:autoSpaceDN w:val="0"/>
              <w:adjustRightInd w:val="0"/>
              <w:spacing w:line="210" w:lineRule="exact"/>
              <w:rPr>
                <w:rFonts w:cs="AdvMYR4"/>
                <w:kern w:val="0"/>
                <w:sz w:val="16"/>
                <w:szCs w:val="16"/>
              </w:rPr>
            </w:pPr>
            <w:r>
              <w:rPr>
                <w:rFonts w:ascii="Calibri" w:hAnsi="Calibri" w:cs="AdvMYR4"/>
                <w:kern w:val="0"/>
                <w:sz w:val="16"/>
                <w:szCs w:val="16"/>
              </w:rPr>
              <w:t xml:space="preserve">Manuscript </w:t>
            </w:r>
            <w:r>
              <w:rPr>
                <w:rFonts w:ascii="Calibri" w:hAnsi="Calibri" w:cs="AdvMYR4" w:hint="eastAsia"/>
                <w:kern w:val="0"/>
                <w:sz w:val="16"/>
                <w:szCs w:val="16"/>
              </w:rPr>
              <w:t>r</w:t>
            </w:r>
            <w:r>
              <w:rPr>
                <w:rFonts w:ascii="Calibri" w:hAnsi="Calibri" w:cs="AdvMYR4"/>
                <w:kern w:val="0"/>
                <w:sz w:val="16"/>
                <w:szCs w:val="16"/>
              </w:rPr>
              <w:t>evised</w:t>
            </w:r>
            <w:r>
              <w:rPr>
                <w:rFonts w:cs="AdvMYR4"/>
                <w:kern w:val="0"/>
                <w:sz w:val="16"/>
                <w:szCs w:val="16"/>
              </w:rPr>
              <w:t>: XXXX, 20</w:t>
            </w:r>
            <w:r>
              <w:rPr>
                <w:rFonts w:cs="AdvMYR4" w:hint="eastAsia"/>
                <w:kern w:val="0"/>
                <w:sz w:val="16"/>
                <w:szCs w:val="16"/>
              </w:rPr>
              <w:t>24</w:t>
            </w:r>
          </w:p>
          <w:p w14:paraId="74010B10" w14:textId="77777777" w:rsidR="00B47838" w:rsidRDefault="00000000">
            <w:pPr>
              <w:autoSpaceDE w:val="0"/>
              <w:autoSpaceDN w:val="0"/>
              <w:adjustRightInd w:val="0"/>
              <w:spacing w:line="210" w:lineRule="exact"/>
              <w:rPr>
                <w:rFonts w:cs="AdvMYR4"/>
                <w:kern w:val="0"/>
                <w:sz w:val="16"/>
                <w:szCs w:val="16"/>
              </w:rPr>
            </w:pPr>
            <w:r>
              <w:rPr>
                <w:rFonts w:ascii="Calibri" w:hAnsi="Calibri" w:cs="AdvMYR4"/>
                <w:kern w:val="0"/>
                <w:sz w:val="16"/>
                <w:szCs w:val="16"/>
              </w:rPr>
              <w:t xml:space="preserve">Manuscript </w:t>
            </w:r>
            <w:r>
              <w:rPr>
                <w:rFonts w:ascii="Calibri" w:hAnsi="Calibri" w:cs="AdvMYR4" w:hint="eastAsia"/>
                <w:kern w:val="0"/>
                <w:sz w:val="16"/>
                <w:szCs w:val="16"/>
              </w:rPr>
              <w:t>a</w:t>
            </w:r>
            <w:r>
              <w:rPr>
                <w:rFonts w:ascii="Calibri" w:hAnsi="Calibri" w:cs="AdvMYR4"/>
                <w:kern w:val="0"/>
                <w:sz w:val="16"/>
                <w:szCs w:val="16"/>
              </w:rPr>
              <w:t>ccepted</w:t>
            </w:r>
            <w:r>
              <w:rPr>
                <w:rFonts w:cs="AdvMYR4"/>
                <w:kern w:val="0"/>
                <w:sz w:val="16"/>
                <w:szCs w:val="16"/>
              </w:rPr>
              <w:t>: XXXX, 20</w:t>
            </w:r>
            <w:r>
              <w:rPr>
                <w:rFonts w:cs="AdvMYR4" w:hint="eastAsia"/>
                <w:kern w:val="0"/>
                <w:sz w:val="16"/>
                <w:szCs w:val="16"/>
              </w:rPr>
              <w:t>24</w:t>
            </w:r>
          </w:p>
          <w:p w14:paraId="74010B11" w14:textId="77777777" w:rsidR="00B47838" w:rsidRDefault="00000000">
            <w:pPr>
              <w:pStyle w:val="References"/>
              <w:numPr>
                <w:ilvl w:val="0"/>
                <w:numId w:val="0"/>
              </w:numPr>
              <w:rPr>
                <w:szCs w:val="16"/>
              </w:rPr>
            </w:pPr>
            <w:r>
              <w:rPr>
                <w:rFonts w:asciiTheme="minorHAnsi" w:hAnsiTheme="minorHAnsi" w:cs="AdvMYR4"/>
                <w:szCs w:val="16"/>
              </w:rPr>
              <w:t>Version of record online: XXXX, 20</w:t>
            </w:r>
            <w:r>
              <w:rPr>
                <w:rFonts w:asciiTheme="minorHAnsi" w:hAnsiTheme="minorHAnsi" w:cs="AdvMYR4" w:hint="eastAsia"/>
                <w:szCs w:val="16"/>
              </w:rPr>
              <w:t>24</w:t>
            </w:r>
          </w:p>
        </w:tc>
        <w:tc>
          <w:tcPr>
            <w:tcW w:w="4848" w:type="dxa"/>
            <w:tcBorders>
              <w:top w:val="nil"/>
              <w:left w:val="nil"/>
              <w:bottom w:val="nil"/>
              <w:right w:val="nil"/>
            </w:tcBorders>
          </w:tcPr>
          <w:p w14:paraId="74010B12" w14:textId="77777777" w:rsidR="00B47838" w:rsidRDefault="00B47838">
            <w:pPr>
              <w:autoSpaceDE w:val="0"/>
              <w:autoSpaceDN w:val="0"/>
              <w:adjustRightInd w:val="0"/>
              <w:spacing w:line="210" w:lineRule="exact"/>
              <w:rPr>
                <w:rFonts w:cs="AdvMYR4"/>
                <w:kern w:val="0"/>
                <w:sz w:val="16"/>
                <w:szCs w:val="16"/>
              </w:rPr>
            </w:pPr>
          </w:p>
        </w:tc>
      </w:tr>
    </w:tbl>
    <w:p w14:paraId="74010B14" w14:textId="77777777" w:rsidR="00B47838" w:rsidRDefault="00B47838">
      <w:pPr>
        <w:pStyle w:val="Text"/>
        <w:ind w:firstLine="0"/>
        <w:sectPr w:rsidR="00B47838">
          <w:type w:val="continuous"/>
          <w:pgSz w:w="11906" w:h="16838"/>
          <w:pgMar w:top="1191" w:right="936" w:bottom="1191" w:left="936" w:header="794" w:footer="680" w:gutter="57"/>
          <w:cols w:num="2" w:space="284"/>
          <w:titlePg/>
          <w:docGrid w:type="lines" w:linePitch="312"/>
        </w:sectPr>
      </w:pPr>
    </w:p>
    <w:p w14:paraId="74010B15" w14:textId="46A9B2C9" w:rsidR="00867B3E" w:rsidRDefault="00867B3E">
      <w:pPr>
        <w:widowControl/>
        <w:spacing w:after="0" w:line="240" w:lineRule="auto"/>
        <w:rPr>
          <w:rFonts w:ascii="Calibri" w:hAnsi="Calibri" w:cs="Courier New"/>
          <w:sz w:val="18"/>
          <w:szCs w:val="18"/>
        </w:rPr>
      </w:pPr>
      <w:r>
        <w:br w:type="page"/>
      </w:r>
    </w:p>
    <w:tbl>
      <w:tblPr>
        <w:tblW w:w="8382" w:type="dxa"/>
        <w:jc w:val="center"/>
        <w:tblCellMar>
          <w:left w:w="0" w:type="dxa"/>
          <w:right w:w="0" w:type="dxa"/>
        </w:tblCellMar>
        <w:tblLook w:val="04A0" w:firstRow="1" w:lastRow="0" w:firstColumn="1" w:lastColumn="0" w:noHBand="0" w:noVBand="1"/>
      </w:tblPr>
      <w:tblGrid>
        <w:gridCol w:w="6"/>
        <w:gridCol w:w="8370"/>
        <w:gridCol w:w="6"/>
      </w:tblGrid>
      <w:tr w:rsidR="00B47838" w14:paraId="74010B1B" w14:textId="77777777" w:rsidTr="00952D8E">
        <w:trPr>
          <w:jc w:val="center"/>
        </w:trPr>
        <w:tc>
          <w:tcPr>
            <w:tcW w:w="8382" w:type="dxa"/>
            <w:gridSpan w:val="3"/>
            <w:tcBorders>
              <w:top w:val="single" w:sz="8" w:space="0" w:color="2C2FA6"/>
              <w:left w:val="nil"/>
              <w:bottom w:val="single" w:sz="8" w:space="0" w:color="2C2FA6"/>
              <w:right w:val="nil"/>
            </w:tcBorders>
          </w:tcPr>
          <w:p w14:paraId="74010B1A" w14:textId="77777777" w:rsidR="00B47838" w:rsidRDefault="00000000">
            <w:pPr>
              <w:pStyle w:val="Text"/>
              <w:spacing w:line="360" w:lineRule="exact"/>
              <w:ind w:firstLine="0"/>
              <w:textAlignment w:val="center"/>
            </w:pPr>
            <w:r>
              <w:rPr>
                <w:rFonts w:asciiTheme="minorHAnsi" w:hAnsiTheme="minorHAnsi"/>
                <w:b/>
                <w:i/>
                <w:color w:val="2C2FA6"/>
              </w:rPr>
              <w:lastRenderedPageBreak/>
              <w:t>The Authors</w:t>
            </w:r>
          </w:p>
        </w:tc>
      </w:tr>
      <w:tr w:rsidR="00B47838" w14:paraId="74010B1F" w14:textId="77777777" w:rsidTr="00952D8E">
        <w:trPr>
          <w:jc w:val="center"/>
        </w:trPr>
        <w:tc>
          <w:tcPr>
            <w:tcW w:w="6" w:type="dxa"/>
            <w:tcBorders>
              <w:top w:val="single" w:sz="8" w:space="0" w:color="2C2FA6"/>
              <w:left w:val="nil"/>
              <w:bottom w:val="nil"/>
              <w:right w:val="nil"/>
            </w:tcBorders>
            <w:shd w:val="clear" w:color="auto" w:fill="F0F4FF"/>
          </w:tcPr>
          <w:p w14:paraId="74010B1C" w14:textId="77777777" w:rsidR="00B47838" w:rsidRDefault="00B47838">
            <w:pPr>
              <w:pStyle w:val="Text"/>
              <w:ind w:firstLine="0"/>
              <w:jc w:val="center"/>
            </w:pPr>
          </w:p>
        </w:tc>
        <w:tc>
          <w:tcPr>
            <w:tcW w:w="8370" w:type="dxa"/>
            <w:tcBorders>
              <w:top w:val="single" w:sz="8" w:space="0" w:color="2C2FA6"/>
              <w:left w:val="nil"/>
              <w:bottom w:val="nil"/>
              <w:right w:val="nil"/>
            </w:tcBorders>
            <w:shd w:val="clear" w:color="auto" w:fill="F0F4FF"/>
          </w:tcPr>
          <w:p w14:paraId="74010B1D" w14:textId="487475AB" w:rsidR="00B47838" w:rsidRDefault="00EF09F7">
            <w:pPr>
              <w:pStyle w:val="Text"/>
              <w:spacing w:before="240" w:line="240" w:lineRule="auto"/>
              <w:ind w:firstLine="0"/>
              <w:jc w:val="center"/>
            </w:pPr>
            <w:r w:rsidRPr="00EF09F7">
              <w:rPr>
                <w:noProof/>
              </w:rPr>
              <w:drawing>
                <wp:inline distT="0" distB="0" distL="0" distR="0" wp14:anchorId="5FFB9B43" wp14:editId="36D2F32B">
                  <wp:extent cx="5307330" cy="1515110"/>
                  <wp:effectExtent l="0" t="0" r="7620" b="8890"/>
                  <wp:docPr id="208402509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07330" cy="1515110"/>
                          </a:xfrm>
                          <a:prstGeom prst="rect">
                            <a:avLst/>
                          </a:prstGeom>
                          <a:noFill/>
                          <a:ln>
                            <a:noFill/>
                          </a:ln>
                        </pic:spPr>
                      </pic:pic>
                    </a:graphicData>
                  </a:graphic>
                </wp:inline>
              </w:drawing>
            </w:r>
          </w:p>
        </w:tc>
        <w:tc>
          <w:tcPr>
            <w:tcW w:w="6" w:type="dxa"/>
            <w:tcBorders>
              <w:top w:val="single" w:sz="8" w:space="0" w:color="2C2FA6"/>
              <w:left w:val="nil"/>
              <w:bottom w:val="nil"/>
              <w:right w:val="nil"/>
            </w:tcBorders>
            <w:shd w:val="clear" w:color="auto" w:fill="F0F4FF"/>
          </w:tcPr>
          <w:p w14:paraId="74010B1E" w14:textId="77777777" w:rsidR="00B47838" w:rsidRDefault="00B47838">
            <w:pPr>
              <w:pStyle w:val="Text"/>
              <w:spacing w:before="240" w:after="240" w:line="240" w:lineRule="auto"/>
              <w:ind w:firstLine="0"/>
            </w:pPr>
          </w:p>
        </w:tc>
      </w:tr>
      <w:tr w:rsidR="00B47838" w14:paraId="74010B24" w14:textId="77777777" w:rsidTr="00952D8E">
        <w:trPr>
          <w:jc w:val="center"/>
        </w:trPr>
        <w:tc>
          <w:tcPr>
            <w:tcW w:w="6" w:type="dxa"/>
            <w:tcBorders>
              <w:top w:val="nil"/>
              <w:left w:val="nil"/>
              <w:bottom w:val="nil"/>
              <w:right w:val="nil"/>
            </w:tcBorders>
            <w:shd w:val="clear" w:color="auto" w:fill="F0F4FF"/>
          </w:tcPr>
          <w:p w14:paraId="74010B20" w14:textId="77777777" w:rsidR="00B47838" w:rsidRDefault="00B47838">
            <w:pPr>
              <w:pStyle w:val="Text"/>
              <w:ind w:firstLine="0"/>
              <w:jc w:val="center"/>
            </w:pPr>
          </w:p>
        </w:tc>
        <w:tc>
          <w:tcPr>
            <w:tcW w:w="8370" w:type="dxa"/>
            <w:tcBorders>
              <w:top w:val="nil"/>
              <w:left w:val="nil"/>
              <w:bottom w:val="single" w:sz="8" w:space="0" w:color="2C2FA6"/>
              <w:right w:val="nil"/>
            </w:tcBorders>
            <w:shd w:val="clear" w:color="auto" w:fill="F0F4FF"/>
          </w:tcPr>
          <w:p w14:paraId="74010B22" w14:textId="012208B5" w:rsidR="00B47838" w:rsidRPr="009A11D0" w:rsidRDefault="00000000" w:rsidP="009A11D0">
            <w:pPr>
              <w:pStyle w:val="Text"/>
              <w:spacing w:after="120" w:line="284" w:lineRule="exact"/>
              <w:ind w:firstLine="0"/>
              <w:rPr>
                <w:rFonts w:asciiTheme="minorHAnsi" w:hAnsiTheme="minorHAnsi" w:hint="eastAsia"/>
                <w:color w:val="000000" w:themeColor="text1"/>
                <w:sz w:val="16"/>
                <w:szCs w:val="16"/>
              </w:rPr>
            </w:pPr>
            <w:r>
              <w:rPr>
                <w:rFonts w:asciiTheme="minorHAnsi" w:hAnsiTheme="minorHAnsi"/>
                <w:b/>
                <w:color w:val="315EA3"/>
                <w:sz w:val="16"/>
                <w:szCs w:val="16"/>
              </w:rPr>
              <w:t>Left to Right:</w:t>
            </w:r>
            <w:r>
              <w:rPr>
                <w:rFonts w:asciiTheme="minorHAnsi" w:hAnsiTheme="minorHAnsi"/>
                <w:b/>
                <w:color w:val="000000" w:themeColor="text1"/>
                <w:sz w:val="16"/>
                <w:szCs w:val="16"/>
              </w:rPr>
              <w:t xml:space="preserve"> </w:t>
            </w:r>
            <w:r w:rsidR="0012573C" w:rsidRPr="0012573C">
              <w:rPr>
                <w:rFonts w:asciiTheme="minorHAnsi" w:hAnsiTheme="minorHAnsi"/>
                <w:b/>
                <w:color w:val="000000" w:themeColor="text1"/>
                <w:sz w:val="16"/>
                <w:szCs w:val="16"/>
              </w:rPr>
              <w:t xml:space="preserve">Kun </w:t>
            </w:r>
            <w:proofErr w:type="gramStart"/>
            <w:r w:rsidR="0012573C" w:rsidRPr="0012573C">
              <w:rPr>
                <w:rFonts w:asciiTheme="minorHAnsi" w:hAnsiTheme="minorHAnsi"/>
                <w:b/>
                <w:color w:val="000000" w:themeColor="text1"/>
                <w:sz w:val="16"/>
                <w:szCs w:val="16"/>
              </w:rPr>
              <w:t>Zhang ,</w:t>
            </w:r>
            <w:proofErr w:type="gramEnd"/>
            <w:r w:rsidR="008D47AC">
              <w:rPr>
                <w:rFonts w:asciiTheme="minorHAnsi" w:hAnsiTheme="minorHAnsi" w:hint="eastAsia"/>
                <w:b/>
                <w:color w:val="000000" w:themeColor="text1"/>
                <w:sz w:val="16"/>
                <w:szCs w:val="16"/>
              </w:rPr>
              <w:t xml:space="preserve"> </w:t>
            </w:r>
            <w:r w:rsidR="0012573C" w:rsidRPr="0012573C">
              <w:rPr>
                <w:rFonts w:asciiTheme="minorHAnsi" w:hAnsiTheme="minorHAnsi"/>
                <w:b/>
                <w:color w:val="000000" w:themeColor="text1"/>
                <w:sz w:val="16"/>
                <w:szCs w:val="16"/>
              </w:rPr>
              <w:t>Lei Wu,</w:t>
            </w:r>
            <w:r w:rsidR="0012573C" w:rsidRPr="0012573C">
              <w:rPr>
                <w:rFonts w:asciiTheme="minorHAnsi" w:hAnsiTheme="minorHAnsi" w:hint="eastAsia"/>
                <w:b/>
                <w:color w:val="000000" w:themeColor="text1"/>
                <w:sz w:val="16"/>
                <w:szCs w:val="16"/>
              </w:rPr>
              <w:t xml:space="preserve"> </w:t>
            </w:r>
            <w:proofErr w:type="spellStart"/>
            <w:r w:rsidR="0012573C" w:rsidRPr="0012573C">
              <w:rPr>
                <w:rFonts w:asciiTheme="minorHAnsi" w:hAnsiTheme="minorHAnsi"/>
                <w:b/>
                <w:color w:val="000000" w:themeColor="text1"/>
                <w:sz w:val="16"/>
                <w:szCs w:val="16"/>
              </w:rPr>
              <w:t>Yanting</w:t>
            </w:r>
            <w:proofErr w:type="spellEnd"/>
            <w:r w:rsidR="0012573C" w:rsidRPr="0012573C">
              <w:rPr>
                <w:rFonts w:asciiTheme="minorHAnsi" w:hAnsiTheme="minorHAnsi"/>
                <w:b/>
                <w:color w:val="000000" w:themeColor="text1"/>
                <w:sz w:val="16"/>
                <w:szCs w:val="16"/>
              </w:rPr>
              <w:t xml:space="preserve"> Zhang</w:t>
            </w:r>
            <w:r w:rsidR="0012573C" w:rsidRPr="0012573C">
              <w:rPr>
                <w:rFonts w:asciiTheme="minorHAnsi" w:hAnsiTheme="minorHAnsi" w:hint="eastAsia"/>
                <w:b/>
                <w:color w:val="000000" w:themeColor="text1"/>
                <w:sz w:val="16"/>
                <w:szCs w:val="16"/>
              </w:rPr>
              <w:t>,</w:t>
            </w:r>
            <w:r w:rsidR="0012573C" w:rsidRPr="0012573C">
              <w:rPr>
                <w:rFonts w:asciiTheme="minorHAnsi" w:hAnsiTheme="minorHAnsi" w:hint="eastAsia"/>
                <w:b/>
                <w:i/>
                <w:color w:val="000000" w:themeColor="text1"/>
                <w:sz w:val="16"/>
                <w:szCs w:val="16"/>
              </w:rPr>
              <w:t xml:space="preserve"> </w:t>
            </w:r>
            <w:r w:rsidR="0012573C" w:rsidRPr="0012573C">
              <w:rPr>
                <w:rFonts w:asciiTheme="minorHAnsi" w:hAnsiTheme="minorHAnsi" w:hint="eastAsia"/>
                <w:b/>
                <w:color w:val="000000" w:themeColor="text1"/>
                <w:sz w:val="16"/>
                <w:szCs w:val="16"/>
              </w:rPr>
              <w:t>Hong Zhang,</w:t>
            </w:r>
            <w:r w:rsidR="0012573C" w:rsidRPr="0012573C">
              <w:rPr>
                <w:rFonts w:asciiTheme="minorHAnsi" w:hAnsiTheme="minorHAnsi"/>
                <w:b/>
                <w:color w:val="000000" w:themeColor="text1"/>
                <w:sz w:val="16"/>
                <w:szCs w:val="16"/>
              </w:rPr>
              <w:t xml:space="preserve"> </w:t>
            </w:r>
            <w:proofErr w:type="spellStart"/>
            <w:r w:rsidR="0012573C" w:rsidRPr="0012573C">
              <w:rPr>
                <w:rFonts w:asciiTheme="minorHAnsi" w:hAnsiTheme="minorHAnsi"/>
                <w:b/>
                <w:color w:val="000000" w:themeColor="text1"/>
                <w:sz w:val="16"/>
                <w:szCs w:val="16"/>
              </w:rPr>
              <w:t>Dongshuang</w:t>
            </w:r>
            <w:proofErr w:type="spellEnd"/>
            <w:r w:rsidR="0012573C" w:rsidRPr="0012573C">
              <w:rPr>
                <w:rFonts w:asciiTheme="minorHAnsi" w:hAnsiTheme="minorHAnsi"/>
                <w:b/>
                <w:color w:val="000000" w:themeColor="text1"/>
                <w:sz w:val="16"/>
                <w:szCs w:val="16"/>
              </w:rPr>
              <w:t xml:space="preserve"> Wu</w:t>
            </w:r>
          </w:p>
        </w:tc>
        <w:tc>
          <w:tcPr>
            <w:tcW w:w="6" w:type="dxa"/>
            <w:tcBorders>
              <w:top w:val="nil"/>
              <w:left w:val="nil"/>
              <w:bottom w:val="nil"/>
              <w:right w:val="nil"/>
            </w:tcBorders>
            <w:shd w:val="clear" w:color="auto" w:fill="F0F4FF"/>
          </w:tcPr>
          <w:p w14:paraId="74010B23" w14:textId="77777777" w:rsidR="00B47838" w:rsidRDefault="00B47838">
            <w:pPr>
              <w:pStyle w:val="Text"/>
              <w:spacing w:line="284" w:lineRule="exact"/>
              <w:ind w:firstLine="0"/>
              <w:jc w:val="center"/>
            </w:pPr>
          </w:p>
        </w:tc>
      </w:tr>
      <w:tr w:rsidR="00B47838" w14:paraId="74010B28" w14:textId="77777777" w:rsidTr="00952D8E">
        <w:trPr>
          <w:jc w:val="center"/>
        </w:trPr>
        <w:tc>
          <w:tcPr>
            <w:tcW w:w="6" w:type="dxa"/>
            <w:tcBorders>
              <w:top w:val="nil"/>
              <w:left w:val="nil"/>
              <w:bottom w:val="nil"/>
              <w:right w:val="nil"/>
            </w:tcBorders>
            <w:shd w:val="clear" w:color="auto" w:fill="F0F4FF"/>
          </w:tcPr>
          <w:p w14:paraId="74010B25" w14:textId="77777777" w:rsidR="00B47838" w:rsidRDefault="00B47838">
            <w:pPr>
              <w:pStyle w:val="Text"/>
              <w:ind w:firstLine="0"/>
              <w:jc w:val="center"/>
            </w:pPr>
          </w:p>
        </w:tc>
        <w:tc>
          <w:tcPr>
            <w:tcW w:w="8370" w:type="dxa"/>
            <w:tcBorders>
              <w:top w:val="single" w:sz="8" w:space="0" w:color="2C2FA6"/>
              <w:left w:val="nil"/>
              <w:bottom w:val="nil"/>
              <w:right w:val="nil"/>
            </w:tcBorders>
            <w:shd w:val="clear" w:color="auto" w:fill="F0F4FF"/>
          </w:tcPr>
          <w:p w14:paraId="74010B26" w14:textId="77777777" w:rsidR="00B47838" w:rsidRDefault="00B47838">
            <w:pPr>
              <w:pStyle w:val="Text"/>
              <w:spacing w:line="284" w:lineRule="exact"/>
              <w:ind w:firstLine="0"/>
              <w:jc w:val="center"/>
            </w:pPr>
          </w:p>
        </w:tc>
        <w:tc>
          <w:tcPr>
            <w:tcW w:w="6" w:type="dxa"/>
            <w:tcBorders>
              <w:top w:val="nil"/>
              <w:left w:val="nil"/>
              <w:bottom w:val="nil"/>
              <w:right w:val="nil"/>
            </w:tcBorders>
            <w:shd w:val="clear" w:color="auto" w:fill="F0F4FF"/>
          </w:tcPr>
          <w:p w14:paraId="74010B27" w14:textId="77777777" w:rsidR="00B47838" w:rsidRDefault="00B47838">
            <w:pPr>
              <w:pStyle w:val="Text"/>
              <w:spacing w:line="284" w:lineRule="exact"/>
              <w:ind w:firstLine="0"/>
              <w:jc w:val="center"/>
            </w:pPr>
          </w:p>
        </w:tc>
      </w:tr>
    </w:tbl>
    <w:p w14:paraId="74010B29" w14:textId="77777777" w:rsidR="00B47838" w:rsidRDefault="00B47838">
      <w:pPr>
        <w:pStyle w:val="Text"/>
      </w:pPr>
    </w:p>
    <w:p w14:paraId="74010B2A" w14:textId="77777777" w:rsidR="00B47838" w:rsidRDefault="00000000">
      <w:pPr>
        <w:keepNext/>
        <w:pageBreakBefore/>
      </w:pPr>
      <w:r>
        <w:rPr>
          <w:b/>
          <w:bCs/>
          <w:sz w:val="24"/>
        </w:rPr>
        <w:lastRenderedPageBreak/>
        <w:t>Entry for the Table of Contents</w:t>
      </w:r>
    </w:p>
    <w:tbl>
      <w:tblPr>
        <w:tblW w:w="9978" w:type="dxa"/>
        <w:jc w:val="center"/>
        <w:tblBorders>
          <w:bottom w:val="single" w:sz="18" w:space="0" w:color="EFF2FB"/>
        </w:tblBorders>
        <w:tblLayout w:type="fixed"/>
        <w:tblCellMar>
          <w:top w:w="108" w:type="dxa"/>
          <w:bottom w:w="108" w:type="dxa"/>
        </w:tblCellMar>
        <w:tblLook w:val="04A0" w:firstRow="1" w:lastRow="0" w:firstColumn="1" w:lastColumn="0" w:noHBand="0" w:noVBand="1"/>
      </w:tblPr>
      <w:tblGrid>
        <w:gridCol w:w="9978"/>
      </w:tblGrid>
      <w:tr w:rsidR="00B47838" w14:paraId="74010B2E" w14:textId="77777777">
        <w:trPr>
          <w:cantSplit/>
          <w:trHeight w:val="550"/>
          <w:jc w:val="center"/>
        </w:trPr>
        <w:tc>
          <w:tcPr>
            <w:tcW w:w="9978" w:type="dxa"/>
            <w:shd w:val="clear" w:color="auto" w:fill="EFF2FB"/>
          </w:tcPr>
          <w:p w14:paraId="74010B2B" w14:textId="77777777" w:rsidR="00B47838" w:rsidRDefault="00000000">
            <w:pPr>
              <w:pStyle w:val="TOCText"/>
              <w:spacing w:before="60" w:after="60"/>
              <w:rPr>
                <w:rFonts w:ascii="Candara" w:hAnsi="Candara"/>
                <w:b/>
              </w:rPr>
            </w:pPr>
            <w:r>
              <w:rPr>
                <w:rFonts w:ascii="Candara" w:hAnsi="Candara" w:hint="eastAsia"/>
                <w:b/>
              </w:rPr>
              <w:t>Tuning Hydrophilic Segments to Achieve Acid-free Proton Conduction in COF</w:t>
            </w:r>
          </w:p>
          <w:p w14:paraId="74010B2C" w14:textId="77777777" w:rsidR="00B47838" w:rsidRDefault="00000000">
            <w:pPr>
              <w:pStyle w:val="TOCText"/>
              <w:spacing w:before="60" w:after="0"/>
              <w:rPr>
                <w:color w:val="1C1C1C"/>
                <w:szCs w:val="21"/>
              </w:rPr>
            </w:pPr>
            <w:r>
              <w:rPr>
                <w:rFonts w:hint="eastAsia"/>
                <w:color w:val="1C1C1C"/>
                <w:szCs w:val="21"/>
              </w:rPr>
              <w:t>Kun Zhang ,</w:t>
            </w:r>
            <w:r w:rsidRPr="005E11D4">
              <w:rPr>
                <w:rFonts w:hint="eastAsia"/>
                <w:color w:val="1C1C1C"/>
                <w:szCs w:val="21"/>
                <w:vertAlign w:val="superscript"/>
              </w:rPr>
              <w:t>‡</w:t>
            </w:r>
            <w:r w:rsidRPr="005E11D4">
              <w:rPr>
                <w:rFonts w:hint="eastAsia"/>
                <w:color w:val="1C1C1C"/>
                <w:szCs w:val="21"/>
                <w:vertAlign w:val="superscript"/>
              </w:rPr>
              <w:t>,*,a</w:t>
            </w:r>
            <w:r>
              <w:rPr>
                <w:rFonts w:hint="eastAsia"/>
                <w:color w:val="1C1C1C"/>
                <w:szCs w:val="21"/>
              </w:rPr>
              <w:t xml:space="preserve"> Lei Wu,</w:t>
            </w:r>
            <w:r w:rsidRPr="005E11D4">
              <w:rPr>
                <w:rFonts w:hint="eastAsia"/>
                <w:color w:val="1C1C1C"/>
                <w:szCs w:val="21"/>
                <w:vertAlign w:val="superscript"/>
              </w:rPr>
              <w:t>‡</w:t>
            </w:r>
            <w:r w:rsidRPr="005E11D4">
              <w:rPr>
                <w:rFonts w:hint="eastAsia"/>
                <w:color w:val="1C1C1C"/>
                <w:szCs w:val="21"/>
                <w:vertAlign w:val="superscript"/>
              </w:rPr>
              <w:t>,a</w:t>
            </w:r>
            <w:r>
              <w:rPr>
                <w:rFonts w:hint="eastAsia"/>
                <w:color w:val="1C1C1C"/>
                <w:szCs w:val="21"/>
              </w:rPr>
              <w:t xml:space="preserve"> </w:t>
            </w:r>
            <w:proofErr w:type="spellStart"/>
            <w:r>
              <w:rPr>
                <w:rFonts w:hint="eastAsia"/>
                <w:color w:val="1C1C1C"/>
                <w:szCs w:val="21"/>
              </w:rPr>
              <w:t>Yanting</w:t>
            </w:r>
            <w:proofErr w:type="spellEnd"/>
            <w:r>
              <w:rPr>
                <w:rFonts w:hint="eastAsia"/>
                <w:color w:val="1C1C1C"/>
                <w:szCs w:val="21"/>
              </w:rPr>
              <w:t xml:space="preserve"> Zhang,</w:t>
            </w:r>
            <w:r w:rsidRPr="005E11D4">
              <w:rPr>
                <w:rFonts w:hint="eastAsia"/>
                <w:color w:val="1C1C1C"/>
                <w:szCs w:val="21"/>
                <w:vertAlign w:val="superscript"/>
              </w:rPr>
              <w:t>‡</w:t>
            </w:r>
            <w:r w:rsidRPr="005E11D4">
              <w:rPr>
                <w:rFonts w:hint="eastAsia"/>
                <w:color w:val="1C1C1C"/>
                <w:szCs w:val="21"/>
                <w:vertAlign w:val="superscript"/>
              </w:rPr>
              <w:t>,a</w:t>
            </w:r>
            <w:r>
              <w:rPr>
                <w:rFonts w:hint="eastAsia"/>
                <w:color w:val="1C1C1C"/>
                <w:szCs w:val="21"/>
              </w:rPr>
              <w:t xml:space="preserve"> Hong </w:t>
            </w:r>
            <w:proofErr w:type="spellStart"/>
            <w:r>
              <w:rPr>
                <w:rFonts w:hint="eastAsia"/>
                <w:color w:val="1C1C1C"/>
                <w:szCs w:val="21"/>
              </w:rPr>
              <w:t>Zhang,</w:t>
            </w:r>
            <w:r w:rsidRPr="005E11D4">
              <w:rPr>
                <w:rFonts w:hint="eastAsia"/>
                <w:color w:val="1C1C1C"/>
                <w:szCs w:val="21"/>
                <w:vertAlign w:val="superscript"/>
              </w:rPr>
              <w:t>c</w:t>
            </w:r>
            <w:proofErr w:type="spellEnd"/>
            <w:r w:rsidRPr="005E11D4">
              <w:rPr>
                <w:rFonts w:hint="eastAsia"/>
                <w:color w:val="1C1C1C"/>
                <w:szCs w:val="21"/>
                <w:vertAlign w:val="superscript"/>
              </w:rPr>
              <w:t xml:space="preserve"> </w:t>
            </w:r>
            <w:r>
              <w:rPr>
                <w:rFonts w:hint="eastAsia"/>
                <w:color w:val="1C1C1C"/>
                <w:szCs w:val="21"/>
              </w:rPr>
              <w:t xml:space="preserve">and </w:t>
            </w:r>
            <w:proofErr w:type="spellStart"/>
            <w:r>
              <w:rPr>
                <w:rFonts w:hint="eastAsia"/>
                <w:color w:val="1C1C1C"/>
                <w:szCs w:val="21"/>
              </w:rPr>
              <w:t>Dongshuang</w:t>
            </w:r>
            <w:proofErr w:type="spellEnd"/>
            <w:r>
              <w:rPr>
                <w:rFonts w:hint="eastAsia"/>
                <w:color w:val="1C1C1C"/>
                <w:szCs w:val="21"/>
              </w:rPr>
              <w:t xml:space="preserve"> Wu </w:t>
            </w:r>
            <w:r w:rsidRPr="005E11D4">
              <w:rPr>
                <w:rFonts w:hint="eastAsia"/>
                <w:color w:val="1C1C1C"/>
                <w:szCs w:val="21"/>
                <w:vertAlign w:val="superscript"/>
              </w:rPr>
              <w:t>*,b</w:t>
            </w:r>
          </w:p>
          <w:p w14:paraId="74010B2D" w14:textId="77777777" w:rsidR="00B47838" w:rsidRDefault="00000000">
            <w:pPr>
              <w:pStyle w:val="TOCText"/>
              <w:spacing w:before="60" w:after="0"/>
              <w:rPr>
                <w:color w:val="0033CC"/>
              </w:rPr>
            </w:pPr>
            <w:r>
              <w:rPr>
                <w:rFonts w:asciiTheme="minorHAnsi" w:hAnsiTheme="minorHAnsi"/>
                <w:i/>
                <w:color w:val="0033CC"/>
                <w:szCs w:val="16"/>
              </w:rPr>
              <w:t>Chin. J. Chem.</w:t>
            </w:r>
            <w:r>
              <w:rPr>
                <w:rFonts w:asciiTheme="minorHAnsi" w:hAnsiTheme="minorHAnsi"/>
                <w:color w:val="0033CC"/>
                <w:szCs w:val="16"/>
              </w:rPr>
              <w:t xml:space="preserve"> </w:t>
            </w:r>
            <w:r>
              <w:rPr>
                <w:rFonts w:asciiTheme="minorHAnsi" w:hAnsiTheme="minorHAnsi"/>
                <w:b/>
                <w:color w:val="0033CC"/>
                <w:szCs w:val="16"/>
              </w:rPr>
              <w:t>202</w:t>
            </w:r>
            <w:r>
              <w:rPr>
                <w:rFonts w:asciiTheme="minorHAnsi" w:hAnsiTheme="minorHAnsi" w:hint="eastAsia"/>
                <w:b/>
                <w:color w:val="0033CC"/>
                <w:szCs w:val="16"/>
              </w:rPr>
              <w:t>4</w:t>
            </w:r>
            <w:r>
              <w:rPr>
                <w:rFonts w:asciiTheme="minorHAnsi" w:hAnsiTheme="minorHAnsi"/>
                <w:color w:val="0033CC"/>
                <w:szCs w:val="16"/>
              </w:rPr>
              <w:t xml:space="preserve">, </w:t>
            </w:r>
            <w:r>
              <w:rPr>
                <w:rFonts w:asciiTheme="minorHAnsi" w:hAnsiTheme="minorHAnsi" w:hint="eastAsia"/>
                <w:i/>
                <w:color w:val="0033CC"/>
                <w:szCs w:val="16"/>
              </w:rPr>
              <w:t>42</w:t>
            </w:r>
            <w:r>
              <w:rPr>
                <w:rFonts w:asciiTheme="minorHAnsi" w:hAnsiTheme="minorHAnsi"/>
                <w:color w:val="0033CC"/>
                <w:szCs w:val="16"/>
              </w:rPr>
              <w:t xml:space="preserve">, XXX—XXX. </w:t>
            </w:r>
            <w:r>
              <w:rPr>
                <w:rFonts w:asciiTheme="minorHAnsi" w:hAnsiTheme="minorHAnsi"/>
                <w:b/>
                <w:color w:val="0033CC"/>
                <w:szCs w:val="16"/>
              </w:rPr>
              <w:t>DOI: 10.1002/cjoc.20</w:t>
            </w:r>
            <w:r>
              <w:rPr>
                <w:rFonts w:asciiTheme="minorHAnsi" w:hAnsiTheme="minorHAnsi" w:hint="eastAsia"/>
                <w:b/>
                <w:color w:val="0033CC"/>
                <w:szCs w:val="16"/>
              </w:rPr>
              <w:t>24</w:t>
            </w:r>
            <w:r>
              <w:rPr>
                <w:rFonts w:asciiTheme="minorHAnsi" w:hAnsiTheme="minorHAnsi"/>
                <w:b/>
                <w:color w:val="0033CC"/>
                <w:szCs w:val="16"/>
              </w:rPr>
              <w:t>00</w:t>
            </w:r>
            <w:r>
              <w:rPr>
                <w:rFonts w:asciiTheme="minorHAnsi" w:hAnsiTheme="minorHAnsi" w:hint="eastAsia"/>
                <w:b/>
                <w:color w:val="0033CC"/>
                <w:szCs w:val="16"/>
              </w:rPr>
              <w:t>XXX</w:t>
            </w:r>
          </w:p>
        </w:tc>
      </w:tr>
      <w:tr w:rsidR="00B47838" w14:paraId="74010B31" w14:textId="77777777">
        <w:trPr>
          <w:cantSplit/>
          <w:trHeight w:hRule="exact" w:val="3994"/>
          <w:jc w:val="center"/>
        </w:trPr>
        <w:tc>
          <w:tcPr>
            <w:tcW w:w="9978" w:type="dxa"/>
            <w:shd w:val="clear" w:color="auto" w:fill="auto"/>
            <w:tcMar>
              <w:top w:w="113" w:type="dxa"/>
              <w:bottom w:w="113" w:type="dxa"/>
            </w:tcMar>
            <w:vAlign w:val="center"/>
          </w:tcPr>
          <w:p w14:paraId="74010B2F" w14:textId="77777777" w:rsidR="00B47838" w:rsidRDefault="00000000">
            <w:pPr>
              <w:pStyle w:val="TOCText"/>
              <w:spacing w:line="240" w:lineRule="auto"/>
              <w:jc w:val="center"/>
              <w:textAlignment w:val="center"/>
              <w:rPr>
                <w:rFonts w:ascii="Candara" w:hAnsi="Candara"/>
                <w:b/>
              </w:rPr>
            </w:pPr>
            <w:r>
              <w:rPr>
                <w:rFonts w:ascii="Candara" w:hAnsi="Candara" w:hint="eastAsia"/>
                <w:b/>
                <w:noProof/>
              </w:rPr>
              <w:drawing>
                <wp:inline distT="0" distB="0" distL="114300" distR="114300" wp14:anchorId="74010B45" wp14:editId="74010B46">
                  <wp:extent cx="4622800" cy="1619885"/>
                  <wp:effectExtent l="0" t="0" r="6350" b="0"/>
                  <wp:docPr id="1" name="图片 1" descr="Fig.3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3 -2-01"/>
                          <pic:cNvPicPr>
                            <a:picLocks noChangeAspect="1"/>
                          </pic:cNvPicPr>
                        </pic:nvPicPr>
                        <pic:blipFill>
                          <a:blip r:embed="rId34"/>
                          <a:stretch>
                            <a:fillRect/>
                          </a:stretch>
                        </pic:blipFill>
                        <pic:spPr>
                          <a:xfrm>
                            <a:off x="0" y="0"/>
                            <a:ext cx="4622800" cy="1619885"/>
                          </a:xfrm>
                          <a:prstGeom prst="rect">
                            <a:avLst/>
                          </a:prstGeom>
                        </pic:spPr>
                      </pic:pic>
                    </a:graphicData>
                  </a:graphic>
                </wp:inline>
              </w:drawing>
            </w:r>
          </w:p>
          <w:p w14:paraId="74010B30" w14:textId="77777777" w:rsidR="00B47838" w:rsidRDefault="00000000">
            <w:pPr>
              <w:pStyle w:val="TOCText"/>
              <w:spacing w:before="60" w:after="60"/>
              <w:jc w:val="both"/>
              <w:textAlignment w:val="center"/>
              <w:rPr>
                <w:rFonts w:ascii="Candara" w:hAnsi="Candara"/>
                <w:b/>
              </w:rPr>
            </w:pPr>
            <w:r>
              <w:rPr>
                <w:rFonts w:cs="Calibri"/>
                <w:szCs w:val="16"/>
              </w:rPr>
              <w:t xml:space="preserve">In </w:t>
            </w:r>
            <w:r>
              <w:rPr>
                <w:rFonts w:cs="Calibri" w:hint="eastAsia"/>
                <w:szCs w:val="16"/>
              </w:rPr>
              <w:t>this content</w:t>
            </w:r>
            <w:r>
              <w:rPr>
                <w:rFonts w:cs="Calibri"/>
                <w:szCs w:val="16"/>
              </w:rPr>
              <w:t xml:space="preserve">, we have synthesized two 2D covalent organic frameworks (COFs) with </w:t>
            </w:r>
            <w:r>
              <w:rPr>
                <w:rFonts w:cs="Calibri" w:hint="eastAsia"/>
                <w:szCs w:val="16"/>
              </w:rPr>
              <w:t>different</w:t>
            </w:r>
            <w:r>
              <w:rPr>
                <w:rFonts w:cs="Calibri"/>
                <w:szCs w:val="16"/>
              </w:rPr>
              <w:t xml:space="preserve"> hydrophilic components</w:t>
            </w:r>
            <w:r>
              <w:rPr>
                <w:rFonts w:cs="Calibri" w:hint="eastAsia"/>
                <w:szCs w:val="16"/>
              </w:rPr>
              <w:t>. These two COFs achieve distinct proton conduction, one of which obtains</w:t>
            </w:r>
            <w:r>
              <w:rPr>
                <w:rFonts w:cs="Calibri"/>
                <w:szCs w:val="16"/>
              </w:rPr>
              <w:t xml:space="preserve"> a maximum </w:t>
            </w:r>
            <w:r>
              <w:rPr>
                <w:rFonts w:cs="Calibri" w:hint="eastAsia"/>
                <w:szCs w:val="16"/>
              </w:rPr>
              <w:t xml:space="preserve">acid-free </w:t>
            </w:r>
            <w:r>
              <w:rPr>
                <w:rFonts w:cs="Calibri"/>
                <w:szCs w:val="16"/>
              </w:rPr>
              <w:t>proton conductivity of 3.04×10</w:t>
            </w:r>
            <w:r>
              <w:rPr>
                <w:rFonts w:cs="Calibri"/>
                <w:szCs w:val="16"/>
                <w:vertAlign w:val="superscript"/>
              </w:rPr>
              <w:t xml:space="preserve">-4 </w:t>
            </w:r>
            <w:r>
              <w:rPr>
                <w:rFonts w:cs="Calibri"/>
                <w:szCs w:val="16"/>
              </w:rPr>
              <w:t>S cm</w:t>
            </w:r>
            <w:r>
              <w:rPr>
                <w:rFonts w:cs="Calibri"/>
                <w:szCs w:val="16"/>
                <w:vertAlign w:val="superscript"/>
              </w:rPr>
              <w:t>-1</w:t>
            </w:r>
            <w:r>
              <w:rPr>
                <w:rFonts w:cs="Calibri"/>
                <w:szCs w:val="16"/>
              </w:rPr>
              <w:t xml:space="preserve"> at 70 °C and 100% </w:t>
            </w:r>
            <w:r>
              <w:rPr>
                <w:rFonts w:cs="Calibri" w:hint="eastAsia"/>
                <w:szCs w:val="16"/>
              </w:rPr>
              <w:t>RH, and</w:t>
            </w:r>
            <w:r>
              <w:rPr>
                <w:rFonts w:cs="Calibri"/>
                <w:szCs w:val="16"/>
              </w:rPr>
              <w:t xml:space="preserve"> a </w:t>
            </w:r>
            <w:proofErr w:type="spellStart"/>
            <w:r>
              <w:rPr>
                <w:rFonts w:cs="Calibri"/>
                <w:szCs w:val="16"/>
              </w:rPr>
              <w:t>Grotthuss</w:t>
            </w:r>
            <w:proofErr w:type="spellEnd"/>
            <w:r>
              <w:rPr>
                <w:rFonts w:cs="Calibri"/>
                <w:szCs w:val="16"/>
              </w:rPr>
              <w:t>-type activation energy of 0.14 eV. T</w:t>
            </w:r>
            <w:r>
              <w:rPr>
                <w:rFonts w:cs="Calibri" w:hint="eastAsia"/>
                <w:szCs w:val="16"/>
              </w:rPr>
              <w:t>he remarkable proton conduction</w:t>
            </w:r>
            <w:r>
              <w:rPr>
                <w:rFonts w:cs="Calibri"/>
                <w:szCs w:val="16"/>
              </w:rPr>
              <w:t xml:space="preserve"> is primarily attributed to the formation of strong hydrogen bonds </w:t>
            </w:r>
            <w:r>
              <w:rPr>
                <w:rFonts w:cs="Calibri" w:hint="eastAsia"/>
                <w:szCs w:val="16"/>
              </w:rPr>
              <w:t>among</w:t>
            </w:r>
            <w:r>
              <w:rPr>
                <w:rFonts w:cs="Calibri"/>
                <w:szCs w:val="16"/>
              </w:rPr>
              <w:t xml:space="preserve"> water molecules in the center of channel, which promotes proton dissociation and facilitates rapid, directional diffusion.</w:t>
            </w:r>
          </w:p>
        </w:tc>
      </w:tr>
    </w:tbl>
    <w:p w14:paraId="74010B32" w14:textId="77777777" w:rsidR="00B47838" w:rsidRDefault="00B47838">
      <w:pPr>
        <w:pStyle w:val="Text"/>
      </w:pPr>
    </w:p>
    <w:sectPr w:rsidR="00B47838">
      <w:type w:val="continuous"/>
      <w:pgSz w:w="11906" w:h="16838"/>
      <w:pgMar w:top="1191" w:right="936" w:bottom="1191" w:left="936" w:header="794" w:footer="680" w:gutter="57"/>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F9BA8B" w14:textId="77777777" w:rsidR="00657FF6" w:rsidRDefault="00657FF6">
      <w:pPr>
        <w:spacing w:line="240" w:lineRule="auto"/>
      </w:pPr>
      <w:r>
        <w:separator/>
      </w:r>
    </w:p>
  </w:endnote>
  <w:endnote w:type="continuationSeparator" w:id="0">
    <w:p w14:paraId="61831E7C" w14:textId="77777777" w:rsidR="00657FF6" w:rsidRDefault="00657FF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ndara">
    <w:panose1 w:val="020E0502030303020204"/>
    <w:charset w:val="00"/>
    <w:family w:val="swiss"/>
    <w:pitch w:val="variable"/>
    <w:sig w:usb0="A00002EF" w:usb1="4000A44B" w:usb2="00000000" w:usb3="00000000" w:csb0="0000019F" w:csb1="00000000"/>
  </w:font>
  <w:font w:name="幼圆">
    <w:panose1 w:val="0201050906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Arial Black">
    <w:panose1 w:val="020B0A04020102020204"/>
    <w:charset w:val="00"/>
    <w:family w:val="swiss"/>
    <w:pitch w:val="variable"/>
    <w:sig w:usb0="A00002AF" w:usb1="400078FB"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 w:name="Arno Pro">
    <w:altName w:val="Constantia"/>
    <w:charset w:val="00"/>
    <w:family w:val="roman"/>
    <w:pitch w:val="default"/>
    <w:sig w:usb0="00000000" w:usb1="00000000" w:usb2="00000000"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dvOT999035f4">
    <w:altName w:val="Times New Roman"/>
    <w:charset w:val="00"/>
    <w:family w:val="roman"/>
    <w:pitch w:val="default"/>
    <w:sig w:usb0="00000000" w:usb1="00000000" w:usb2="00000010" w:usb3="00000000" w:csb0="00060001" w:csb1="00000000"/>
  </w:font>
  <w:font w:name="AdvMYR4">
    <w:altName w:val="Segoe Print"/>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4D" w14:textId="77777777" w:rsidR="00B47838" w:rsidRDefault="00B47838">
    <w:pPr>
      <w:tabs>
        <w:tab w:val="center" w:pos="227"/>
      </w:tabs>
      <w:jc w:val="center"/>
    </w:pPr>
  </w:p>
  <w:p w14:paraId="74010B4E" w14:textId="77777777" w:rsidR="00B47838" w:rsidRDefault="00000000">
    <w:pPr>
      <w:tabs>
        <w:tab w:val="center" w:pos="1304"/>
        <w:tab w:val="center" w:pos="4933"/>
        <w:tab w:val="right" w:pos="9979"/>
      </w:tabs>
      <w:rPr>
        <w:sz w:val="15"/>
        <w:szCs w:val="15"/>
      </w:rPr>
    </w:pPr>
    <w:r>
      <w:rPr>
        <w:rFonts w:ascii="微软雅黑" w:eastAsia="微软雅黑" w:hAnsi="微软雅黑"/>
        <w:b/>
        <w:sz w:val="15"/>
        <w:szCs w:val="15"/>
      </w:rPr>
      <w:fldChar w:fldCharType="begin"/>
    </w:r>
    <w:r>
      <w:rPr>
        <w:rFonts w:ascii="微软雅黑" w:eastAsia="微软雅黑" w:hAnsi="微软雅黑"/>
        <w:b/>
        <w:sz w:val="15"/>
        <w:szCs w:val="15"/>
      </w:rPr>
      <w:instrText xml:space="preserve"> PAGE </w:instrText>
    </w:r>
    <w:r>
      <w:rPr>
        <w:rFonts w:ascii="微软雅黑" w:eastAsia="微软雅黑" w:hAnsi="微软雅黑"/>
        <w:b/>
        <w:sz w:val="15"/>
        <w:szCs w:val="15"/>
      </w:rPr>
      <w:fldChar w:fldCharType="separate"/>
    </w:r>
    <w:r>
      <w:rPr>
        <w:rFonts w:ascii="微软雅黑" w:eastAsia="微软雅黑" w:hAnsi="微软雅黑"/>
        <w:b/>
        <w:sz w:val="15"/>
        <w:szCs w:val="15"/>
      </w:rPr>
      <w:t>2</w:t>
    </w:r>
    <w:r>
      <w:rPr>
        <w:rFonts w:ascii="微软雅黑" w:eastAsia="微软雅黑" w:hAnsi="微软雅黑"/>
        <w:b/>
        <w:sz w:val="15"/>
        <w:szCs w:val="15"/>
      </w:rPr>
      <w:fldChar w:fldCharType="end"/>
    </w:r>
    <w:r>
      <w:rPr>
        <w:sz w:val="15"/>
        <w:szCs w:val="15"/>
      </w:rPr>
      <w:tab/>
    </w:r>
    <w:r>
      <w:rPr>
        <w:b/>
        <w:bCs/>
        <w:sz w:val="15"/>
        <w:szCs w:val="15"/>
      </w:rPr>
      <w:t>www.cjc.wiley-vch.de</w:t>
    </w:r>
    <w:r>
      <w:rPr>
        <w:sz w:val="15"/>
        <w:szCs w:val="15"/>
      </w:rPr>
      <w:tab/>
      <w:t>© 20</w:t>
    </w:r>
    <w:r>
      <w:rPr>
        <w:rFonts w:hint="eastAsia"/>
        <w:sz w:val="15"/>
        <w:szCs w:val="15"/>
      </w:rPr>
      <w:t>22</w:t>
    </w:r>
    <w:r>
      <w:rPr>
        <w:sz w:val="15"/>
        <w:szCs w:val="15"/>
      </w:rPr>
      <w:t xml:space="preserve"> SIOC, CAS, Shanghai, &amp; WILEY-VCH GmbH</w:t>
    </w:r>
    <w:r>
      <w:rPr>
        <w:sz w:val="15"/>
        <w:szCs w:val="15"/>
      </w:rPr>
      <w:tab/>
    </w:r>
    <w:r>
      <w:rPr>
        <w:i/>
        <w:iCs/>
        <w:sz w:val="15"/>
        <w:szCs w:val="15"/>
      </w:rPr>
      <w:t xml:space="preserve">Chin. J. Chem. </w:t>
    </w:r>
    <w:r>
      <w:rPr>
        <w:b/>
        <w:bCs/>
        <w:sz w:val="15"/>
        <w:szCs w:val="15"/>
      </w:rPr>
      <w:t>20</w:t>
    </w:r>
    <w:r>
      <w:rPr>
        <w:rFonts w:hint="eastAsia"/>
        <w:b/>
        <w:bCs/>
        <w:sz w:val="15"/>
        <w:szCs w:val="15"/>
      </w:rPr>
      <w:t>22</w:t>
    </w:r>
    <w:r>
      <w:rPr>
        <w:sz w:val="15"/>
        <w:szCs w:val="15"/>
      </w:rPr>
      <w:t>,</w:t>
    </w:r>
    <w:r>
      <w:rPr>
        <w:i/>
        <w:iCs/>
        <w:sz w:val="15"/>
        <w:szCs w:val="15"/>
      </w:rPr>
      <w:t xml:space="preserve"> </w:t>
    </w:r>
    <w:r>
      <w:rPr>
        <w:rFonts w:hint="eastAsia"/>
        <w:i/>
        <w:iCs/>
        <w:sz w:val="15"/>
        <w:szCs w:val="15"/>
      </w:rPr>
      <w:t>40</w:t>
    </w:r>
    <w:r>
      <w:rPr>
        <w:rFonts w:hint="eastAsia"/>
        <w:iCs/>
        <w:sz w:val="15"/>
        <w:szCs w:val="15"/>
      </w:rPr>
      <w:t>, XXX</w:t>
    </w:r>
    <w:r>
      <w:rPr>
        <w:rFonts w:hint="eastAsia"/>
        <w:iCs/>
        <w:sz w:val="15"/>
        <w:szCs w:val="15"/>
      </w:rPr>
      <w:t>－</w:t>
    </w:r>
    <w:r>
      <w:rPr>
        <w:rFonts w:hint="eastAsia"/>
        <w:iCs/>
        <w:sz w:val="15"/>
        <w:szCs w:val="15"/>
      </w:rPr>
      <w:t>XXX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4F" w14:textId="77777777" w:rsidR="00B47838" w:rsidRDefault="00B47838">
    <w:pPr>
      <w:tabs>
        <w:tab w:val="center" w:pos="227"/>
      </w:tabs>
      <w:jc w:val="center"/>
    </w:pPr>
  </w:p>
  <w:p w14:paraId="74010B50" w14:textId="77777777" w:rsidR="00B47838" w:rsidRDefault="00000000">
    <w:pPr>
      <w:tabs>
        <w:tab w:val="center" w:pos="5046"/>
        <w:tab w:val="center" w:pos="8675"/>
        <w:tab w:val="right" w:pos="9979"/>
      </w:tabs>
      <w:jc w:val="right"/>
    </w:pPr>
    <w:r>
      <w:rPr>
        <w:i/>
        <w:iCs/>
        <w:spacing w:val="-2"/>
        <w:sz w:val="15"/>
      </w:rPr>
      <w:t xml:space="preserve">Chin. J. Chem. </w:t>
    </w:r>
    <w:r>
      <w:rPr>
        <w:b/>
        <w:bCs/>
        <w:spacing w:val="-2"/>
        <w:sz w:val="15"/>
      </w:rPr>
      <w:t>2017</w:t>
    </w:r>
    <w:r>
      <w:rPr>
        <w:spacing w:val="-2"/>
        <w:sz w:val="15"/>
      </w:rPr>
      <w:t>,</w:t>
    </w:r>
    <w:r>
      <w:rPr>
        <w:i/>
        <w:iCs/>
        <w:spacing w:val="-2"/>
        <w:sz w:val="15"/>
      </w:rPr>
      <w:t xml:space="preserve"> XX</w:t>
    </w:r>
    <w:r>
      <w:rPr>
        <w:spacing w:val="-2"/>
        <w:sz w:val="15"/>
      </w:rPr>
      <w:t>, 1</w:t>
    </w:r>
    <w:r>
      <w:rPr>
        <w:rFonts w:hint="eastAsia"/>
        <w:spacing w:val="-2"/>
        <w:sz w:val="15"/>
        <w:lang w:val="en-GB"/>
      </w:rPr>
      <w:t>－</w:t>
    </w:r>
    <w:r>
      <w:rPr>
        <w:rFonts w:hint="eastAsia"/>
        <w:sz w:val="15"/>
      </w:rPr>
      <w:t>X</w:t>
    </w:r>
    <w:r>
      <w:rPr>
        <w:sz w:val="15"/>
        <w:szCs w:val="16"/>
      </w:rPr>
      <w:tab/>
    </w:r>
    <w:r>
      <w:rPr>
        <w:spacing w:val="-4"/>
        <w:sz w:val="15"/>
        <w:szCs w:val="16"/>
      </w:rPr>
      <w:t>© 201</w:t>
    </w:r>
    <w:r>
      <w:rPr>
        <w:rFonts w:hint="eastAsia"/>
        <w:spacing w:val="-4"/>
        <w:sz w:val="15"/>
        <w:szCs w:val="16"/>
      </w:rPr>
      <w:t>8</w:t>
    </w:r>
    <w:r>
      <w:rPr>
        <w:spacing w:val="-4"/>
        <w:sz w:val="15"/>
        <w:szCs w:val="16"/>
      </w:rPr>
      <w:t xml:space="preserve"> SIOC, CAS, Shanghai, &amp; WILEY-VCH Verlag GmbH &amp; Co. </w:t>
    </w:r>
    <w:proofErr w:type="spellStart"/>
    <w:r>
      <w:rPr>
        <w:spacing w:val="-4"/>
        <w:sz w:val="15"/>
        <w:szCs w:val="16"/>
      </w:rPr>
      <w:t>KGaA</w:t>
    </w:r>
    <w:proofErr w:type="spellEnd"/>
    <w:r>
      <w:rPr>
        <w:spacing w:val="-4"/>
        <w:sz w:val="15"/>
        <w:szCs w:val="16"/>
      </w:rPr>
      <w:t>, Weinheim</w:t>
    </w:r>
    <w:r>
      <w:rPr>
        <w:sz w:val="15"/>
        <w:szCs w:val="16"/>
      </w:rPr>
      <w:tab/>
    </w:r>
    <w:r>
      <w:rPr>
        <w:b/>
        <w:bCs/>
        <w:sz w:val="15"/>
        <w:szCs w:val="16"/>
      </w:rPr>
      <w:t>www.cjc.wiley-vch.de</w:t>
    </w:r>
    <w:r>
      <w:rPr>
        <w:sz w:val="15"/>
        <w:szCs w:val="16"/>
      </w:rPr>
      <w:tab/>
    </w:r>
    <w:r>
      <w:rPr>
        <w:sz w:val="17"/>
      </w:rPr>
      <w:fldChar w:fldCharType="begin"/>
    </w:r>
    <w:r>
      <w:rPr>
        <w:sz w:val="17"/>
      </w:rPr>
      <w:instrText xml:space="preserve"> PAGE </w:instrText>
    </w:r>
    <w:r>
      <w:rPr>
        <w:sz w:val="17"/>
      </w:rPr>
      <w:fldChar w:fldCharType="separate"/>
    </w:r>
    <w:r>
      <w:rPr>
        <w:sz w:val="17"/>
      </w:rPr>
      <w:t>3</w:t>
    </w:r>
    <w:r>
      <w:rPr>
        <w:sz w:val="17"/>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2" w14:textId="77777777" w:rsidR="00B47838" w:rsidRDefault="00B47838">
    <w:pPr>
      <w:spacing w:line="120" w:lineRule="exact"/>
    </w:pPr>
  </w:p>
  <w:p w14:paraId="74010B53" w14:textId="77777777" w:rsidR="00B47838" w:rsidRDefault="00000000">
    <w:pPr>
      <w:spacing w:line="180" w:lineRule="exact"/>
      <w:rPr>
        <w:sz w:val="16"/>
        <w:szCs w:val="16"/>
      </w:rPr>
    </w:pPr>
    <w:r>
      <w:rPr>
        <w:sz w:val="16"/>
        <w:szCs w:val="16"/>
      </w:rPr>
      <w:t>*E-mail: kunzhang@ujs.edu.cn</w:t>
    </w:r>
  </w:p>
  <w:p w14:paraId="74010B54" w14:textId="77777777" w:rsidR="00B47838" w:rsidRDefault="00000000">
    <w:pPr>
      <w:spacing w:line="480" w:lineRule="exact"/>
    </w:pPr>
    <w:r>
      <w:rPr>
        <w:noProof/>
      </w:rPr>
      <w:drawing>
        <wp:anchor distT="0" distB="0" distL="114300" distR="114300" simplePos="0" relativeHeight="251659264" behindDoc="0" locked="0" layoutInCell="1" allowOverlap="1" wp14:anchorId="74010B67" wp14:editId="74010B68">
          <wp:simplePos x="0" y="0"/>
          <wp:positionH relativeFrom="column">
            <wp:posOffset>5231765</wp:posOffset>
          </wp:positionH>
          <wp:positionV relativeFrom="page">
            <wp:posOffset>10009505</wp:posOffset>
          </wp:positionV>
          <wp:extent cx="622935" cy="219710"/>
          <wp:effectExtent l="0" t="0" r="6350" b="9525"/>
          <wp:wrapTight wrapText="bothSides">
            <wp:wrapPolygon edited="0">
              <wp:start x="0" y="0"/>
              <wp:lineTo x="0" y="20661"/>
              <wp:lineTo x="21159" y="20661"/>
              <wp:lineTo x="21159" y="0"/>
              <wp:lineTo x="0" y="0"/>
            </wp:wrapPolygon>
          </wp:wrapTight>
          <wp:docPr id="321" name="图片 321" descr="b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21" descr="bz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a:xfrm>
                    <a:off x="0" y="0"/>
                    <a:ext cx="622800" cy="219600"/>
                  </a:xfrm>
                  <a:prstGeom prst="rect">
                    <a:avLst/>
                  </a:prstGeom>
                  <a:noFill/>
                </pic:spPr>
              </pic:pic>
            </a:graphicData>
          </a:graphic>
        </wp:anchor>
      </w:drawing>
    </w:r>
  </w:p>
  <w:p w14:paraId="74010B55" w14:textId="77777777" w:rsidR="00B47838" w:rsidRDefault="00000000">
    <w:pPr>
      <w:tabs>
        <w:tab w:val="center" w:pos="5103"/>
        <w:tab w:val="center" w:pos="8675"/>
        <w:tab w:val="right" w:pos="9979"/>
      </w:tabs>
      <w:spacing w:before="60"/>
      <w:rPr>
        <w:rFonts w:ascii="微软雅黑" w:eastAsia="微软雅黑" w:hAnsi="微软雅黑"/>
        <w:b/>
        <w:spacing w:val="-2"/>
        <w:sz w:val="15"/>
        <w:szCs w:val="15"/>
      </w:rPr>
    </w:pPr>
    <w:r>
      <w:rPr>
        <w:i/>
        <w:iCs/>
        <w:sz w:val="15"/>
        <w:szCs w:val="15"/>
      </w:rPr>
      <w:t xml:space="preserve">Chin. J. Chem. </w:t>
    </w:r>
    <w:r>
      <w:rPr>
        <w:b/>
        <w:bCs/>
        <w:sz w:val="15"/>
        <w:szCs w:val="15"/>
      </w:rPr>
      <w:t>20</w:t>
    </w:r>
    <w:r>
      <w:rPr>
        <w:rFonts w:hint="eastAsia"/>
        <w:b/>
        <w:bCs/>
        <w:sz w:val="15"/>
        <w:szCs w:val="15"/>
      </w:rPr>
      <w:t>24</w:t>
    </w:r>
    <w:r>
      <w:rPr>
        <w:sz w:val="15"/>
        <w:szCs w:val="15"/>
      </w:rPr>
      <w:t>,</w:t>
    </w:r>
    <w:r>
      <w:rPr>
        <w:i/>
        <w:iCs/>
        <w:sz w:val="15"/>
        <w:szCs w:val="15"/>
      </w:rPr>
      <w:t xml:space="preserve"> </w:t>
    </w:r>
    <w:r>
      <w:rPr>
        <w:rFonts w:hint="eastAsia"/>
        <w:i/>
        <w:iCs/>
        <w:sz w:val="15"/>
        <w:szCs w:val="15"/>
      </w:rPr>
      <w:t>42</w:t>
    </w:r>
    <w:r>
      <w:rPr>
        <w:rFonts w:hint="eastAsia"/>
        <w:iCs/>
        <w:sz w:val="15"/>
        <w:szCs w:val="15"/>
      </w:rPr>
      <w:t>, XXX</w:t>
    </w:r>
    <w:r>
      <w:rPr>
        <w:rFonts w:hint="eastAsia"/>
        <w:iCs/>
        <w:sz w:val="15"/>
        <w:szCs w:val="15"/>
      </w:rPr>
      <w:t>－</w:t>
    </w:r>
    <w:r>
      <w:rPr>
        <w:rFonts w:hint="eastAsia"/>
        <w:iCs/>
        <w:sz w:val="15"/>
        <w:szCs w:val="15"/>
      </w:rPr>
      <w:t>XXX</w:t>
    </w:r>
    <w:r>
      <w:rPr>
        <w:sz w:val="15"/>
        <w:szCs w:val="15"/>
      </w:rPr>
      <w:tab/>
      <w:t>© 20</w:t>
    </w:r>
    <w:r>
      <w:rPr>
        <w:rFonts w:hint="eastAsia"/>
        <w:sz w:val="15"/>
        <w:szCs w:val="15"/>
      </w:rPr>
      <w:t>24</w:t>
    </w:r>
    <w:r>
      <w:rPr>
        <w:sz w:val="15"/>
        <w:szCs w:val="15"/>
      </w:rPr>
      <w:t xml:space="preserve"> SIOC, CAS, Shanghai, &amp; WILEY-VCH GmbH</w:t>
    </w:r>
    <w:r>
      <w:rPr>
        <w:sz w:val="15"/>
        <w:szCs w:val="15"/>
      </w:rPr>
      <w:tab/>
    </w:r>
    <w:r>
      <w:rPr>
        <w:sz w:val="15"/>
        <w:szCs w:val="15"/>
      </w:rPr>
      <w:tab/>
    </w:r>
    <w:r>
      <w:rPr>
        <w:rFonts w:ascii="微软雅黑" w:eastAsia="微软雅黑" w:hAnsi="微软雅黑"/>
        <w:b/>
        <w:spacing w:val="-2"/>
        <w:sz w:val="15"/>
        <w:szCs w:val="15"/>
      </w:rPr>
      <w:fldChar w:fldCharType="begin"/>
    </w:r>
    <w:r>
      <w:rPr>
        <w:rFonts w:ascii="微软雅黑" w:eastAsia="微软雅黑" w:hAnsi="微软雅黑"/>
        <w:b/>
        <w:spacing w:val="-2"/>
        <w:sz w:val="15"/>
        <w:szCs w:val="15"/>
      </w:rPr>
      <w:instrText xml:space="preserve"> PAGE </w:instrText>
    </w:r>
    <w:r>
      <w:rPr>
        <w:rFonts w:ascii="微软雅黑" w:eastAsia="微软雅黑" w:hAnsi="微软雅黑"/>
        <w:b/>
        <w:spacing w:val="-2"/>
        <w:sz w:val="15"/>
        <w:szCs w:val="15"/>
      </w:rPr>
      <w:fldChar w:fldCharType="separate"/>
    </w:r>
    <w:r>
      <w:rPr>
        <w:rFonts w:ascii="微软雅黑" w:eastAsia="微软雅黑" w:hAnsi="微软雅黑"/>
        <w:b/>
        <w:spacing w:val="-2"/>
        <w:sz w:val="15"/>
        <w:szCs w:val="15"/>
      </w:rPr>
      <w:t>1</w:t>
    </w:r>
    <w:r>
      <w:rPr>
        <w:rFonts w:ascii="微软雅黑" w:eastAsia="微软雅黑" w:hAnsi="微软雅黑"/>
        <w:b/>
        <w:spacing w:val="-2"/>
        <w:sz w:val="15"/>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7" w14:textId="77777777" w:rsidR="00B47838" w:rsidRDefault="00B47838">
    <w:pPr>
      <w:tabs>
        <w:tab w:val="center" w:pos="227"/>
      </w:tabs>
      <w:jc w:val="center"/>
    </w:pPr>
  </w:p>
  <w:p w14:paraId="74010B58" w14:textId="77777777" w:rsidR="00B47838" w:rsidRDefault="00000000">
    <w:pPr>
      <w:tabs>
        <w:tab w:val="center" w:pos="1304"/>
        <w:tab w:val="center" w:pos="4933"/>
        <w:tab w:val="right" w:pos="9979"/>
      </w:tabs>
      <w:rPr>
        <w:sz w:val="15"/>
        <w:szCs w:val="15"/>
      </w:rPr>
    </w:pPr>
    <w:r>
      <w:rPr>
        <w:rFonts w:ascii="微软雅黑" w:eastAsia="微软雅黑" w:hAnsi="微软雅黑"/>
        <w:b/>
        <w:sz w:val="15"/>
        <w:szCs w:val="15"/>
      </w:rPr>
      <w:fldChar w:fldCharType="begin"/>
    </w:r>
    <w:r>
      <w:rPr>
        <w:rFonts w:ascii="微软雅黑" w:eastAsia="微软雅黑" w:hAnsi="微软雅黑"/>
        <w:b/>
        <w:sz w:val="15"/>
        <w:szCs w:val="15"/>
      </w:rPr>
      <w:instrText xml:space="preserve"> PAGE </w:instrText>
    </w:r>
    <w:r>
      <w:rPr>
        <w:rFonts w:ascii="微软雅黑" w:eastAsia="微软雅黑" w:hAnsi="微软雅黑"/>
        <w:b/>
        <w:sz w:val="15"/>
        <w:szCs w:val="15"/>
      </w:rPr>
      <w:fldChar w:fldCharType="separate"/>
    </w:r>
    <w:r>
      <w:rPr>
        <w:rFonts w:ascii="微软雅黑" w:eastAsia="微软雅黑" w:hAnsi="微软雅黑"/>
        <w:b/>
        <w:sz w:val="15"/>
        <w:szCs w:val="15"/>
      </w:rPr>
      <w:t>2</w:t>
    </w:r>
    <w:r>
      <w:rPr>
        <w:rFonts w:ascii="微软雅黑" w:eastAsia="微软雅黑" w:hAnsi="微软雅黑"/>
        <w:b/>
        <w:sz w:val="15"/>
        <w:szCs w:val="15"/>
      </w:rPr>
      <w:fldChar w:fldCharType="end"/>
    </w:r>
    <w:r>
      <w:rPr>
        <w:sz w:val="15"/>
        <w:szCs w:val="15"/>
      </w:rPr>
      <w:tab/>
    </w:r>
    <w:r>
      <w:rPr>
        <w:b/>
        <w:bCs/>
        <w:sz w:val="15"/>
        <w:szCs w:val="15"/>
      </w:rPr>
      <w:t>www.cjc.wiley-vch.de</w:t>
    </w:r>
    <w:r>
      <w:rPr>
        <w:sz w:val="15"/>
        <w:szCs w:val="15"/>
      </w:rPr>
      <w:tab/>
      <w:t>© 20</w:t>
    </w:r>
    <w:r>
      <w:rPr>
        <w:rFonts w:hint="eastAsia"/>
        <w:sz w:val="15"/>
        <w:szCs w:val="15"/>
      </w:rPr>
      <w:t>24</w:t>
    </w:r>
    <w:r>
      <w:rPr>
        <w:sz w:val="15"/>
        <w:szCs w:val="15"/>
      </w:rPr>
      <w:t xml:space="preserve"> SIOC, CAS, Shanghai, &amp; WILEY-VCH GmbH</w:t>
    </w:r>
    <w:r>
      <w:rPr>
        <w:sz w:val="15"/>
        <w:szCs w:val="15"/>
      </w:rPr>
      <w:tab/>
    </w:r>
    <w:r>
      <w:rPr>
        <w:i/>
        <w:iCs/>
        <w:sz w:val="15"/>
        <w:szCs w:val="15"/>
      </w:rPr>
      <w:t xml:space="preserve">Chin. J. Chem. </w:t>
    </w:r>
    <w:r>
      <w:rPr>
        <w:b/>
        <w:bCs/>
        <w:sz w:val="15"/>
        <w:szCs w:val="15"/>
      </w:rPr>
      <w:t>20</w:t>
    </w:r>
    <w:r>
      <w:rPr>
        <w:rFonts w:hint="eastAsia"/>
        <w:b/>
        <w:bCs/>
        <w:sz w:val="15"/>
        <w:szCs w:val="15"/>
      </w:rPr>
      <w:t>24</w:t>
    </w:r>
    <w:r>
      <w:rPr>
        <w:sz w:val="15"/>
        <w:szCs w:val="15"/>
      </w:rPr>
      <w:t>,</w:t>
    </w:r>
    <w:r>
      <w:rPr>
        <w:i/>
        <w:iCs/>
        <w:sz w:val="15"/>
        <w:szCs w:val="15"/>
      </w:rPr>
      <w:t xml:space="preserve"> </w:t>
    </w:r>
    <w:r>
      <w:rPr>
        <w:rFonts w:hint="eastAsia"/>
        <w:i/>
        <w:iCs/>
        <w:sz w:val="15"/>
        <w:szCs w:val="15"/>
      </w:rPr>
      <w:t>42</w:t>
    </w:r>
    <w:r>
      <w:rPr>
        <w:rFonts w:hint="eastAsia"/>
        <w:iCs/>
        <w:sz w:val="15"/>
        <w:szCs w:val="15"/>
      </w:rPr>
      <w:t>, XXX</w:t>
    </w:r>
    <w:r>
      <w:rPr>
        <w:rFonts w:hint="eastAsia"/>
        <w:iCs/>
        <w:sz w:val="15"/>
        <w:szCs w:val="15"/>
      </w:rPr>
      <w:t>－</w:t>
    </w:r>
    <w:r>
      <w:rPr>
        <w:rFonts w:hint="eastAsia"/>
        <w:iCs/>
        <w:sz w:val="15"/>
        <w:szCs w:val="15"/>
      </w:rPr>
      <w:t>XXX</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9" w14:textId="77777777" w:rsidR="00B47838" w:rsidRDefault="00B47838">
    <w:pPr>
      <w:tabs>
        <w:tab w:val="center" w:pos="227"/>
      </w:tabs>
      <w:jc w:val="center"/>
    </w:pPr>
  </w:p>
  <w:p w14:paraId="74010B5A" w14:textId="77777777" w:rsidR="00B47838" w:rsidRDefault="00000000">
    <w:pPr>
      <w:tabs>
        <w:tab w:val="center" w:pos="4990"/>
        <w:tab w:val="center" w:pos="8675"/>
        <w:tab w:val="right" w:pos="9979"/>
      </w:tabs>
      <w:jc w:val="right"/>
      <w:rPr>
        <w:sz w:val="15"/>
        <w:szCs w:val="15"/>
      </w:rPr>
    </w:pPr>
    <w:r>
      <w:rPr>
        <w:i/>
        <w:iCs/>
        <w:spacing w:val="-2"/>
        <w:sz w:val="15"/>
        <w:szCs w:val="15"/>
      </w:rPr>
      <w:t xml:space="preserve">Chin. J. Chem. </w:t>
    </w:r>
    <w:r>
      <w:rPr>
        <w:b/>
        <w:bCs/>
        <w:sz w:val="15"/>
        <w:szCs w:val="15"/>
      </w:rPr>
      <w:t>20</w:t>
    </w:r>
    <w:r>
      <w:rPr>
        <w:rFonts w:hint="eastAsia"/>
        <w:b/>
        <w:bCs/>
        <w:sz w:val="15"/>
        <w:szCs w:val="15"/>
      </w:rPr>
      <w:t>24</w:t>
    </w:r>
    <w:r>
      <w:rPr>
        <w:sz w:val="15"/>
        <w:szCs w:val="15"/>
      </w:rPr>
      <w:t>,</w:t>
    </w:r>
    <w:r>
      <w:rPr>
        <w:i/>
        <w:iCs/>
        <w:sz w:val="15"/>
        <w:szCs w:val="15"/>
      </w:rPr>
      <w:t xml:space="preserve"> </w:t>
    </w:r>
    <w:r>
      <w:rPr>
        <w:rFonts w:hint="eastAsia"/>
        <w:i/>
        <w:iCs/>
        <w:sz w:val="15"/>
        <w:szCs w:val="15"/>
      </w:rPr>
      <w:t>42</w:t>
    </w:r>
    <w:r>
      <w:rPr>
        <w:rFonts w:hint="eastAsia"/>
        <w:iCs/>
        <w:sz w:val="15"/>
        <w:szCs w:val="15"/>
      </w:rPr>
      <w:t>, XXX</w:t>
    </w:r>
    <w:r>
      <w:rPr>
        <w:rFonts w:hint="eastAsia"/>
        <w:iCs/>
        <w:sz w:val="15"/>
        <w:szCs w:val="15"/>
      </w:rPr>
      <w:t>－</w:t>
    </w:r>
    <w:r>
      <w:rPr>
        <w:rFonts w:hint="eastAsia"/>
        <w:iCs/>
        <w:sz w:val="15"/>
        <w:szCs w:val="15"/>
      </w:rPr>
      <w:t>XXX</w:t>
    </w:r>
    <w:r>
      <w:rPr>
        <w:sz w:val="15"/>
        <w:szCs w:val="15"/>
      </w:rPr>
      <w:tab/>
      <w:t>© 20</w:t>
    </w:r>
    <w:r>
      <w:rPr>
        <w:rFonts w:hint="eastAsia"/>
        <w:sz w:val="15"/>
        <w:szCs w:val="15"/>
      </w:rPr>
      <w:t>24</w:t>
    </w:r>
    <w:r>
      <w:rPr>
        <w:sz w:val="15"/>
        <w:szCs w:val="15"/>
      </w:rPr>
      <w:t xml:space="preserve"> SIOC, CAS, Shanghai, &amp; WILEY-VCH GmbH</w:t>
    </w:r>
    <w:r>
      <w:rPr>
        <w:sz w:val="15"/>
        <w:szCs w:val="15"/>
      </w:rPr>
      <w:tab/>
    </w:r>
    <w:r>
      <w:rPr>
        <w:b/>
        <w:bCs/>
        <w:sz w:val="15"/>
        <w:szCs w:val="15"/>
      </w:rPr>
      <w:t>www.cjc.wiley-vch.de</w:t>
    </w:r>
    <w:r>
      <w:rPr>
        <w:sz w:val="15"/>
        <w:szCs w:val="15"/>
      </w:rPr>
      <w:tab/>
    </w:r>
    <w:r>
      <w:rPr>
        <w:rFonts w:ascii="微软雅黑" w:eastAsia="微软雅黑" w:hAnsi="微软雅黑"/>
        <w:b/>
        <w:sz w:val="15"/>
        <w:szCs w:val="15"/>
      </w:rPr>
      <w:fldChar w:fldCharType="begin"/>
    </w:r>
    <w:r>
      <w:rPr>
        <w:rFonts w:ascii="微软雅黑" w:eastAsia="微软雅黑" w:hAnsi="微软雅黑"/>
        <w:b/>
        <w:sz w:val="15"/>
        <w:szCs w:val="15"/>
      </w:rPr>
      <w:instrText xml:space="preserve"> PAGE </w:instrText>
    </w:r>
    <w:r>
      <w:rPr>
        <w:rFonts w:ascii="微软雅黑" w:eastAsia="微软雅黑" w:hAnsi="微软雅黑"/>
        <w:b/>
        <w:sz w:val="15"/>
        <w:szCs w:val="15"/>
      </w:rPr>
      <w:fldChar w:fldCharType="separate"/>
    </w:r>
    <w:r>
      <w:rPr>
        <w:rFonts w:ascii="微软雅黑" w:eastAsia="微软雅黑" w:hAnsi="微软雅黑"/>
        <w:b/>
        <w:sz w:val="15"/>
        <w:szCs w:val="15"/>
      </w:rPr>
      <w:t>3</w:t>
    </w:r>
    <w:r>
      <w:rPr>
        <w:rFonts w:ascii="微软雅黑" w:eastAsia="微软雅黑" w:hAnsi="微软雅黑"/>
        <w:b/>
        <w:sz w:val="15"/>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C" w14:textId="77777777" w:rsidR="00B47838" w:rsidRDefault="00000000">
    <w:pPr>
      <w:tabs>
        <w:tab w:val="center" w:pos="5103"/>
        <w:tab w:val="center" w:pos="8675"/>
        <w:tab w:val="right" w:pos="9979"/>
      </w:tabs>
      <w:spacing w:before="60"/>
    </w:pPr>
    <w:r>
      <w:rPr>
        <w:i/>
        <w:iCs/>
        <w:noProof/>
        <w:sz w:val="15"/>
        <w:szCs w:val="15"/>
      </w:rPr>
      <w:drawing>
        <wp:anchor distT="0" distB="0" distL="114300" distR="114300" simplePos="0" relativeHeight="251666432" behindDoc="0" locked="0" layoutInCell="1" allowOverlap="1" wp14:anchorId="74010B6B" wp14:editId="74010B6C">
          <wp:simplePos x="0" y="0"/>
          <wp:positionH relativeFrom="column">
            <wp:posOffset>5231765</wp:posOffset>
          </wp:positionH>
          <wp:positionV relativeFrom="page">
            <wp:posOffset>10016490</wp:posOffset>
          </wp:positionV>
          <wp:extent cx="622935" cy="219710"/>
          <wp:effectExtent l="0" t="0" r="6350" b="9525"/>
          <wp:wrapTight wrapText="bothSides">
            <wp:wrapPolygon edited="0">
              <wp:start x="0" y="0"/>
              <wp:lineTo x="0" y="20661"/>
              <wp:lineTo x="21159" y="20661"/>
              <wp:lineTo x="21159" y="0"/>
              <wp:lineTo x="0" y="0"/>
            </wp:wrapPolygon>
          </wp:wrapTight>
          <wp:docPr id="1837855263" name="图片 1837855263" descr="b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855263" name="图片 1837855263" descr="bz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a:xfrm>
                    <a:off x="0" y="0"/>
                    <a:ext cx="622800" cy="219600"/>
                  </a:xfrm>
                  <a:prstGeom prst="rect">
                    <a:avLst/>
                  </a:prstGeom>
                  <a:noFill/>
                </pic:spPr>
              </pic:pic>
            </a:graphicData>
          </a:graphic>
        </wp:anchor>
      </w:drawing>
    </w:r>
    <w:r>
      <w:rPr>
        <w:i/>
        <w:iCs/>
        <w:sz w:val="15"/>
        <w:szCs w:val="15"/>
      </w:rPr>
      <w:t xml:space="preserve">Chin. J. Chem. </w:t>
    </w:r>
    <w:r>
      <w:rPr>
        <w:b/>
        <w:bCs/>
        <w:sz w:val="15"/>
        <w:szCs w:val="15"/>
      </w:rPr>
      <w:t>2018</w:t>
    </w:r>
    <w:r>
      <w:rPr>
        <w:sz w:val="15"/>
        <w:szCs w:val="15"/>
      </w:rPr>
      <w:t>,</w:t>
    </w:r>
    <w:r>
      <w:rPr>
        <w:i/>
        <w:iCs/>
        <w:sz w:val="15"/>
        <w:szCs w:val="15"/>
      </w:rPr>
      <w:t xml:space="preserve"> </w:t>
    </w:r>
    <w:r>
      <w:rPr>
        <w:rFonts w:hint="eastAsia"/>
        <w:iCs/>
        <w:sz w:val="15"/>
        <w:szCs w:val="15"/>
      </w:rPr>
      <w:t>template</w:t>
    </w:r>
    <w:r>
      <w:rPr>
        <w:sz w:val="15"/>
        <w:szCs w:val="15"/>
      </w:rPr>
      <w:tab/>
      <w:t xml:space="preserve">© 2018 SIOC, CAS, Shanghai, &amp; WILEY-VCH Verlag GmbH &amp; Co. </w:t>
    </w:r>
    <w:proofErr w:type="spellStart"/>
    <w:r>
      <w:rPr>
        <w:sz w:val="15"/>
        <w:szCs w:val="15"/>
      </w:rPr>
      <w:t>KGaA</w:t>
    </w:r>
    <w:proofErr w:type="spellEnd"/>
    <w:r>
      <w:rPr>
        <w:sz w:val="15"/>
        <w:szCs w:val="15"/>
      </w:rPr>
      <w:t>, Weinheim</w:t>
    </w:r>
    <w:r>
      <w:rPr>
        <w:sz w:val="15"/>
        <w:szCs w:val="16"/>
      </w:rPr>
      <w:tab/>
    </w:r>
    <w:r>
      <w:rPr>
        <w:szCs w:val="16"/>
      </w:rPr>
      <w:tab/>
    </w:r>
    <w:r>
      <w:rPr>
        <w:rFonts w:ascii="微软雅黑" w:eastAsia="微软雅黑" w:hAnsi="微软雅黑"/>
        <w:b/>
        <w:sz w:val="15"/>
        <w:szCs w:val="15"/>
      </w:rPr>
      <w:fldChar w:fldCharType="begin"/>
    </w:r>
    <w:r>
      <w:rPr>
        <w:rFonts w:ascii="微软雅黑" w:eastAsia="微软雅黑" w:hAnsi="微软雅黑"/>
        <w:b/>
        <w:sz w:val="15"/>
        <w:szCs w:val="15"/>
      </w:rPr>
      <w:instrText xml:space="preserve"> PAGE </w:instrText>
    </w:r>
    <w:r>
      <w:rPr>
        <w:rFonts w:ascii="微软雅黑" w:eastAsia="微软雅黑" w:hAnsi="微软雅黑"/>
        <w:b/>
        <w:sz w:val="15"/>
        <w:szCs w:val="15"/>
      </w:rPr>
      <w:fldChar w:fldCharType="separate"/>
    </w:r>
    <w:r>
      <w:rPr>
        <w:rFonts w:ascii="微软雅黑" w:eastAsia="微软雅黑" w:hAnsi="微软雅黑"/>
        <w:b/>
        <w:sz w:val="15"/>
        <w:szCs w:val="15"/>
      </w:rPr>
      <w:t>2</w:t>
    </w:r>
    <w:r>
      <w:rPr>
        <w:rFonts w:ascii="微软雅黑" w:eastAsia="微软雅黑" w:hAnsi="微软雅黑"/>
        <w:b/>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86CFC6" w14:textId="77777777" w:rsidR="00657FF6" w:rsidRDefault="00657FF6">
      <w:pPr>
        <w:spacing w:after="0"/>
      </w:pPr>
      <w:r>
        <w:separator/>
      </w:r>
    </w:p>
  </w:footnote>
  <w:footnote w:type="continuationSeparator" w:id="0">
    <w:p w14:paraId="43FB06C7" w14:textId="77777777" w:rsidR="00657FF6" w:rsidRDefault="00657FF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4B" w14:textId="77777777" w:rsidR="00B47838" w:rsidRDefault="00000000">
    <w:pPr>
      <w:pStyle w:val="a8"/>
    </w:pPr>
    <w:r>
      <w:rPr>
        <w:noProof/>
      </w:rPr>
      <mc:AlternateContent>
        <mc:Choice Requires="wps">
          <w:drawing>
            <wp:anchor distT="0" distB="0" distL="114300" distR="114300" simplePos="0" relativeHeight="251663360" behindDoc="0" locked="0" layoutInCell="0" allowOverlap="1" wp14:anchorId="74010B5D" wp14:editId="74010B5E">
              <wp:simplePos x="0" y="0"/>
              <wp:positionH relativeFrom="page">
                <wp:posOffset>-1270</wp:posOffset>
              </wp:positionH>
              <wp:positionV relativeFrom="topMargin">
                <wp:posOffset>0</wp:posOffset>
              </wp:positionV>
              <wp:extent cx="7560310" cy="575945"/>
              <wp:effectExtent l="0" t="0" r="3175" b="0"/>
              <wp:wrapNone/>
              <wp:docPr id="23" name="文本框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76000"/>
                      </a:xfrm>
                      <a:prstGeom prst="rect">
                        <a:avLst/>
                      </a:prstGeom>
                      <a:solidFill>
                        <a:srgbClr val="E5E5E5"/>
                      </a:solidFill>
                    </wps:spPr>
                    <wps:txbx>
                      <w:txbxContent>
                        <w:p w14:paraId="74010B72" w14:textId="77777777" w:rsidR="00B47838" w:rsidRDefault="00000000">
                          <w:pPr>
                            <w:tabs>
                              <w:tab w:val="right" w:pos="10830"/>
                            </w:tabs>
                            <w:ind w:left="737"/>
                            <w:textAlignment w:val="center"/>
                            <w:rPr>
                              <w:color w:val="FFFFFF" w:themeColor="background1"/>
                              <w:sz w:val="18"/>
                              <w:szCs w:val="18"/>
                              <w14:numForm w14:val="lining"/>
                            </w:rPr>
                          </w:pPr>
                          <w:r>
                            <w:rPr>
                              <w:rFonts w:hint="eastAsia"/>
                              <w:color w:val="FFFFFF" w:themeColor="background1"/>
                              <w14:numForm w14:val="lining"/>
                            </w:rPr>
                            <w:t xml:space="preserve"> </w:t>
                          </w:r>
                          <w:r>
                            <w:rPr>
                              <w:rFonts w:ascii="Candara" w:eastAsia="微软雅黑" w:hAnsi="Candara" w:cs="Arial"/>
                              <w:b/>
                              <w:i/>
                              <w:color w:val="000000" w:themeColor="text1"/>
                              <w:kern w:val="0"/>
                              <w:sz w:val="24"/>
                            </w:rPr>
                            <w:t>Report</w:t>
                          </w:r>
                          <w:r>
                            <w:rPr>
                              <w:rFonts w:hint="eastAsia"/>
                              <w:color w:val="FFFFFF" w:themeColor="background1"/>
                              <w14:numForm w14:val="lining"/>
                            </w:rPr>
                            <w:tab/>
                          </w:r>
                          <w:r>
                            <w:rPr>
                              <w:rFonts w:asciiTheme="majorHAnsi" w:hAnsiTheme="majorHAnsi" w:cs="Arial"/>
                              <w:bCs/>
                              <w:iCs/>
                              <w:color w:val="000000" w:themeColor="text1"/>
                              <w:sz w:val="16"/>
                              <w:szCs w:val="16"/>
                            </w:rPr>
                            <w:t>First author</w:t>
                          </w:r>
                          <w:r>
                            <w:rPr>
                              <w:rFonts w:asciiTheme="majorHAnsi" w:hAnsiTheme="majorHAnsi" w:cs="Arial" w:hint="eastAsia"/>
                              <w:bCs/>
                              <w:iCs/>
                              <w:color w:val="000000" w:themeColor="text1"/>
                              <w:sz w:val="16"/>
                              <w:szCs w:val="16"/>
                            </w:rPr>
                            <w:t xml:space="preserve"> </w:t>
                          </w:r>
                          <w:r>
                            <w:rPr>
                              <w:rFonts w:asciiTheme="majorHAnsi" w:hAnsiTheme="majorHAnsi" w:cs="Arial" w:hint="eastAsia"/>
                              <w:bCs/>
                              <w:i/>
                              <w:iCs/>
                              <w:color w:val="000000" w:themeColor="text1"/>
                              <w:sz w:val="16"/>
                              <w:szCs w:val="16"/>
                            </w:rPr>
                            <w:t>et al</w:t>
                          </w:r>
                          <w:r>
                            <w:rPr>
                              <w:rFonts w:asciiTheme="majorHAnsi" w:hAnsiTheme="majorHAnsi" w:cs="Arial" w:hint="eastAsia"/>
                              <w:bCs/>
                              <w:iCs/>
                              <w:color w:val="000000" w:themeColor="text1"/>
                              <w:sz w:val="16"/>
                              <w:szCs w:val="16"/>
                            </w:rPr>
                            <w:t>.</w:t>
                          </w:r>
                        </w:p>
                      </w:txbxContent>
                    </wps:txbx>
                    <wps:bodyPr rot="0" vert="horz" wrap="square" lIns="91440" tIns="0" rIns="91440" bIns="0" anchor="ctr" anchorCtr="0" upright="1">
                      <a:noAutofit/>
                    </wps:bodyPr>
                  </wps:wsp>
                </a:graphicData>
              </a:graphic>
            </wp:anchor>
          </w:drawing>
        </mc:Choice>
        <mc:Fallback>
          <w:pict>
            <v:shapetype w14:anchorId="74010B5D" id="_x0000_t202" coordsize="21600,21600" o:spt="202" path="m,l,21600r21600,l21600,xe">
              <v:stroke joinstyle="miter"/>
              <v:path gradientshapeok="t" o:connecttype="rect"/>
            </v:shapetype>
            <v:shape id="文本框 23" o:spid="_x0000_s1026" type="#_x0000_t202" style="position:absolute;margin-left:-.1pt;margin-top:0;width:595.3pt;height:45.35pt;z-index:251663360;visibility:visible;mso-wrap-style:square;mso-wrap-distance-left:9pt;mso-wrap-distance-top:0;mso-wrap-distance-right:9pt;mso-wrap-distance-bottom:0;mso-position-horizontal:absolute;mso-position-horizontal-relative:page;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" o:allowincell="f" fillcolor="#e5e5e5" stroked="f">
              <v:textbox inset=",0,,0">
                <w:txbxContent>
                  <w:p w14:paraId="74010B72" w14:textId="77777777" w:rsidR="00B47838" w:rsidRDefault="00000000">
                    <w:pPr>
                      <w:tabs>
                        <w:tab w:val="right" w:pos="10830"/>
                      </w:tabs>
                      <w:ind w:left="737"/>
                      <w:textAlignment w:val="center"/>
                      <w:rPr>
                        <w:color w:val="FFFFFF" w:themeColor="background1"/>
                        <w:sz w:val="18"/>
                        <w:szCs w:val="18"/>
                        <w14:numForm w14:val="lining"/>
                      </w:rPr>
                    </w:pPr>
                    <w:r>
                      <w:rPr>
                        <w:rFonts w:hint="eastAsia"/>
                        <w:color w:val="FFFFFF" w:themeColor="background1"/>
                        <w14:numForm w14:val="lining"/>
                      </w:rPr>
                      <w:t xml:space="preserve"> </w:t>
                    </w:r>
                    <w:r>
                      <w:rPr>
                        <w:rFonts w:ascii="Candara" w:eastAsia="微软雅黑" w:hAnsi="Candara" w:cs="Arial"/>
                        <w:b/>
                        <w:i/>
                        <w:color w:val="000000" w:themeColor="text1"/>
                        <w:kern w:val="0"/>
                        <w:sz w:val="24"/>
                      </w:rPr>
                      <w:t>Report</w:t>
                    </w:r>
                    <w:r>
                      <w:rPr>
                        <w:rFonts w:hint="eastAsia"/>
                        <w:color w:val="FFFFFF" w:themeColor="background1"/>
                        <w14:numForm w14:val="lining"/>
                      </w:rPr>
                      <w:tab/>
                    </w:r>
                    <w:r>
                      <w:rPr>
                        <w:rFonts w:asciiTheme="majorHAnsi" w:hAnsiTheme="majorHAnsi" w:cs="Arial"/>
                        <w:bCs/>
                        <w:iCs/>
                        <w:color w:val="000000" w:themeColor="text1"/>
                        <w:sz w:val="16"/>
                        <w:szCs w:val="16"/>
                      </w:rPr>
                      <w:t>First author</w:t>
                    </w:r>
                    <w:r>
                      <w:rPr>
                        <w:rFonts w:asciiTheme="majorHAnsi" w:hAnsiTheme="majorHAnsi" w:cs="Arial" w:hint="eastAsia"/>
                        <w:bCs/>
                        <w:iCs/>
                        <w:color w:val="000000" w:themeColor="text1"/>
                        <w:sz w:val="16"/>
                        <w:szCs w:val="16"/>
                      </w:rPr>
                      <w:t xml:space="preserve"> </w:t>
                    </w:r>
                    <w:r>
                      <w:rPr>
                        <w:rFonts w:asciiTheme="majorHAnsi" w:hAnsiTheme="majorHAnsi" w:cs="Arial" w:hint="eastAsia"/>
                        <w:bCs/>
                        <w:i/>
                        <w:iCs/>
                        <w:color w:val="000000" w:themeColor="text1"/>
                        <w:sz w:val="16"/>
                        <w:szCs w:val="16"/>
                      </w:rPr>
                      <w:t>et al</w:t>
                    </w:r>
                    <w:r>
                      <w:rPr>
                        <w:rFonts w:asciiTheme="majorHAnsi" w:hAnsiTheme="majorHAnsi" w:cs="Arial" w:hint="eastAsia"/>
                        <w:bCs/>
                        <w:iCs/>
                        <w:color w:val="000000" w:themeColor="text1"/>
                        <w:sz w:val="16"/>
                        <w:szCs w:val="16"/>
                      </w:rPr>
                      <w:t>.</w:t>
                    </w:r>
                  </w:p>
                </w:txbxContent>
              </v:textbox>
              <w10:wrap anchorx="page"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4C" w14:textId="77777777" w:rsidR="00B47838" w:rsidRDefault="00000000">
    <w:r>
      <w:rPr>
        <w:noProof/>
      </w:rPr>
      <mc:AlternateContent>
        <mc:Choice Requires="wps">
          <w:drawing>
            <wp:anchor distT="0" distB="0" distL="114300" distR="114300" simplePos="0" relativeHeight="251660288" behindDoc="0" locked="0" layoutInCell="1" allowOverlap="1" wp14:anchorId="74010B5F" wp14:editId="74010B60">
              <wp:simplePos x="0" y="0"/>
              <wp:positionH relativeFrom="column">
                <wp:posOffset>-1270</wp:posOffset>
              </wp:positionH>
              <wp:positionV relativeFrom="paragraph">
                <wp:posOffset>0</wp:posOffset>
              </wp:positionV>
              <wp:extent cx="5187315" cy="320675"/>
              <wp:effectExtent l="0" t="0" r="13335" b="3810"/>
              <wp:wrapNone/>
              <wp:docPr id="8" name="文本框 8"/>
              <wp:cNvGraphicFramePr/>
              <a:graphic xmlns:a="http://schemas.openxmlformats.org/drawingml/2006/main">
                <a:graphicData uri="http://schemas.microsoft.com/office/word/2010/wordprocessingShape">
                  <wps:wsp>
                    <wps:cNvSpPr txBox="1"/>
                    <wps:spPr>
                      <a:xfrm>
                        <a:off x="0" y="0"/>
                        <a:ext cx="5187600" cy="320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010B70" w14:textId="77777777" w:rsidR="00B47838" w:rsidRDefault="00B47838">
                          <w:pPr>
                            <w:tabs>
                              <w:tab w:val="left" w:pos="0"/>
                            </w:tabs>
                            <w:rPr>
                              <w:color w:val="000000" w:themeColor="text1"/>
                              <w:sz w:val="13"/>
                              <w:szCs w:val="13"/>
                            </w:rPr>
                          </w:pPr>
                        </w:p>
                      </w:txbxContent>
                    </wps:txbx>
                    <wps:bodyPr rot="0" spcFirstLastPara="0" vertOverflow="overflow" horzOverflow="overflow" vert="horz" wrap="square" lIns="18000" tIns="0" rIns="0" bIns="0" numCol="1" spcCol="0" rtlCol="0" fromWordArt="0" anchor="ctr" anchorCtr="0" forceAA="0" compatLnSpc="1">
                      <a:noAutofit/>
                    </wps:bodyPr>
                  </wps:wsp>
                </a:graphicData>
              </a:graphic>
            </wp:anchor>
          </w:drawing>
        </mc:Choice>
        <mc:Fallback>
          <w:pict>
            <v:shapetype w14:anchorId="74010B5F" id="_x0000_t202" coordsize="21600,21600" o:spt="202" path="m,l,21600r21600,l21600,xe">
              <v:stroke joinstyle="miter"/>
              <v:path gradientshapeok="t" o:connecttype="rect"/>
            </v:shapetype>
            <v:shape id="文本框 8" o:spid="_x0000_s1027" type="#_x0000_t202" style="position:absolute;margin-left:-.1pt;margin-top:0;width:408.45pt;height:25.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" filled="f" stroked="f" strokeweight=".5pt">
              <v:textbox inset=".5mm,0,0,0">
                <w:txbxContent>
                  <w:p w14:paraId="74010B70" w14:textId="77777777" w:rsidR="00B47838" w:rsidRDefault="00B47838">
                    <w:pPr>
                      <w:tabs>
                        <w:tab w:val="left" w:pos="0"/>
                      </w:tabs>
                      <w:rPr>
                        <w:color w:val="000000" w:themeColor="text1"/>
                        <w:sz w:val="13"/>
                        <w:szCs w:val="13"/>
                      </w:rPr>
                    </w:pP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4010B61" wp14:editId="74010B62">
              <wp:simplePos x="0" y="0"/>
              <wp:positionH relativeFrom="column">
                <wp:posOffset>0</wp:posOffset>
              </wp:positionH>
              <wp:positionV relativeFrom="page">
                <wp:posOffset>504190</wp:posOffset>
              </wp:positionV>
              <wp:extent cx="6336030" cy="323850"/>
              <wp:effectExtent l="0" t="0" r="8255" b="0"/>
              <wp:wrapNone/>
              <wp:docPr id="9" name="文本框 9"/>
              <wp:cNvGraphicFramePr/>
              <a:graphic xmlns:a="http://schemas.openxmlformats.org/drawingml/2006/main">
                <a:graphicData uri="http://schemas.microsoft.com/office/word/2010/wordprocessingShape">
                  <wps:wsp>
                    <wps:cNvSpPr txBox="1"/>
                    <wps:spPr>
                      <a:xfrm>
                        <a:off x="0" y="0"/>
                        <a:ext cx="6336000" cy="324000"/>
                      </a:xfrm>
                      <a:prstGeom prst="rect">
                        <a:avLst/>
                      </a:prstGeom>
                      <a:solidFill>
                        <a:schemeClr val="tx2">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010B71" w14:textId="77777777" w:rsidR="00B47838" w:rsidRDefault="00000000">
                          <w:pPr>
                            <w:tabs>
                              <w:tab w:val="right" w:pos="9923"/>
                            </w:tabs>
                            <w:ind w:left="57"/>
                            <w:rPr>
                              <w:i/>
                              <w:color w:val="0036A2"/>
                              <w:sz w:val="24"/>
                            </w:rPr>
                          </w:pPr>
                          <w:r>
                            <w:rPr>
                              <w:rFonts w:ascii="Cambria" w:hAnsi="Cambria" w:hint="eastAsia"/>
                              <w:sz w:val="16"/>
                              <w:szCs w:val="16"/>
                            </w:rPr>
                            <w:tab/>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Chin</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 xml:space="preserve"> J</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 xml:space="preserve"> Chem</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p>
                      </w:txbxContent>
                    </wps:txbx>
                    <wps:bodyPr rot="0" spcFirstLastPara="0" vertOverflow="overflow" horzOverflow="overflow" vert="horz" wrap="square" lIns="0" tIns="0" rIns="36000" bIns="0" numCol="1" spcCol="0" rtlCol="0" fromWordArt="0" anchor="ctr" anchorCtr="0" forceAA="0" compatLnSpc="1">
                      <a:noAutofit/>
                    </wps:bodyPr>
                  </wps:wsp>
                </a:graphicData>
              </a:graphic>
            </wp:anchor>
          </w:drawing>
        </mc:Choice>
        <mc:Fallback>
          <w:pict>
            <v:shape w14:anchorId="74010B61" id="文本框 9" o:spid="_x0000_s1028" type="#_x0000_t202" style="position:absolute;margin-left:0;margin-top:39.7pt;width:498.9pt;height:25.5pt;z-index:251661312;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" fillcolor="#c6d9f1 [671]" stroked="f" strokeweight=".5pt">
              <v:textbox inset="0,0,1mm,0">
                <w:txbxContent>
                  <w:p w14:paraId="74010B71" w14:textId="77777777" w:rsidR="00B47838" w:rsidRDefault="00000000">
                    <w:pPr>
                      <w:tabs>
                        <w:tab w:val="right" w:pos="9923"/>
                      </w:tabs>
                      <w:ind w:left="57"/>
                      <w:rPr>
                        <w:i/>
                        <w:color w:val="0036A2"/>
                        <w:sz w:val="24"/>
                      </w:rPr>
                    </w:pPr>
                    <w:r>
                      <w:rPr>
                        <w:rFonts w:ascii="Cambria" w:hAnsi="Cambria" w:hint="eastAsia"/>
                        <w:sz w:val="16"/>
                        <w:szCs w:val="16"/>
                      </w:rPr>
                      <w:tab/>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Chin</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 xml:space="preserve"> J</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r>
                      <w:rPr>
                        <w:rFonts w:eastAsia="微软雅黑"/>
                        <w:b/>
                        <w:i/>
                        <w:color w:val="262626" w:themeColor="text1" w:themeTint="D9"/>
                        <w:sz w:val="24"/>
                        <w14:shadow w14:blurRad="50800" w14:dist="38100" w14:dir="2700000" w14:sx="100000" w14:sy="100000" w14:kx="0" w14:ky="0" w14:algn="ctr">
                          <w14:schemeClr w14:val="bg1">
                            <w14:lumMod w14:val="65000"/>
                          </w14:schemeClr>
                        </w14:shadow>
                      </w:rPr>
                      <w:t xml:space="preserve"> Chem</w:t>
                    </w:r>
                    <w:r>
                      <w:rPr>
                        <w:rFonts w:eastAsia="微软雅黑" w:hint="eastAsia"/>
                        <w:b/>
                        <w:i/>
                        <w:color w:val="262626" w:themeColor="text1" w:themeTint="D9"/>
                        <w:sz w:val="24"/>
                        <w14:shadow w14:blurRad="50800" w14:dist="38100" w14:dir="2700000" w14:sx="100000" w14:sy="100000" w14:kx="0" w14:ky="0" w14:algn="ctr">
                          <w14:schemeClr w14:val="bg1">
                            <w14:lumMod w14:val="65000"/>
                          </w14:schemeClr>
                        </w14:shadow>
                      </w:rPr>
                      <w:t>.</w:t>
                    </w:r>
                  </w:p>
                </w:txbxContent>
              </v:textbox>
              <w10:wrap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1" w14:textId="77777777" w:rsidR="00B47838" w:rsidRDefault="00000000">
    <w:r>
      <w:rPr>
        <w:noProof/>
      </w:rPr>
      <mc:AlternateContent>
        <mc:Choice Requires="wps">
          <w:drawing>
            <wp:anchor distT="0" distB="0" distL="114300" distR="114300" simplePos="0" relativeHeight="251664384" behindDoc="0" locked="0" layoutInCell="1" allowOverlap="1" wp14:anchorId="74010B63" wp14:editId="74010B64">
              <wp:simplePos x="0" y="0"/>
              <wp:positionH relativeFrom="column">
                <wp:posOffset>2108200</wp:posOffset>
              </wp:positionH>
              <wp:positionV relativeFrom="paragraph">
                <wp:posOffset>-339725</wp:posOffset>
              </wp:positionV>
              <wp:extent cx="2722880" cy="281305"/>
              <wp:effectExtent l="0" t="0" r="1270" b="4445"/>
              <wp:wrapNone/>
              <wp:docPr id="7" name="文本框 7"/>
              <wp:cNvGraphicFramePr/>
              <a:graphic xmlns:a="http://schemas.openxmlformats.org/drawingml/2006/main">
                <a:graphicData uri="http://schemas.microsoft.com/office/word/2010/wordprocessingShape">
                  <wps:wsp>
                    <wps:cNvSpPr txBox="1"/>
                    <wps:spPr>
                      <a:xfrm>
                        <a:off x="0" y="0"/>
                        <a:ext cx="2723103" cy="28132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010B6D" w14:textId="77777777" w:rsidR="00B47838" w:rsidRDefault="00000000">
                          <w:pPr>
                            <w:spacing w:line="200" w:lineRule="exact"/>
                            <w:rPr>
                              <w:color w:val="000000" w:themeColor="text1"/>
                            </w:rPr>
                          </w:pPr>
                          <w:r>
                            <w:rPr>
                              <w:b/>
                              <w:color w:val="2C2FA6"/>
                              <w:sz w:val="14"/>
                              <w:szCs w:val="14"/>
                            </w:rPr>
                            <w:t>For submission</w:t>
                          </w:r>
                          <w:r>
                            <w:rPr>
                              <w:color w:val="000000" w:themeColor="text1"/>
                              <w:sz w:val="14"/>
                              <w:szCs w:val="14"/>
                            </w:rPr>
                            <w:t xml:space="preserve">: </w:t>
                          </w:r>
                          <w:hyperlink r:id="rId1" w:history="1">
                            <w:r>
                              <w:rPr>
                                <w:rStyle w:val="af0"/>
                                <w:color w:val="000000" w:themeColor="text1"/>
                                <w:sz w:val="14"/>
                                <w:szCs w:val="14"/>
                                <w:u w:val="none"/>
                              </w:rPr>
                              <w:t>https://mc.manuscriptcentral.com/cjoc</w:t>
                            </w:r>
                          </w:hyperlink>
                          <w:r>
                            <w:rPr>
                              <w:sz w:val="14"/>
                              <w:szCs w:val="14"/>
                            </w:rPr>
                            <w:br/>
                          </w:r>
                          <w:r>
                            <w:rPr>
                              <w:b/>
                              <w:color w:val="2C2FA6"/>
                              <w:sz w:val="14"/>
                              <w:szCs w:val="14"/>
                            </w:rPr>
                            <w:t>For published articles</w:t>
                          </w:r>
                          <w:r>
                            <w:rPr>
                              <w:color w:val="2C2FA6"/>
                              <w:sz w:val="14"/>
                              <w:szCs w:val="14"/>
                            </w:rPr>
                            <w:t>:</w:t>
                          </w:r>
                          <w:r>
                            <w:rPr>
                              <w:color w:val="0402FC"/>
                              <w:sz w:val="14"/>
                              <w:szCs w:val="14"/>
                            </w:rPr>
                            <w:t xml:space="preserve"> </w:t>
                          </w:r>
                          <w:hyperlink r:id="rId2" w:history="1">
                            <w:r>
                              <w:rPr>
                                <w:rStyle w:val="af0"/>
                                <w:color w:val="000000" w:themeColor="text1"/>
                                <w:sz w:val="14"/>
                                <w:szCs w:val="14"/>
                                <w:u w:val="none"/>
                              </w:rPr>
                              <w:t>https://onlinelibrary.wiley.com/journal/16147065</w:t>
                            </w:r>
                          </w:hyperlink>
                        </w:p>
                        <w:p w14:paraId="74010B6E" w14:textId="77777777" w:rsidR="00B47838" w:rsidRDefault="00B47838"/>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shapetype w14:anchorId="74010B63" id="_x0000_t202" coordsize="21600,21600" o:spt="202" path="m,l,21600r21600,l21600,xe">
              <v:stroke joinstyle="miter"/>
              <v:path gradientshapeok="t" o:connecttype="rect"/>
            </v:shapetype>
            <v:shape id="文本框 7" o:spid="_x0000_s1029" type="#_x0000_t202" style="position:absolute;margin-left:166pt;margin-top:-26.75pt;width:214.4pt;height:22.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" filled="f" stroked="f" strokeweight=".5pt">
              <v:textbox inset="0,0,0,0">
                <w:txbxContent>
                  <w:p w14:paraId="74010B6D" w14:textId="77777777" w:rsidR="00B47838" w:rsidRDefault="00000000">
                    <w:pPr>
                      <w:spacing w:line="200" w:lineRule="exact"/>
                      <w:rPr>
                        <w:color w:val="000000" w:themeColor="text1"/>
                      </w:rPr>
                    </w:pPr>
                    <w:r>
                      <w:rPr>
                        <w:b/>
                        <w:color w:val="2C2FA6"/>
                        <w:sz w:val="14"/>
                        <w:szCs w:val="14"/>
                      </w:rPr>
                      <w:t>For submission</w:t>
                    </w:r>
                    <w:r>
                      <w:rPr>
                        <w:color w:val="000000" w:themeColor="text1"/>
                        <w:sz w:val="14"/>
                        <w:szCs w:val="14"/>
                      </w:rPr>
                      <w:t xml:space="preserve">: </w:t>
                    </w:r>
                    <w:hyperlink r:id="rId3" w:history="1">
                      <w:r>
                        <w:rPr>
                          <w:rStyle w:val="af0"/>
                          <w:color w:val="000000" w:themeColor="text1"/>
                          <w:sz w:val="14"/>
                          <w:szCs w:val="14"/>
                          <w:u w:val="none"/>
                        </w:rPr>
                        <w:t>https://mc.manuscriptcentral.com/cjoc</w:t>
                      </w:r>
                    </w:hyperlink>
                    <w:r>
                      <w:rPr>
                        <w:sz w:val="14"/>
                        <w:szCs w:val="14"/>
                      </w:rPr>
                      <w:br/>
                    </w:r>
                    <w:r>
                      <w:rPr>
                        <w:b/>
                        <w:color w:val="2C2FA6"/>
                        <w:sz w:val="14"/>
                        <w:szCs w:val="14"/>
                      </w:rPr>
                      <w:t>For published articles</w:t>
                    </w:r>
                    <w:r>
                      <w:rPr>
                        <w:color w:val="2C2FA6"/>
                        <w:sz w:val="14"/>
                        <w:szCs w:val="14"/>
                      </w:rPr>
                      <w:t>:</w:t>
                    </w:r>
                    <w:r>
                      <w:rPr>
                        <w:color w:val="0402FC"/>
                        <w:sz w:val="14"/>
                        <w:szCs w:val="14"/>
                      </w:rPr>
                      <w:t xml:space="preserve"> </w:t>
                    </w:r>
                    <w:hyperlink r:id="rId4" w:history="1">
                      <w:r>
                        <w:rPr>
                          <w:rStyle w:val="af0"/>
                          <w:color w:val="000000" w:themeColor="text1"/>
                          <w:sz w:val="14"/>
                          <w:szCs w:val="14"/>
                          <w:u w:val="none"/>
                        </w:rPr>
                        <w:t>https://onlinelibrary.wiley.com/journal/16147065</w:t>
                      </w:r>
                    </w:hyperlink>
                  </w:p>
                  <w:p w14:paraId="74010B6E" w14:textId="77777777" w:rsidR="00B47838" w:rsidRDefault="00B47838"/>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74010B65" wp14:editId="74010B66">
              <wp:simplePos x="0" y="0"/>
              <wp:positionH relativeFrom="page">
                <wp:align>left</wp:align>
              </wp:positionH>
              <wp:positionV relativeFrom="topMargin">
                <wp:posOffset>0</wp:posOffset>
              </wp:positionV>
              <wp:extent cx="7560310" cy="575945"/>
              <wp:effectExtent l="0" t="0" r="3175" b="0"/>
              <wp:wrapNone/>
              <wp:docPr id="474" name="文本框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76000"/>
                      </a:xfrm>
                      <a:prstGeom prst="rect">
                        <a:avLst/>
                      </a:prstGeom>
                      <a:solidFill>
                        <a:srgbClr val="E5E5E5"/>
                      </a:solidFill>
                    </wps:spPr>
                    <wps:txbx>
                      <w:txbxContent>
                        <w:p w14:paraId="74010B6F" w14:textId="77777777" w:rsidR="00B47838" w:rsidRDefault="00000000">
                          <w:pPr>
                            <w:tabs>
                              <w:tab w:val="right" w:pos="10830"/>
                            </w:tabs>
                            <w:ind w:left="737"/>
                            <w:textAlignment w:val="center"/>
                            <w:rPr>
                              <w:rFonts w:ascii="Candara" w:hAnsi="Candara"/>
                              <w:color w:val="FFFFFF" w:themeColor="background1"/>
                              <w:sz w:val="24"/>
                              <w14:numForm w14:val="lining"/>
                            </w:rPr>
                          </w:pPr>
                          <w:r>
                            <w:rPr>
                              <w:noProof/>
                            </w:rPr>
                            <w:drawing>
                              <wp:inline distT="0" distB="0" distL="0" distR="0" wp14:anchorId="74010B74" wp14:editId="74010B75">
                                <wp:extent cx="1579880" cy="37020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1612231" cy="377699"/>
                                        </a:xfrm>
                                        <a:prstGeom prst="rect">
                                          <a:avLst/>
                                        </a:prstGeom>
                                        <a:noFill/>
                                        <a:ln>
                                          <a:noFill/>
                                        </a:ln>
                                      </pic:spPr>
                                    </pic:pic>
                                  </a:graphicData>
                                </a:graphic>
                              </wp:inline>
                            </w:drawing>
                          </w:r>
                          <w:r>
                            <w:rPr>
                              <w:rFonts w:hint="eastAsia"/>
                              <w:color w:val="FFFFFF" w:themeColor="background1"/>
                              <w14:numForm w14:val="lining"/>
                            </w:rPr>
                            <w:t xml:space="preserve"> </w:t>
                          </w:r>
                          <w:r>
                            <w:rPr>
                              <w:rFonts w:hint="eastAsia"/>
                              <w:color w:val="FFFFFF" w:themeColor="background1"/>
                              <w14:numForm w14:val="lining"/>
                            </w:rPr>
                            <w:tab/>
                          </w:r>
                          <w:r>
                            <w:rPr>
                              <w:rFonts w:ascii="Candara" w:eastAsia="微软雅黑" w:hAnsi="Candara" w:cs="Arial"/>
                              <w:b/>
                              <w:i/>
                              <w:color w:val="000000" w:themeColor="text1"/>
                              <w:kern w:val="0"/>
                              <w:sz w:val="24"/>
                            </w:rPr>
                            <w:t>Report</w:t>
                          </w:r>
                        </w:p>
                      </w:txbxContent>
                    </wps:txbx>
                    <wps:bodyPr rot="0" vert="horz" wrap="square" lIns="91440" tIns="0" rIns="91440" bIns="0" anchor="ctr" anchorCtr="0" upright="1">
                      <a:noAutofit/>
                    </wps:bodyPr>
                  </wps:wsp>
                </a:graphicData>
              </a:graphic>
            </wp:anchor>
          </w:drawing>
        </mc:Choice>
        <mc:Fallback>
          <w:pict>
            <v:shape w14:anchorId="74010B65" id="文本框 474" o:spid="_x0000_s1030" type="#_x0000_t202" style="position:absolute;margin-left:0;margin-top:0;width:595.3pt;height:45.35pt;z-index:251662336;visibility:visible;mso-wrap-style:square;mso-wrap-distance-left:9pt;mso-wrap-distance-top:0;mso-wrap-distance-right:9pt;mso-wrap-distance-bottom:0;mso-position-horizontal:left;mso-position-horizontal-relative:page;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" o:allowincell="f" fillcolor="#e5e5e5" stroked="f">
              <v:textbox inset=",0,,0">
                <w:txbxContent>
                  <w:p w14:paraId="74010B6F" w14:textId="77777777" w:rsidR="00B47838" w:rsidRDefault="00000000">
                    <w:pPr>
                      <w:tabs>
                        <w:tab w:val="right" w:pos="10830"/>
                      </w:tabs>
                      <w:ind w:left="737"/>
                      <w:textAlignment w:val="center"/>
                      <w:rPr>
                        <w:rFonts w:ascii="Candara" w:hAnsi="Candara"/>
                        <w:color w:val="FFFFFF" w:themeColor="background1"/>
                        <w:sz w:val="24"/>
                        <w14:numForm w14:val="lining"/>
                      </w:rPr>
                    </w:pPr>
                    <w:r>
                      <w:rPr>
                        <w:noProof/>
                      </w:rPr>
                      <w:drawing>
                        <wp:inline distT="0" distB="0" distL="0" distR="0" wp14:anchorId="74010B74" wp14:editId="74010B75">
                          <wp:extent cx="1579880" cy="37020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1612231" cy="377699"/>
                                  </a:xfrm>
                                  <a:prstGeom prst="rect">
                                    <a:avLst/>
                                  </a:prstGeom>
                                  <a:noFill/>
                                  <a:ln>
                                    <a:noFill/>
                                  </a:ln>
                                </pic:spPr>
                              </pic:pic>
                            </a:graphicData>
                          </a:graphic>
                        </wp:inline>
                      </w:drawing>
                    </w:r>
                    <w:r>
                      <w:rPr>
                        <w:rFonts w:hint="eastAsia"/>
                        <w:color w:val="FFFFFF" w:themeColor="background1"/>
                        <w14:numForm w14:val="lining"/>
                      </w:rPr>
                      <w:t xml:space="preserve"> </w:t>
                    </w:r>
                    <w:r>
                      <w:rPr>
                        <w:rFonts w:hint="eastAsia"/>
                        <w:color w:val="FFFFFF" w:themeColor="background1"/>
                        <w14:numForm w14:val="lining"/>
                      </w:rPr>
                      <w:tab/>
                    </w:r>
                    <w:r>
                      <w:rPr>
                        <w:rFonts w:ascii="Candara" w:eastAsia="微软雅黑" w:hAnsi="Candara" w:cs="Arial"/>
                        <w:b/>
                        <w:i/>
                        <w:color w:val="000000" w:themeColor="text1"/>
                        <w:kern w:val="0"/>
                        <w:sz w:val="24"/>
                      </w:rPr>
                      <w:t>Report</w:t>
                    </w:r>
                  </w:p>
                </w:txbxContent>
              </v:textbox>
              <w10:wrap anchorx="page"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6" w14:textId="77777777" w:rsidR="00B47838" w:rsidRDefault="00000000">
    <w:r>
      <w:rPr>
        <w:noProof/>
      </w:rPr>
      <mc:AlternateContent>
        <mc:Choice Requires="wps">
          <w:drawing>
            <wp:anchor distT="0" distB="0" distL="114300" distR="114300" simplePos="0" relativeHeight="251665408" behindDoc="0" locked="0" layoutInCell="0" allowOverlap="1" wp14:anchorId="74010B69" wp14:editId="74010B6A">
              <wp:simplePos x="0" y="0"/>
              <wp:positionH relativeFrom="page">
                <wp:posOffset>0</wp:posOffset>
              </wp:positionH>
              <wp:positionV relativeFrom="topMargin">
                <wp:posOffset>0</wp:posOffset>
              </wp:positionV>
              <wp:extent cx="7560310" cy="575945"/>
              <wp:effectExtent l="0" t="0" r="3175" b="0"/>
              <wp:wrapNone/>
              <wp:docPr id="26" name="文本框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76000"/>
                      </a:xfrm>
                      <a:prstGeom prst="rect">
                        <a:avLst/>
                      </a:prstGeom>
                      <a:solidFill>
                        <a:srgbClr val="E5E5E5"/>
                      </a:solidFill>
                    </wps:spPr>
                    <wps:txbx>
                      <w:txbxContent>
                        <w:p w14:paraId="74010B73" w14:textId="77777777" w:rsidR="00B47838" w:rsidRDefault="00000000">
                          <w:pPr>
                            <w:tabs>
                              <w:tab w:val="right" w:pos="10830"/>
                            </w:tabs>
                            <w:ind w:left="737"/>
                            <w:rPr>
                              <w:color w:val="FFFFFF" w:themeColor="background1"/>
                              <w:sz w:val="18"/>
                              <w:szCs w:val="18"/>
                              <w14:numForm w14:val="lining"/>
                            </w:rPr>
                          </w:pPr>
                          <w:r>
                            <w:rPr>
                              <w:rFonts w:hint="eastAsia"/>
                              <w:color w:val="FFFFFF" w:themeColor="background1"/>
                              <w14:numForm w14:val="lining"/>
                            </w:rPr>
                            <w:t xml:space="preserve"> </w:t>
                          </w:r>
                          <w:r>
                            <w:rPr>
                              <w:sz w:val="16"/>
                              <w:szCs w:val="16"/>
                            </w:rPr>
                            <w:t>Running title</w:t>
                          </w:r>
                          <w:r>
                            <w:rPr>
                              <w:rFonts w:hint="eastAsia"/>
                              <w:color w:val="FFFFFF" w:themeColor="background1"/>
                              <w14:numForm w14:val="lining"/>
                            </w:rPr>
                            <w:tab/>
                          </w:r>
                          <w:r>
                            <w:rPr>
                              <w:rFonts w:eastAsia="微软雅黑"/>
                              <w:b/>
                              <w:i/>
                              <w:color w:val="262626" w:themeColor="text1" w:themeTint="D9"/>
                              <w:sz w:val="24"/>
                              <w14:shadow w14:blurRad="50800" w14:dist="38100" w14:dir="2700000" w14:sx="100000" w14:sy="100000" w14:kx="0" w14:ky="0" w14:algn="ctr">
                                <w14:srgbClr w14:val="A6A6A6"/>
                              </w14:shadow>
                            </w:rPr>
                            <w:t>Chin</w:t>
                          </w:r>
                          <w:r>
                            <w:rPr>
                              <w:rFonts w:eastAsia="微软雅黑" w:hint="eastAsia"/>
                              <w:b/>
                              <w:i/>
                              <w:color w:val="262626" w:themeColor="text1" w:themeTint="D9"/>
                              <w:sz w:val="24"/>
                              <w14:shadow w14:blurRad="50800" w14:dist="38100" w14:dir="2700000" w14:sx="100000" w14:sy="100000" w14:kx="0" w14:ky="0" w14:algn="ctr">
                                <w14:srgbClr w14:val="A6A6A6"/>
                              </w14:shadow>
                            </w:rPr>
                            <w:t>.</w:t>
                          </w:r>
                          <w:r>
                            <w:rPr>
                              <w:rFonts w:eastAsia="微软雅黑"/>
                              <w:b/>
                              <w:i/>
                              <w:color w:val="262626" w:themeColor="text1" w:themeTint="D9"/>
                              <w:sz w:val="24"/>
                              <w14:shadow w14:blurRad="50800" w14:dist="38100" w14:dir="2700000" w14:sx="100000" w14:sy="100000" w14:kx="0" w14:ky="0" w14:algn="ctr">
                                <w14:srgbClr w14:val="A6A6A6"/>
                              </w14:shadow>
                            </w:rPr>
                            <w:t xml:space="preserve"> J</w:t>
                          </w:r>
                          <w:r>
                            <w:rPr>
                              <w:rFonts w:eastAsia="微软雅黑" w:hint="eastAsia"/>
                              <w:b/>
                              <w:i/>
                              <w:color w:val="262626" w:themeColor="text1" w:themeTint="D9"/>
                              <w:sz w:val="24"/>
                              <w14:shadow w14:blurRad="50800" w14:dist="38100" w14:dir="2700000" w14:sx="100000" w14:sy="100000" w14:kx="0" w14:ky="0" w14:algn="ctr">
                                <w14:srgbClr w14:val="A6A6A6"/>
                              </w14:shadow>
                            </w:rPr>
                            <w:t>.</w:t>
                          </w:r>
                          <w:r>
                            <w:rPr>
                              <w:rFonts w:eastAsia="微软雅黑"/>
                              <w:b/>
                              <w:i/>
                              <w:color w:val="262626" w:themeColor="text1" w:themeTint="D9"/>
                              <w:sz w:val="24"/>
                              <w14:shadow w14:blurRad="50800" w14:dist="38100" w14:dir="2700000" w14:sx="100000" w14:sy="100000" w14:kx="0" w14:ky="0" w14:algn="ctr">
                                <w14:srgbClr w14:val="A6A6A6"/>
                              </w14:shadow>
                            </w:rPr>
                            <w:t xml:space="preserve"> Chem</w:t>
                          </w:r>
                          <w:r>
                            <w:rPr>
                              <w:rFonts w:eastAsia="微软雅黑" w:hint="eastAsia"/>
                              <w:b/>
                              <w:i/>
                              <w:color w:val="262626" w:themeColor="text1" w:themeTint="D9"/>
                              <w:sz w:val="24"/>
                              <w14:shadow w14:blurRad="50800" w14:dist="38100" w14:dir="2700000" w14:sx="100000" w14:sy="100000" w14:kx="0" w14:ky="0" w14:algn="ctr">
                                <w14:srgbClr w14:val="A6A6A6"/>
                              </w14:shadow>
                            </w:rPr>
                            <w:t>.</w:t>
                          </w:r>
                        </w:p>
                      </w:txbxContent>
                    </wps:txbx>
                    <wps:bodyPr rot="0" vert="horz" wrap="square" lIns="91440" tIns="0" rIns="91440" bIns="0" anchor="ctr" anchorCtr="0" upright="1">
                      <a:noAutofit/>
                    </wps:bodyPr>
                  </wps:wsp>
                </a:graphicData>
              </a:graphic>
            </wp:anchor>
          </w:drawing>
        </mc:Choice>
        <mc:Fallback>
          <w:pict>
            <v:shapetype w14:anchorId="74010B69" id="_x0000_t202" coordsize="21600,21600" o:spt="202" path="m,l,21600r21600,l21600,xe">
              <v:stroke joinstyle="miter"/>
              <v:path gradientshapeok="t" o:connecttype="rect"/>
            </v:shapetype>
            <v:shape id="文本框 26" o:spid="_x0000_s1031" type="#_x0000_t202" style="position:absolute;margin-left:0;margin-top:0;width:595.3pt;height:45.35pt;z-index:251665408;visibility:visible;mso-wrap-style:square;mso-wrap-distance-left:9pt;mso-wrap-distance-top:0;mso-wrap-distance-right:9pt;mso-wrap-distance-bottom:0;mso-position-horizontal:absolute;mso-position-horizontal-relative:page;mso-position-vertical:absolute;mso-position-vertical-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" o:allowincell="f" fillcolor="#e5e5e5" stroked="f">
              <v:textbox inset=",0,,0">
                <w:txbxContent>
                  <w:p w14:paraId="74010B73" w14:textId="77777777" w:rsidR="00B47838" w:rsidRDefault="00000000">
                    <w:pPr>
                      <w:tabs>
                        <w:tab w:val="right" w:pos="10830"/>
                      </w:tabs>
                      <w:ind w:left="737"/>
                      <w:rPr>
                        <w:color w:val="FFFFFF" w:themeColor="background1"/>
                        <w:sz w:val="18"/>
                        <w:szCs w:val="18"/>
                        <w14:numForm w14:val="lining"/>
                      </w:rPr>
                    </w:pPr>
                    <w:r>
                      <w:rPr>
                        <w:rFonts w:hint="eastAsia"/>
                        <w:color w:val="FFFFFF" w:themeColor="background1"/>
                        <w14:numForm w14:val="lining"/>
                      </w:rPr>
                      <w:t xml:space="preserve"> </w:t>
                    </w:r>
                    <w:r>
                      <w:rPr>
                        <w:sz w:val="16"/>
                        <w:szCs w:val="16"/>
                      </w:rPr>
                      <w:t>Running title</w:t>
                    </w:r>
                    <w:r>
                      <w:rPr>
                        <w:rFonts w:hint="eastAsia"/>
                        <w:color w:val="FFFFFF" w:themeColor="background1"/>
                        <w14:numForm w14:val="lining"/>
                      </w:rPr>
                      <w:tab/>
                    </w:r>
                    <w:r>
                      <w:rPr>
                        <w:rFonts w:eastAsia="微软雅黑"/>
                        <w:b/>
                        <w:i/>
                        <w:color w:val="262626" w:themeColor="text1" w:themeTint="D9"/>
                        <w:sz w:val="24"/>
                        <w14:shadow w14:blurRad="50800" w14:dist="38100" w14:dir="2700000" w14:sx="100000" w14:sy="100000" w14:kx="0" w14:ky="0" w14:algn="ctr">
                          <w14:srgbClr w14:val="A6A6A6"/>
                        </w14:shadow>
                      </w:rPr>
                      <w:t>Chin</w:t>
                    </w:r>
                    <w:r>
                      <w:rPr>
                        <w:rFonts w:eastAsia="微软雅黑" w:hint="eastAsia"/>
                        <w:b/>
                        <w:i/>
                        <w:color w:val="262626" w:themeColor="text1" w:themeTint="D9"/>
                        <w:sz w:val="24"/>
                        <w14:shadow w14:blurRad="50800" w14:dist="38100" w14:dir="2700000" w14:sx="100000" w14:sy="100000" w14:kx="0" w14:ky="0" w14:algn="ctr">
                          <w14:srgbClr w14:val="A6A6A6"/>
                        </w14:shadow>
                      </w:rPr>
                      <w:t>.</w:t>
                    </w:r>
                    <w:r>
                      <w:rPr>
                        <w:rFonts w:eastAsia="微软雅黑"/>
                        <w:b/>
                        <w:i/>
                        <w:color w:val="262626" w:themeColor="text1" w:themeTint="D9"/>
                        <w:sz w:val="24"/>
                        <w14:shadow w14:blurRad="50800" w14:dist="38100" w14:dir="2700000" w14:sx="100000" w14:sy="100000" w14:kx="0" w14:ky="0" w14:algn="ctr">
                          <w14:srgbClr w14:val="A6A6A6"/>
                        </w14:shadow>
                      </w:rPr>
                      <w:t xml:space="preserve"> J</w:t>
                    </w:r>
                    <w:r>
                      <w:rPr>
                        <w:rFonts w:eastAsia="微软雅黑" w:hint="eastAsia"/>
                        <w:b/>
                        <w:i/>
                        <w:color w:val="262626" w:themeColor="text1" w:themeTint="D9"/>
                        <w:sz w:val="24"/>
                        <w14:shadow w14:blurRad="50800" w14:dist="38100" w14:dir="2700000" w14:sx="100000" w14:sy="100000" w14:kx="0" w14:ky="0" w14:algn="ctr">
                          <w14:srgbClr w14:val="A6A6A6"/>
                        </w14:shadow>
                      </w:rPr>
                      <w:t>.</w:t>
                    </w:r>
                    <w:r>
                      <w:rPr>
                        <w:rFonts w:eastAsia="微软雅黑"/>
                        <w:b/>
                        <w:i/>
                        <w:color w:val="262626" w:themeColor="text1" w:themeTint="D9"/>
                        <w:sz w:val="24"/>
                        <w14:shadow w14:blurRad="50800" w14:dist="38100" w14:dir="2700000" w14:sx="100000" w14:sy="100000" w14:kx="0" w14:ky="0" w14:algn="ctr">
                          <w14:srgbClr w14:val="A6A6A6"/>
                        </w14:shadow>
                      </w:rPr>
                      <w:t xml:space="preserve"> Chem</w:t>
                    </w:r>
                    <w:r>
                      <w:rPr>
                        <w:rFonts w:eastAsia="微软雅黑" w:hint="eastAsia"/>
                        <w:b/>
                        <w:i/>
                        <w:color w:val="262626" w:themeColor="text1" w:themeTint="D9"/>
                        <w:sz w:val="24"/>
                        <w14:shadow w14:blurRad="50800" w14:dist="38100" w14:dir="2700000" w14:sx="100000" w14:sy="100000" w14:kx="0" w14:ky="0" w14:algn="ctr">
                          <w14:srgbClr w14:val="A6A6A6"/>
                        </w14:shadow>
                      </w:rPr>
                      <w:t>.</w:t>
                    </w:r>
                  </w:p>
                </w:txbxContent>
              </v:textbox>
              <w10:wrap anchorx="page"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10B5B" w14:textId="77777777" w:rsidR="00B47838" w:rsidRDefault="00B4783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C7A1EE7"/>
    <w:multiLevelType w:val="multilevel"/>
    <w:tmpl w:val="7C7A1EE7"/>
    <w:lvl w:ilvl="0">
      <w:start w:val="1"/>
      <w:numFmt w:val="none"/>
      <w:pStyle w:val="1"/>
      <w:suff w:val="nothing"/>
      <w:lvlText w:val="%1"/>
      <w:lvlJc w:val="left"/>
      <w:pPr>
        <w:ind w:left="57" w:firstLine="0"/>
      </w:pPr>
      <w:rPr>
        <w:rFonts w:hint="eastAsia"/>
      </w:rPr>
    </w:lvl>
    <w:lvl w:ilvl="1">
      <w:start w:val="1"/>
      <w:numFmt w:val="none"/>
      <w:suff w:val="nothing"/>
      <w:lvlText w:val="%1%2"/>
      <w:lvlJc w:val="left"/>
      <w:pPr>
        <w:ind w:left="57" w:firstLine="0"/>
      </w:pPr>
      <w:rPr>
        <w:rFonts w:hint="eastAsia"/>
      </w:rPr>
    </w:lvl>
    <w:lvl w:ilvl="2">
      <w:start w:val="1"/>
      <w:numFmt w:val="none"/>
      <w:pStyle w:val="Title2"/>
      <w:suff w:val="nothing"/>
      <w:lvlText w:val="%1"/>
      <w:lvlJc w:val="left"/>
      <w:pPr>
        <w:ind w:left="57" w:firstLine="0"/>
      </w:pPr>
      <w:rPr>
        <w:rFonts w:hint="eastAsia"/>
      </w:rPr>
    </w:lvl>
    <w:lvl w:ilvl="3">
      <w:start w:val="1"/>
      <w:numFmt w:val="decimal"/>
      <w:lvlRestart w:val="1"/>
      <w:pStyle w:val="References"/>
      <w:lvlText w:val="%1[%4]"/>
      <w:lvlJc w:val="right"/>
      <w:pPr>
        <w:tabs>
          <w:tab w:val="left" w:pos="340"/>
        </w:tabs>
        <w:ind w:left="340" w:hanging="85"/>
      </w:pPr>
      <w:rPr>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4">
      <w:start w:val="1"/>
      <w:numFmt w:val="decimal"/>
      <w:lvlText w:val="%1.%2.%3.%4.%5"/>
      <w:lvlJc w:val="left"/>
      <w:pPr>
        <w:tabs>
          <w:tab w:val="left" w:pos="4278"/>
        </w:tabs>
        <w:ind w:left="2608" w:hanging="850"/>
      </w:pPr>
      <w:rPr>
        <w:rFonts w:hint="eastAsia"/>
      </w:rPr>
    </w:lvl>
    <w:lvl w:ilvl="5">
      <w:start w:val="1"/>
      <w:numFmt w:val="decimal"/>
      <w:lvlText w:val="%1.%2.%3.%4.%5.%6"/>
      <w:lvlJc w:val="left"/>
      <w:pPr>
        <w:tabs>
          <w:tab w:val="left" w:pos="5423"/>
        </w:tabs>
        <w:ind w:left="3317" w:hanging="1134"/>
      </w:pPr>
      <w:rPr>
        <w:rFonts w:hint="eastAsia"/>
      </w:rPr>
    </w:lvl>
    <w:lvl w:ilvl="6">
      <w:start w:val="1"/>
      <w:numFmt w:val="decimal"/>
      <w:lvlText w:val="%1.%2.%3.%4.%5.%6.%7"/>
      <w:lvlJc w:val="left"/>
      <w:pPr>
        <w:tabs>
          <w:tab w:val="left" w:pos="6208"/>
        </w:tabs>
        <w:ind w:left="3884" w:hanging="1276"/>
      </w:pPr>
      <w:rPr>
        <w:rFonts w:hint="eastAsia"/>
      </w:rPr>
    </w:lvl>
    <w:lvl w:ilvl="7">
      <w:start w:val="1"/>
      <w:numFmt w:val="decimal"/>
      <w:lvlText w:val="%1.%2.%3.%4.%5.%6.%7.%8"/>
      <w:lvlJc w:val="left"/>
      <w:pPr>
        <w:tabs>
          <w:tab w:val="left" w:pos="7353"/>
        </w:tabs>
        <w:ind w:left="4451" w:hanging="1418"/>
      </w:pPr>
      <w:rPr>
        <w:rFonts w:hint="eastAsia"/>
      </w:rPr>
    </w:lvl>
    <w:lvl w:ilvl="8">
      <w:start w:val="1"/>
      <w:numFmt w:val="decimal"/>
      <w:lvlText w:val="%1.%2.%3.%4.%5.%6.%7.%8.%9"/>
      <w:lvlJc w:val="left"/>
      <w:pPr>
        <w:tabs>
          <w:tab w:val="left" w:pos="8139"/>
        </w:tabs>
        <w:ind w:left="5159" w:hanging="1700"/>
      </w:pPr>
      <w:rPr>
        <w:rFonts w:hint="eastAsia"/>
      </w:rPr>
    </w:lvl>
  </w:abstractNum>
  <w:num w:numId="1" w16cid:durableId="1371937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bordersDoNotSurroundHeader/>
  <w:bordersDoNotSurroundFooter/>
  <w:hideSpellingErrors/>
  <w:hideGrammaticalErrors/>
  <w:proofState w:spelling="clean" w:grammar="clean"/>
  <w:linkStyles/>
  <w:defaultTabStop w:val="57"/>
  <w:autoHyphenation/>
  <w:hyphenationZone w:val="357"/>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jMzYzFlYzg3NTA4MzIzMThhZTM2MzMzMzAwNjk1NWIifQ=="/>
  </w:docVars>
  <w:rsids>
    <w:rsidRoot w:val="00172A27"/>
    <w:rsid w:val="0000012B"/>
    <w:rsid w:val="000001F3"/>
    <w:rsid w:val="00001BE3"/>
    <w:rsid w:val="000022F5"/>
    <w:rsid w:val="0000255D"/>
    <w:rsid w:val="00002EDF"/>
    <w:rsid w:val="00003B1B"/>
    <w:rsid w:val="0000447A"/>
    <w:rsid w:val="00004729"/>
    <w:rsid w:val="00005422"/>
    <w:rsid w:val="00005B3B"/>
    <w:rsid w:val="00006174"/>
    <w:rsid w:val="000064CE"/>
    <w:rsid w:val="0000667C"/>
    <w:rsid w:val="00006B07"/>
    <w:rsid w:val="00007419"/>
    <w:rsid w:val="00007AA7"/>
    <w:rsid w:val="00010C62"/>
    <w:rsid w:val="00011225"/>
    <w:rsid w:val="000127E1"/>
    <w:rsid w:val="00012B2F"/>
    <w:rsid w:val="00012E4B"/>
    <w:rsid w:val="00012EE0"/>
    <w:rsid w:val="000132F7"/>
    <w:rsid w:val="00014BBD"/>
    <w:rsid w:val="00014E42"/>
    <w:rsid w:val="000169A4"/>
    <w:rsid w:val="00016EA5"/>
    <w:rsid w:val="00017162"/>
    <w:rsid w:val="0001738C"/>
    <w:rsid w:val="000179CD"/>
    <w:rsid w:val="00017F5D"/>
    <w:rsid w:val="000203C5"/>
    <w:rsid w:val="00020501"/>
    <w:rsid w:val="00020556"/>
    <w:rsid w:val="00020DF8"/>
    <w:rsid w:val="00022796"/>
    <w:rsid w:val="00022C66"/>
    <w:rsid w:val="00022F80"/>
    <w:rsid w:val="0002448B"/>
    <w:rsid w:val="00024AEF"/>
    <w:rsid w:val="00024C72"/>
    <w:rsid w:val="00024E01"/>
    <w:rsid w:val="00025024"/>
    <w:rsid w:val="000250FF"/>
    <w:rsid w:val="0002527A"/>
    <w:rsid w:val="00025790"/>
    <w:rsid w:val="000261AC"/>
    <w:rsid w:val="00026BCC"/>
    <w:rsid w:val="00027069"/>
    <w:rsid w:val="00027D7E"/>
    <w:rsid w:val="000300C0"/>
    <w:rsid w:val="000307F8"/>
    <w:rsid w:val="00030A39"/>
    <w:rsid w:val="00030D37"/>
    <w:rsid w:val="00031A50"/>
    <w:rsid w:val="00033597"/>
    <w:rsid w:val="00033C3D"/>
    <w:rsid w:val="00033EEF"/>
    <w:rsid w:val="00035519"/>
    <w:rsid w:val="00035974"/>
    <w:rsid w:val="00035FCD"/>
    <w:rsid w:val="00036118"/>
    <w:rsid w:val="000367F8"/>
    <w:rsid w:val="00037370"/>
    <w:rsid w:val="00040420"/>
    <w:rsid w:val="00041121"/>
    <w:rsid w:val="00041152"/>
    <w:rsid w:val="0004275F"/>
    <w:rsid w:val="0004281E"/>
    <w:rsid w:val="00042DE3"/>
    <w:rsid w:val="00044263"/>
    <w:rsid w:val="00044A0C"/>
    <w:rsid w:val="00044BB1"/>
    <w:rsid w:val="00044CA0"/>
    <w:rsid w:val="00044E89"/>
    <w:rsid w:val="00045BF6"/>
    <w:rsid w:val="00045C9E"/>
    <w:rsid w:val="00047556"/>
    <w:rsid w:val="000514CE"/>
    <w:rsid w:val="00051828"/>
    <w:rsid w:val="00052236"/>
    <w:rsid w:val="00052C14"/>
    <w:rsid w:val="00053760"/>
    <w:rsid w:val="00053852"/>
    <w:rsid w:val="00053FC0"/>
    <w:rsid w:val="0005412E"/>
    <w:rsid w:val="00054370"/>
    <w:rsid w:val="0005480C"/>
    <w:rsid w:val="00054825"/>
    <w:rsid w:val="00054CAF"/>
    <w:rsid w:val="00054CB3"/>
    <w:rsid w:val="00055054"/>
    <w:rsid w:val="0005621B"/>
    <w:rsid w:val="0005647B"/>
    <w:rsid w:val="00057285"/>
    <w:rsid w:val="0006054C"/>
    <w:rsid w:val="000608A5"/>
    <w:rsid w:val="00061AA0"/>
    <w:rsid w:val="00062230"/>
    <w:rsid w:val="00062AA1"/>
    <w:rsid w:val="00062E6C"/>
    <w:rsid w:val="00063072"/>
    <w:rsid w:val="00063671"/>
    <w:rsid w:val="00063C6C"/>
    <w:rsid w:val="00064380"/>
    <w:rsid w:val="000651CA"/>
    <w:rsid w:val="00065E58"/>
    <w:rsid w:val="00065FCC"/>
    <w:rsid w:val="0006603E"/>
    <w:rsid w:val="00066B1B"/>
    <w:rsid w:val="00067C26"/>
    <w:rsid w:val="00067C42"/>
    <w:rsid w:val="00067EAC"/>
    <w:rsid w:val="00067F73"/>
    <w:rsid w:val="0007022C"/>
    <w:rsid w:val="00070640"/>
    <w:rsid w:val="000707FA"/>
    <w:rsid w:val="00070F38"/>
    <w:rsid w:val="00071535"/>
    <w:rsid w:val="000716D3"/>
    <w:rsid w:val="00072704"/>
    <w:rsid w:val="0007361B"/>
    <w:rsid w:val="00073C20"/>
    <w:rsid w:val="00073DBF"/>
    <w:rsid w:val="000747CF"/>
    <w:rsid w:val="00075D3E"/>
    <w:rsid w:val="00075E2B"/>
    <w:rsid w:val="0007779E"/>
    <w:rsid w:val="00077AE3"/>
    <w:rsid w:val="00080100"/>
    <w:rsid w:val="0008044E"/>
    <w:rsid w:val="00080664"/>
    <w:rsid w:val="00080D74"/>
    <w:rsid w:val="000810D3"/>
    <w:rsid w:val="00082C90"/>
    <w:rsid w:val="00082F36"/>
    <w:rsid w:val="00083F93"/>
    <w:rsid w:val="000845BE"/>
    <w:rsid w:val="0008472B"/>
    <w:rsid w:val="00085190"/>
    <w:rsid w:val="0008694A"/>
    <w:rsid w:val="00086A14"/>
    <w:rsid w:val="00091696"/>
    <w:rsid w:val="00091DEC"/>
    <w:rsid w:val="00092236"/>
    <w:rsid w:val="000922A7"/>
    <w:rsid w:val="000932EF"/>
    <w:rsid w:val="00093982"/>
    <w:rsid w:val="00094065"/>
    <w:rsid w:val="0009427A"/>
    <w:rsid w:val="000955EA"/>
    <w:rsid w:val="00095BDC"/>
    <w:rsid w:val="000970A8"/>
    <w:rsid w:val="00097A59"/>
    <w:rsid w:val="00097D79"/>
    <w:rsid w:val="000A0064"/>
    <w:rsid w:val="000A0290"/>
    <w:rsid w:val="000A0787"/>
    <w:rsid w:val="000A1073"/>
    <w:rsid w:val="000A11E8"/>
    <w:rsid w:val="000A1A29"/>
    <w:rsid w:val="000A1BAE"/>
    <w:rsid w:val="000A209E"/>
    <w:rsid w:val="000A2F03"/>
    <w:rsid w:val="000A4B9F"/>
    <w:rsid w:val="000A4EB0"/>
    <w:rsid w:val="000A5514"/>
    <w:rsid w:val="000A55D9"/>
    <w:rsid w:val="000A69B5"/>
    <w:rsid w:val="000A6B03"/>
    <w:rsid w:val="000A6B19"/>
    <w:rsid w:val="000A6EBD"/>
    <w:rsid w:val="000A7263"/>
    <w:rsid w:val="000B052C"/>
    <w:rsid w:val="000B0999"/>
    <w:rsid w:val="000B1A54"/>
    <w:rsid w:val="000B1CA3"/>
    <w:rsid w:val="000B3098"/>
    <w:rsid w:val="000B374F"/>
    <w:rsid w:val="000B418A"/>
    <w:rsid w:val="000B42E9"/>
    <w:rsid w:val="000B4B9E"/>
    <w:rsid w:val="000B53E1"/>
    <w:rsid w:val="000B56DA"/>
    <w:rsid w:val="000B5C8F"/>
    <w:rsid w:val="000B660D"/>
    <w:rsid w:val="000B726A"/>
    <w:rsid w:val="000B7343"/>
    <w:rsid w:val="000C0D18"/>
    <w:rsid w:val="000C172C"/>
    <w:rsid w:val="000C1AC1"/>
    <w:rsid w:val="000C2683"/>
    <w:rsid w:val="000C303A"/>
    <w:rsid w:val="000C3507"/>
    <w:rsid w:val="000C389F"/>
    <w:rsid w:val="000C41D2"/>
    <w:rsid w:val="000C4917"/>
    <w:rsid w:val="000C547B"/>
    <w:rsid w:val="000C5C06"/>
    <w:rsid w:val="000C5E14"/>
    <w:rsid w:val="000C664C"/>
    <w:rsid w:val="000C674C"/>
    <w:rsid w:val="000C7221"/>
    <w:rsid w:val="000C74F5"/>
    <w:rsid w:val="000C771B"/>
    <w:rsid w:val="000D0A62"/>
    <w:rsid w:val="000D0A6F"/>
    <w:rsid w:val="000D1546"/>
    <w:rsid w:val="000D18C4"/>
    <w:rsid w:val="000D1AAC"/>
    <w:rsid w:val="000D22CE"/>
    <w:rsid w:val="000D2B81"/>
    <w:rsid w:val="000D2DBB"/>
    <w:rsid w:val="000D3AC2"/>
    <w:rsid w:val="000D3FA3"/>
    <w:rsid w:val="000D64F5"/>
    <w:rsid w:val="000D6B8B"/>
    <w:rsid w:val="000D6D8E"/>
    <w:rsid w:val="000D71EB"/>
    <w:rsid w:val="000D7414"/>
    <w:rsid w:val="000D7A2C"/>
    <w:rsid w:val="000E0793"/>
    <w:rsid w:val="000E0D97"/>
    <w:rsid w:val="000E0E01"/>
    <w:rsid w:val="000E164D"/>
    <w:rsid w:val="000E1EF8"/>
    <w:rsid w:val="000E2049"/>
    <w:rsid w:val="000E2246"/>
    <w:rsid w:val="000E44E4"/>
    <w:rsid w:val="000E487D"/>
    <w:rsid w:val="000E4CDC"/>
    <w:rsid w:val="000E50B4"/>
    <w:rsid w:val="000E5546"/>
    <w:rsid w:val="000E587F"/>
    <w:rsid w:val="000E58BC"/>
    <w:rsid w:val="000E5A2E"/>
    <w:rsid w:val="000E5BC0"/>
    <w:rsid w:val="000E6CA8"/>
    <w:rsid w:val="000E739F"/>
    <w:rsid w:val="000E79C2"/>
    <w:rsid w:val="000E7C2E"/>
    <w:rsid w:val="000E7C69"/>
    <w:rsid w:val="000E7E89"/>
    <w:rsid w:val="000F0C31"/>
    <w:rsid w:val="000F0ED9"/>
    <w:rsid w:val="000F19E5"/>
    <w:rsid w:val="000F26EB"/>
    <w:rsid w:val="000F30DE"/>
    <w:rsid w:val="000F322F"/>
    <w:rsid w:val="000F444F"/>
    <w:rsid w:val="000F4979"/>
    <w:rsid w:val="000F584B"/>
    <w:rsid w:val="000F6023"/>
    <w:rsid w:val="000F65EA"/>
    <w:rsid w:val="000F6F7A"/>
    <w:rsid w:val="000F74CB"/>
    <w:rsid w:val="000F7D7F"/>
    <w:rsid w:val="001009F8"/>
    <w:rsid w:val="001025D8"/>
    <w:rsid w:val="0010276F"/>
    <w:rsid w:val="00103857"/>
    <w:rsid w:val="0010432C"/>
    <w:rsid w:val="00104BF9"/>
    <w:rsid w:val="00105878"/>
    <w:rsid w:val="00105EAD"/>
    <w:rsid w:val="001067C2"/>
    <w:rsid w:val="001069AB"/>
    <w:rsid w:val="0010789A"/>
    <w:rsid w:val="00107FCD"/>
    <w:rsid w:val="001106B3"/>
    <w:rsid w:val="00110991"/>
    <w:rsid w:val="00110C3C"/>
    <w:rsid w:val="00110FC6"/>
    <w:rsid w:val="001124D2"/>
    <w:rsid w:val="00112A22"/>
    <w:rsid w:val="00113172"/>
    <w:rsid w:val="001136A6"/>
    <w:rsid w:val="00113CF6"/>
    <w:rsid w:val="001145AE"/>
    <w:rsid w:val="00114B68"/>
    <w:rsid w:val="00115066"/>
    <w:rsid w:val="00115598"/>
    <w:rsid w:val="00115FE7"/>
    <w:rsid w:val="0011611B"/>
    <w:rsid w:val="00116243"/>
    <w:rsid w:val="001165B3"/>
    <w:rsid w:val="0011726E"/>
    <w:rsid w:val="001172CE"/>
    <w:rsid w:val="00117ABE"/>
    <w:rsid w:val="00117B78"/>
    <w:rsid w:val="00120172"/>
    <w:rsid w:val="001204AA"/>
    <w:rsid w:val="0012110C"/>
    <w:rsid w:val="00121F74"/>
    <w:rsid w:val="001249E4"/>
    <w:rsid w:val="00124AC7"/>
    <w:rsid w:val="0012548E"/>
    <w:rsid w:val="0012573C"/>
    <w:rsid w:val="00125FAF"/>
    <w:rsid w:val="0012655D"/>
    <w:rsid w:val="001269A4"/>
    <w:rsid w:val="00126AC9"/>
    <w:rsid w:val="00127060"/>
    <w:rsid w:val="00127503"/>
    <w:rsid w:val="0012763E"/>
    <w:rsid w:val="0012791B"/>
    <w:rsid w:val="00130239"/>
    <w:rsid w:val="001307C0"/>
    <w:rsid w:val="00130D66"/>
    <w:rsid w:val="001310B6"/>
    <w:rsid w:val="00132225"/>
    <w:rsid w:val="001324FF"/>
    <w:rsid w:val="001334C6"/>
    <w:rsid w:val="001335E5"/>
    <w:rsid w:val="00134894"/>
    <w:rsid w:val="00134AA1"/>
    <w:rsid w:val="001354ED"/>
    <w:rsid w:val="001356A3"/>
    <w:rsid w:val="00135C44"/>
    <w:rsid w:val="00135E25"/>
    <w:rsid w:val="00136ABE"/>
    <w:rsid w:val="00137100"/>
    <w:rsid w:val="0013734E"/>
    <w:rsid w:val="0013774A"/>
    <w:rsid w:val="00140589"/>
    <w:rsid w:val="00140724"/>
    <w:rsid w:val="00140923"/>
    <w:rsid w:val="00140C8E"/>
    <w:rsid w:val="00141865"/>
    <w:rsid w:val="00142D76"/>
    <w:rsid w:val="00142F35"/>
    <w:rsid w:val="001451DC"/>
    <w:rsid w:val="001454E8"/>
    <w:rsid w:val="00145AC9"/>
    <w:rsid w:val="0014645C"/>
    <w:rsid w:val="00146FAA"/>
    <w:rsid w:val="001471AF"/>
    <w:rsid w:val="001472DA"/>
    <w:rsid w:val="00147743"/>
    <w:rsid w:val="00150F7D"/>
    <w:rsid w:val="00151129"/>
    <w:rsid w:val="001518A9"/>
    <w:rsid w:val="00151B97"/>
    <w:rsid w:val="0015281A"/>
    <w:rsid w:val="00153096"/>
    <w:rsid w:val="00153EB0"/>
    <w:rsid w:val="00154690"/>
    <w:rsid w:val="00154F63"/>
    <w:rsid w:val="00155864"/>
    <w:rsid w:val="001561A6"/>
    <w:rsid w:val="00156E80"/>
    <w:rsid w:val="00156EFC"/>
    <w:rsid w:val="0015742B"/>
    <w:rsid w:val="00157C9C"/>
    <w:rsid w:val="00157E37"/>
    <w:rsid w:val="00160006"/>
    <w:rsid w:val="00160A3A"/>
    <w:rsid w:val="0016145C"/>
    <w:rsid w:val="00161C1B"/>
    <w:rsid w:val="00161C2B"/>
    <w:rsid w:val="001623FE"/>
    <w:rsid w:val="00162784"/>
    <w:rsid w:val="001627C6"/>
    <w:rsid w:val="0016293B"/>
    <w:rsid w:val="00162D43"/>
    <w:rsid w:val="00162EE9"/>
    <w:rsid w:val="00165899"/>
    <w:rsid w:val="00170752"/>
    <w:rsid w:val="00170A7D"/>
    <w:rsid w:val="00170BAB"/>
    <w:rsid w:val="00171FB8"/>
    <w:rsid w:val="001729C2"/>
    <w:rsid w:val="00172A27"/>
    <w:rsid w:val="00172AFA"/>
    <w:rsid w:val="001736C3"/>
    <w:rsid w:val="00174083"/>
    <w:rsid w:val="0017422E"/>
    <w:rsid w:val="0017540F"/>
    <w:rsid w:val="00175C64"/>
    <w:rsid w:val="001761DE"/>
    <w:rsid w:val="0017653A"/>
    <w:rsid w:val="0017665B"/>
    <w:rsid w:val="00177089"/>
    <w:rsid w:val="00177948"/>
    <w:rsid w:val="00177C38"/>
    <w:rsid w:val="00177FB9"/>
    <w:rsid w:val="0018027F"/>
    <w:rsid w:val="00181E30"/>
    <w:rsid w:val="00183319"/>
    <w:rsid w:val="001842B0"/>
    <w:rsid w:val="00184900"/>
    <w:rsid w:val="0018529C"/>
    <w:rsid w:val="0018547A"/>
    <w:rsid w:val="00185EA4"/>
    <w:rsid w:val="00185FBD"/>
    <w:rsid w:val="001863BC"/>
    <w:rsid w:val="00186FB3"/>
    <w:rsid w:val="00187119"/>
    <w:rsid w:val="00187EAA"/>
    <w:rsid w:val="001900CC"/>
    <w:rsid w:val="0019015A"/>
    <w:rsid w:val="00190A24"/>
    <w:rsid w:val="00191004"/>
    <w:rsid w:val="0019145E"/>
    <w:rsid w:val="00192242"/>
    <w:rsid w:val="0019229F"/>
    <w:rsid w:val="00192674"/>
    <w:rsid w:val="00192E51"/>
    <w:rsid w:val="001932B6"/>
    <w:rsid w:val="00194755"/>
    <w:rsid w:val="00194DD8"/>
    <w:rsid w:val="001950A6"/>
    <w:rsid w:val="001958F0"/>
    <w:rsid w:val="00195901"/>
    <w:rsid w:val="00195AA4"/>
    <w:rsid w:val="00195AFB"/>
    <w:rsid w:val="001960D2"/>
    <w:rsid w:val="001963F4"/>
    <w:rsid w:val="00197587"/>
    <w:rsid w:val="001A0501"/>
    <w:rsid w:val="001A0988"/>
    <w:rsid w:val="001A2C44"/>
    <w:rsid w:val="001A2F7E"/>
    <w:rsid w:val="001A3A03"/>
    <w:rsid w:val="001A3EEC"/>
    <w:rsid w:val="001A4208"/>
    <w:rsid w:val="001A426F"/>
    <w:rsid w:val="001A4AF1"/>
    <w:rsid w:val="001A4B28"/>
    <w:rsid w:val="001A5246"/>
    <w:rsid w:val="001A5325"/>
    <w:rsid w:val="001A5605"/>
    <w:rsid w:val="001A618A"/>
    <w:rsid w:val="001A7099"/>
    <w:rsid w:val="001A78B2"/>
    <w:rsid w:val="001B009C"/>
    <w:rsid w:val="001B0162"/>
    <w:rsid w:val="001B1096"/>
    <w:rsid w:val="001B1E7B"/>
    <w:rsid w:val="001B3618"/>
    <w:rsid w:val="001B3A11"/>
    <w:rsid w:val="001B3BA7"/>
    <w:rsid w:val="001B4272"/>
    <w:rsid w:val="001B4B5F"/>
    <w:rsid w:val="001B5131"/>
    <w:rsid w:val="001B59B3"/>
    <w:rsid w:val="001B6C56"/>
    <w:rsid w:val="001B6DBE"/>
    <w:rsid w:val="001B719F"/>
    <w:rsid w:val="001B7791"/>
    <w:rsid w:val="001B7EFD"/>
    <w:rsid w:val="001C0BC1"/>
    <w:rsid w:val="001C0D5E"/>
    <w:rsid w:val="001C0DF5"/>
    <w:rsid w:val="001C0F87"/>
    <w:rsid w:val="001C118D"/>
    <w:rsid w:val="001C15F1"/>
    <w:rsid w:val="001C198B"/>
    <w:rsid w:val="001C2153"/>
    <w:rsid w:val="001C3391"/>
    <w:rsid w:val="001C4B4F"/>
    <w:rsid w:val="001C53FE"/>
    <w:rsid w:val="001C5AC0"/>
    <w:rsid w:val="001C5BF8"/>
    <w:rsid w:val="001C5E9D"/>
    <w:rsid w:val="001C5EE0"/>
    <w:rsid w:val="001C6514"/>
    <w:rsid w:val="001C696A"/>
    <w:rsid w:val="001C6E4A"/>
    <w:rsid w:val="001D033A"/>
    <w:rsid w:val="001D1234"/>
    <w:rsid w:val="001D38C2"/>
    <w:rsid w:val="001D4CFC"/>
    <w:rsid w:val="001D4ECC"/>
    <w:rsid w:val="001D4FE1"/>
    <w:rsid w:val="001D556A"/>
    <w:rsid w:val="001D56D5"/>
    <w:rsid w:val="001D5904"/>
    <w:rsid w:val="001D640E"/>
    <w:rsid w:val="001D6440"/>
    <w:rsid w:val="001D646B"/>
    <w:rsid w:val="001D6D71"/>
    <w:rsid w:val="001D711B"/>
    <w:rsid w:val="001E03CB"/>
    <w:rsid w:val="001E08BC"/>
    <w:rsid w:val="001E0D46"/>
    <w:rsid w:val="001E154D"/>
    <w:rsid w:val="001E192A"/>
    <w:rsid w:val="001E2069"/>
    <w:rsid w:val="001E241F"/>
    <w:rsid w:val="001E2F73"/>
    <w:rsid w:val="001E3E67"/>
    <w:rsid w:val="001E43AD"/>
    <w:rsid w:val="001E4478"/>
    <w:rsid w:val="001E4691"/>
    <w:rsid w:val="001E60C1"/>
    <w:rsid w:val="001E71C1"/>
    <w:rsid w:val="001E7397"/>
    <w:rsid w:val="001E7CB3"/>
    <w:rsid w:val="001F073A"/>
    <w:rsid w:val="001F1A11"/>
    <w:rsid w:val="001F1EFB"/>
    <w:rsid w:val="001F2B44"/>
    <w:rsid w:val="001F2FB9"/>
    <w:rsid w:val="001F3627"/>
    <w:rsid w:val="001F38D6"/>
    <w:rsid w:val="001F5CB4"/>
    <w:rsid w:val="001F5D20"/>
    <w:rsid w:val="001F6ADF"/>
    <w:rsid w:val="001F6BDE"/>
    <w:rsid w:val="001F6CF9"/>
    <w:rsid w:val="001F70C6"/>
    <w:rsid w:val="0020036F"/>
    <w:rsid w:val="0020112B"/>
    <w:rsid w:val="002012D6"/>
    <w:rsid w:val="00201466"/>
    <w:rsid w:val="002026DC"/>
    <w:rsid w:val="00203205"/>
    <w:rsid w:val="00203A9F"/>
    <w:rsid w:val="00203E4E"/>
    <w:rsid w:val="00203FBC"/>
    <w:rsid w:val="0020432E"/>
    <w:rsid w:val="00204336"/>
    <w:rsid w:val="002044EE"/>
    <w:rsid w:val="00205B5D"/>
    <w:rsid w:val="00205DF7"/>
    <w:rsid w:val="00205E73"/>
    <w:rsid w:val="00205EA4"/>
    <w:rsid w:val="0020636E"/>
    <w:rsid w:val="00206878"/>
    <w:rsid w:val="002076B6"/>
    <w:rsid w:val="002076F0"/>
    <w:rsid w:val="00207FE8"/>
    <w:rsid w:val="002102D7"/>
    <w:rsid w:val="00210317"/>
    <w:rsid w:val="00210F62"/>
    <w:rsid w:val="002110E7"/>
    <w:rsid w:val="00211F0D"/>
    <w:rsid w:val="0021203A"/>
    <w:rsid w:val="00212679"/>
    <w:rsid w:val="00213313"/>
    <w:rsid w:val="0021358A"/>
    <w:rsid w:val="002137D8"/>
    <w:rsid w:val="00214248"/>
    <w:rsid w:val="002169B4"/>
    <w:rsid w:val="002171EF"/>
    <w:rsid w:val="0021736A"/>
    <w:rsid w:val="00217384"/>
    <w:rsid w:val="002175A0"/>
    <w:rsid w:val="00217A77"/>
    <w:rsid w:val="00217D24"/>
    <w:rsid w:val="002201DC"/>
    <w:rsid w:val="00220570"/>
    <w:rsid w:val="002206CE"/>
    <w:rsid w:val="00221241"/>
    <w:rsid w:val="002228B2"/>
    <w:rsid w:val="00222AF0"/>
    <w:rsid w:val="00223F85"/>
    <w:rsid w:val="0022569C"/>
    <w:rsid w:val="0022606C"/>
    <w:rsid w:val="00226961"/>
    <w:rsid w:val="002275B0"/>
    <w:rsid w:val="00230021"/>
    <w:rsid w:val="00230C09"/>
    <w:rsid w:val="00230FC6"/>
    <w:rsid w:val="00231A2B"/>
    <w:rsid w:val="00231F7A"/>
    <w:rsid w:val="00232521"/>
    <w:rsid w:val="00232B64"/>
    <w:rsid w:val="00233A76"/>
    <w:rsid w:val="00234136"/>
    <w:rsid w:val="0023422C"/>
    <w:rsid w:val="00234644"/>
    <w:rsid w:val="00234753"/>
    <w:rsid w:val="00236984"/>
    <w:rsid w:val="00237BAF"/>
    <w:rsid w:val="0024074A"/>
    <w:rsid w:val="00241651"/>
    <w:rsid w:val="00241ABF"/>
    <w:rsid w:val="00241B38"/>
    <w:rsid w:val="002439C3"/>
    <w:rsid w:val="00243CAA"/>
    <w:rsid w:val="0024571E"/>
    <w:rsid w:val="00245830"/>
    <w:rsid w:val="0024665F"/>
    <w:rsid w:val="00246738"/>
    <w:rsid w:val="00246CF5"/>
    <w:rsid w:val="00246FB8"/>
    <w:rsid w:val="00247314"/>
    <w:rsid w:val="00247822"/>
    <w:rsid w:val="00250BD1"/>
    <w:rsid w:val="00250D45"/>
    <w:rsid w:val="0025129A"/>
    <w:rsid w:val="00251404"/>
    <w:rsid w:val="0025198F"/>
    <w:rsid w:val="00251C37"/>
    <w:rsid w:val="002522EE"/>
    <w:rsid w:val="00252806"/>
    <w:rsid w:val="002529AB"/>
    <w:rsid w:val="00253CC1"/>
    <w:rsid w:val="00254715"/>
    <w:rsid w:val="00254CA8"/>
    <w:rsid w:val="00254DD6"/>
    <w:rsid w:val="00255795"/>
    <w:rsid w:val="00255A29"/>
    <w:rsid w:val="00255B0E"/>
    <w:rsid w:val="00256436"/>
    <w:rsid w:val="002573B2"/>
    <w:rsid w:val="002573F4"/>
    <w:rsid w:val="00257DFD"/>
    <w:rsid w:val="00260B9F"/>
    <w:rsid w:val="00261DDF"/>
    <w:rsid w:val="00262419"/>
    <w:rsid w:val="002644F5"/>
    <w:rsid w:val="002645B1"/>
    <w:rsid w:val="00264895"/>
    <w:rsid w:val="00265323"/>
    <w:rsid w:val="0026543D"/>
    <w:rsid w:val="00265491"/>
    <w:rsid w:val="00265ADA"/>
    <w:rsid w:val="00266933"/>
    <w:rsid w:val="00266C88"/>
    <w:rsid w:val="0026766E"/>
    <w:rsid w:val="00267799"/>
    <w:rsid w:val="00267D45"/>
    <w:rsid w:val="0027004E"/>
    <w:rsid w:val="0027039C"/>
    <w:rsid w:val="00271333"/>
    <w:rsid w:val="0027155D"/>
    <w:rsid w:val="00271A69"/>
    <w:rsid w:val="00271C6C"/>
    <w:rsid w:val="002726FB"/>
    <w:rsid w:val="00273E53"/>
    <w:rsid w:val="00274A2B"/>
    <w:rsid w:val="00274A3A"/>
    <w:rsid w:val="00274B61"/>
    <w:rsid w:val="00274CA0"/>
    <w:rsid w:val="00274F8F"/>
    <w:rsid w:val="00275612"/>
    <w:rsid w:val="00276125"/>
    <w:rsid w:val="00276155"/>
    <w:rsid w:val="002765E4"/>
    <w:rsid w:val="00276C50"/>
    <w:rsid w:val="00276DB5"/>
    <w:rsid w:val="00276E0B"/>
    <w:rsid w:val="00276E1F"/>
    <w:rsid w:val="0027704E"/>
    <w:rsid w:val="00277141"/>
    <w:rsid w:val="002776ED"/>
    <w:rsid w:val="00277717"/>
    <w:rsid w:val="00277734"/>
    <w:rsid w:val="00277DE9"/>
    <w:rsid w:val="002809E0"/>
    <w:rsid w:val="002817AF"/>
    <w:rsid w:val="00281E77"/>
    <w:rsid w:val="0028204E"/>
    <w:rsid w:val="00282083"/>
    <w:rsid w:val="00282527"/>
    <w:rsid w:val="002829DF"/>
    <w:rsid w:val="00282B28"/>
    <w:rsid w:val="00282E6F"/>
    <w:rsid w:val="002831EE"/>
    <w:rsid w:val="002838BF"/>
    <w:rsid w:val="00283BA9"/>
    <w:rsid w:val="00284154"/>
    <w:rsid w:val="00284E17"/>
    <w:rsid w:val="00286510"/>
    <w:rsid w:val="00286A09"/>
    <w:rsid w:val="00286F85"/>
    <w:rsid w:val="002873D1"/>
    <w:rsid w:val="002908C7"/>
    <w:rsid w:val="00290AA2"/>
    <w:rsid w:val="00290AFC"/>
    <w:rsid w:val="00290DDE"/>
    <w:rsid w:val="0029116E"/>
    <w:rsid w:val="0029168E"/>
    <w:rsid w:val="002923F3"/>
    <w:rsid w:val="0029268A"/>
    <w:rsid w:val="002926C0"/>
    <w:rsid w:val="00293658"/>
    <w:rsid w:val="00293D16"/>
    <w:rsid w:val="00294155"/>
    <w:rsid w:val="00294265"/>
    <w:rsid w:val="002944B5"/>
    <w:rsid w:val="00294669"/>
    <w:rsid w:val="002958C6"/>
    <w:rsid w:val="00297707"/>
    <w:rsid w:val="002A0648"/>
    <w:rsid w:val="002A0736"/>
    <w:rsid w:val="002A0C6D"/>
    <w:rsid w:val="002A0DDD"/>
    <w:rsid w:val="002A0E24"/>
    <w:rsid w:val="002A15B6"/>
    <w:rsid w:val="002A1BA9"/>
    <w:rsid w:val="002A1CC9"/>
    <w:rsid w:val="002A2704"/>
    <w:rsid w:val="002A2A40"/>
    <w:rsid w:val="002A40A1"/>
    <w:rsid w:val="002A40D9"/>
    <w:rsid w:val="002A434A"/>
    <w:rsid w:val="002A49FA"/>
    <w:rsid w:val="002A5675"/>
    <w:rsid w:val="002A582E"/>
    <w:rsid w:val="002A58D3"/>
    <w:rsid w:val="002A5A07"/>
    <w:rsid w:val="002A612B"/>
    <w:rsid w:val="002A6446"/>
    <w:rsid w:val="002A6C31"/>
    <w:rsid w:val="002A6FD5"/>
    <w:rsid w:val="002A74BE"/>
    <w:rsid w:val="002A7A20"/>
    <w:rsid w:val="002A7B63"/>
    <w:rsid w:val="002B0AB6"/>
    <w:rsid w:val="002B1A10"/>
    <w:rsid w:val="002B1A41"/>
    <w:rsid w:val="002B1C4C"/>
    <w:rsid w:val="002B1D26"/>
    <w:rsid w:val="002B2627"/>
    <w:rsid w:val="002B2952"/>
    <w:rsid w:val="002B3919"/>
    <w:rsid w:val="002B3FA1"/>
    <w:rsid w:val="002B46E3"/>
    <w:rsid w:val="002B47BD"/>
    <w:rsid w:val="002B5B17"/>
    <w:rsid w:val="002B5B68"/>
    <w:rsid w:val="002B68B5"/>
    <w:rsid w:val="002B6FBC"/>
    <w:rsid w:val="002B7CCD"/>
    <w:rsid w:val="002C0102"/>
    <w:rsid w:val="002C0708"/>
    <w:rsid w:val="002C0763"/>
    <w:rsid w:val="002C09D5"/>
    <w:rsid w:val="002C0A55"/>
    <w:rsid w:val="002C1199"/>
    <w:rsid w:val="002C1735"/>
    <w:rsid w:val="002C1873"/>
    <w:rsid w:val="002C1EA6"/>
    <w:rsid w:val="002C22AC"/>
    <w:rsid w:val="002C2639"/>
    <w:rsid w:val="002C2747"/>
    <w:rsid w:val="002C3738"/>
    <w:rsid w:val="002C3A2E"/>
    <w:rsid w:val="002C3F49"/>
    <w:rsid w:val="002C4060"/>
    <w:rsid w:val="002C4131"/>
    <w:rsid w:val="002C4137"/>
    <w:rsid w:val="002C4635"/>
    <w:rsid w:val="002C48CB"/>
    <w:rsid w:val="002C507E"/>
    <w:rsid w:val="002C51CD"/>
    <w:rsid w:val="002C532B"/>
    <w:rsid w:val="002C5524"/>
    <w:rsid w:val="002C6EAF"/>
    <w:rsid w:val="002C71C6"/>
    <w:rsid w:val="002C746A"/>
    <w:rsid w:val="002C7641"/>
    <w:rsid w:val="002C778D"/>
    <w:rsid w:val="002D0735"/>
    <w:rsid w:val="002D0FC8"/>
    <w:rsid w:val="002D1743"/>
    <w:rsid w:val="002D252C"/>
    <w:rsid w:val="002D3128"/>
    <w:rsid w:val="002D37AE"/>
    <w:rsid w:val="002D39D8"/>
    <w:rsid w:val="002D3DA9"/>
    <w:rsid w:val="002D45F4"/>
    <w:rsid w:val="002D4633"/>
    <w:rsid w:val="002D4EA7"/>
    <w:rsid w:val="002D54E6"/>
    <w:rsid w:val="002D55F5"/>
    <w:rsid w:val="002D5737"/>
    <w:rsid w:val="002D5934"/>
    <w:rsid w:val="002D5FA8"/>
    <w:rsid w:val="002D6632"/>
    <w:rsid w:val="002D6711"/>
    <w:rsid w:val="002D6E71"/>
    <w:rsid w:val="002D6EA8"/>
    <w:rsid w:val="002D730B"/>
    <w:rsid w:val="002D79C3"/>
    <w:rsid w:val="002E0BE0"/>
    <w:rsid w:val="002E1111"/>
    <w:rsid w:val="002E13C2"/>
    <w:rsid w:val="002E18D6"/>
    <w:rsid w:val="002E2724"/>
    <w:rsid w:val="002E28A5"/>
    <w:rsid w:val="002E2936"/>
    <w:rsid w:val="002E41E5"/>
    <w:rsid w:val="002E4D13"/>
    <w:rsid w:val="002E5178"/>
    <w:rsid w:val="002E5324"/>
    <w:rsid w:val="002E61A1"/>
    <w:rsid w:val="002E62D7"/>
    <w:rsid w:val="002E6746"/>
    <w:rsid w:val="002E6782"/>
    <w:rsid w:val="002E68A4"/>
    <w:rsid w:val="002E6F7A"/>
    <w:rsid w:val="002E7D5F"/>
    <w:rsid w:val="002E7EAC"/>
    <w:rsid w:val="002F000A"/>
    <w:rsid w:val="002F015B"/>
    <w:rsid w:val="002F0C12"/>
    <w:rsid w:val="002F161D"/>
    <w:rsid w:val="002F1E63"/>
    <w:rsid w:val="002F1EC0"/>
    <w:rsid w:val="002F20B1"/>
    <w:rsid w:val="002F3B84"/>
    <w:rsid w:val="002F3FAE"/>
    <w:rsid w:val="002F4228"/>
    <w:rsid w:val="002F43D2"/>
    <w:rsid w:val="002F4955"/>
    <w:rsid w:val="002F50E0"/>
    <w:rsid w:val="002F53AF"/>
    <w:rsid w:val="002F5443"/>
    <w:rsid w:val="002F5CA9"/>
    <w:rsid w:val="00300362"/>
    <w:rsid w:val="00300C39"/>
    <w:rsid w:val="00301D9D"/>
    <w:rsid w:val="0030228D"/>
    <w:rsid w:val="003038A6"/>
    <w:rsid w:val="00303A42"/>
    <w:rsid w:val="003044C9"/>
    <w:rsid w:val="003047EA"/>
    <w:rsid w:val="00304BAE"/>
    <w:rsid w:val="00305D07"/>
    <w:rsid w:val="003064EE"/>
    <w:rsid w:val="00310AA6"/>
    <w:rsid w:val="003112DD"/>
    <w:rsid w:val="00311A8E"/>
    <w:rsid w:val="00311C6D"/>
    <w:rsid w:val="003127B8"/>
    <w:rsid w:val="00312E4E"/>
    <w:rsid w:val="00314A7D"/>
    <w:rsid w:val="003152C5"/>
    <w:rsid w:val="003152FA"/>
    <w:rsid w:val="00315870"/>
    <w:rsid w:val="00315F94"/>
    <w:rsid w:val="003162FA"/>
    <w:rsid w:val="0031683D"/>
    <w:rsid w:val="00316C22"/>
    <w:rsid w:val="00316C6B"/>
    <w:rsid w:val="003174D4"/>
    <w:rsid w:val="00317B0A"/>
    <w:rsid w:val="003217EE"/>
    <w:rsid w:val="003225F0"/>
    <w:rsid w:val="00322B1E"/>
    <w:rsid w:val="00323500"/>
    <w:rsid w:val="003236EF"/>
    <w:rsid w:val="00323C33"/>
    <w:rsid w:val="00323CB3"/>
    <w:rsid w:val="0032418B"/>
    <w:rsid w:val="0032418F"/>
    <w:rsid w:val="003243B4"/>
    <w:rsid w:val="00324F72"/>
    <w:rsid w:val="00325010"/>
    <w:rsid w:val="00326311"/>
    <w:rsid w:val="00327CDF"/>
    <w:rsid w:val="003308B8"/>
    <w:rsid w:val="00330A52"/>
    <w:rsid w:val="00330C2B"/>
    <w:rsid w:val="00331193"/>
    <w:rsid w:val="00331391"/>
    <w:rsid w:val="00331CDE"/>
    <w:rsid w:val="003324CE"/>
    <w:rsid w:val="00332714"/>
    <w:rsid w:val="00332A72"/>
    <w:rsid w:val="00332C0C"/>
    <w:rsid w:val="00332E82"/>
    <w:rsid w:val="00333370"/>
    <w:rsid w:val="00333AD7"/>
    <w:rsid w:val="00334065"/>
    <w:rsid w:val="0033440B"/>
    <w:rsid w:val="003346BA"/>
    <w:rsid w:val="00334B06"/>
    <w:rsid w:val="00334DD9"/>
    <w:rsid w:val="003358FF"/>
    <w:rsid w:val="00336606"/>
    <w:rsid w:val="00336E4F"/>
    <w:rsid w:val="00337CDD"/>
    <w:rsid w:val="00341185"/>
    <w:rsid w:val="00341501"/>
    <w:rsid w:val="0034168A"/>
    <w:rsid w:val="00341AE9"/>
    <w:rsid w:val="00341B5A"/>
    <w:rsid w:val="003421B6"/>
    <w:rsid w:val="003424CA"/>
    <w:rsid w:val="003427C4"/>
    <w:rsid w:val="003428CC"/>
    <w:rsid w:val="00342ED1"/>
    <w:rsid w:val="00343AAD"/>
    <w:rsid w:val="00343B96"/>
    <w:rsid w:val="00343EB0"/>
    <w:rsid w:val="00344258"/>
    <w:rsid w:val="003447A1"/>
    <w:rsid w:val="00344A09"/>
    <w:rsid w:val="003452BD"/>
    <w:rsid w:val="003459BD"/>
    <w:rsid w:val="00345B7E"/>
    <w:rsid w:val="00346089"/>
    <w:rsid w:val="00346D8C"/>
    <w:rsid w:val="00347842"/>
    <w:rsid w:val="003478DF"/>
    <w:rsid w:val="00347919"/>
    <w:rsid w:val="00347E88"/>
    <w:rsid w:val="003502ED"/>
    <w:rsid w:val="003505A4"/>
    <w:rsid w:val="003508D8"/>
    <w:rsid w:val="00351033"/>
    <w:rsid w:val="0035106C"/>
    <w:rsid w:val="00351CC0"/>
    <w:rsid w:val="00351FFF"/>
    <w:rsid w:val="003525A0"/>
    <w:rsid w:val="00352979"/>
    <w:rsid w:val="00352BCE"/>
    <w:rsid w:val="00353AD1"/>
    <w:rsid w:val="00353CE8"/>
    <w:rsid w:val="00354019"/>
    <w:rsid w:val="003547E9"/>
    <w:rsid w:val="00354EEB"/>
    <w:rsid w:val="00354FE6"/>
    <w:rsid w:val="0035582D"/>
    <w:rsid w:val="00355969"/>
    <w:rsid w:val="0035631B"/>
    <w:rsid w:val="00356406"/>
    <w:rsid w:val="00356532"/>
    <w:rsid w:val="00356970"/>
    <w:rsid w:val="00356C37"/>
    <w:rsid w:val="00356FA1"/>
    <w:rsid w:val="003578D9"/>
    <w:rsid w:val="00357BCB"/>
    <w:rsid w:val="003603FD"/>
    <w:rsid w:val="00360A4B"/>
    <w:rsid w:val="00360A6A"/>
    <w:rsid w:val="00360AD4"/>
    <w:rsid w:val="00360AD6"/>
    <w:rsid w:val="0036107D"/>
    <w:rsid w:val="00361EC2"/>
    <w:rsid w:val="00362D7A"/>
    <w:rsid w:val="0036349E"/>
    <w:rsid w:val="003636C2"/>
    <w:rsid w:val="00365552"/>
    <w:rsid w:val="00365F32"/>
    <w:rsid w:val="0036634A"/>
    <w:rsid w:val="0036658E"/>
    <w:rsid w:val="003665E4"/>
    <w:rsid w:val="003669C6"/>
    <w:rsid w:val="00366AD0"/>
    <w:rsid w:val="00366BEE"/>
    <w:rsid w:val="00366DA6"/>
    <w:rsid w:val="00367335"/>
    <w:rsid w:val="00367B95"/>
    <w:rsid w:val="003700B1"/>
    <w:rsid w:val="003705B6"/>
    <w:rsid w:val="003709BD"/>
    <w:rsid w:val="00370A83"/>
    <w:rsid w:val="00370E33"/>
    <w:rsid w:val="0037103E"/>
    <w:rsid w:val="00371654"/>
    <w:rsid w:val="0037224F"/>
    <w:rsid w:val="003723F9"/>
    <w:rsid w:val="003742D2"/>
    <w:rsid w:val="0037442B"/>
    <w:rsid w:val="003744DB"/>
    <w:rsid w:val="00374AC6"/>
    <w:rsid w:val="00374F0A"/>
    <w:rsid w:val="00375288"/>
    <w:rsid w:val="003756B0"/>
    <w:rsid w:val="0037671A"/>
    <w:rsid w:val="003771EB"/>
    <w:rsid w:val="00377B9E"/>
    <w:rsid w:val="00380196"/>
    <w:rsid w:val="003804E4"/>
    <w:rsid w:val="00380EE5"/>
    <w:rsid w:val="00382891"/>
    <w:rsid w:val="00383170"/>
    <w:rsid w:val="00383B2C"/>
    <w:rsid w:val="0038469E"/>
    <w:rsid w:val="00384BD8"/>
    <w:rsid w:val="00384F52"/>
    <w:rsid w:val="00385942"/>
    <w:rsid w:val="00385B9C"/>
    <w:rsid w:val="00386BA4"/>
    <w:rsid w:val="00387AB6"/>
    <w:rsid w:val="00390355"/>
    <w:rsid w:val="003904F4"/>
    <w:rsid w:val="00390570"/>
    <w:rsid w:val="00390791"/>
    <w:rsid w:val="00390835"/>
    <w:rsid w:val="003910D4"/>
    <w:rsid w:val="00391472"/>
    <w:rsid w:val="003922A6"/>
    <w:rsid w:val="003925C9"/>
    <w:rsid w:val="003926D9"/>
    <w:rsid w:val="00392B52"/>
    <w:rsid w:val="00392DAC"/>
    <w:rsid w:val="003933B6"/>
    <w:rsid w:val="003942F2"/>
    <w:rsid w:val="00394357"/>
    <w:rsid w:val="003945BE"/>
    <w:rsid w:val="00394ACF"/>
    <w:rsid w:val="00395258"/>
    <w:rsid w:val="00395302"/>
    <w:rsid w:val="0039549F"/>
    <w:rsid w:val="0039660A"/>
    <w:rsid w:val="0039674C"/>
    <w:rsid w:val="00396A58"/>
    <w:rsid w:val="003A012B"/>
    <w:rsid w:val="003A01A2"/>
    <w:rsid w:val="003A052B"/>
    <w:rsid w:val="003A0AA4"/>
    <w:rsid w:val="003A0CA0"/>
    <w:rsid w:val="003A0F98"/>
    <w:rsid w:val="003A112C"/>
    <w:rsid w:val="003A1214"/>
    <w:rsid w:val="003A1494"/>
    <w:rsid w:val="003A1CF8"/>
    <w:rsid w:val="003A1F4C"/>
    <w:rsid w:val="003A2CCE"/>
    <w:rsid w:val="003A4070"/>
    <w:rsid w:val="003A4204"/>
    <w:rsid w:val="003A4244"/>
    <w:rsid w:val="003A59DC"/>
    <w:rsid w:val="003A79C8"/>
    <w:rsid w:val="003B0189"/>
    <w:rsid w:val="003B08A2"/>
    <w:rsid w:val="003B130E"/>
    <w:rsid w:val="003B1445"/>
    <w:rsid w:val="003B1746"/>
    <w:rsid w:val="003B3545"/>
    <w:rsid w:val="003B358D"/>
    <w:rsid w:val="003B3E46"/>
    <w:rsid w:val="003B4612"/>
    <w:rsid w:val="003B47C2"/>
    <w:rsid w:val="003B4F38"/>
    <w:rsid w:val="003B555C"/>
    <w:rsid w:val="003B5B79"/>
    <w:rsid w:val="003B5EF3"/>
    <w:rsid w:val="003B61B2"/>
    <w:rsid w:val="003B697E"/>
    <w:rsid w:val="003B6FB0"/>
    <w:rsid w:val="003B707B"/>
    <w:rsid w:val="003B79A9"/>
    <w:rsid w:val="003C0298"/>
    <w:rsid w:val="003C06EA"/>
    <w:rsid w:val="003C07CD"/>
    <w:rsid w:val="003C0AA2"/>
    <w:rsid w:val="003C0C6F"/>
    <w:rsid w:val="003C1206"/>
    <w:rsid w:val="003C1382"/>
    <w:rsid w:val="003C14AF"/>
    <w:rsid w:val="003C2A2C"/>
    <w:rsid w:val="003C2B2A"/>
    <w:rsid w:val="003C475B"/>
    <w:rsid w:val="003C5D60"/>
    <w:rsid w:val="003C5D93"/>
    <w:rsid w:val="003C7623"/>
    <w:rsid w:val="003C7CCA"/>
    <w:rsid w:val="003D0B2A"/>
    <w:rsid w:val="003D16F8"/>
    <w:rsid w:val="003D2931"/>
    <w:rsid w:val="003D2F34"/>
    <w:rsid w:val="003D315A"/>
    <w:rsid w:val="003D347B"/>
    <w:rsid w:val="003D3A67"/>
    <w:rsid w:val="003D3C45"/>
    <w:rsid w:val="003D41B0"/>
    <w:rsid w:val="003D4303"/>
    <w:rsid w:val="003D54DE"/>
    <w:rsid w:val="003D581D"/>
    <w:rsid w:val="003D6920"/>
    <w:rsid w:val="003D6B3D"/>
    <w:rsid w:val="003D6C88"/>
    <w:rsid w:val="003D75A2"/>
    <w:rsid w:val="003E0294"/>
    <w:rsid w:val="003E07A3"/>
    <w:rsid w:val="003E0AAC"/>
    <w:rsid w:val="003E0F44"/>
    <w:rsid w:val="003E19A3"/>
    <w:rsid w:val="003E22A9"/>
    <w:rsid w:val="003E2F6B"/>
    <w:rsid w:val="003E308F"/>
    <w:rsid w:val="003E399C"/>
    <w:rsid w:val="003E43BE"/>
    <w:rsid w:val="003E486F"/>
    <w:rsid w:val="003E4FC8"/>
    <w:rsid w:val="003E5298"/>
    <w:rsid w:val="003E5AEE"/>
    <w:rsid w:val="003E5EFC"/>
    <w:rsid w:val="003E6100"/>
    <w:rsid w:val="003E69F7"/>
    <w:rsid w:val="003E712F"/>
    <w:rsid w:val="003E748A"/>
    <w:rsid w:val="003E74FF"/>
    <w:rsid w:val="003E7C88"/>
    <w:rsid w:val="003F14AB"/>
    <w:rsid w:val="003F1731"/>
    <w:rsid w:val="003F2086"/>
    <w:rsid w:val="003F2877"/>
    <w:rsid w:val="003F29B6"/>
    <w:rsid w:val="003F2AF2"/>
    <w:rsid w:val="003F2E1C"/>
    <w:rsid w:val="003F37BB"/>
    <w:rsid w:val="003F3B97"/>
    <w:rsid w:val="003F3F4D"/>
    <w:rsid w:val="003F5BF7"/>
    <w:rsid w:val="003F6EE4"/>
    <w:rsid w:val="00401362"/>
    <w:rsid w:val="004016E7"/>
    <w:rsid w:val="00401D79"/>
    <w:rsid w:val="00401F13"/>
    <w:rsid w:val="00402211"/>
    <w:rsid w:val="00403676"/>
    <w:rsid w:val="00403B2E"/>
    <w:rsid w:val="00404372"/>
    <w:rsid w:val="0040504E"/>
    <w:rsid w:val="00405739"/>
    <w:rsid w:val="00405BFA"/>
    <w:rsid w:val="0040664E"/>
    <w:rsid w:val="00406B06"/>
    <w:rsid w:val="00406B93"/>
    <w:rsid w:val="00407E84"/>
    <w:rsid w:val="00407FEE"/>
    <w:rsid w:val="004100F0"/>
    <w:rsid w:val="004106ED"/>
    <w:rsid w:val="00411A0D"/>
    <w:rsid w:val="0041225B"/>
    <w:rsid w:val="004129FF"/>
    <w:rsid w:val="00413DB4"/>
    <w:rsid w:val="00414FB3"/>
    <w:rsid w:val="00415446"/>
    <w:rsid w:val="004160F2"/>
    <w:rsid w:val="0041626B"/>
    <w:rsid w:val="00416319"/>
    <w:rsid w:val="00416DF5"/>
    <w:rsid w:val="00416E7D"/>
    <w:rsid w:val="004170FE"/>
    <w:rsid w:val="0042039B"/>
    <w:rsid w:val="0042039F"/>
    <w:rsid w:val="004205C0"/>
    <w:rsid w:val="00421388"/>
    <w:rsid w:val="004220DB"/>
    <w:rsid w:val="004223BF"/>
    <w:rsid w:val="00422B28"/>
    <w:rsid w:val="00423DDB"/>
    <w:rsid w:val="00424CEA"/>
    <w:rsid w:val="00424DFD"/>
    <w:rsid w:val="00426FC4"/>
    <w:rsid w:val="0042751B"/>
    <w:rsid w:val="00427DCA"/>
    <w:rsid w:val="0043014D"/>
    <w:rsid w:val="004303CF"/>
    <w:rsid w:val="00430CEB"/>
    <w:rsid w:val="0043118B"/>
    <w:rsid w:val="00431334"/>
    <w:rsid w:val="00431606"/>
    <w:rsid w:val="00431B43"/>
    <w:rsid w:val="00431DB4"/>
    <w:rsid w:val="00432A2A"/>
    <w:rsid w:val="00433156"/>
    <w:rsid w:val="00433294"/>
    <w:rsid w:val="00433494"/>
    <w:rsid w:val="004340E8"/>
    <w:rsid w:val="00434850"/>
    <w:rsid w:val="00434F07"/>
    <w:rsid w:val="004352B6"/>
    <w:rsid w:val="00435321"/>
    <w:rsid w:val="00436FD8"/>
    <w:rsid w:val="004375F3"/>
    <w:rsid w:val="00437B6D"/>
    <w:rsid w:val="004403CE"/>
    <w:rsid w:val="00440A22"/>
    <w:rsid w:val="00441874"/>
    <w:rsid w:val="00442EB1"/>
    <w:rsid w:val="004430DB"/>
    <w:rsid w:val="00443A2B"/>
    <w:rsid w:val="00444298"/>
    <w:rsid w:val="004444E4"/>
    <w:rsid w:val="00445356"/>
    <w:rsid w:val="004457BE"/>
    <w:rsid w:val="004472AF"/>
    <w:rsid w:val="004473A3"/>
    <w:rsid w:val="00447AFF"/>
    <w:rsid w:val="00447E82"/>
    <w:rsid w:val="00447EEC"/>
    <w:rsid w:val="00450346"/>
    <w:rsid w:val="00450E11"/>
    <w:rsid w:val="004511C6"/>
    <w:rsid w:val="0045137A"/>
    <w:rsid w:val="00451BC2"/>
    <w:rsid w:val="00452095"/>
    <w:rsid w:val="00452706"/>
    <w:rsid w:val="00452B01"/>
    <w:rsid w:val="00452D28"/>
    <w:rsid w:val="00452E1D"/>
    <w:rsid w:val="00453851"/>
    <w:rsid w:val="00454C13"/>
    <w:rsid w:val="00455400"/>
    <w:rsid w:val="00456AD3"/>
    <w:rsid w:val="004574DD"/>
    <w:rsid w:val="004578B8"/>
    <w:rsid w:val="00457D49"/>
    <w:rsid w:val="00460090"/>
    <w:rsid w:val="00460C61"/>
    <w:rsid w:val="004610DF"/>
    <w:rsid w:val="0046110B"/>
    <w:rsid w:val="0046141A"/>
    <w:rsid w:val="00461F0F"/>
    <w:rsid w:val="00466578"/>
    <w:rsid w:val="004665E0"/>
    <w:rsid w:val="00466D1A"/>
    <w:rsid w:val="00467109"/>
    <w:rsid w:val="004672DA"/>
    <w:rsid w:val="0047088B"/>
    <w:rsid w:val="00470BB6"/>
    <w:rsid w:val="004710F1"/>
    <w:rsid w:val="004712F8"/>
    <w:rsid w:val="00471A72"/>
    <w:rsid w:val="00472345"/>
    <w:rsid w:val="00472632"/>
    <w:rsid w:val="00472715"/>
    <w:rsid w:val="004727BF"/>
    <w:rsid w:val="004730D5"/>
    <w:rsid w:val="00473882"/>
    <w:rsid w:val="00473B89"/>
    <w:rsid w:val="00474171"/>
    <w:rsid w:val="004742AF"/>
    <w:rsid w:val="00475321"/>
    <w:rsid w:val="004763A6"/>
    <w:rsid w:val="00476676"/>
    <w:rsid w:val="00480920"/>
    <w:rsid w:val="004818DA"/>
    <w:rsid w:val="00481992"/>
    <w:rsid w:val="004819C4"/>
    <w:rsid w:val="00481B45"/>
    <w:rsid w:val="00481E50"/>
    <w:rsid w:val="004833E6"/>
    <w:rsid w:val="004838DB"/>
    <w:rsid w:val="00483943"/>
    <w:rsid w:val="004846E4"/>
    <w:rsid w:val="004848FB"/>
    <w:rsid w:val="004850BF"/>
    <w:rsid w:val="004851B1"/>
    <w:rsid w:val="004856B0"/>
    <w:rsid w:val="00485AAA"/>
    <w:rsid w:val="00485BB2"/>
    <w:rsid w:val="00487F00"/>
    <w:rsid w:val="00487F10"/>
    <w:rsid w:val="004900D9"/>
    <w:rsid w:val="00490976"/>
    <w:rsid w:val="00490AAC"/>
    <w:rsid w:val="00490FFF"/>
    <w:rsid w:val="00491595"/>
    <w:rsid w:val="0049206B"/>
    <w:rsid w:val="0049246F"/>
    <w:rsid w:val="00492483"/>
    <w:rsid w:val="00492E85"/>
    <w:rsid w:val="00492F04"/>
    <w:rsid w:val="00492FC4"/>
    <w:rsid w:val="00495163"/>
    <w:rsid w:val="00495649"/>
    <w:rsid w:val="00495BAF"/>
    <w:rsid w:val="0049672E"/>
    <w:rsid w:val="00496D14"/>
    <w:rsid w:val="004973E2"/>
    <w:rsid w:val="004977B5"/>
    <w:rsid w:val="004A02C5"/>
    <w:rsid w:val="004A0B1F"/>
    <w:rsid w:val="004A231C"/>
    <w:rsid w:val="004A2CFF"/>
    <w:rsid w:val="004A2D32"/>
    <w:rsid w:val="004A3ABA"/>
    <w:rsid w:val="004A4A0B"/>
    <w:rsid w:val="004A4ACB"/>
    <w:rsid w:val="004A5116"/>
    <w:rsid w:val="004A5196"/>
    <w:rsid w:val="004A5914"/>
    <w:rsid w:val="004A6DF9"/>
    <w:rsid w:val="004B13EA"/>
    <w:rsid w:val="004B2810"/>
    <w:rsid w:val="004B34DB"/>
    <w:rsid w:val="004B4064"/>
    <w:rsid w:val="004B4D31"/>
    <w:rsid w:val="004B62AF"/>
    <w:rsid w:val="004B6328"/>
    <w:rsid w:val="004B695B"/>
    <w:rsid w:val="004B6B62"/>
    <w:rsid w:val="004B6F57"/>
    <w:rsid w:val="004B737A"/>
    <w:rsid w:val="004B7973"/>
    <w:rsid w:val="004C0464"/>
    <w:rsid w:val="004C0745"/>
    <w:rsid w:val="004C0C41"/>
    <w:rsid w:val="004C131C"/>
    <w:rsid w:val="004C15D1"/>
    <w:rsid w:val="004C160F"/>
    <w:rsid w:val="004C1927"/>
    <w:rsid w:val="004C1CD1"/>
    <w:rsid w:val="004C3065"/>
    <w:rsid w:val="004C4F55"/>
    <w:rsid w:val="004C52C5"/>
    <w:rsid w:val="004C6D10"/>
    <w:rsid w:val="004C744C"/>
    <w:rsid w:val="004C7888"/>
    <w:rsid w:val="004C7B77"/>
    <w:rsid w:val="004D0D8E"/>
    <w:rsid w:val="004D0EE0"/>
    <w:rsid w:val="004D1844"/>
    <w:rsid w:val="004D357A"/>
    <w:rsid w:val="004D35DE"/>
    <w:rsid w:val="004D3C2A"/>
    <w:rsid w:val="004D409D"/>
    <w:rsid w:val="004D434E"/>
    <w:rsid w:val="004D43FC"/>
    <w:rsid w:val="004D4C12"/>
    <w:rsid w:val="004D5DE3"/>
    <w:rsid w:val="004D651D"/>
    <w:rsid w:val="004D6F21"/>
    <w:rsid w:val="004D7B06"/>
    <w:rsid w:val="004E0301"/>
    <w:rsid w:val="004E09A8"/>
    <w:rsid w:val="004E0B67"/>
    <w:rsid w:val="004E328F"/>
    <w:rsid w:val="004E3EBA"/>
    <w:rsid w:val="004E4F6F"/>
    <w:rsid w:val="004E54AC"/>
    <w:rsid w:val="004E564B"/>
    <w:rsid w:val="004E66B7"/>
    <w:rsid w:val="004E68F6"/>
    <w:rsid w:val="004F00F5"/>
    <w:rsid w:val="004F0643"/>
    <w:rsid w:val="004F08CD"/>
    <w:rsid w:val="004F09DA"/>
    <w:rsid w:val="004F1C49"/>
    <w:rsid w:val="004F2408"/>
    <w:rsid w:val="004F2E90"/>
    <w:rsid w:val="004F2F13"/>
    <w:rsid w:val="004F37E9"/>
    <w:rsid w:val="004F39AC"/>
    <w:rsid w:val="004F3B9F"/>
    <w:rsid w:val="004F4510"/>
    <w:rsid w:val="004F4AB3"/>
    <w:rsid w:val="004F5662"/>
    <w:rsid w:val="004F65FA"/>
    <w:rsid w:val="004F7670"/>
    <w:rsid w:val="004F7DBD"/>
    <w:rsid w:val="0050059C"/>
    <w:rsid w:val="00500789"/>
    <w:rsid w:val="00501781"/>
    <w:rsid w:val="005029FC"/>
    <w:rsid w:val="0050333F"/>
    <w:rsid w:val="00504C11"/>
    <w:rsid w:val="00504CAB"/>
    <w:rsid w:val="005052CF"/>
    <w:rsid w:val="00505572"/>
    <w:rsid w:val="00506965"/>
    <w:rsid w:val="00506E9F"/>
    <w:rsid w:val="00510834"/>
    <w:rsid w:val="00511362"/>
    <w:rsid w:val="005114B0"/>
    <w:rsid w:val="005116EB"/>
    <w:rsid w:val="005118EB"/>
    <w:rsid w:val="005120AD"/>
    <w:rsid w:val="00512799"/>
    <w:rsid w:val="00515084"/>
    <w:rsid w:val="00516A2B"/>
    <w:rsid w:val="00516CD1"/>
    <w:rsid w:val="00516E2F"/>
    <w:rsid w:val="00517297"/>
    <w:rsid w:val="00517A41"/>
    <w:rsid w:val="005215AF"/>
    <w:rsid w:val="005216FB"/>
    <w:rsid w:val="00521DBE"/>
    <w:rsid w:val="005229AD"/>
    <w:rsid w:val="00522F7F"/>
    <w:rsid w:val="00522F84"/>
    <w:rsid w:val="0052349B"/>
    <w:rsid w:val="00523618"/>
    <w:rsid w:val="00523A78"/>
    <w:rsid w:val="00523CF0"/>
    <w:rsid w:val="005244AE"/>
    <w:rsid w:val="00524765"/>
    <w:rsid w:val="005250FD"/>
    <w:rsid w:val="00526287"/>
    <w:rsid w:val="00526396"/>
    <w:rsid w:val="005263AD"/>
    <w:rsid w:val="00527515"/>
    <w:rsid w:val="00527E4A"/>
    <w:rsid w:val="005306F3"/>
    <w:rsid w:val="005307DE"/>
    <w:rsid w:val="00531B64"/>
    <w:rsid w:val="00531B97"/>
    <w:rsid w:val="005322A8"/>
    <w:rsid w:val="005327FD"/>
    <w:rsid w:val="00533509"/>
    <w:rsid w:val="005337FB"/>
    <w:rsid w:val="0053381E"/>
    <w:rsid w:val="005340C7"/>
    <w:rsid w:val="005342DF"/>
    <w:rsid w:val="00534B09"/>
    <w:rsid w:val="00535591"/>
    <w:rsid w:val="00535772"/>
    <w:rsid w:val="00535B46"/>
    <w:rsid w:val="00535F87"/>
    <w:rsid w:val="00536217"/>
    <w:rsid w:val="00536603"/>
    <w:rsid w:val="00536A50"/>
    <w:rsid w:val="00536B29"/>
    <w:rsid w:val="00536F65"/>
    <w:rsid w:val="00537A14"/>
    <w:rsid w:val="00537AE1"/>
    <w:rsid w:val="00537D8C"/>
    <w:rsid w:val="005406D1"/>
    <w:rsid w:val="00540A93"/>
    <w:rsid w:val="00541AE3"/>
    <w:rsid w:val="00541D36"/>
    <w:rsid w:val="00542049"/>
    <w:rsid w:val="00542265"/>
    <w:rsid w:val="0054240E"/>
    <w:rsid w:val="00544A22"/>
    <w:rsid w:val="00544BE9"/>
    <w:rsid w:val="00544D78"/>
    <w:rsid w:val="00545AD2"/>
    <w:rsid w:val="00545C17"/>
    <w:rsid w:val="00545FEC"/>
    <w:rsid w:val="005462FA"/>
    <w:rsid w:val="00546B62"/>
    <w:rsid w:val="00547935"/>
    <w:rsid w:val="00547B4A"/>
    <w:rsid w:val="00547B4B"/>
    <w:rsid w:val="00547D84"/>
    <w:rsid w:val="00550939"/>
    <w:rsid w:val="00550D1B"/>
    <w:rsid w:val="005510BC"/>
    <w:rsid w:val="00551355"/>
    <w:rsid w:val="005516A7"/>
    <w:rsid w:val="00552532"/>
    <w:rsid w:val="005526A4"/>
    <w:rsid w:val="005531A3"/>
    <w:rsid w:val="00553382"/>
    <w:rsid w:val="0055360B"/>
    <w:rsid w:val="005536F0"/>
    <w:rsid w:val="005539D4"/>
    <w:rsid w:val="00553E87"/>
    <w:rsid w:val="0055411B"/>
    <w:rsid w:val="0055439F"/>
    <w:rsid w:val="00554675"/>
    <w:rsid w:val="0055557C"/>
    <w:rsid w:val="0055613E"/>
    <w:rsid w:val="005569C4"/>
    <w:rsid w:val="00556EFF"/>
    <w:rsid w:val="0055708C"/>
    <w:rsid w:val="00557420"/>
    <w:rsid w:val="00557D2F"/>
    <w:rsid w:val="0056021C"/>
    <w:rsid w:val="00560A7D"/>
    <w:rsid w:val="00560BD5"/>
    <w:rsid w:val="00560E26"/>
    <w:rsid w:val="00560FB5"/>
    <w:rsid w:val="00561290"/>
    <w:rsid w:val="00562EBC"/>
    <w:rsid w:val="00563592"/>
    <w:rsid w:val="005639A2"/>
    <w:rsid w:val="00563ACF"/>
    <w:rsid w:val="00563ECF"/>
    <w:rsid w:val="00563EF4"/>
    <w:rsid w:val="005651D5"/>
    <w:rsid w:val="00565499"/>
    <w:rsid w:val="00565B81"/>
    <w:rsid w:val="00565C9F"/>
    <w:rsid w:val="00567806"/>
    <w:rsid w:val="00567B45"/>
    <w:rsid w:val="00567CA9"/>
    <w:rsid w:val="00570436"/>
    <w:rsid w:val="0057044C"/>
    <w:rsid w:val="005709F9"/>
    <w:rsid w:val="00570D8F"/>
    <w:rsid w:val="005714A1"/>
    <w:rsid w:val="005715E7"/>
    <w:rsid w:val="005718F8"/>
    <w:rsid w:val="00571EE9"/>
    <w:rsid w:val="005721BF"/>
    <w:rsid w:val="005724E6"/>
    <w:rsid w:val="00572D12"/>
    <w:rsid w:val="005744B4"/>
    <w:rsid w:val="00574702"/>
    <w:rsid w:val="005768AF"/>
    <w:rsid w:val="005772D9"/>
    <w:rsid w:val="00577499"/>
    <w:rsid w:val="005778B7"/>
    <w:rsid w:val="00577F80"/>
    <w:rsid w:val="005801B8"/>
    <w:rsid w:val="005805A8"/>
    <w:rsid w:val="00580CC7"/>
    <w:rsid w:val="00581731"/>
    <w:rsid w:val="0058265A"/>
    <w:rsid w:val="00584B54"/>
    <w:rsid w:val="00585761"/>
    <w:rsid w:val="00585A82"/>
    <w:rsid w:val="005861A8"/>
    <w:rsid w:val="0058704C"/>
    <w:rsid w:val="005871C9"/>
    <w:rsid w:val="005909AA"/>
    <w:rsid w:val="005909CC"/>
    <w:rsid w:val="00590D55"/>
    <w:rsid w:val="00590D7A"/>
    <w:rsid w:val="00590FFB"/>
    <w:rsid w:val="005916E4"/>
    <w:rsid w:val="00591BCD"/>
    <w:rsid w:val="00593CE6"/>
    <w:rsid w:val="00594466"/>
    <w:rsid w:val="0059449B"/>
    <w:rsid w:val="005946F7"/>
    <w:rsid w:val="00594748"/>
    <w:rsid w:val="00594EC9"/>
    <w:rsid w:val="00595AE4"/>
    <w:rsid w:val="00596E3B"/>
    <w:rsid w:val="00597D6D"/>
    <w:rsid w:val="005A0012"/>
    <w:rsid w:val="005A0246"/>
    <w:rsid w:val="005A0AE4"/>
    <w:rsid w:val="005A0AE9"/>
    <w:rsid w:val="005A0D56"/>
    <w:rsid w:val="005A14D7"/>
    <w:rsid w:val="005A1A1D"/>
    <w:rsid w:val="005A2A34"/>
    <w:rsid w:val="005A2B97"/>
    <w:rsid w:val="005A36CA"/>
    <w:rsid w:val="005A36F9"/>
    <w:rsid w:val="005A3958"/>
    <w:rsid w:val="005A4561"/>
    <w:rsid w:val="005A5373"/>
    <w:rsid w:val="005A5503"/>
    <w:rsid w:val="005A5552"/>
    <w:rsid w:val="005A58EA"/>
    <w:rsid w:val="005A6246"/>
    <w:rsid w:val="005A679B"/>
    <w:rsid w:val="005A6BF6"/>
    <w:rsid w:val="005A7427"/>
    <w:rsid w:val="005A7CA6"/>
    <w:rsid w:val="005B0218"/>
    <w:rsid w:val="005B0A29"/>
    <w:rsid w:val="005B106D"/>
    <w:rsid w:val="005B132D"/>
    <w:rsid w:val="005B13A4"/>
    <w:rsid w:val="005B18FC"/>
    <w:rsid w:val="005B1B69"/>
    <w:rsid w:val="005B2A9B"/>
    <w:rsid w:val="005B3A75"/>
    <w:rsid w:val="005B4418"/>
    <w:rsid w:val="005B4AC6"/>
    <w:rsid w:val="005B52D0"/>
    <w:rsid w:val="005B587B"/>
    <w:rsid w:val="005B5D4E"/>
    <w:rsid w:val="005B5F73"/>
    <w:rsid w:val="005B7AFB"/>
    <w:rsid w:val="005B7C7F"/>
    <w:rsid w:val="005C0205"/>
    <w:rsid w:val="005C0AC6"/>
    <w:rsid w:val="005C1848"/>
    <w:rsid w:val="005C29D6"/>
    <w:rsid w:val="005C2A72"/>
    <w:rsid w:val="005C30FE"/>
    <w:rsid w:val="005C32D2"/>
    <w:rsid w:val="005C42A2"/>
    <w:rsid w:val="005C52B4"/>
    <w:rsid w:val="005C5671"/>
    <w:rsid w:val="005C60DC"/>
    <w:rsid w:val="005C6DF7"/>
    <w:rsid w:val="005D00D9"/>
    <w:rsid w:val="005D0C74"/>
    <w:rsid w:val="005D2605"/>
    <w:rsid w:val="005D2B11"/>
    <w:rsid w:val="005D34A4"/>
    <w:rsid w:val="005D387E"/>
    <w:rsid w:val="005D388B"/>
    <w:rsid w:val="005D389B"/>
    <w:rsid w:val="005D5718"/>
    <w:rsid w:val="005D75F2"/>
    <w:rsid w:val="005E0282"/>
    <w:rsid w:val="005E043D"/>
    <w:rsid w:val="005E11D4"/>
    <w:rsid w:val="005E1A9F"/>
    <w:rsid w:val="005E1EC5"/>
    <w:rsid w:val="005E3373"/>
    <w:rsid w:val="005E48A1"/>
    <w:rsid w:val="005E5667"/>
    <w:rsid w:val="005E6573"/>
    <w:rsid w:val="005E7469"/>
    <w:rsid w:val="005E78CF"/>
    <w:rsid w:val="005F0715"/>
    <w:rsid w:val="005F0DEC"/>
    <w:rsid w:val="005F130C"/>
    <w:rsid w:val="005F14C5"/>
    <w:rsid w:val="005F1599"/>
    <w:rsid w:val="005F1945"/>
    <w:rsid w:val="005F1CDA"/>
    <w:rsid w:val="005F2AFC"/>
    <w:rsid w:val="005F2F91"/>
    <w:rsid w:val="005F36DD"/>
    <w:rsid w:val="005F3C58"/>
    <w:rsid w:val="005F3F24"/>
    <w:rsid w:val="005F4889"/>
    <w:rsid w:val="005F4D13"/>
    <w:rsid w:val="005F504E"/>
    <w:rsid w:val="005F5579"/>
    <w:rsid w:val="005F58FC"/>
    <w:rsid w:val="005F5FFE"/>
    <w:rsid w:val="005F645C"/>
    <w:rsid w:val="005F7557"/>
    <w:rsid w:val="005F7997"/>
    <w:rsid w:val="0060077F"/>
    <w:rsid w:val="00600E53"/>
    <w:rsid w:val="00602A65"/>
    <w:rsid w:val="00603407"/>
    <w:rsid w:val="00603C75"/>
    <w:rsid w:val="0060448B"/>
    <w:rsid w:val="00604B19"/>
    <w:rsid w:val="00605024"/>
    <w:rsid w:val="006058DD"/>
    <w:rsid w:val="00606438"/>
    <w:rsid w:val="00606478"/>
    <w:rsid w:val="00606D0F"/>
    <w:rsid w:val="00606D2E"/>
    <w:rsid w:val="00606E95"/>
    <w:rsid w:val="00606E9C"/>
    <w:rsid w:val="00607E6E"/>
    <w:rsid w:val="006101AB"/>
    <w:rsid w:val="00610E9E"/>
    <w:rsid w:val="0061234C"/>
    <w:rsid w:val="00612F3F"/>
    <w:rsid w:val="00613382"/>
    <w:rsid w:val="00613541"/>
    <w:rsid w:val="0061360D"/>
    <w:rsid w:val="00613B19"/>
    <w:rsid w:val="006140D5"/>
    <w:rsid w:val="006145AF"/>
    <w:rsid w:val="00615724"/>
    <w:rsid w:val="00615F2E"/>
    <w:rsid w:val="00616231"/>
    <w:rsid w:val="00617DFC"/>
    <w:rsid w:val="0062067C"/>
    <w:rsid w:val="00620760"/>
    <w:rsid w:val="00620D15"/>
    <w:rsid w:val="00621535"/>
    <w:rsid w:val="0062240E"/>
    <w:rsid w:val="006225A5"/>
    <w:rsid w:val="006229D2"/>
    <w:rsid w:val="00622ED3"/>
    <w:rsid w:val="00623FB3"/>
    <w:rsid w:val="00624280"/>
    <w:rsid w:val="00624E1F"/>
    <w:rsid w:val="00625D78"/>
    <w:rsid w:val="006272C4"/>
    <w:rsid w:val="00630981"/>
    <w:rsid w:val="00630DE9"/>
    <w:rsid w:val="00631782"/>
    <w:rsid w:val="00631C96"/>
    <w:rsid w:val="00631EC0"/>
    <w:rsid w:val="00632B45"/>
    <w:rsid w:val="006335E9"/>
    <w:rsid w:val="006335EA"/>
    <w:rsid w:val="00633C66"/>
    <w:rsid w:val="00633D84"/>
    <w:rsid w:val="00633E92"/>
    <w:rsid w:val="00634809"/>
    <w:rsid w:val="006348DD"/>
    <w:rsid w:val="00634CE0"/>
    <w:rsid w:val="00635D6F"/>
    <w:rsid w:val="00635D92"/>
    <w:rsid w:val="00636758"/>
    <w:rsid w:val="0063679A"/>
    <w:rsid w:val="006367D0"/>
    <w:rsid w:val="00636C69"/>
    <w:rsid w:val="0063706F"/>
    <w:rsid w:val="0063711D"/>
    <w:rsid w:val="00637190"/>
    <w:rsid w:val="00637203"/>
    <w:rsid w:val="0063722E"/>
    <w:rsid w:val="00637A41"/>
    <w:rsid w:val="00637AE4"/>
    <w:rsid w:val="00640B90"/>
    <w:rsid w:val="00641233"/>
    <w:rsid w:val="0064308C"/>
    <w:rsid w:val="00643559"/>
    <w:rsid w:val="00643CBD"/>
    <w:rsid w:val="0064456E"/>
    <w:rsid w:val="00644647"/>
    <w:rsid w:val="00644D46"/>
    <w:rsid w:val="00644DB1"/>
    <w:rsid w:val="0064516F"/>
    <w:rsid w:val="006453FB"/>
    <w:rsid w:val="006456E3"/>
    <w:rsid w:val="0064582E"/>
    <w:rsid w:val="006458D5"/>
    <w:rsid w:val="0064590C"/>
    <w:rsid w:val="00645CAA"/>
    <w:rsid w:val="00645D99"/>
    <w:rsid w:val="00646EA8"/>
    <w:rsid w:val="00646F07"/>
    <w:rsid w:val="0065092C"/>
    <w:rsid w:val="00652582"/>
    <w:rsid w:val="0065267C"/>
    <w:rsid w:val="00652932"/>
    <w:rsid w:val="00652EE7"/>
    <w:rsid w:val="00653176"/>
    <w:rsid w:val="00653699"/>
    <w:rsid w:val="00654D01"/>
    <w:rsid w:val="006555D8"/>
    <w:rsid w:val="00655656"/>
    <w:rsid w:val="00655D5D"/>
    <w:rsid w:val="00656813"/>
    <w:rsid w:val="00656E10"/>
    <w:rsid w:val="00656F7C"/>
    <w:rsid w:val="00657855"/>
    <w:rsid w:val="00657FF6"/>
    <w:rsid w:val="0066066D"/>
    <w:rsid w:val="00660849"/>
    <w:rsid w:val="006608B3"/>
    <w:rsid w:val="0066251F"/>
    <w:rsid w:val="00662734"/>
    <w:rsid w:val="00662E87"/>
    <w:rsid w:val="00663280"/>
    <w:rsid w:val="00663C76"/>
    <w:rsid w:val="006649F5"/>
    <w:rsid w:val="006650DA"/>
    <w:rsid w:val="0066660F"/>
    <w:rsid w:val="00666D57"/>
    <w:rsid w:val="006678F2"/>
    <w:rsid w:val="00667E66"/>
    <w:rsid w:val="00670B8F"/>
    <w:rsid w:val="00670D8D"/>
    <w:rsid w:val="00671EC6"/>
    <w:rsid w:val="0067256C"/>
    <w:rsid w:val="00672EC7"/>
    <w:rsid w:val="00672FAF"/>
    <w:rsid w:val="006741A6"/>
    <w:rsid w:val="0067482E"/>
    <w:rsid w:val="006749EA"/>
    <w:rsid w:val="006757F0"/>
    <w:rsid w:val="00675937"/>
    <w:rsid w:val="006763CC"/>
    <w:rsid w:val="006769F6"/>
    <w:rsid w:val="006773E9"/>
    <w:rsid w:val="006775E4"/>
    <w:rsid w:val="00677808"/>
    <w:rsid w:val="0068016D"/>
    <w:rsid w:val="0068076B"/>
    <w:rsid w:val="00680AF8"/>
    <w:rsid w:val="006815D6"/>
    <w:rsid w:val="00681FCC"/>
    <w:rsid w:val="00683159"/>
    <w:rsid w:val="00683984"/>
    <w:rsid w:val="006852D5"/>
    <w:rsid w:val="00686AE8"/>
    <w:rsid w:val="00686BFE"/>
    <w:rsid w:val="00687330"/>
    <w:rsid w:val="00687472"/>
    <w:rsid w:val="00687597"/>
    <w:rsid w:val="0069078D"/>
    <w:rsid w:val="0069153A"/>
    <w:rsid w:val="006917DE"/>
    <w:rsid w:val="00691A15"/>
    <w:rsid w:val="0069229F"/>
    <w:rsid w:val="006930E4"/>
    <w:rsid w:val="00693157"/>
    <w:rsid w:val="00693DD8"/>
    <w:rsid w:val="00695216"/>
    <w:rsid w:val="00695BBE"/>
    <w:rsid w:val="00696001"/>
    <w:rsid w:val="006964CD"/>
    <w:rsid w:val="006967AE"/>
    <w:rsid w:val="0069698B"/>
    <w:rsid w:val="00696B32"/>
    <w:rsid w:val="006971A1"/>
    <w:rsid w:val="006972BC"/>
    <w:rsid w:val="00697E11"/>
    <w:rsid w:val="006A123D"/>
    <w:rsid w:val="006A18C0"/>
    <w:rsid w:val="006A345F"/>
    <w:rsid w:val="006A4587"/>
    <w:rsid w:val="006A4D15"/>
    <w:rsid w:val="006A5BCA"/>
    <w:rsid w:val="006A5C94"/>
    <w:rsid w:val="006A62CC"/>
    <w:rsid w:val="006B04DF"/>
    <w:rsid w:val="006B09BC"/>
    <w:rsid w:val="006B1017"/>
    <w:rsid w:val="006B21D6"/>
    <w:rsid w:val="006B22F9"/>
    <w:rsid w:val="006B23B0"/>
    <w:rsid w:val="006B35EC"/>
    <w:rsid w:val="006B3856"/>
    <w:rsid w:val="006B4017"/>
    <w:rsid w:val="006B4260"/>
    <w:rsid w:val="006B4B9E"/>
    <w:rsid w:val="006B4ED9"/>
    <w:rsid w:val="006B55C1"/>
    <w:rsid w:val="006B5CAB"/>
    <w:rsid w:val="006B601C"/>
    <w:rsid w:val="006B6F0D"/>
    <w:rsid w:val="006B72F4"/>
    <w:rsid w:val="006B75E7"/>
    <w:rsid w:val="006C0276"/>
    <w:rsid w:val="006C06F8"/>
    <w:rsid w:val="006C0ACA"/>
    <w:rsid w:val="006C156F"/>
    <w:rsid w:val="006C2237"/>
    <w:rsid w:val="006C24C4"/>
    <w:rsid w:val="006C2FF4"/>
    <w:rsid w:val="006C312D"/>
    <w:rsid w:val="006C35A9"/>
    <w:rsid w:val="006C36D7"/>
    <w:rsid w:val="006C3FB4"/>
    <w:rsid w:val="006C472F"/>
    <w:rsid w:val="006C5688"/>
    <w:rsid w:val="006C5E8B"/>
    <w:rsid w:val="006C5F29"/>
    <w:rsid w:val="006C6599"/>
    <w:rsid w:val="006C79A9"/>
    <w:rsid w:val="006C7A0D"/>
    <w:rsid w:val="006C7D7F"/>
    <w:rsid w:val="006D1006"/>
    <w:rsid w:val="006D10DC"/>
    <w:rsid w:val="006D1289"/>
    <w:rsid w:val="006D3379"/>
    <w:rsid w:val="006D38B1"/>
    <w:rsid w:val="006D3CB3"/>
    <w:rsid w:val="006D4341"/>
    <w:rsid w:val="006D44A4"/>
    <w:rsid w:val="006D4A4F"/>
    <w:rsid w:val="006D4A88"/>
    <w:rsid w:val="006D5B8E"/>
    <w:rsid w:val="006D5C38"/>
    <w:rsid w:val="006D5E5C"/>
    <w:rsid w:val="006D5EAB"/>
    <w:rsid w:val="006D600A"/>
    <w:rsid w:val="006D6079"/>
    <w:rsid w:val="006D61D6"/>
    <w:rsid w:val="006E008B"/>
    <w:rsid w:val="006E047C"/>
    <w:rsid w:val="006E07C7"/>
    <w:rsid w:val="006E1E3E"/>
    <w:rsid w:val="006E1ED3"/>
    <w:rsid w:val="006E23F1"/>
    <w:rsid w:val="006E244C"/>
    <w:rsid w:val="006E2E3D"/>
    <w:rsid w:val="006E379E"/>
    <w:rsid w:val="006E47D5"/>
    <w:rsid w:val="006E4BA5"/>
    <w:rsid w:val="006E4E28"/>
    <w:rsid w:val="006E5271"/>
    <w:rsid w:val="006E56D2"/>
    <w:rsid w:val="006E5D66"/>
    <w:rsid w:val="006E620E"/>
    <w:rsid w:val="006E68DE"/>
    <w:rsid w:val="006E7FB2"/>
    <w:rsid w:val="006F04AD"/>
    <w:rsid w:val="006F10F4"/>
    <w:rsid w:val="006F134F"/>
    <w:rsid w:val="006F1361"/>
    <w:rsid w:val="006F1EEF"/>
    <w:rsid w:val="006F2178"/>
    <w:rsid w:val="006F264B"/>
    <w:rsid w:val="006F2D67"/>
    <w:rsid w:val="006F3184"/>
    <w:rsid w:val="006F3C44"/>
    <w:rsid w:val="006F47A6"/>
    <w:rsid w:val="006F4EA3"/>
    <w:rsid w:val="006F503C"/>
    <w:rsid w:val="006F7C5D"/>
    <w:rsid w:val="00700165"/>
    <w:rsid w:val="00700CC7"/>
    <w:rsid w:val="00700EC3"/>
    <w:rsid w:val="007015C5"/>
    <w:rsid w:val="00701C26"/>
    <w:rsid w:val="00701D92"/>
    <w:rsid w:val="007026EA"/>
    <w:rsid w:val="00702A6B"/>
    <w:rsid w:val="00702F59"/>
    <w:rsid w:val="0070361F"/>
    <w:rsid w:val="00703912"/>
    <w:rsid w:val="007049D2"/>
    <w:rsid w:val="00705DE1"/>
    <w:rsid w:val="00706241"/>
    <w:rsid w:val="00706C3B"/>
    <w:rsid w:val="007078B0"/>
    <w:rsid w:val="0071071D"/>
    <w:rsid w:val="00710CE7"/>
    <w:rsid w:val="00711EB0"/>
    <w:rsid w:val="00712A03"/>
    <w:rsid w:val="00712B86"/>
    <w:rsid w:val="00713185"/>
    <w:rsid w:val="00714640"/>
    <w:rsid w:val="00714B37"/>
    <w:rsid w:val="00714FA8"/>
    <w:rsid w:val="00715018"/>
    <w:rsid w:val="007151CE"/>
    <w:rsid w:val="0071524D"/>
    <w:rsid w:val="007152AB"/>
    <w:rsid w:val="00715C12"/>
    <w:rsid w:val="007160D7"/>
    <w:rsid w:val="0071639E"/>
    <w:rsid w:val="00716401"/>
    <w:rsid w:val="00716D60"/>
    <w:rsid w:val="00717907"/>
    <w:rsid w:val="00717B32"/>
    <w:rsid w:val="00717F1B"/>
    <w:rsid w:val="0072033C"/>
    <w:rsid w:val="0072034C"/>
    <w:rsid w:val="00720EB9"/>
    <w:rsid w:val="00720F10"/>
    <w:rsid w:val="0072111B"/>
    <w:rsid w:val="00721400"/>
    <w:rsid w:val="0072207F"/>
    <w:rsid w:val="0072286A"/>
    <w:rsid w:val="00722B2E"/>
    <w:rsid w:val="00723625"/>
    <w:rsid w:val="0072395E"/>
    <w:rsid w:val="00723AD3"/>
    <w:rsid w:val="00723B23"/>
    <w:rsid w:val="00724D7E"/>
    <w:rsid w:val="00725A59"/>
    <w:rsid w:val="00725DA2"/>
    <w:rsid w:val="00726842"/>
    <w:rsid w:val="00727073"/>
    <w:rsid w:val="007272E9"/>
    <w:rsid w:val="0072742C"/>
    <w:rsid w:val="00730F84"/>
    <w:rsid w:val="00731169"/>
    <w:rsid w:val="0073141B"/>
    <w:rsid w:val="00731F06"/>
    <w:rsid w:val="00732502"/>
    <w:rsid w:val="007325E0"/>
    <w:rsid w:val="0073292E"/>
    <w:rsid w:val="00732B5B"/>
    <w:rsid w:val="0073393A"/>
    <w:rsid w:val="0073586A"/>
    <w:rsid w:val="00735F7B"/>
    <w:rsid w:val="007368B8"/>
    <w:rsid w:val="00736B0D"/>
    <w:rsid w:val="00737464"/>
    <w:rsid w:val="007378A4"/>
    <w:rsid w:val="00737B67"/>
    <w:rsid w:val="00737CCD"/>
    <w:rsid w:val="00737DEA"/>
    <w:rsid w:val="0074001E"/>
    <w:rsid w:val="0074023B"/>
    <w:rsid w:val="007406C0"/>
    <w:rsid w:val="00740C95"/>
    <w:rsid w:val="00740EEE"/>
    <w:rsid w:val="00740F10"/>
    <w:rsid w:val="007411A9"/>
    <w:rsid w:val="007418A7"/>
    <w:rsid w:val="00742833"/>
    <w:rsid w:val="007428FF"/>
    <w:rsid w:val="0074382E"/>
    <w:rsid w:val="00743EC7"/>
    <w:rsid w:val="00744042"/>
    <w:rsid w:val="00744ADF"/>
    <w:rsid w:val="00744CB2"/>
    <w:rsid w:val="00744E6C"/>
    <w:rsid w:val="0074513E"/>
    <w:rsid w:val="0074576E"/>
    <w:rsid w:val="007468A5"/>
    <w:rsid w:val="0074698F"/>
    <w:rsid w:val="0074729C"/>
    <w:rsid w:val="007504C5"/>
    <w:rsid w:val="00751824"/>
    <w:rsid w:val="0075191F"/>
    <w:rsid w:val="007520E8"/>
    <w:rsid w:val="00752190"/>
    <w:rsid w:val="00752EDD"/>
    <w:rsid w:val="00752EFB"/>
    <w:rsid w:val="00752FEA"/>
    <w:rsid w:val="00753071"/>
    <w:rsid w:val="0075326E"/>
    <w:rsid w:val="007538FC"/>
    <w:rsid w:val="00754A5E"/>
    <w:rsid w:val="00754B91"/>
    <w:rsid w:val="00755626"/>
    <w:rsid w:val="00755CB6"/>
    <w:rsid w:val="00755FFB"/>
    <w:rsid w:val="0075675F"/>
    <w:rsid w:val="00757525"/>
    <w:rsid w:val="007576D7"/>
    <w:rsid w:val="00757D89"/>
    <w:rsid w:val="00760B49"/>
    <w:rsid w:val="00761087"/>
    <w:rsid w:val="00761728"/>
    <w:rsid w:val="00761E3E"/>
    <w:rsid w:val="007622A4"/>
    <w:rsid w:val="00762358"/>
    <w:rsid w:val="00762F6C"/>
    <w:rsid w:val="00762FD2"/>
    <w:rsid w:val="007638A8"/>
    <w:rsid w:val="00764898"/>
    <w:rsid w:val="00764F3C"/>
    <w:rsid w:val="00765277"/>
    <w:rsid w:val="00771A49"/>
    <w:rsid w:val="00771CE9"/>
    <w:rsid w:val="00772219"/>
    <w:rsid w:val="007731D7"/>
    <w:rsid w:val="007738F7"/>
    <w:rsid w:val="0077490E"/>
    <w:rsid w:val="00774C5C"/>
    <w:rsid w:val="00774D00"/>
    <w:rsid w:val="007753F2"/>
    <w:rsid w:val="00775720"/>
    <w:rsid w:val="00776211"/>
    <w:rsid w:val="007762FB"/>
    <w:rsid w:val="00776461"/>
    <w:rsid w:val="00777E34"/>
    <w:rsid w:val="00780672"/>
    <w:rsid w:val="007816AA"/>
    <w:rsid w:val="00781B56"/>
    <w:rsid w:val="00781CCB"/>
    <w:rsid w:val="00782836"/>
    <w:rsid w:val="007834CA"/>
    <w:rsid w:val="007836D2"/>
    <w:rsid w:val="0078390A"/>
    <w:rsid w:val="00783C2F"/>
    <w:rsid w:val="00784623"/>
    <w:rsid w:val="0078557C"/>
    <w:rsid w:val="00785E37"/>
    <w:rsid w:val="00786DCC"/>
    <w:rsid w:val="00787160"/>
    <w:rsid w:val="00787161"/>
    <w:rsid w:val="00787444"/>
    <w:rsid w:val="007906AA"/>
    <w:rsid w:val="007910BB"/>
    <w:rsid w:val="00792725"/>
    <w:rsid w:val="00792BDA"/>
    <w:rsid w:val="00792EC2"/>
    <w:rsid w:val="007930EB"/>
    <w:rsid w:val="00793977"/>
    <w:rsid w:val="00793CA9"/>
    <w:rsid w:val="00794734"/>
    <w:rsid w:val="0079476A"/>
    <w:rsid w:val="00794F78"/>
    <w:rsid w:val="007958FB"/>
    <w:rsid w:val="00795B63"/>
    <w:rsid w:val="00796499"/>
    <w:rsid w:val="00796D75"/>
    <w:rsid w:val="00797169"/>
    <w:rsid w:val="007A144B"/>
    <w:rsid w:val="007A196E"/>
    <w:rsid w:val="007A1D2F"/>
    <w:rsid w:val="007A2048"/>
    <w:rsid w:val="007A208B"/>
    <w:rsid w:val="007A2285"/>
    <w:rsid w:val="007A331D"/>
    <w:rsid w:val="007A3E4F"/>
    <w:rsid w:val="007A3F7A"/>
    <w:rsid w:val="007A4155"/>
    <w:rsid w:val="007A4FD9"/>
    <w:rsid w:val="007A56A4"/>
    <w:rsid w:val="007A669A"/>
    <w:rsid w:val="007A6F18"/>
    <w:rsid w:val="007A6F42"/>
    <w:rsid w:val="007A7395"/>
    <w:rsid w:val="007A73F5"/>
    <w:rsid w:val="007B08AE"/>
    <w:rsid w:val="007B0AB0"/>
    <w:rsid w:val="007B22F5"/>
    <w:rsid w:val="007B2319"/>
    <w:rsid w:val="007B2DF1"/>
    <w:rsid w:val="007B2F0C"/>
    <w:rsid w:val="007B405B"/>
    <w:rsid w:val="007B417D"/>
    <w:rsid w:val="007B4643"/>
    <w:rsid w:val="007B50A2"/>
    <w:rsid w:val="007B50B9"/>
    <w:rsid w:val="007B55B5"/>
    <w:rsid w:val="007B5988"/>
    <w:rsid w:val="007B5A19"/>
    <w:rsid w:val="007B5EF5"/>
    <w:rsid w:val="007B5F41"/>
    <w:rsid w:val="007B60DE"/>
    <w:rsid w:val="007B64F6"/>
    <w:rsid w:val="007B680B"/>
    <w:rsid w:val="007B7276"/>
    <w:rsid w:val="007C00FC"/>
    <w:rsid w:val="007C0F42"/>
    <w:rsid w:val="007C17E6"/>
    <w:rsid w:val="007C1ED6"/>
    <w:rsid w:val="007C2332"/>
    <w:rsid w:val="007C279F"/>
    <w:rsid w:val="007C2C71"/>
    <w:rsid w:val="007C2CAE"/>
    <w:rsid w:val="007C3194"/>
    <w:rsid w:val="007C37A6"/>
    <w:rsid w:val="007C3857"/>
    <w:rsid w:val="007C38DC"/>
    <w:rsid w:val="007C549B"/>
    <w:rsid w:val="007C6CB1"/>
    <w:rsid w:val="007C78F0"/>
    <w:rsid w:val="007D05ED"/>
    <w:rsid w:val="007D08C8"/>
    <w:rsid w:val="007D16E7"/>
    <w:rsid w:val="007D1B8C"/>
    <w:rsid w:val="007D1E5A"/>
    <w:rsid w:val="007D320E"/>
    <w:rsid w:val="007D3684"/>
    <w:rsid w:val="007D3B7C"/>
    <w:rsid w:val="007D48F2"/>
    <w:rsid w:val="007D4ADB"/>
    <w:rsid w:val="007D5359"/>
    <w:rsid w:val="007D5AF9"/>
    <w:rsid w:val="007D6186"/>
    <w:rsid w:val="007D6AE8"/>
    <w:rsid w:val="007D7CA3"/>
    <w:rsid w:val="007D7F4A"/>
    <w:rsid w:val="007E077F"/>
    <w:rsid w:val="007E18AF"/>
    <w:rsid w:val="007E1D65"/>
    <w:rsid w:val="007E22C8"/>
    <w:rsid w:val="007E2F6B"/>
    <w:rsid w:val="007E30E1"/>
    <w:rsid w:val="007E430E"/>
    <w:rsid w:val="007E4DB8"/>
    <w:rsid w:val="007E5788"/>
    <w:rsid w:val="007E666B"/>
    <w:rsid w:val="007E728A"/>
    <w:rsid w:val="007E74A6"/>
    <w:rsid w:val="007E75A3"/>
    <w:rsid w:val="007E7E7C"/>
    <w:rsid w:val="007F005B"/>
    <w:rsid w:val="007F15E1"/>
    <w:rsid w:val="007F1F4A"/>
    <w:rsid w:val="007F1F67"/>
    <w:rsid w:val="007F222A"/>
    <w:rsid w:val="007F2BAE"/>
    <w:rsid w:val="007F30AB"/>
    <w:rsid w:val="007F3959"/>
    <w:rsid w:val="007F3BC7"/>
    <w:rsid w:val="007F3D9A"/>
    <w:rsid w:val="007F4917"/>
    <w:rsid w:val="007F5641"/>
    <w:rsid w:val="007F5DF7"/>
    <w:rsid w:val="007F64B2"/>
    <w:rsid w:val="007F6AD4"/>
    <w:rsid w:val="007F7547"/>
    <w:rsid w:val="007F7A81"/>
    <w:rsid w:val="00800C85"/>
    <w:rsid w:val="00800D90"/>
    <w:rsid w:val="00801541"/>
    <w:rsid w:val="0080194F"/>
    <w:rsid w:val="008023D7"/>
    <w:rsid w:val="008036A2"/>
    <w:rsid w:val="00804444"/>
    <w:rsid w:val="00805882"/>
    <w:rsid w:val="00806411"/>
    <w:rsid w:val="00806914"/>
    <w:rsid w:val="008069C2"/>
    <w:rsid w:val="00806C79"/>
    <w:rsid w:val="00806F79"/>
    <w:rsid w:val="00807476"/>
    <w:rsid w:val="00807C5A"/>
    <w:rsid w:val="00807E6B"/>
    <w:rsid w:val="008101E4"/>
    <w:rsid w:val="00810CF3"/>
    <w:rsid w:val="00810E84"/>
    <w:rsid w:val="00811320"/>
    <w:rsid w:val="00811734"/>
    <w:rsid w:val="00811926"/>
    <w:rsid w:val="008128BA"/>
    <w:rsid w:val="008133DC"/>
    <w:rsid w:val="008134B8"/>
    <w:rsid w:val="00814B30"/>
    <w:rsid w:val="008158ED"/>
    <w:rsid w:val="008159E0"/>
    <w:rsid w:val="008170D3"/>
    <w:rsid w:val="00817240"/>
    <w:rsid w:val="00817544"/>
    <w:rsid w:val="00817F5B"/>
    <w:rsid w:val="008202E4"/>
    <w:rsid w:val="008207BE"/>
    <w:rsid w:val="00820900"/>
    <w:rsid w:val="00821699"/>
    <w:rsid w:val="008226FD"/>
    <w:rsid w:val="00822FE2"/>
    <w:rsid w:val="00823A49"/>
    <w:rsid w:val="00823F26"/>
    <w:rsid w:val="0082421C"/>
    <w:rsid w:val="00826F3A"/>
    <w:rsid w:val="0082710E"/>
    <w:rsid w:val="00827A0E"/>
    <w:rsid w:val="00830ECA"/>
    <w:rsid w:val="008310B0"/>
    <w:rsid w:val="00831329"/>
    <w:rsid w:val="00831616"/>
    <w:rsid w:val="008318BF"/>
    <w:rsid w:val="0083191D"/>
    <w:rsid w:val="008319A2"/>
    <w:rsid w:val="008319A8"/>
    <w:rsid w:val="00831B6B"/>
    <w:rsid w:val="00831C93"/>
    <w:rsid w:val="00831D63"/>
    <w:rsid w:val="00834065"/>
    <w:rsid w:val="00834362"/>
    <w:rsid w:val="00834819"/>
    <w:rsid w:val="00834ADF"/>
    <w:rsid w:val="00834B7D"/>
    <w:rsid w:val="0083546E"/>
    <w:rsid w:val="008357D3"/>
    <w:rsid w:val="00835C10"/>
    <w:rsid w:val="00835E2D"/>
    <w:rsid w:val="008362D0"/>
    <w:rsid w:val="00836C12"/>
    <w:rsid w:val="008370E4"/>
    <w:rsid w:val="00837FE5"/>
    <w:rsid w:val="00840F75"/>
    <w:rsid w:val="008413BA"/>
    <w:rsid w:val="008417FC"/>
    <w:rsid w:val="008420B0"/>
    <w:rsid w:val="00842308"/>
    <w:rsid w:val="00842332"/>
    <w:rsid w:val="00842D4C"/>
    <w:rsid w:val="00842DE5"/>
    <w:rsid w:val="00843592"/>
    <w:rsid w:val="008441C2"/>
    <w:rsid w:val="00844296"/>
    <w:rsid w:val="0084450D"/>
    <w:rsid w:val="008448B6"/>
    <w:rsid w:val="0084523B"/>
    <w:rsid w:val="00846869"/>
    <w:rsid w:val="00846872"/>
    <w:rsid w:val="00846ABC"/>
    <w:rsid w:val="008476E7"/>
    <w:rsid w:val="00847C51"/>
    <w:rsid w:val="00851C38"/>
    <w:rsid w:val="0085227A"/>
    <w:rsid w:val="008528CB"/>
    <w:rsid w:val="008532D7"/>
    <w:rsid w:val="00853458"/>
    <w:rsid w:val="00854093"/>
    <w:rsid w:val="00854304"/>
    <w:rsid w:val="00854A4B"/>
    <w:rsid w:val="00854C2D"/>
    <w:rsid w:val="00854E60"/>
    <w:rsid w:val="00855048"/>
    <w:rsid w:val="00855ADA"/>
    <w:rsid w:val="00856CE0"/>
    <w:rsid w:val="00857C24"/>
    <w:rsid w:val="00857FA2"/>
    <w:rsid w:val="008608A4"/>
    <w:rsid w:val="0086179A"/>
    <w:rsid w:val="00861835"/>
    <w:rsid w:val="00861AD2"/>
    <w:rsid w:val="00861D32"/>
    <w:rsid w:val="00861EF4"/>
    <w:rsid w:val="0086222F"/>
    <w:rsid w:val="00862BFD"/>
    <w:rsid w:val="00863825"/>
    <w:rsid w:val="008641B0"/>
    <w:rsid w:val="00864923"/>
    <w:rsid w:val="00864C24"/>
    <w:rsid w:val="0086519C"/>
    <w:rsid w:val="00865C6B"/>
    <w:rsid w:val="008665BB"/>
    <w:rsid w:val="00866EB6"/>
    <w:rsid w:val="00867787"/>
    <w:rsid w:val="00867A79"/>
    <w:rsid w:val="00867B3E"/>
    <w:rsid w:val="00867B91"/>
    <w:rsid w:val="00870553"/>
    <w:rsid w:val="0087089A"/>
    <w:rsid w:val="00870EE0"/>
    <w:rsid w:val="008710AE"/>
    <w:rsid w:val="00871B81"/>
    <w:rsid w:val="008726AD"/>
    <w:rsid w:val="00872789"/>
    <w:rsid w:val="00873030"/>
    <w:rsid w:val="00873173"/>
    <w:rsid w:val="00873549"/>
    <w:rsid w:val="00873A44"/>
    <w:rsid w:val="008740E9"/>
    <w:rsid w:val="008744CB"/>
    <w:rsid w:val="00874665"/>
    <w:rsid w:val="008751AD"/>
    <w:rsid w:val="00876297"/>
    <w:rsid w:val="00876565"/>
    <w:rsid w:val="008773CE"/>
    <w:rsid w:val="00877805"/>
    <w:rsid w:val="00877C76"/>
    <w:rsid w:val="00877DB2"/>
    <w:rsid w:val="00877F96"/>
    <w:rsid w:val="0088017C"/>
    <w:rsid w:val="00880B4B"/>
    <w:rsid w:val="00881828"/>
    <w:rsid w:val="0088200C"/>
    <w:rsid w:val="008821B0"/>
    <w:rsid w:val="008829A1"/>
    <w:rsid w:val="0088377C"/>
    <w:rsid w:val="008839BA"/>
    <w:rsid w:val="00884287"/>
    <w:rsid w:val="008845D6"/>
    <w:rsid w:val="00885454"/>
    <w:rsid w:val="008859C5"/>
    <w:rsid w:val="00886768"/>
    <w:rsid w:val="00886F0A"/>
    <w:rsid w:val="00887CCE"/>
    <w:rsid w:val="008901E5"/>
    <w:rsid w:val="00891438"/>
    <w:rsid w:val="00891C33"/>
    <w:rsid w:val="00892134"/>
    <w:rsid w:val="00892CB4"/>
    <w:rsid w:val="00893B7C"/>
    <w:rsid w:val="00893FC7"/>
    <w:rsid w:val="008942ED"/>
    <w:rsid w:val="0089444E"/>
    <w:rsid w:val="00894D61"/>
    <w:rsid w:val="00895391"/>
    <w:rsid w:val="00895BA5"/>
    <w:rsid w:val="00895D0D"/>
    <w:rsid w:val="00896DF7"/>
    <w:rsid w:val="008970B4"/>
    <w:rsid w:val="0089773B"/>
    <w:rsid w:val="008A12C4"/>
    <w:rsid w:val="008A138C"/>
    <w:rsid w:val="008A1397"/>
    <w:rsid w:val="008A15B4"/>
    <w:rsid w:val="008A164F"/>
    <w:rsid w:val="008A1852"/>
    <w:rsid w:val="008A1E6C"/>
    <w:rsid w:val="008A23F7"/>
    <w:rsid w:val="008A29CD"/>
    <w:rsid w:val="008A32C0"/>
    <w:rsid w:val="008A43B6"/>
    <w:rsid w:val="008A4486"/>
    <w:rsid w:val="008A4A0F"/>
    <w:rsid w:val="008A4D09"/>
    <w:rsid w:val="008A4DE1"/>
    <w:rsid w:val="008A5318"/>
    <w:rsid w:val="008A5455"/>
    <w:rsid w:val="008A54C5"/>
    <w:rsid w:val="008A5959"/>
    <w:rsid w:val="008A5CD8"/>
    <w:rsid w:val="008A5E03"/>
    <w:rsid w:val="008A5E5A"/>
    <w:rsid w:val="008A6247"/>
    <w:rsid w:val="008A678D"/>
    <w:rsid w:val="008A70EA"/>
    <w:rsid w:val="008B00BF"/>
    <w:rsid w:val="008B01AF"/>
    <w:rsid w:val="008B0252"/>
    <w:rsid w:val="008B0662"/>
    <w:rsid w:val="008B0789"/>
    <w:rsid w:val="008B0AAC"/>
    <w:rsid w:val="008B0C7B"/>
    <w:rsid w:val="008B373F"/>
    <w:rsid w:val="008B4126"/>
    <w:rsid w:val="008B46C8"/>
    <w:rsid w:val="008B5BAF"/>
    <w:rsid w:val="008B5E64"/>
    <w:rsid w:val="008B70A4"/>
    <w:rsid w:val="008B77AF"/>
    <w:rsid w:val="008C0ADC"/>
    <w:rsid w:val="008C126C"/>
    <w:rsid w:val="008C15AD"/>
    <w:rsid w:val="008C16AB"/>
    <w:rsid w:val="008C1956"/>
    <w:rsid w:val="008C1FD7"/>
    <w:rsid w:val="008C230D"/>
    <w:rsid w:val="008C2FC4"/>
    <w:rsid w:val="008C38D0"/>
    <w:rsid w:val="008C407A"/>
    <w:rsid w:val="008C4085"/>
    <w:rsid w:val="008C42A4"/>
    <w:rsid w:val="008C4694"/>
    <w:rsid w:val="008C476B"/>
    <w:rsid w:val="008C51EC"/>
    <w:rsid w:val="008C552D"/>
    <w:rsid w:val="008C728D"/>
    <w:rsid w:val="008D0148"/>
    <w:rsid w:val="008D0EAC"/>
    <w:rsid w:val="008D14C4"/>
    <w:rsid w:val="008D1EF8"/>
    <w:rsid w:val="008D370F"/>
    <w:rsid w:val="008D3925"/>
    <w:rsid w:val="008D3D80"/>
    <w:rsid w:val="008D47AC"/>
    <w:rsid w:val="008D4818"/>
    <w:rsid w:val="008D5CB4"/>
    <w:rsid w:val="008D63A3"/>
    <w:rsid w:val="008D6C57"/>
    <w:rsid w:val="008D7B25"/>
    <w:rsid w:val="008E140D"/>
    <w:rsid w:val="008E19E1"/>
    <w:rsid w:val="008E2236"/>
    <w:rsid w:val="008E2BB7"/>
    <w:rsid w:val="008E2DF1"/>
    <w:rsid w:val="008E2E09"/>
    <w:rsid w:val="008E31CF"/>
    <w:rsid w:val="008E37AC"/>
    <w:rsid w:val="008E3B59"/>
    <w:rsid w:val="008E3CA5"/>
    <w:rsid w:val="008E422E"/>
    <w:rsid w:val="008E4A4A"/>
    <w:rsid w:val="008E4EBE"/>
    <w:rsid w:val="008E525C"/>
    <w:rsid w:val="008E5482"/>
    <w:rsid w:val="008E55B0"/>
    <w:rsid w:val="008E58C6"/>
    <w:rsid w:val="008E5DA7"/>
    <w:rsid w:val="008E607D"/>
    <w:rsid w:val="008E62A7"/>
    <w:rsid w:val="008E7CF1"/>
    <w:rsid w:val="008F003F"/>
    <w:rsid w:val="008F0491"/>
    <w:rsid w:val="008F0F5D"/>
    <w:rsid w:val="008F1E77"/>
    <w:rsid w:val="008F1FDF"/>
    <w:rsid w:val="008F2435"/>
    <w:rsid w:val="008F4CCD"/>
    <w:rsid w:val="008F4DB8"/>
    <w:rsid w:val="008F525F"/>
    <w:rsid w:val="008F5406"/>
    <w:rsid w:val="008F7B98"/>
    <w:rsid w:val="008F7C22"/>
    <w:rsid w:val="008F7CDC"/>
    <w:rsid w:val="00900FCA"/>
    <w:rsid w:val="009010FA"/>
    <w:rsid w:val="00901321"/>
    <w:rsid w:val="009013BC"/>
    <w:rsid w:val="009025BE"/>
    <w:rsid w:val="00902AE0"/>
    <w:rsid w:val="00902B3F"/>
    <w:rsid w:val="00903E21"/>
    <w:rsid w:val="0090537C"/>
    <w:rsid w:val="00905393"/>
    <w:rsid w:val="009053FF"/>
    <w:rsid w:val="00905B67"/>
    <w:rsid w:val="00905C8B"/>
    <w:rsid w:val="0090608F"/>
    <w:rsid w:val="0090707D"/>
    <w:rsid w:val="009072D9"/>
    <w:rsid w:val="009107C3"/>
    <w:rsid w:val="00910905"/>
    <w:rsid w:val="00911899"/>
    <w:rsid w:val="0091268D"/>
    <w:rsid w:val="00912A69"/>
    <w:rsid w:val="0091333C"/>
    <w:rsid w:val="0091335C"/>
    <w:rsid w:val="009137C1"/>
    <w:rsid w:val="00913B5D"/>
    <w:rsid w:val="00914290"/>
    <w:rsid w:val="0091450D"/>
    <w:rsid w:val="009154B5"/>
    <w:rsid w:val="0091554B"/>
    <w:rsid w:val="0091574F"/>
    <w:rsid w:val="00915813"/>
    <w:rsid w:val="00915D14"/>
    <w:rsid w:val="00916526"/>
    <w:rsid w:val="009169FF"/>
    <w:rsid w:val="00916BAD"/>
    <w:rsid w:val="00916C5D"/>
    <w:rsid w:val="00917915"/>
    <w:rsid w:val="009209C4"/>
    <w:rsid w:val="00920B8D"/>
    <w:rsid w:val="00920DD6"/>
    <w:rsid w:val="009211BA"/>
    <w:rsid w:val="009212FB"/>
    <w:rsid w:val="00921EF9"/>
    <w:rsid w:val="00922247"/>
    <w:rsid w:val="009224D2"/>
    <w:rsid w:val="00922BBB"/>
    <w:rsid w:val="00923184"/>
    <w:rsid w:val="00923D1D"/>
    <w:rsid w:val="00923E85"/>
    <w:rsid w:val="0092407B"/>
    <w:rsid w:val="009245F2"/>
    <w:rsid w:val="00924660"/>
    <w:rsid w:val="009255BD"/>
    <w:rsid w:val="00925AD0"/>
    <w:rsid w:val="009263A9"/>
    <w:rsid w:val="00926756"/>
    <w:rsid w:val="009268C8"/>
    <w:rsid w:val="0092706A"/>
    <w:rsid w:val="009273CE"/>
    <w:rsid w:val="00927AC6"/>
    <w:rsid w:val="00930C8D"/>
    <w:rsid w:val="00930D77"/>
    <w:rsid w:val="00930E86"/>
    <w:rsid w:val="00932510"/>
    <w:rsid w:val="0093278D"/>
    <w:rsid w:val="00932989"/>
    <w:rsid w:val="00932CED"/>
    <w:rsid w:val="009335A0"/>
    <w:rsid w:val="00933671"/>
    <w:rsid w:val="00934F01"/>
    <w:rsid w:val="00935085"/>
    <w:rsid w:val="0093589E"/>
    <w:rsid w:val="00935E8A"/>
    <w:rsid w:val="00936018"/>
    <w:rsid w:val="00936F80"/>
    <w:rsid w:val="00937633"/>
    <w:rsid w:val="00937749"/>
    <w:rsid w:val="00937912"/>
    <w:rsid w:val="009409BF"/>
    <w:rsid w:val="00941719"/>
    <w:rsid w:val="00941CD6"/>
    <w:rsid w:val="009420F4"/>
    <w:rsid w:val="0094236F"/>
    <w:rsid w:val="009424CD"/>
    <w:rsid w:val="0094265A"/>
    <w:rsid w:val="00942BFE"/>
    <w:rsid w:val="00943373"/>
    <w:rsid w:val="009434D5"/>
    <w:rsid w:val="00944483"/>
    <w:rsid w:val="00944BBA"/>
    <w:rsid w:val="00944DF7"/>
    <w:rsid w:val="00945A6A"/>
    <w:rsid w:val="009463BF"/>
    <w:rsid w:val="009471D4"/>
    <w:rsid w:val="009477FE"/>
    <w:rsid w:val="009478ED"/>
    <w:rsid w:val="00947A1B"/>
    <w:rsid w:val="009502DE"/>
    <w:rsid w:val="009521DC"/>
    <w:rsid w:val="009524F5"/>
    <w:rsid w:val="009527F2"/>
    <w:rsid w:val="00952D8E"/>
    <w:rsid w:val="009532E5"/>
    <w:rsid w:val="00953BA9"/>
    <w:rsid w:val="00953DBE"/>
    <w:rsid w:val="00954008"/>
    <w:rsid w:val="00954674"/>
    <w:rsid w:val="009551E7"/>
    <w:rsid w:val="009555FE"/>
    <w:rsid w:val="0095562A"/>
    <w:rsid w:val="0095648E"/>
    <w:rsid w:val="009564E9"/>
    <w:rsid w:val="00956C01"/>
    <w:rsid w:val="00957437"/>
    <w:rsid w:val="00957C0C"/>
    <w:rsid w:val="0096075F"/>
    <w:rsid w:val="00961052"/>
    <w:rsid w:val="0096167F"/>
    <w:rsid w:val="00961D7D"/>
    <w:rsid w:val="00961DF3"/>
    <w:rsid w:val="00962655"/>
    <w:rsid w:val="009627E5"/>
    <w:rsid w:val="0096362A"/>
    <w:rsid w:val="00963923"/>
    <w:rsid w:val="00963D5B"/>
    <w:rsid w:val="0096425D"/>
    <w:rsid w:val="009643C8"/>
    <w:rsid w:val="00965050"/>
    <w:rsid w:val="0096509B"/>
    <w:rsid w:val="0096537C"/>
    <w:rsid w:val="0096648D"/>
    <w:rsid w:val="00966908"/>
    <w:rsid w:val="00967DA8"/>
    <w:rsid w:val="009700D1"/>
    <w:rsid w:val="009708D6"/>
    <w:rsid w:val="009710C8"/>
    <w:rsid w:val="0097133D"/>
    <w:rsid w:val="00971B60"/>
    <w:rsid w:val="00971CAE"/>
    <w:rsid w:val="00972D7D"/>
    <w:rsid w:val="00973FE1"/>
    <w:rsid w:val="009742AF"/>
    <w:rsid w:val="0097487C"/>
    <w:rsid w:val="00974BBA"/>
    <w:rsid w:val="00975778"/>
    <w:rsid w:val="00976039"/>
    <w:rsid w:val="009764D7"/>
    <w:rsid w:val="0097669A"/>
    <w:rsid w:val="00976AD2"/>
    <w:rsid w:val="00976FC8"/>
    <w:rsid w:val="0097703C"/>
    <w:rsid w:val="00977A14"/>
    <w:rsid w:val="00977CEA"/>
    <w:rsid w:val="00977E54"/>
    <w:rsid w:val="00980168"/>
    <w:rsid w:val="00981E60"/>
    <w:rsid w:val="00982094"/>
    <w:rsid w:val="00982F67"/>
    <w:rsid w:val="00983A52"/>
    <w:rsid w:val="00984C68"/>
    <w:rsid w:val="009852B7"/>
    <w:rsid w:val="00985397"/>
    <w:rsid w:val="009856CF"/>
    <w:rsid w:val="0098594B"/>
    <w:rsid w:val="00986596"/>
    <w:rsid w:val="0098687F"/>
    <w:rsid w:val="009902A4"/>
    <w:rsid w:val="009902DB"/>
    <w:rsid w:val="009907A9"/>
    <w:rsid w:val="00990931"/>
    <w:rsid w:val="00990B05"/>
    <w:rsid w:val="00991181"/>
    <w:rsid w:val="00991635"/>
    <w:rsid w:val="00992044"/>
    <w:rsid w:val="009921B2"/>
    <w:rsid w:val="009943ED"/>
    <w:rsid w:val="00994AAA"/>
    <w:rsid w:val="009952FB"/>
    <w:rsid w:val="009956A8"/>
    <w:rsid w:val="009959AB"/>
    <w:rsid w:val="00995BFB"/>
    <w:rsid w:val="009965FA"/>
    <w:rsid w:val="00996628"/>
    <w:rsid w:val="009972F6"/>
    <w:rsid w:val="009A04F3"/>
    <w:rsid w:val="009A052A"/>
    <w:rsid w:val="009A07CE"/>
    <w:rsid w:val="009A11D0"/>
    <w:rsid w:val="009A16E1"/>
    <w:rsid w:val="009A1A33"/>
    <w:rsid w:val="009A258F"/>
    <w:rsid w:val="009A2A79"/>
    <w:rsid w:val="009A2BF2"/>
    <w:rsid w:val="009A32CD"/>
    <w:rsid w:val="009A37AE"/>
    <w:rsid w:val="009A3F2B"/>
    <w:rsid w:val="009A49AA"/>
    <w:rsid w:val="009A648E"/>
    <w:rsid w:val="009A7518"/>
    <w:rsid w:val="009A7618"/>
    <w:rsid w:val="009B0435"/>
    <w:rsid w:val="009B15B3"/>
    <w:rsid w:val="009B1FEF"/>
    <w:rsid w:val="009B2633"/>
    <w:rsid w:val="009B2E33"/>
    <w:rsid w:val="009B36EF"/>
    <w:rsid w:val="009B43EE"/>
    <w:rsid w:val="009B45E1"/>
    <w:rsid w:val="009B47C8"/>
    <w:rsid w:val="009B5056"/>
    <w:rsid w:val="009B50A1"/>
    <w:rsid w:val="009B5463"/>
    <w:rsid w:val="009B58E5"/>
    <w:rsid w:val="009B5AA3"/>
    <w:rsid w:val="009B5DEC"/>
    <w:rsid w:val="009B7355"/>
    <w:rsid w:val="009B7C45"/>
    <w:rsid w:val="009C01C9"/>
    <w:rsid w:val="009C0619"/>
    <w:rsid w:val="009C0A90"/>
    <w:rsid w:val="009C11C5"/>
    <w:rsid w:val="009C1888"/>
    <w:rsid w:val="009C28F3"/>
    <w:rsid w:val="009C2981"/>
    <w:rsid w:val="009C4F4D"/>
    <w:rsid w:val="009C5227"/>
    <w:rsid w:val="009C5361"/>
    <w:rsid w:val="009C64AC"/>
    <w:rsid w:val="009C67D3"/>
    <w:rsid w:val="009C67FB"/>
    <w:rsid w:val="009C686F"/>
    <w:rsid w:val="009C714D"/>
    <w:rsid w:val="009C756E"/>
    <w:rsid w:val="009D0BDE"/>
    <w:rsid w:val="009D134A"/>
    <w:rsid w:val="009D1395"/>
    <w:rsid w:val="009D23BC"/>
    <w:rsid w:val="009D2630"/>
    <w:rsid w:val="009D26B2"/>
    <w:rsid w:val="009D29D2"/>
    <w:rsid w:val="009D44D8"/>
    <w:rsid w:val="009D529E"/>
    <w:rsid w:val="009D5A20"/>
    <w:rsid w:val="009D6104"/>
    <w:rsid w:val="009D6441"/>
    <w:rsid w:val="009D759A"/>
    <w:rsid w:val="009D75E7"/>
    <w:rsid w:val="009D77E2"/>
    <w:rsid w:val="009E0030"/>
    <w:rsid w:val="009E064C"/>
    <w:rsid w:val="009E0A79"/>
    <w:rsid w:val="009E148F"/>
    <w:rsid w:val="009E30E3"/>
    <w:rsid w:val="009E30F0"/>
    <w:rsid w:val="009E356A"/>
    <w:rsid w:val="009E3A18"/>
    <w:rsid w:val="009E43CF"/>
    <w:rsid w:val="009E4631"/>
    <w:rsid w:val="009E48B0"/>
    <w:rsid w:val="009E5057"/>
    <w:rsid w:val="009E5102"/>
    <w:rsid w:val="009E52D5"/>
    <w:rsid w:val="009E5A22"/>
    <w:rsid w:val="009E5BE8"/>
    <w:rsid w:val="009E6744"/>
    <w:rsid w:val="009E7263"/>
    <w:rsid w:val="009E79F5"/>
    <w:rsid w:val="009E7DD0"/>
    <w:rsid w:val="009E7F75"/>
    <w:rsid w:val="009F1822"/>
    <w:rsid w:val="009F192B"/>
    <w:rsid w:val="009F19D6"/>
    <w:rsid w:val="009F1D37"/>
    <w:rsid w:val="009F202F"/>
    <w:rsid w:val="009F2B93"/>
    <w:rsid w:val="009F3451"/>
    <w:rsid w:val="009F42AD"/>
    <w:rsid w:val="009F43EC"/>
    <w:rsid w:val="009F4589"/>
    <w:rsid w:val="009F54AB"/>
    <w:rsid w:val="009F57AC"/>
    <w:rsid w:val="009F5AAD"/>
    <w:rsid w:val="009F61C0"/>
    <w:rsid w:val="009F6A13"/>
    <w:rsid w:val="009F6D6A"/>
    <w:rsid w:val="009F7979"/>
    <w:rsid w:val="00A00621"/>
    <w:rsid w:val="00A01601"/>
    <w:rsid w:val="00A019C2"/>
    <w:rsid w:val="00A01AD7"/>
    <w:rsid w:val="00A0274B"/>
    <w:rsid w:val="00A03582"/>
    <w:rsid w:val="00A043F5"/>
    <w:rsid w:val="00A04E90"/>
    <w:rsid w:val="00A0550A"/>
    <w:rsid w:val="00A055D1"/>
    <w:rsid w:val="00A06303"/>
    <w:rsid w:val="00A07611"/>
    <w:rsid w:val="00A115EA"/>
    <w:rsid w:val="00A11C56"/>
    <w:rsid w:val="00A123FF"/>
    <w:rsid w:val="00A129B4"/>
    <w:rsid w:val="00A12D39"/>
    <w:rsid w:val="00A12EEF"/>
    <w:rsid w:val="00A12F5A"/>
    <w:rsid w:val="00A13BCB"/>
    <w:rsid w:val="00A14797"/>
    <w:rsid w:val="00A14FF6"/>
    <w:rsid w:val="00A16509"/>
    <w:rsid w:val="00A1762E"/>
    <w:rsid w:val="00A17B89"/>
    <w:rsid w:val="00A17CA8"/>
    <w:rsid w:val="00A20841"/>
    <w:rsid w:val="00A20969"/>
    <w:rsid w:val="00A20AE5"/>
    <w:rsid w:val="00A21B63"/>
    <w:rsid w:val="00A23874"/>
    <w:rsid w:val="00A238E5"/>
    <w:rsid w:val="00A24637"/>
    <w:rsid w:val="00A24CEB"/>
    <w:rsid w:val="00A2509B"/>
    <w:rsid w:val="00A253F6"/>
    <w:rsid w:val="00A25BBE"/>
    <w:rsid w:val="00A25C25"/>
    <w:rsid w:val="00A267E5"/>
    <w:rsid w:val="00A268EC"/>
    <w:rsid w:val="00A26E57"/>
    <w:rsid w:val="00A2721B"/>
    <w:rsid w:val="00A274EF"/>
    <w:rsid w:val="00A32D6C"/>
    <w:rsid w:val="00A32E41"/>
    <w:rsid w:val="00A32FBF"/>
    <w:rsid w:val="00A33B5E"/>
    <w:rsid w:val="00A33BF0"/>
    <w:rsid w:val="00A33D05"/>
    <w:rsid w:val="00A345D0"/>
    <w:rsid w:val="00A34756"/>
    <w:rsid w:val="00A34FC8"/>
    <w:rsid w:val="00A3524C"/>
    <w:rsid w:val="00A35CE5"/>
    <w:rsid w:val="00A35F89"/>
    <w:rsid w:val="00A36C87"/>
    <w:rsid w:val="00A36F6A"/>
    <w:rsid w:val="00A379C0"/>
    <w:rsid w:val="00A379E9"/>
    <w:rsid w:val="00A37A3E"/>
    <w:rsid w:val="00A37C51"/>
    <w:rsid w:val="00A40263"/>
    <w:rsid w:val="00A40C2D"/>
    <w:rsid w:val="00A40D3F"/>
    <w:rsid w:val="00A431E3"/>
    <w:rsid w:val="00A43467"/>
    <w:rsid w:val="00A436BA"/>
    <w:rsid w:val="00A4388E"/>
    <w:rsid w:val="00A43F8D"/>
    <w:rsid w:val="00A4418C"/>
    <w:rsid w:val="00A44C75"/>
    <w:rsid w:val="00A44DE3"/>
    <w:rsid w:val="00A468B3"/>
    <w:rsid w:val="00A504CC"/>
    <w:rsid w:val="00A504E1"/>
    <w:rsid w:val="00A505B4"/>
    <w:rsid w:val="00A50829"/>
    <w:rsid w:val="00A510DF"/>
    <w:rsid w:val="00A511A5"/>
    <w:rsid w:val="00A51828"/>
    <w:rsid w:val="00A518B7"/>
    <w:rsid w:val="00A51B09"/>
    <w:rsid w:val="00A520D6"/>
    <w:rsid w:val="00A5239F"/>
    <w:rsid w:val="00A52C81"/>
    <w:rsid w:val="00A52F0C"/>
    <w:rsid w:val="00A52F13"/>
    <w:rsid w:val="00A53E97"/>
    <w:rsid w:val="00A53F0C"/>
    <w:rsid w:val="00A545A9"/>
    <w:rsid w:val="00A55091"/>
    <w:rsid w:val="00A553D4"/>
    <w:rsid w:val="00A55A9E"/>
    <w:rsid w:val="00A55B68"/>
    <w:rsid w:val="00A55E7E"/>
    <w:rsid w:val="00A55F99"/>
    <w:rsid w:val="00A5614A"/>
    <w:rsid w:val="00A56464"/>
    <w:rsid w:val="00A56757"/>
    <w:rsid w:val="00A56840"/>
    <w:rsid w:val="00A57FCD"/>
    <w:rsid w:val="00A60B2B"/>
    <w:rsid w:val="00A6121E"/>
    <w:rsid w:val="00A61376"/>
    <w:rsid w:val="00A61E71"/>
    <w:rsid w:val="00A62006"/>
    <w:rsid w:val="00A626C6"/>
    <w:rsid w:val="00A6296F"/>
    <w:rsid w:val="00A62EA6"/>
    <w:rsid w:val="00A631DA"/>
    <w:rsid w:val="00A63377"/>
    <w:rsid w:val="00A6408B"/>
    <w:rsid w:val="00A65011"/>
    <w:rsid w:val="00A669B5"/>
    <w:rsid w:val="00A66A08"/>
    <w:rsid w:val="00A67E6A"/>
    <w:rsid w:val="00A67EE0"/>
    <w:rsid w:val="00A67F36"/>
    <w:rsid w:val="00A70625"/>
    <w:rsid w:val="00A7096D"/>
    <w:rsid w:val="00A70FD0"/>
    <w:rsid w:val="00A72299"/>
    <w:rsid w:val="00A726BE"/>
    <w:rsid w:val="00A72B24"/>
    <w:rsid w:val="00A730F7"/>
    <w:rsid w:val="00A73BC8"/>
    <w:rsid w:val="00A73FBC"/>
    <w:rsid w:val="00A74805"/>
    <w:rsid w:val="00A751CB"/>
    <w:rsid w:val="00A7556B"/>
    <w:rsid w:val="00A7667B"/>
    <w:rsid w:val="00A7707A"/>
    <w:rsid w:val="00A770F1"/>
    <w:rsid w:val="00A77C4E"/>
    <w:rsid w:val="00A80123"/>
    <w:rsid w:val="00A8025E"/>
    <w:rsid w:val="00A8095E"/>
    <w:rsid w:val="00A80E18"/>
    <w:rsid w:val="00A8105F"/>
    <w:rsid w:val="00A82457"/>
    <w:rsid w:val="00A829FE"/>
    <w:rsid w:val="00A8322C"/>
    <w:rsid w:val="00A83305"/>
    <w:rsid w:val="00A83958"/>
    <w:rsid w:val="00A83BBF"/>
    <w:rsid w:val="00A83E08"/>
    <w:rsid w:val="00A83F3C"/>
    <w:rsid w:val="00A86E95"/>
    <w:rsid w:val="00A91587"/>
    <w:rsid w:val="00A9171F"/>
    <w:rsid w:val="00A9184E"/>
    <w:rsid w:val="00A91DCC"/>
    <w:rsid w:val="00A920B9"/>
    <w:rsid w:val="00A9238D"/>
    <w:rsid w:val="00A925A8"/>
    <w:rsid w:val="00A92D2C"/>
    <w:rsid w:val="00A92D90"/>
    <w:rsid w:val="00A933EC"/>
    <w:rsid w:val="00A93907"/>
    <w:rsid w:val="00A93BA4"/>
    <w:rsid w:val="00A93C2A"/>
    <w:rsid w:val="00A93F95"/>
    <w:rsid w:val="00A95526"/>
    <w:rsid w:val="00A96807"/>
    <w:rsid w:val="00A96CF4"/>
    <w:rsid w:val="00A978F5"/>
    <w:rsid w:val="00AA0804"/>
    <w:rsid w:val="00AA1114"/>
    <w:rsid w:val="00AA1843"/>
    <w:rsid w:val="00AA190D"/>
    <w:rsid w:val="00AA20D9"/>
    <w:rsid w:val="00AA26FC"/>
    <w:rsid w:val="00AA27A4"/>
    <w:rsid w:val="00AA287E"/>
    <w:rsid w:val="00AA2DCA"/>
    <w:rsid w:val="00AA30DD"/>
    <w:rsid w:val="00AA3475"/>
    <w:rsid w:val="00AA36B9"/>
    <w:rsid w:val="00AA4B80"/>
    <w:rsid w:val="00AA4BCE"/>
    <w:rsid w:val="00AA4BD7"/>
    <w:rsid w:val="00AA5871"/>
    <w:rsid w:val="00AA5E59"/>
    <w:rsid w:val="00AA5F51"/>
    <w:rsid w:val="00AA5FCE"/>
    <w:rsid w:val="00AA626A"/>
    <w:rsid w:val="00AB015A"/>
    <w:rsid w:val="00AB0940"/>
    <w:rsid w:val="00AB13D4"/>
    <w:rsid w:val="00AB14A0"/>
    <w:rsid w:val="00AB15D7"/>
    <w:rsid w:val="00AB2355"/>
    <w:rsid w:val="00AB244B"/>
    <w:rsid w:val="00AB25E6"/>
    <w:rsid w:val="00AB2A21"/>
    <w:rsid w:val="00AB2B71"/>
    <w:rsid w:val="00AB33D1"/>
    <w:rsid w:val="00AB364E"/>
    <w:rsid w:val="00AB374D"/>
    <w:rsid w:val="00AB3AC1"/>
    <w:rsid w:val="00AB4DA7"/>
    <w:rsid w:val="00AB58D5"/>
    <w:rsid w:val="00AB5FF9"/>
    <w:rsid w:val="00AB6353"/>
    <w:rsid w:val="00AB6857"/>
    <w:rsid w:val="00AB7189"/>
    <w:rsid w:val="00AC072D"/>
    <w:rsid w:val="00AC075A"/>
    <w:rsid w:val="00AC0A18"/>
    <w:rsid w:val="00AC0E9F"/>
    <w:rsid w:val="00AC11DC"/>
    <w:rsid w:val="00AC17CB"/>
    <w:rsid w:val="00AC1994"/>
    <w:rsid w:val="00AC1AFA"/>
    <w:rsid w:val="00AC1B85"/>
    <w:rsid w:val="00AC1E08"/>
    <w:rsid w:val="00AC1E13"/>
    <w:rsid w:val="00AC1EED"/>
    <w:rsid w:val="00AC2457"/>
    <w:rsid w:val="00AC2893"/>
    <w:rsid w:val="00AC312D"/>
    <w:rsid w:val="00AC3513"/>
    <w:rsid w:val="00AC3936"/>
    <w:rsid w:val="00AC4582"/>
    <w:rsid w:val="00AC462F"/>
    <w:rsid w:val="00AC5715"/>
    <w:rsid w:val="00AC59AD"/>
    <w:rsid w:val="00AC59AF"/>
    <w:rsid w:val="00AC60DD"/>
    <w:rsid w:val="00AC630F"/>
    <w:rsid w:val="00AC673A"/>
    <w:rsid w:val="00AC677E"/>
    <w:rsid w:val="00AC693B"/>
    <w:rsid w:val="00AC7849"/>
    <w:rsid w:val="00AC7ED6"/>
    <w:rsid w:val="00AC7F10"/>
    <w:rsid w:val="00AD066D"/>
    <w:rsid w:val="00AD0F92"/>
    <w:rsid w:val="00AD108F"/>
    <w:rsid w:val="00AD194F"/>
    <w:rsid w:val="00AD20CC"/>
    <w:rsid w:val="00AD2611"/>
    <w:rsid w:val="00AD2B9B"/>
    <w:rsid w:val="00AD33F8"/>
    <w:rsid w:val="00AD34C3"/>
    <w:rsid w:val="00AD38FE"/>
    <w:rsid w:val="00AD3D5E"/>
    <w:rsid w:val="00AD412D"/>
    <w:rsid w:val="00AD4410"/>
    <w:rsid w:val="00AD45A0"/>
    <w:rsid w:val="00AD4FD1"/>
    <w:rsid w:val="00AD57B7"/>
    <w:rsid w:val="00AD5F0F"/>
    <w:rsid w:val="00AD6953"/>
    <w:rsid w:val="00AD6B03"/>
    <w:rsid w:val="00AD732F"/>
    <w:rsid w:val="00AD749A"/>
    <w:rsid w:val="00AD79CB"/>
    <w:rsid w:val="00AE0257"/>
    <w:rsid w:val="00AE0434"/>
    <w:rsid w:val="00AE0A77"/>
    <w:rsid w:val="00AE0DA3"/>
    <w:rsid w:val="00AE16C4"/>
    <w:rsid w:val="00AE22C6"/>
    <w:rsid w:val="00AE27DB"/>
    <w:rsid w:val="00AE28A1"/>
    <w:rsid w:val="00AE2ED3"/>
    <w:rsid w:val="00AE324C"/>
    <w:rsid w:val="00AE3314"/>
    <w:rsid w:val="00AE3339"/>
    <w:rsid w:val="00AE3993"/>
    <w:rsid w:val="00AE5A9F"/>
    <w:rsid w:val="00AE62F6"/>
    <w:rsid w:val="00AE66F8"/>
    <w:rsid w:val="00AE6A29"/>
    <w:rsid w:val="00AE7091"/>
    <w:rsid w:val="00AF013C"/>
    <w:rsid w:val="00AF092F"/>
    <w:rsid w:val="00AF166B"/>
    <w:rsid w:val="00AF1915"/>
    <w:rsid w:val="00AF1B57"/>
    <w:rsid w:val="00AF1EF4"/>
    <w:rsid w:val="00AF3767"/>
    <w:rsid w:val="00AF47B4"/>
    <w:rsid w:val="00AF4ACE"/>
    <w:rsid w:val="00AF4B67"/>
    <w:rsid w:val="00AF54BC"/>
    <w:rsid w:val="00AF5F86"/>
    <w:rsid w:val="00AF5FD5"/>
    <w:rsid w:val="00AF648B"/>
    <w:rsid w:val="00AF6DA0"/>
    <w:rsid w:val="00AF75EA"/>
    <w:rsid w:val="00AF7E60"/>
    <w:rsid w:val="00B0075D"/>
    <w:rsid w:val="00B00822"/>
    <w:rsid w:val="00B008C3"/>
    <w:rsid w:val="00B01B0B"/>
    <w:rsid w:val="00B01DDF"/>
    <w:rsid w:val="00B02094"/>
    <w:rsid w:val="00B02210"/>
    <w:rsid w:val="00B025E9"/>
    <w:rsid w:val="00B02A0E"/>
    <w:rsid w:val="00B02FE3"/>
    <w:rsid w:val="00B030EF"/>
    <w:rsid w:val="00B03904"/>
    <w:rsid w:val="00B0404C"/>
    <w:rsid w:val="00B05736"/>
    <w:rsid w:val="00B059C8"/>
    <w:rsid w:val="00B05A4D"/>
    <w:rsid w:val="00B06715"/>
    <w:rsid w:val="00B07E45"/>
    <w:rsid w:val="00B07F51"/>
    <w:rsid w:val="00B1007F"/>
    <w:rsid w:val="00B1042D"/>
    <w:rsid w:val="00B114F5"/>
    <w:rsid w:val="00B1161A"/>
    <w:rsid w:val="00B12C1C"/>
    <w:rsid w:val="00B12DB4"/>
    <w:rsid w:val="00B131E4"/>
    <w:rsid w:val="00B1328D"/>
    <w:rsid w:val="00B14DBA"/>
    <w:rsid w:val="00B15A33"/>
    <w:rsid w:val="00B15C62"/>
    <w:rsid w:val="00B166C7"/>
    <w:rsid w:val="00B170CD"/>
    <w:rsid w:val="00B176FD"/>
    <w:rsid w:val="00B20C4C"/>
    <w:rsid w:val="00B21212"/>
    <w:rsid w:val="00B21BE8"/>
    <w:rsid w:val="00B21FB2"/>
    <w:rsid w:val="00B2345D"/>
    <w:rsid w:val="00B23C76"/>
    <w:rsid w:val="00B242CD"/>
    <w:rsid w:val="00B24DBA"/>
    <w:rsid w:val="00B25D8D"/>
    <w:rsid w:val="00B2688C"/>
    <w:rsid w:val="00B26B58"/>
    <w:rsid w:val="00B276E0"/>
    <w:rsid w:val="00B27EB6"/>
    <w:rsid w:val="00B30837"/>
    <w:rsid w:val="00B3241B"/>
    <w:rsid w:val="00B3406B"/>
    <w:rsid w:val="00B3430C"/>
    <w:rsid w:val="00B34BED"/>
    <w:rsid w:val="00B35B62"/>
    <w:rsid w:val="00B35FA0"/>
    <w:rsid w:val="00B3610C"/>
    <w:rsid w:val="00B36151"/>
    <w:rsid w:val="00B3726A"/>
    <w:rsid w:val="00B37958"/>
    <w:rsid w:val="00B37AAB"/>
    <w:rsid w:val="00B37ED7"/>
    <w:rsid w:val="00B401A2"/>
    <w:rsid w:val="00B40670"/>
    <w:rsid w:val="00B408BE"/>
    <w:rsid w:val="00B40F11"/>
    <w:rsid w:val="00B4129D"/>
    <w:rsid w:val="00B427FE"/>
    <w:rsid w:val="00B43210"/>
    <w:rsid w:val="00B434CC"/>
    <w:rsid w:val="00B4615B"/>
    <w:rsid w:val="00B46B0B"/>
    <w:rsid w:val="00B47838"/>
    <w:rsid w:val="00B47AFA"/>
    <w:rsid w:val="00B47C9E"/>
    <w:rsid w:val="00B50F24"/>
    <w:rsid w:val="00B519DA"/>
    <w:rsid w:val="00B51AF4"/>
    <w:rsid w:val="00B52317"/>
    <w:rsid w:val="00B5352F"/>
    <w:rsid w:val="00B53610"/>
    <w:rsid w:val="00B54169"/>
    <w:rsid w:val="00B559D9"/>
    <w:rsid w:val="00B55DB8"/>
    <w:rsid w:val="00B55DDC"/>
    <w:rsid w:val="00B56384"/>
    <w:rsid w:val="00B56431"/>
    <w:rsid w:val="00B56D9B"/>
    <w:rsid w:val="00B57611"/>
    <w:rsid w:val="00B5793A"/>
    <w:rsid w:val="00B57C9B"/>
    <w:rsid w:val="00B60000"/>
    <w:rsid w:val="00B610FA"/>
    <w:rsid w:val="00B612AC"/>
    <w:rsid w:val="00B6174A"/>
    <w:rsid w:val="00B61C3A"/>
    <w:rsid w:val="00B6231B"/>
    <w:rsid w:val="00B635B6"/>
    <w:rsid w:val="00B63876"/>
    <w:rsid w:val="00B642B0"/>
    <w:rsid w:val="00B6435F"/>
    <w:rsid w:val="00B64670"/>
    <w:rsid w:val="00B6479A"/>
    <w:rsid w:val="00B647AF"/>
    <w:rsid w:val="00B64F7E"/>
    <w:rsid w:val="00B652FE"/>
    <w:rsid w:val="00B6658A"/>
    <w:rsid w:val="00B66E99"/>
    <w:rsid w:val="00B66F46"/>
    <w:rsid w:val="00B66FFB"/>
    <w:rsid w:val="00B6702D"/>
    <w:rsid w:val="00B70605"/>
    <w:rsid w:val="00B70618"/>
    <w:rsid w:val="00B70E4C"/>
    <w:rsid w:val="00B70F75"/>
    <w:rsid w:val="00B71042"/>
    <w:rsid w:val="00B71A53"/>
    <w:rsid w:val="00B71EE4"/>
    <w:rsid w:val="00B71FB0"/>
    <w:rsid w:val="00B720EE"/>
    <w:rsid w:val="00B72963"/>
    <w:rsid w:val="00B73C82"/>
    <w:rsid w:val="00B74A07"/>
    <w:rsid w:val="00B74C45"/>
    <w:rsid w:val="00B74EA7"/>
    <w:rsid w:val="00B75B97"/>
    <w:rsid w:val="00B75F5C"/>
    <w:rsid w:val="00B76082"/>
    <w:rsid w:val="00B761CD"/>
    <w:rsid w:val="00B7620A"/>
    <w:rsid w:val="00B802AC"/>
    <w:rsid w:val="00B8035D"/>
    <w:rsid w:val="00B80AF2"/>
    <w:rsid w:val="00B8143F"/>
    <w:rsid w:val="00B81C28"/>
    <w:rsid w:val="00B8255D"/>
    <w:rsid w:val="00B82FB0"/>
    <w:rsid w:val="00B830B6"/>
    <w:rsid w:val="00B84D7D"/>
    <w:rsid w:val="00B84E1F"/>
    <w:rsid w:val="00B85658"/>
    <w:rsid w:val="00B85AA9"/>
    <w:rsid w:val="00B85AD0"/>
    <w:rsid w:val="00B867F1"/>
    <w:rsid w:val="00B916CB"/>
    <w:rsid w:val="00B91A90"/>
    <w:rsid w:val="00B92523"/>
    <w:rsid w:val="00B92594"/>
    <w:rsid w:val="00B92B27"/>
    <w:rsid w:val="00B931AA"/>
    <w:rsid w:val="00B94079"/>
    <w:rsid w:val="00B9429F"/>
    <w:rsid w:val="00B94968"/>
    <w:rsid w:val="00B9574E"/>
    <w:rsid w:val="00B96662"/>
    <w:rsid w:val="00B96B57"/>
    <w:rsid w:val="00B96C0C"/>
    <w:rsid w:val="00B96EA7"/>
    <w:rsid w:val="00BA0D7D"/>
    <w:rsid w:val="00BA1D48"/>
    <w:rsid w:val="00BA1F7D"/>
    <w:rsid w:val="00BA38E6"/>
    <w:rsid w:val="00BA6616"/>
    <w:rsid w:val="00BA6702"/>
    <w:rsid w:val="00BA6ADB"/>
    <w:rsid w:val="00BB05CC"/>
    <w:rsid w:val="00BB0B8E"/>
    <w:rsid w:val="00BB1C2D"/>
    <w:rsid w:val="00BB2D01"/>
    <w:rsid w:val="00BB4907"/>
    <w:rsid w:val="00BB4E9E"/>
    <w:rsid w:val="00BB4F58"/>
    <w:rsid w:val="00BB7F1A"/>
    <w:rsid w:val="00BC06DE"/>
    <w:rsid w:val="00BC12F3"/>
    <w:rsid w:val="00BC181B"/>
    <w:rsid w:val="00BC1932"/>
    <w:rsid w:val="00BC1D4F"/>
    <w:rsid w:val="00BC20BF"/>
    <w:rsid w:val="00BC3238"/>
    <w:rsid w:val="00BC366A"/>
    <w:rsid w:val="00BC42A4"/>
    <w:rsid w:val="00BC4809"/>
    <w:rsid w:val="00BC4E22"/>
    <w:rsid w:val="00BC7231"/>
    <w:rsid w:val="00BC74F6"/>
    <w:rsid w:val="00BC7BFD"/>
    <w:rsid w:val="00BD012B"/>
    <w:rsid w:val="00BD13D0"/>
    <w:rsid w:val="00BD1438"/>
    <w:rsid w:val="00BD1B39"/>
    <w:rsid w:val="00BD2ABC"/>
    <w:rsid w:val="00BD3084"/>
    <w:rsid w:val="00BD3A78"/>
    <w:rsid w:val="00BD3ED9"/>
    <w:rsid w:val="00BD5666"/>
    <w:rsid w:val="00BD57B7"/>
    <w:rsid w:val="00BD6A82"/>
    <w:rsid w:val="00BD7380"/>
    <w:rsid w:val="00BE0072"/>
    <w:rsid w:val="00BE00A5"/>
    <w:rsid w:val="00BE03B6"/>
    <w:rsid w:val="00BE03F7"/>
    <w:rsid w:val="00BE0A83"/>
    <w:rsid w:val="00BE0BFF"/>
    <w:rsid w:val="00BE0C53"/>
    <w:rsid w:val="00BE0D5D"/>
    <w:rsid w:val="00BE3C00"/>
    <w:rsid w:val="00BE3F19"/>
    <w:rsid w:val="00BE4A77"/>
    <w:rsid w:val="00BE53B5"/>
    <w:rsid w:val="00BE7357"/>
    <w:rsid w:val="00BE7965"/>
    <w:rsid w:val="00BE7E2B"/>
    <w:rsid w:val="00BF1201"/>
    <w:rsid w:val="00BF1B93"/>
    <w:rsid w:val="00BF1FEE"/>
    <w:rsid w:val="00BF228C"/>
    <w:rsid w:val="00BF3414"/>
    <w:rsid w:val="00BF3E75"/>
    <w:rsid w:val="00BF57A4"/>
    <w:rsid w:val="00BF5886"/>
    <w:rsid w:val="00BF5941"/>
    <w:rsid w:val="00BF5A9E"/>
    <w:rsid w:val="00BF71EF"/>
    <w:rsid w:val="00BF7481"/>
    <w:rsid w:val="00BF7C43"/>
    <w:rsid w:val="00BF7FC4"/>
    <w:rsid w:val="00C005CC"/>
    <w:rsid w:val="00C0162D"/>
    <w:rsid w:val="00C01688"/>
    <w:rsid w:val="00C022CC"/>
    <w:rsid w:val="00C03092"/>
    <w:rsid w:val="00C038EC"/>
    <w:rsid w:val="00C03C4F"/>
    <w:rsid w:val="00C04728"/>
    <w:rsid w:val="00C047EB"/>
    <w:rsid w:val="00C04B39"/>
    <w:rsid w:val="00C055EF"/>
    <w:rsid w:val="00C0576D"/>
    <w:rsid w:val="00C05A75"/>
    <w:rsid w:val="00C068FE"/>
    <w:rsid w:val="00C07352"/>
    <w:rsid w:val="00C100E0"/>
    <w:rsid w:val="00C10418"/>
    <w:rsid w:val="00C107B2"/>
    <w:rsid w:val="00C10A89"/>
    <w:rsid w:val="00C10F9A"/>
    <w:rsid w:val="00C11230"/>
    <w:rsid w:val="00C122E7"/>
    <w:rsid w:val="00C13133"/>
    <w:rsid w:val="00C144DD"/>
    <w:rsid w:val="00C15922"/>
    <w:rsid w:val="00C16F49"/>
    <w:rsid w:val="00C176A3"/>
    <w:rsid w:val="00C1792A"/>
    <w:rsid w:val="00C17C89"/>
    <w:rsid w:val="00C206A3"/>
    <w:rsid w:val="00C211E7"/>
    <w:rsid w:val="00C21794"/>
    <w:rsid w:val="00C21E9A"/>
    <w:rsid w:val="00C21F46"/>
    <w:rsid w:val="00C222F3"/>
    <w:rsid w:val="00C2235C"/>
    <w:rsid w:val="00C23235"/>
    <w:rsid w:val="00C24917"/>
    <w:rsid w:val="00C24AE6"/>
    <w:rsid w:val="00C24F92"/>
    <w:rsid w:val="00C250BC"/>
    <w:rsid w:val="00C25CE5"/>
    <w:rsid w:val="00C25D30"/>
    <w:rsid w:val="00C25DB8"/>
    <w:rsid w:val="00C262D2"/>
    <w:rsid w:val="00C2675B"/>
    <w:rsid w:val="00C27699"/>
    <w:rsid w:val="00C27BD8"/>
    <w:rsid w:val="00C30320"/>
    <w:rsid w:val="00C3053E"/>
    <w:rsid w:val="00C30A0B"/>
    <w:rsid w:val="00C31886"/>
    <w:rsid w:val="00C3197F"/>
    <w:rsid w:val="00C3266A"/>
    <w:rsid w:val="00C32B12"/>
    <w:rsid w:val="00C33645"/>
    <w:rsid w:val="00C33657"/>
    <w:rsid w:val="00C33DD7"/>
    <w:rsid w:val="00C34546"/>
    <w:rsid w:val="00C34981"/>
    <w:rsid w:val="00C355B2"/>
    <w:rsid w:val="00C35F8C"/>
    <w:rsid w:val="00C40272"/>
    <w:rsid w:val="00C40793"/>
    <w:rsid w:val="00C40A26"/>
    <w:rsid w:val="00C40AC6"/>
    <w:rsid w:val="00C40BE4"/>
    <w:rsid w:val="00C40E8D"/>
    <w:rsid w:val="00C415DA"/>
    <w:rsid w:val="00C416B1"/>
    <w:rsid w:val="00C42877"/>
    <w:rsid w:val="00C42BEB"/>
    <w:rsid w:val="00C438B4"/>
    <w:rsid w:val="00C43C6C"/>
    <w:rsid w:val="00C442CB"/>
    <w:rsid w:val="00C4477E"/>
    <w:rsid w:val="00C44848"/>
    <w:rsid w:val="00C461EB"/>
    <w:rsid w:val="00C47756"/>
    <w:rsid w:val="00C507E3"/>
    <w:rsid w:val="00C507F1"/>
    <w:rsid w:val="00C52850"/>
    <w:rsid w:val="00C52C36"/>
    <w:rsid w:val="00C52D91"/>
    <w:rsid w:val="00C52FA9"/>
    <w:rsid w:val="00C53893"/>
    <w:rsid w:val="00C53FF3"/>
    <w:rsid w:val="00C545B7"/>
    <w:rsid w:val="00C54D29"/>
    <w:rsid w:val="00C55201"/>
    <w:rsid w:val="00C555A4"/>
    <w:rsid w:val="00C55802"/>
    <w:rsid w:val="00C55987"/>
    <w:rsid w:val="00C55CC5"/>
    <w:rsid w:val="00C56695"/>
    <w:rsid w:val="00C5789C"/>
    <w:rsid w:val="00C57D20"/>
    <w:rsid w:val="00C62062"/>
    <w:rsid w:val="00C6294F"/>
    <w:rsid w:val="00C62DBB"/>
    <w:rsid w:val="00C637CA"/>
    <w:rsid w:val="00C63C61"/>
    <w:rsid w:val="00C6426F"/>
    <w:rsid w:val="00C64CC1"/>
    <w:rsid w:val="00C658EB"/>
    <w:rsid w:val="00C65FCC"/>
    <w:rsid w:val="00C6799B"/>
    <w:rsid w:val="00C67FF9"/>
    <w:rsid w:val="00C711D6"/>
    <w:rsid w:val="00C718B8"/>
    <w:rsid w:val="00C71FA4"/>
    <w:rsid w:val="00C721EE"/>
    <w:rsid w:val="00C72C24"/>
    <w:rsid w:val="00C73C5A"/>
    <w:rsid w:val="00C741DA"/>
    <w:rsid w:val="00C74934"/>
    <w:rsid w:val="00C74A36"/>
    <w:rsid w:val="00C7503F"/>
    <w:rsid w:val="00C75254"/>
    <w:rsid w:val="00C76D6C"/>
    <w:rsid w:val="00C80654"/>
    <w:rsid w:val="00C80741"/>
    <w:rsid w:val="00C80953"/>
    <w:rsid w:val="00C811C9"/>
    <w:rsid w:val="00C8144E"/>
    <w:rsid w:val="00C819EE"/>
    <w:rsid w:val="00C82B14"/>
    <w:rsid w:val="00C830DE"/>
    <w:rsid w:val="00C83D47"/>
    <w:rsid w:val="00C83E57"/>
    <w:rsid w:val="00C847B1"/>
    <w:rsid w:val="00C84CFB"/>
    <w:rsid w:val="00C85257"/>
    <w:rsid w:val="00C85C60"/>
    <w:rsid w:val="00C8725F"/>
    <w:rsid w:val="00C87EE6"/>
    <w:rsid w:val="00C900A3"/>
    <w:rsid w:val="00C90371"/>
    <w:rsid w:val="00C90D18"/>
    <w:rsid w:val="00C9104C"/>
    <w:rsid w:val="00C9106F"/>
    <w:rsid w:val="00C92135"/>
    <w:rsid w:val="00C926A1"/>
    <w:rsid w:val="00C931FC"/>
    <w:rsid w:val="00C93735"/>
    <w:rsid w:val="00C93EC8"/>
    <w:rsid w:val="00C94535"/>
    <w:rsid w:val="00C949BB"/>
    <w:rsid w:val="00C968B9"/>
    <w:rsid w:val="00C968F9"/>
    <w:rsid w:val="00C96AFE"/>
    <w:rsid w:val="00C978F2"/>
    <w:rsid w:val="00C97D03"/>
    <w:rsid w:val="00CA07FC"/>
    <w:rsid w:val="00CA0A3B"/>
    <w:rsid w:val="00CA0C26"/>
    <w:rsid w:val="00CA1600"/>
    <w:rsid w:val="00CA1F22"/>
    <w:rsid w:val="00CA21BA"/>
    <w:rsid w:val="00CA2706"/>
    <w:rsid w:val="00CA2826"/>
    <w:rsid w:val="00CA2930"/>
    <w:rsid w:val="00CA2D75"/>
    <w:rsid w:val="00CA31CA"/>
    <w:rsid w:val="00CA35E5"/>
    <w:rsid w:val="00CA370C"/>
    <w:rsid w:val="00CA3A29"/>
    <w:rsid w:val="00CA3BBA"/>
    <w:rsid w:val="00CA3D4B"/>
    <w:rsid w:val="00CA4246"/>
    <w:rsid w:val="00CA459E"/>
    <w:rsid w:val="00CA4AD0"/>
    <w:rsid w:val="00CA4BC4"/>
    <w:rsid w:val="00CA4D50"/>
    <w:rsid w:val="00CA4E81"/>
    <w:rsid w:val="00CA63FC"/>
    <w:rsid w:val="00CA66AE"/>
    <w:rsid w:val="00CA6D4C"/>
    <w:rsid w:val="00CA77D8"/>
    <w:rsid w:val="00CB0A76"/>
    <w:rsid w:val="00CB0B5C"/>
    <w:rsid w:val="00CB150B"/>
    <w:rsid w:val="00CB224B"/>
    <w:rsid w:val="00CB2424"/>
    <w:rsid w:val="00CB3CB0"/>
    <w:rsid w:val="00CB5248"/>
    <w:rsid w:val="00CB596B"/>
    <w:rsid w:val="00CB5B06"/>
    <w:rsid w:val="00CB5E2F"/>
    <w:rsid w:val="00CB5EED"/>
    <w:rsid w:val="00CB5F18"/>
    <w:rsid w:val="00CB6501"/>
    <w:rsid w:val="00CB68BA"/>
    <w:rsid w:val="00CB6924"/>
    <w:rsid w:val="00CB6F3E"/>
    <w:rsid w:val="00CB7379"/>
    <w:rsid w:val="00CB7747"/>
    <w:rsid w:val="00CB77AF"/>
    <w:rsid w:val="00CC07FE"/>
    <w:rsid w:val="00CC0A11"/>
    <w:rsid w:val="00CC0F3A"/>
    <w:rsid w:val="00CC1A7E"/>
    <w:rsid w:val="00CC1B3F"/>
    <w:rsid w:val="00CC2172"/>
    <w:rsid w:val="00CC272F"/>
    <w:rsid w:val="00CC2889"/>
    <w:rsid w:val="00CC2FFA"/>
    <w:rsid w:val="00CC450F"/>
    <w:rsid w:val="00CC4819"/>
    <w:rsid w:val="00CC4EAB"/>
    <w:rsid w:val="00CC567B"/>
    <w:rsid w:val="00CC7887"/>
    <w:rsid w:val="00CD0DE6"/>
    <w:rsid w:val="00CD0FE9"/>
    <w:rsid w:val="00CD15B1"/>
    <w:rsid w:val="00CD1DFF"/>
    <w:rsid w:val="00CD2FD6"/>
    <w:rsid w:val="00CD451B"/>
    <w:rsid w:val="00CD4C64"/>
    <w:rsid w:val="00CD5037"/>
    <w:rsid w:val="00CD5F03"/>
    <w:rsid w:val="00CD6FEA"/>
    <w:rsid w:val="00CD7E4D"/>
    <w:rsid w:val="00CE0721"/>
    <w:rsid w:val="00CE157A"/>
    <w:rsid w:val="00CE1B77"/>
    <w:rsid w:val="00CE23DB"/>
    <w:rsid w:val="00CE4262"/>
    <w:rsid w:val="00CE4B01"/>
    <w:rsid w:val="00CE4DFB"/>
    <w:rsid w:val="00CE508C"/>
    <w:rsid w:val="00CE52CD"/>
    <w:rsid w:val="00CE5A9A"/>
    <w:rsid w:val="00CE5F14"/>
    <w:rsid w:val="00CE61C7"/>
    <w:rsid w:val="00CE63F8"/>
    <w:rsid w:val="00CE70DC"/>
    <w:rsid w:val="00CE7D77"/>
    <w:rsid w:val="00CF04EC"/>
    <w:rsid w:val="00CF0913"/>
    <w:rsid w:val="00CF0D38"/>
    <w:rsid w:val="00CF19D9"/>
    <w:rsid w:val="00CF2810"/>
    <w:rsid w:val="00CF31A0"/>
    <w:rsid w:val="00CF5C76"/>
    <w:rsid w:val="00CF5EDF"/>
    <w:rsid w:val="00CF6044"/>
    <w:rsid w:val="00CF6592"/>
    <w:rsid w:val="00CF6D91"/>
    <w:rsid w:val="00CF6EE0"/>
    <w:rsid w:val="00CF77E3"/>
    <w:rsid w:val="00CF7E4C"/>
    <w:rsid w:val="00D00A6F"/>
    <w:rsid w:val="00D01CC1"/>
    <w:rsid w:val="00D0252C"/>
    <w:rsid w:val="00D02AF1"/>
    <w:rsid w:val="00D02F53"/>
    <w:rsid w:val="00D03945"/>
    <w:rsid w:val="00D03A87"/>
    <w:rsid w:val="00D03FB2"/>
    <w:rsid w:val="00D040CF"/>
    <w:rsid w:val="00D04FB7"/>
    <w:rsid w:val="00D050C3"/>
    <w:rsid w:val="00D05442"/>
    <w:rsid w:val="00D056FB"/>
    <w:rsid w:val="00D06EA7"/>
    <w:rsid w:val="00D06F0C"/>
    <w:rsid w:val="00D075AF"/>
    <w:rsid w:val="00D07779"/>
    <w:rsid w:val="00D077A2"/>
    <w:rsid w:val="00D07ADE"/>
    <w:rsid w:val="00D102B0"/>
    <w:rsid w:val="00D10BF9"/>
    <w:rsid w:val="00D11154"/>
    <w:rsid w:val="00D125A1"/>
    <w:rsid w:val="00D130B9"/>
    <w:rsid w:val="00D13ED8"/>
    <w:rsid w:val="00D148A0"/>
    <w:rsid w:val="00D14D6C"/>
    <w:rsid w:val="00D15759"/>
    <w:rsid w:val="00D15778"/>
    <w:rsid w:val="00D15EA2"/>
    <w:rsid w:val="00D17217"/>
    <w:rsid w:val="00D17AD9"/>
    <w:rsid w:val="00D20128"/>
    <w:rsid w:val="00D208EE"/>
    <w:rsid w:val="00D218AF"/>
    <w:rsid w:val="00D21EBB"/>
    <w:rsid w:val="00D21EE8"/>
    <w:rsid w:val="00D22C56"/>
    <w:rsid w:val="00D22DB0"/>
    <w:rsid w:val="00D23135"/>
    <w:rsid w:val="00D23842"/>
    <w:rsid w:val="00D23DF5"/>
    <w:rsid w:val="00D24372"/>
    <w:rsid w:val="00D244DF"/>
    <w:rsid w:val="00D25295"/>
    <w:rsid w:val="00D255C5"/>
    <w:rsid w:val="00D25601"/>
    <w:rsid w:val="00D2562B"/>
    <w:rsid w:val="00D25BC4"/>
    <w:rsid w:val="00D2643E"/>
    <w:rsid w:val="00D266A7"/>
    <w:rsid w:val="00D267FF"/>
    <w:rsid w:val="00D2691A"/>
    <w:rsid w:val="00D26B9D"/>
    <w:rsid w:val="00D27074"/>
    <w:rsid w:val="00D271EC"/>
    <w:rsid w:val="00D277E6"/>
    <w:rsid w:val="00D30845"/>
    <w:rsid w:val="00D341A2"/>
    <w:rsid w:val="00D341A8"/>
    <w:rsid w:val="00D344FA"/>
    <w:rsid w:val="00D34918"/>
    <w:rsid w:val="00D355B8"/>
    <w:rsid w:val="00D35DC0"/>
    <w:rsid w:val="00D36245"/>
    <w:rsid w:val="00D36FA3"/>
    <w:rsid w:val="00D36FA8"/>
    <w:rsid w:val="00D41348"/>
    <w:rsid w:val="00D42590"/>
    <w:rsid w:val="00D42CB0"/>
    <w:rsid w:val="00D43597"/>
    <w:rsid w:val="00D43C79"/>
    <w:rsid w:val="00D43FE1"/>
    <w:rsid w:val="00D441BA"/>
    <w:rsid w:val="00D45EC1"/>
    <w:rsid w:val="00D46473"/>
    <w:rsid w:val="00D46995"/>
    <w:rsid w:val="00D474E3"/>
    <w:rsid w:val="00D47B5F"/>
    <w:rsid w:val="00D5001B"/>
    <w:rsid w:val="00D50568"/>
    <w:rsid w:val="00D511FC"/>
    <w:rsid w:val="00D5188B"/>
    <w:rsid w:val="00D51D5E"/>
    <w:rsid w:val="00D5226A"/>
    <w:rsid w:val="00D522C7"/>
    <w:rsid w:val="00D529B1"/>
    <w:rsid w:val="00D53D76"/>
    <w:rsid w:val="00D54A2B"/>
    <w:rsid w:val="00D54FCB"/>
    <w:rsid w:val="00D55036"/>
    <w:rsid w:val="00D55AC9"/>
    <w:rsid w:val="00D5617E"/>
    <w:rsid w:val="00D56BBB"/>
    <w:rsid w:val="00D57956"/>
    <w:rsid w:val="00D605C8"/>
    <w:rsid w:val="00D61137"/>
    <w:rsid w:val="00D61187"/>
    <w:rsid w:val="00D61B85"/>
    <w:rsid w:val="00D61D43"/>
    <w:rsid w:val="00D624D2"/>
    <w:rsid w:val="00D62A3E"/>
    <w:rsid w:val="00D63236"/>
    <w:rsid w:val="00D635D3"/>
    <w:rsid w:val="00D636CC"/>
    <w:rsid w:val="00D63FEE"/>
    <w:rsid w:val="00D65918"/>
    <w:rsid w:val="00D66078"/>
    <w:rsid w:val="00D66176"/>
    <w:rsid w:val="00D66594"/>
    <w:rsid w:val="00D66946"/>
    <w:rsid w:val="00D66C03"/>
    <w:rsid w:val="00D677FB"/>
    <w:rsid w:val="00D67F3C"/>
    <w:rsid w:val="00D705C4"/>
    <w:rsid w:val="00D72114"/>
    <w:rsid w:val="00D726A7"/>
    <w:rsid w:val="00D72844"/>
    <w:rsid w:val="00D7334D"/>
    <w:rsid w:val="00D73494"/>
    <w:rsid w:val="00D737C4"/>
    <w:rsid w:val="00D73D6F"/>
    <w:rsid w:val="00D73DC8"/>
    <w:rsid w:val="00D74679"/>
    <w:rsid w:val="00D74DF8"/>
    <w:rsid w:val="00D754BF"/>
    <w:rsid w:val="00D7677A"/>
    <w:rsid w:val="00D76823"/>
    <w:rsid w:val="00D76C1F"/>
    <w:rsid w:val="00D77455"/>
    <w:rsid w:val="00D80884"/>
    <w:rsid w:val="00D80AEA"/>
    <w:rsid w:val="00D80B3B"/>
    <w:rsid w:val="00D81414"/>
    <w:rsid w:val="00D81638"/>
    <w:rsid w:val="00D81676"/>
    <w:rsid w:val="00D81958"/>
    <w:rsid w:val="00D82848"/>
    <w:rsid w:val="00D834E2"/>
    <w:rsid w:val="00D83BD5"/>
    <w:rsid w:val="00D868AD"/>
    <w:rsid w:val="00D903F1"/>
    <w:rsid w:val="00D911AA"/>
    <w:rsid w:val="00D92688"/>
    <w:rsid w:val="00D92ABB"/>
    <w:rsid w:val="00D93DD2"/>
    <w:rsid w:val="00D943BF"/>
    <w:rsid w:val="00D9460F"/>
    <w:rsid w:val="00D94B29"/>
    <w:rsid w:val="00D94C8E"/>
    <w:rsid w:val="00D94F44"/>
    <w:rsid w:val="00D951BE"/>
    <w:rsid w:val="00D95FF7"/>
    <w:rsid w:val="00D9618B"/>
    <w:rsid w:val="00D966EB"/>
    <w:rsid w:val="00D972A2"/>
    <w:rsid w:val="00D97633"/>
    <w:rsid w:val="00DA005C"/>
    <w:rsid w:val="00DA0650"/>
    <w:rsid w:val="00DA0669"/>
    <w:rsid w:val="00DA086F"/>
    <w:rsid w:val="00DA193F"/>
    <w:rsid w:val="00DA1D53"/>
    <w:rsid w:val="00DA2392"/>
    <w:rsid w:val="00DA2866"/>
    <w:rsid w:val="00DA297E"/>
    <w:rsid w:val="00DA317C"/>
    <w:rsid w:val="00DA381D"/>
    <w:rsid w:val="00DA459D"/>
    <w:rsid w:val="00DA53DD"/>
    <w:rsid w:val="00DA5FF3"/>
    <w:rsid w:val="00DA6555"/>
    <w:rsid w:val="00DA6870"/>
    <w:rsid w:val="00DA718B"/>
    <w:rsid w:val="00DA719F"/>
    <w:rsid w:val="00DA777B"/>
    <w:rsid w:val="00DB0DF4"/>
    <w:rsid w:val="00DB0E3A"/>
    <w:rsid w:val="00DB1687"/>
    <w:rsid w:val="00DB170F"/>
    <w:rsid w:val="00DB1F8E"/>
    <w:rsid w:val="00DB2444"/>
    <w:rsid w:val="00DB2CB7"/>
    <w:rsid w:val="00DB3D7C"/>
    <w:rsid w:val="00DB4D46"/>
    <w:rsid w:val="00DB5868"/>
    <w:rsid w:val="00DB5A2A"/>
    <w:rsid w:val="00DB68A2"/>
    <w:rsid w:val="00DB6A87"/>
    <w:rsid w:val="00DB6D1A"/>
    <w:rsid w:val="00DB6DCA"/>
    <w:rsid w:val="00DB6E59"/>
    <w:rsid w:val="00DB71BE"/>
    <w:rsid w:val="00DC0997"/>
    <w:rsid w:val="00DC0C36"/>
    <w:rsid w:val="00DC0CBE"/>
    <w:rsid w:val="00DC1573"/>
    <w:rsid w:val="00DC1582"/>
    <w:rsid w:val="00DC268B"/>
    <w:rsid w:val="00DC31FD"/>
    <w:rsid w:val="00DC3A4A"/>
    <w:rsid w:val="00DC3EDF"/>
    <w:rsid w:val="00DC4EC6"/>
    <w:rsid w:val="00DC6BDB"/>
    <w:rsid w:val="00DC6CDC"/>
    <w:rsid w:val="00DC7545"/>
    <w:rsid w:val="00DD05AE"/>
    <w:rsid w:val="00DD07AF"/>
    <w:rsid w:val="00DD0E4E"/>
    <w:rsid w:val="00DD1251"/>
    <w:rsid w:val="00DD1C6D"/>
    <w:rsid w:val="00DD23D3"/>
    <w:rsid w:val="00DD29C6"/>
    <w:rsid w:val="00DD2A08"/>
    <w:rsid w:val="00DD2C77"/>
    <w:rsid w:val="00DD42E4"/>
    <w:rsid w:val="00DD46A9"/>
    <w:rsid w:val="00DD4D72"/>
    <w:rsid w:val="00DD5E57"/>
    <w:rsid w:val="00DD6943"/>
    <w:rsid w:val="00DD7456"/>
    <w:rsid w:val="00DD7B3F"/>
    <w:rsid w:val="00DE07C3"/>
    <w:rsid w:val="00DE0F8B"/>
    <w:rsid w:val="00DE0FAF"/>
    <w:rsid w:val="00DE1A78"/>
    <w:rsid w:val="00DE1CCC"/>
    <w:rsid w:val="00DE259D"/>
    <w:rsid w:val="00DE2663"/>
    <w:rsid w:val="00DE2A8C"/>
    <w:rsid w:val="00DE3886"/>
    <w:rsid w:val="00DE3C9B"/>
    <w:rsid w:val="00DE4010"/>
    <w:rsid w:val="00DE405D"/>
    <w:rsid w:val="00DE4668"/>
    <w:rsid w:val="00DE4E3D"/>
    <w:rsid w:val="00DE6205"/>
    <w:rsid w:val="00DE653E"/>
    <w:rsid w:val="00DE69CC"/>
    <w:rsid w:val="00DE7A74"/>
    <w:rsid w:val="00DF01BA"/>
    <w:rsid w:val="00DF0614"/>
    <w:rsid w:val="00DF0A4A"/>
    <w:rsid w:val="00DF0B67"/>
    <w:rsid w:val="00DF0D82"/>
    <w:rsid w:val="00DF0E10"/>
    <w:rsid w:val="00DF1265"/>
    <w:rsid w:val="00DF1446"/>
    <w:rsid w:val="00DF1DB5"/>
    <w:rsid w:val="00DF28BA"/>
    <w:rsid w:val="00DF45C0"/>
    <w:rsid w:val="00DF4E6A"/>
    <w:rsid w:val="00DF547E"/>
    <w:rsid w:val="00DF6F70"/>
    <w:rsid w:val="00DF71CE"/>
    <w:rsid w:val="00DF7569"/>
    <w:rsid w:val="00DF7929"/>
    <w:rsid w:val="00E001D9"/>
    <w:rsid w:val="00E00200"/>
    <w:rsid w:val="00E0084D"/>
    <w:rsid w:val="00E009FA"/>
    <w:rsid w:val="00E0131F"/>
    <w:rsid w:val="00E01E1E"/>
    <w:rsid w:val="00E01F40"/>
    <w:rsid w:val="00E02089"/>
    <w:rsid w:val="00E020BA"/>
    <w:rsid w:val="00E0233C"/>
    <w:rsid w:val="00E02C47"/>
    <w:rsid w:val="00E02E69"/>
    <w:rsid w:val="00E03019"/>
    <w:rsid w:val="00E03243"/>
    <w:rsid w:val="00E033B5"/>
    <w:rsid w:val="00E039F5"/>
    <w:rsid w:val="00E0427B"/>
    <w:rsid w:val="00E04C3D"/>
    <w:rsid w:val="00E0504F"/>
    <w:rsid w:val="00E05C1A"/>
    <w:rsid w:val="00E05CAE"/>
    <w:rsid w:val="00E06993"/>
    <w:rsid w:val="00E078FF"/>
    <w:rsid w:val="00E07BE5"/>
    <w:rsid w:val="00E10AED"/>
    <w:rsid w:val="00E11294"/>
    <w:rsid w:val="00E11751"/>
    <w:rsid w:val="00E119B8"/>
    <w:rsid w:val="00E11BE7"/>
    <w:rsid w:val="00E11E93"/>
    <w:rsid w:val="00E12C7B"/>
    <w:rsid w:val="00E13CFB"/>
    <w:rsid w:val="00E13F10"/>
    <w:rsid w:val="00E14646"/>
    <w:rsid w:val="00E147B6"/>
    <w:rsid w:val="00E14F4C"/>
    <w:rsid w:val="00E16B38"/>
    <w:rsid w:val="00E172D2"/>
    <w:rsid w:val="00E205AC"/>
    <w:rsid w:val="00E2081A"/>
    <w:rsid w:val="00E22132"/>
    <w:rsid w:val="00E221FC"/>
    <w:rsid w:val="00E22790"/>
    <w:rsid w:val="00E232ED"/>
    <w:rsid w:val="00E24021"/>
    <w:rsid w:val="00E244D9"/>
    <w:rsid w:val="00E24E43"/>
    <w:rsid w:val="00E24F09"/>
    <w:rsid w:val="00E25750"/>
    <w:rsid w:val="00E25B1E"/>
    <w:rsid w:val="00E25C67"/>
    <w:rsid w:val="00E27365"/>
    <w:rsid w:val="00E27657"/>
    <w:rsid w:val="00E301A3"/>
    <w:rsid w:val="00E301E1"/>
    <w:rsid w:val="00E31768"/>
    <w:rsid w:val="00E31B9E"/>
    <w:rsid w:val="00E3238A"/>
    <w:rsid w:val="00E3330C"/>
    <w:rsid w:val="00E33517"/>
    <w:rsid w:val="00E33EFB"/>
    <w:rsid w:val="00E340CC"/>
    <w:rsid w:val="00E342B6"/>
    <w:rsid w:val="00E34C05"/>
    <w:rsid w:val="00E352B0"/>
    <w:rsid w:val="00E3579B"/>
    <w:rsid w:val="00E35B9B"/>
    <w:rsid w:val="00E35EA4"/>
    <w:rsid w:val="00E362FC"/>
    <w:rsid w:val="00E36A3F"/>
    <w:rsid w:val="00E37306"/>
    <w:rsid w:val="00E37872"/>
    <w:rsid w:val="00E378BD"/>
    <w:rsid w:val="00E40616"/>
    <w:rsid w:val="00E40931"/>
    <w:rsid w:val="00E4156F"/>
    <w:rsid w:val="00E41EBB"/>
    <w:rsid w:val="00E42A7D"/>
    <w:rsid w:val="00E42E77"/>
    <w:rsid w:val="00E43300"/>
    <w:rsid w:val="00E43349"/>
    <w:rsid w:val="00E4607E"/>
    <w:rsid w:val="00E500AD"/>
    <w:rsid w:val="00E50170"/>
    <w:rsid w:val="00E509AE"/>
    <w:rsid w:val="00E50D2D"/>
    <w:rsid w:val="00E51655"/>
    <w:rsid w:val="00E51F1D"/>
    <w:rsid w:val="00E524CF"/>
    <w:rsid w:val="00E52B6B"/>
    <w:rsid w:val="00E53079"/>
    <w:rsid w:val="00E5383F"/>
    <w:rsid w:val="00E555F7"/>
    <w:rsid w:val="00E55671"/>
    <w:rsid w:val="00E55714"/>
    <w:rsid w:val="00E55CD0"/>
    <w:rsid w:val="00E56230"/>
    <w:rsid w:val="00E562B2"/>
    <w:rsid w:val="00E5651C"/>
    <w:rsid w:val="00E56749"/>
    <w:rsid w:val="00E567E3"/>
    <w:rsid w:val="00E57A67"/>
    <w:rsid w:val="00E616F9"/>
    <w:rsid w:val="00E63907"/>
    <w:rsid w:val="00E639B1"/>
    <w:rsid w:val="00E63BCD"/>
    <w:rsid w:val="00E64A76"/>
    <w:rsid w:val="00E64F62"/>
    <w:rsid w:val="00E64F6D"/>
    <w:rsid w:val="00E65EDE"/>
    <w:rsid w:val="00E65FBA"/>
    <w:rsid w:val="00E66919"/>
    <w:rsid w:val="00E66973"/>
    <w:rsid w:val="00E672E4"/>
    <w:rsid w:val="00E674E2"/>
    <w:rsid w:val="00E6759A"/>
    <w:rsid w:val="00E678A8"/>
    <w:rsid w:val="00E70200"/>
    <w:rsid w:val="00E710EB"/>
    <w:rsid w:val="00E72239"/>
    <w:rsid w:val="00E7228F"/>
    <w:rsid w:val="00E72874"/>
    <w:rsid w:val="00E72DBE"/>
    <w:rsid w:val="00E72E3E"/>
    <w:rsid w:val="00E7306E"/>
    <w:rsid w:val="00E73492"/>
    <w:rsid w:val="00E7350F"/>
    <w:rsid w:val="00E736FE"/>
    <w:rsid w:val="00E73AEA"/>
    <w:rsid w:val="00E745DF"/>
    <w:rsid w:val="00E74BCE"/>
    <w:rsid w:val="00E75068"/>
    <w:rsid w:val="00E75623"/>
    <w:rsid w:val="00E7563F"/>
    <w:rsid w:val="00E75D03"/>
    <w:rsid w:val="00E75E43"/>
    <w:rsid w:val="00E76351"/>
    <w:rsid w:val="00E7798F"/>
    <w:rsid w:val="00E80ADF"/>
    <w:rsid w:val="00E8103F"/>
    <w:rsid w:val="00E81168"/>
    <w:rsid w:val="00E81420"/>
    <w:rsid w:val="00E82005"/>
    <w:rsid w:val="00E8232C"/>
    <w:rsid w:val="00E83824"/>
    <w:rsid w:val="00E841F6"/>
    <w:rsid w:val="00E8490A"/>
    <w:rsid w:val="00E84CCF"/>
    <w:rsid w:val="00E858A1"/>
    <w:rsid w:val="00E858A8"/>
    <w:rsid w:val="00E85C71"/>
    <w:rsid w:val="00E86A3F"/>
    <w:rsid w:val="00E86E44"/>
    <w:rsid w:val="00E87C58"/>
    <w:rsid w:val="00E9210B"/>
    <w:rsid w:val="00E9269E"/>
    <w:rsid w:val="00E930E5"/>
    <w:rsid w:val="00E944F0"/>
    <w:rsid w:val="00E94AB4"/>
    <w:rsid w:val="00E94DBB"/>
    <w:rsid w:val="00E94EB8"/>
    <w:rsid w:val="00E95891"/>
    <w:rsid w:val="00E9595E"/>
    <w:rsid w:val="00E95A0E"/>
    <w:rsid w:val="00E95AA3"/>
    <w:rsid w:val="00E96099"/>
    <w:rsid w:val="00E96137"/>
    <w:rsid w:val="00E96B48"/>
    <w:rsid w:val="00E971EE"/>
    <w:rsid w:val="00E9768F"/>
    <w:rsid w:val="00E97B97"/>
    <w:rsid w:val="00E97DC8"/>
    <w:rsid w:val="00EA08F1"/>
    <w:rsid w:val="00EA0B51"/>
    <w:rsid w:val="00EA11F3"/>
    <w:rsid w:val="00EA12A8"/>
    <w:rsid w:val="00EA12C1"/>
    <w:rsid w:val="00EA1E5F"/>
    <w:rsid w:val="00EA346C"/>
    <w:rsid w:val="00EA4D02"/>
    <w:rsid w:val="00EA6112"/>
    <w:rsid w:val="00EA6465"/>
    <w:rsid w:val="00EA690E"/>
    <w:rsid w:val="00EA6F7B"/>
    <w:rsid w:val="00EA7770"/>
    <w:rsid w:val="00EB00E9"/>
    <w:rsid w:val="00EB0281"/>
    <w:rsid w:val="00EB1004"/>
    <w:rsid w:val="00EB15FE"/>
    <w:rsid w:val="00EB19AC"/>
    <w:rsid w:val="00EB1B63"/>
    <w:rsid w:val="00EB1F3B"/>
    <w:rsid w:val="00EB2E53"/>
    <w:rsid w:val="00EB354E"/>
    <w:rsid w:val="00EB3936"/>
    <w:rsid w:val="00EB5540"/>
    <w:rsid w:val="00EC10F0"/>
    <w:rsid w:val="00EC2A7F"/>
    <w:rsid w:val="00EC2C05"/>
    <w:rsid w:val="00EC30A2"/>
    <w:rsid w:val="00EC3259"/>
    <w:rsid w:val="00EC35D8"/>
    <w:rsid w:val="00EC3D6D"/>
    <w:rsid w:val="00EC3FB5"/>
    <w:rsid w:val="00EC53EA"/>
    <w:rsid w:val="00EC5791"/>
    <w:rsid w:val="00EC5887"/>
    <w:rsid w:val="00EC60E7"/>
    <w:rsid w:val="00EC67B4"/>
    <w:rsid w:val="00EC71D7"/>
    <w:rsid w:val="00EC78FB"/>
    <w:rsid w:val="00ED01BA"/>
    <w:rsid w:val="00ED0B67"/>
    <w:rsid w:val="00ED2B59"/>
    <w:rsid w:val="00ED3148"/>
    <w:rsid w:val="00ED3964"/>
    <w:rsid w:val="00ED3A47"/>
    <w:rsid w:val="00ED4F6F"/>
    <w:rsid w:val="00ED593D"/>
    <w:rsid w:val="00ED5FAF"/>
    <w:rsid w:val="00ED640F"/>
    <w:rsid w:val="00ED6E53"/>
    <w:rsid w:val="00ED7E0B"/>
    <w:rsid w:val="00EE01E3"/>
    <w:rsid w:val="00EE0FA8"/>
    <w:rsid w:val="00EE13BE"/>
    <w:rsid w:val="00EE1517"/>
    <w:rsid w:val="00EE23A2"/>
    <w:rsid w:val="00EE376B"/>
    <w:rsid w:val="00EE40D7"/>
    <w:rsid w:val="00EE431A"/>
    <w:rsid w:val="00EE4346"/>
    <w:rsid w:val="00EE461F"/>
    <w:rsid w:val="00EE4A51"/>
    <w:rsid w:val="00EE4C6C"/>
    <w:rsid w:val="00EE5FF6"/>
    <w:rsid w:val="00EE612C"/>
    <w:rsid w:val="00EE6359"/>
    <w:rsid w:val="00EE7085"/>
    <w:rsid w:val="00EE7C37"/>
    <w:rsid w:val="00EE7D7D"/>
    <w:rsid w:val="00EF0248"/>
    <w:rsid w:val="00EF033F"/>
    <w:rsid w:val="00EF0600"/>
    <w:rsid w:val="00EF085A"/>
    <w:rsid w:val="00EF08C6"/>
    <w:rsid w:val="00EF098D"/>
    <w:rsid w:val="00EF09F7"/>
    <w:rsid w:val="00EF0C12"/>
    <w:rsid w:val="00EF10A9"/>
    <w:rsid w:val="00EF1241"/>
    <w:rsid w:val="00EF155C"/>
    <w:rsid w:val="00EF15F1"/>
    <w:rsid w:val="00EF1DFB"/>
    <w:rsid w:val="00EF2E01"/>
    <w:rsid w:val="00EF3028"/>
    <w:rsid w:val="00EF3D05"/>
    <w:rsid w:val="00EF3E50"/>
    <w:rsid w:val="00EF3EA2"/>
    <w:rsid w:val="00EF4810"/>
    <w:rsid w:val="00EF49D9"/>
    <w:rsid w:val="00EF4DB1"/>
    <w:rsid w:val="00EF533A"/>
    <w:rsid w:val="00EF5B66"/>
    <w:rsid w:val="00EF5E2E"/>
    <w:rsid w:val="00EF6098"/>
    <w:rsid w:val="00EF6552"/>
    <w:rsid w:val="00EF6CD8"/>
    <w:rsid w:val="00F00D88"/>
    <w:rsid w:val="00F011FE"/>
    <w:rsid w:val="00F01D31"/>
    <w:rsid w:val="00F02BAE"/>
    <w:rsid w:val="00F02E1F"/>
    <w:rsid w:val="00F039FC"/>
    <w:rsid w:val="00F04746"/>
    <w:rsid w:val="00F049D9"/>
    <w:rsid w:val="00F04F03"/>
    <w:rsid w:val="00F05F29"/>
    <w:rsid w:val="00F06295"/>
    <w:rsid w:val="00F06AE8"/>
    <w:rsid w:val="00F0774A"/>
    <w:rsid w:val="00F07AC1"/>
    <w:rsid w:val="00F109B7"/>
    <w:rsid w:val="00F112B2"/>
    <w:rsid w:val="00F116E6"/>
    <w:rsid w:val="00F118B8"/>
    <w:rsid w:val="00F11A2D"/>
    <w:rsid w:val="00F11BFB"/>
    <w:rsid w:val="00F11E0F"/>
    <w:rsid w:val="00F12185"/>
    <w:rsid w:val="00F128A1"/>
    <w:rsid w:val="00F12A4A"/>
    <w:rsid w:val="00F12E61"/>
    <w:rsid w:val="00F1369D"/>
    <w:rsid w:val="00F15272"/>
    <w:rsid w:val="00F1549D"/>
    <w:rsid w:val="00F15795"/>
    <w:rsid w:val="00F15C47"/>
    <w:rsid w:val="00F16D6F"/>
    <w:rsid w:val="00F201D9"/>
    <w:rsid w:val="00F2068A"/>
    <w:rsid w:val="00F222B3"/>
    <w:rsid w:val="00F223AF"/>
    <w:rsid w:val="00F22A5A"/>
    <w:rsid w:val="00F235A1"/>
    <w:rsid w:val="00F2397D"/>
    <w:rsid w:val="00F24720"/>
    <w:rsid w:val="00F25091"/>
    <w:rsid w:val="00F2561B"/>
    <w:rsid w:val="00F25F32"/>
    <w:rsid w:val="00F264D0"/>
    <w:rsid w:val="00F2662C"/>
    <w:rsid w:val="00F26C68"/>
    <w:rsid w:val="00F2730A"/>
    <w:rsid w:val="00F2796A"/>
    <w:rsid w:val="00F27BAB"/>
    <w:rsid w:val="00F27E20"/>
    <w:rsid w:val="00F30D8D"/>
    <w:rsid w:val="00F3129F"/>
    <w:rsid w:val="00F31321"/>
    <w:rsid w:val="00F3161B"/>
    <w:rsid w:val="00F32223"/>
    <w:rsid w:val="00F32876"/>
    <w:rsid w:val="00F32937"/>
    <w:rsid w:val="00F33997"/>
    <w:rsid w:val="00F34136"/>
    <w:rsid w:val="00F3456C"/>
    <w:rsid w:val="00F34573"/>
    <w:rsid w:val="00F34B9A"/>
    <w:rsid w:val="00F34CB9"/>
    <w:rsid w:val="00F35902"/>
    <w:rsid w:val="00F35F5B"/>
    <w:rsid w:val="00F366F2"/>
    <w:rsid w:val="00F36801"/>
    <w:rsid w:val="00F36ABE"/>
    <w:rsid w:val="00F37290"/>
    <w:rsid w:val="00F37F1E"/>
    <w:rsid w:val="00F404BF"/>
    <w:rsid w:val="00F405D6"/>
    <w:rsid w:val="00F4127E"/>
    <w:rsid w:val="00F41ACE"/>
    <w:rsid w:val="00F4262E"/>
    <w:rsid w:val="00F427CF"/>
    <w:rsid w:val="00F42E5C"/>
    <w:rsid w:val="00F42E6E"/>
    <w:rsid w:val="00F43146"/>
    <w:rsid w:val="00F44059"/>
    <w:rsid w:val="00F444A8"/>
    <w:rsid w:val="00F4677C"/>
    <w:rsid w:val="00F47DA1"/>
    <w:rsid w:val="00F50A15"/>
    <w:rsid w:val="00F511A0"/>
    <w:rsid w:val="00F511AF"/>
    <w:rsid w:val="00F51592"/>
    <w:rsid w:val="00F515C1"/>
    <w:rsid w:val="00F51938"/>
    <w:rsid w:val="00F51A55"/>
    <w:rsid w:val="00F5213A"/>
    <w:rsid w:val="00F523D0"/>
    <w:rsid w:val="00F539D6"/>
    <w:rsid w:val="00F53F49"/>
    <w:rsid w:val="00F53FAC"/>
    <w:rsid w:val="00F53FE2"/>
    <w:rsid w:val="00F540A2"/>
    <w:rsid w:val="00F542EA"/>
    <w:rsid w:val="00F543D6"/>
    <w:rsid w:val="00F54DCD"/>
    <w:rsid w:val="00F54FB2"/>
    <w:rsid w:val="00F55C6F"/>
    <w:rsid w:val="00F576D4"/>
    <w:rsid w:val="00F57AA3"/>
    <w:rsid w:val="00F57FB1"/>
    <w:rsid w:val="00F600D9"/>
    <w:rsid w:val="00F606FD"/>
    <w:rsid w:val="00F609AF"/>
    <w:rsid w:val="00F61098"/>
    <w:rsid w:val="00F610A9"/>
    <w:rsid w:val="00F6158E"/>
    <w:rsid w:val="00F61C33"/>
    <w:rsid w:val="00F61F98"/>
    <w:rsid w:val="00F63DC6"/>
    <w:rsid w:val="00F63E8C"/>
    <w:rsid w:val="00F64458"/>
    <w:rsid w:val="00F6466A"/>
    <w:rsid w:val="00F64D06"/>
    <w:rsid w:val="00F6508E"/>
    <w:rsid w:val="00F65333"/>
    <w:rsid w:val="00F6547F"/>
    <w:rsid w:val="00F65788"/>
    <w:rsid w:val="00F65ECF"/>
    <w:rsid w:val="00F6668F"/>
    <w:rsid w:val="00F6705A"/>
    <w:rsid w:val="00F67FBD"/>
    <w:rsid w:val="00F718A9"/>
    <w:rsid w:val="00F72D46"/>
    <w:rsid w:val="00F732E3"/>
    <w:rsid w:val="00F73598"/>
    <w:rsid w:val="00F7385C"/>
    <w:rsid w:val="00F7438F"/>
    <w:rsid w:val="00F74706"/>
    <w:rsid w:val="00F74E0F"/>
    <w:rsid w:val="00F74ECD"/>
    <w:rsid w:val="00F75BDE"/>
    <w:rsid w:val="00F7608B"/>
    <w:rsid w:val="00F76CA3"/>
    <w:rsid w:val="00F76DC2"/>
    <w:rsid w:val="00F76FCD"/>
    <w:rsid w:val="00F779F1"/>
    <w:rsid w:val="00F806FA"/>
    <w:rsid w:val="00F80CFC"/>
    <w:rsid w:val="00F82083"/>
    <w:rsid w:val="00F82266"/>
    <w:rsid w:val="00F82A15"/>
    <w:rsid w:val="00F838C3"/>
    <w:rsid w:val="00F841C0"/>
    <w:rsid w:val="00F842BE"/>
    <w:rsid w:val="00F8490C"/>
    <w:rsid w:val="00F855BB"/>
    <w:rsid w:val="00F85C5C"/>
    <w:rsid w:val="00F864EF"/>
    <w:rsid w:val="00F87556"/>
    <w:rsid w:val="00F900D2"/>
    <w:rsid w:val="00F90E3B"/>
    <w:rsid w:val="00F91CB0"/>
    <w:rsid w:val="00F922EC"/>
    <w:rsid w:val="00F92BCD"/>
    <w:rsid w:val="00F92CA7"/>
    <w:rsid w:val="00F93264"/>
    <w:rsid w:val="00F9379F"/>
    <w:rsid w:val="00F94442"/>
    <w:rsid w:val="00F94AA3"/>
    <w:rsid w:val="00F94E73"/>
    <w:rsid w:val="00F9512C"/>
    <w:rsid w:val="00F9580E"/>
    <w:rsid w:val="00F95B82"/>
    <w:rsid w:val="00F9631E"/>
    <w:rsid w:val="00F970AF"/>
    <w:rsid w:val="00F97C5F"/>
    <w:rsid w:val="00FA0AE4"/>
    <w:rsid w:val="00FA0BDF"/>
    <w:rsid w:val="00FA0ED6"/>
    <w:rsid w:val="00FA1DB3"/>
    <w:rsid w:val="00FA2703"/>
    <w:rsid w:val="00FA3908"/>
    <w:rsid w:val="00FA3D1B"/>
    <w:rsid w:val="00FA3E23"/>
    <w:rsid w:val="00FA570A"/>
    <w:rsid w:val="00FA6DB5"/>
    <w:rsid w:val="00FA7B03"/>
    <w:rsid w:val="00FA7C50"/>
    <w:rsid w:val="00FB020B"/>
    <w:rsid w:val="00FB0229"/>
    <w:rsid w:val="00FB0496"/>
    <w:rsid w:val="00FB0514"/>
    <w:rsid w:val="00FB12C6"/>
    <w:rsid w:val="00FB2169"/>
    <w:rsid w:val="00FB3436"/>
    <w:rsid w:val="00FB35A6"/>
    <w:rsid w:val="00FB5249"/>
    <w:rsid w:val="00FB567D"/>
    <w:rsid w:val="00FB5E6E"/>
    <w:rsid w:val="00FB66C5"/>
    <w:rsid w:val="00FB66D8"/>
    <w:rsid w:val="00FB6E5D"/>
    <w:rsid w:val="00FB7412"/>
    <w:rsid w:val="00FC0C76"/>
    <w:rsid w:val="00FC1BDA"/>
    <w:rsid w:val="00FC249F"/>
    <w:rsid w:val="00FC283A"/>
    <w:rsid w:val="00FC2CEF"/>
    <w:rsid w:val="00FC4FF0"/>
    <w:rsid w:val="00FC608D"/>
    <w:rsid w:val="00FC69DD"/>
    <w:rsid w:val="00FC70F8"/>
    <w:rsid w:val="00FC7D6E"/>
    <w:rsid w:val="00FD0A31"/>
    <w:rsid w:val="00FD0D40"/>
    <w:rsid w:val="00FD16D2"/>
    <w:rsid w:val="00FD1A51"/>
    <w:rsid w:val="00FD2BFE"/>
    <w:rsid w:val="00FD3017"/>
    <w:rsid w:val="00FD374B"/>
    <w:rsid w:val="00FD4552"/>
    <w:rsid w:val="00FD460C"/>
    <w:rsid w:val="00FD53ED"/>
    <w:rsid w:val="00FD5CAD"/>
    <w:rsid w:val="00FD6E61"/>
    <w:rsid w:val="00FD6EB6"/>
    <w:rsid w:val="00FD75B9"/>
    <w:rsid w:val="00FD7B89"/>
    <w:rsid w:val="00FE0BE0"/>
    <w:rsid w:val="00FE1205"/>
    <w:rsid w:val="00FE1B2D"/>
    <w:rsid w:val="00FE2E64"/>
    <w:rsid w:val="00FE31F8"/>
    <w:rsid w:val="00FE36C7"/>
    <w:rsid w:val="00FE3940"/>
    <w:rsid w:val="00FE39FC"/>
    <w:rsid w:val="00FE3A9D"/>
    <w:rsid w:val="00FE4C55"/>
    <w:rsid w:val="00FE4D03"/>
    <w:rsid w:val="00FE5C34"/>
    <w:rsid w:val="00FE5C5D"/>
    <w:rsid w:val="00FE5E0C"/>
    <w:rsid w:val="00FE5FCA"/>
    <w:rsid w:val="00FE6C09"/>
    <w:rsid w:val="00FE7507"/>
    <w:rsid w:val="00FE78BC"/>
    <w:rsid w:val="00FF092C"/>
    <w:rsid w:val="00FF09C9"/>
    <w:rsid w:val="00FF1299"/>
    <w:rsid w:val="00FF18B9"/>
    <w:rsid w:val="00FF1981"/>
    <w:rsid w:val="00FF24E8"/>
    <w:rsid w:val="00FF3C9B"/>
    <w:rsid w:val="00FF3CC8"/>
    <w:rsid w:val="00FF3F5F"/>
    <w:rsid w:val="00FF46B0"/>
    <w:rsid w:val="00FF4BE9"/>
    <w:rsid w:val="00FF561A"/>
    <w:rsid w:val="00FF6605"/>
    <w:rsid w:val="00FF76DD"/>
    <w:rsid w:val="00FF7A9F"/>
    <w:rsid w:val="00FF7ACD"/>
    <w:rsid w:val="00FF7C81"/>
    <w:rsid w:val="054A15F9"/>
    <w:rsid w:val="08F15EDF"/>
    <w:rsid w:val="14F56161"/>
    <w:rsid w:val="218E0148"/>
    <w:rsid w:val="315D379B"/>
    <w:rsid w:val="3553209D"/>
    <w:rsid w:val="3F4067BF"/>
    <w:rsid w:val="442247BD"/>
    <w:rsid w:val="4E781B6F"/>
    <w:rsid w:val="500A7B34"/>
    <w:rsid w:val="76B25BFC"/>
    <w:rsid w:val="770748AB"/>
    <w:rsid w:val="78E51BEB"/>
    <w:rsid w:val="79151C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4010AC6"/>
  <w15:docId w15:val="{DC29E4E3-D40E-4791-B668-59996D0D1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uiPriority="0" w:qFormat="1"/>
    <w:lsdException w:name="endnote reference" w:uiPriority="0"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uiPriority="29" w:qFormat="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F09F7"/>
    <w:pPr>
      <w:widowControl w:val="0"/>
      <w:spacing w:after="160" w:line="278" w:lineRule="auto"/>
    </w:pPr>
    <w:rPr>
      <w:kern w:val="2"/>
      <w:sz w:val="22"/>
      <w:szCs w:val="24"/>
      <w14:ligatures w14:val="standardContextual"/>
    </w:rPr>
  </w:style>
  <w:style w:type="paragraph" w:styleId="10">
    <w:name w:val="heading 1"/>
    <w:basedOn w:val="a"/>
    <w:next w:val="a"/>
    <w:link w:val="11"/>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1"/>
    <w:uiPriority w:val="9"/>
    <w:qFormat/>
    <w:pPr>
      <w:keepNext/>
      <w:keepLines/>
      <w:spacing w:before="200"/>
      <w:outlineLvl w:val="3"/>
    </w:pPr>
    <w:rPr>
      <w:rFonts w:ascii="Cambria" w:hAnsi="Cambria"/>
      <w:b/>
      <w:bCs/>
      <w:i/>
      <w:iCs/>
      <w:color w:val="4F81BD"/>
      <w:szCs w:val="20"/>
    </w:rPr>
  </w:style>
  <w:style w:type="paragraph" w:styleId="5">
    <w:name w:val="heading 5"/>
    <w:basedOn w:val="a"/>
    <w:next w:val="a"/>
    <w:link w:val="50"/>
    <w:uiPriority w:val="9"/>
    <w:qFormat/>
    <w:pPr>
      <w:keepNext/>
      <w:keepLines/>
      <w:spacing w:before="200"/>
      <w:outlineLvl w:val="4"/>
    </w:pPr>
    <w:rPr>
      <w:rFonts w:ascii="Cambria" w:hAnsi="Cambria"/>
      <w:color w:val="243F60"/>
      <w:szCs w:val="20"/>
    </w:rPr>
  </w:style>
  <w:style w:type="paragraph" w:styleId="6">
    <w:name w:val="heading 6"/>
    <w:basedOn w:val="a"/>
    <w:next w:val="a"/>
    <w:link w:val="60"/>
    <w:uiPriority w:val="9"/>
    <w:qFormat/>
    <w:pPr>
      <w:keepNext/>
      <w:keepLines/>
      <w:spacing w:before="200"/>
      <w:outlineLvl w:val="5"/>
    </w:pPr>
    <w:rPr>
      <w:rFonts w:ascii="Cambria" w:hAnsi="Cambria"/>
      <w:i/>
      <w:iCs/>
      <w:color w:val="243F60"/>
      <w:szCs w:val="20"/>
    </w:rPr>
  </w:style>
  <w:style w:type="paragraph" w:styleId="7">
    <w:name w:val="heading 7"/>
    <w:basedOn w:val="a"/>
    <w:next w:val="a"/>
    <w:link w:val="70"/>
    <w:uiPriority w:val="9"/>
    <w:qFormat/>
    <w:pPr>
      <w:keepNext/>
      <w:keepLines/>
      <w:spacing w:before="200"/>
      <w:outlineLvl w:val="6"/>
    </w:pPr>
    <w:rPr>
      <w:rFonts w:ascii="Cambria" w:hAnsi="Cambria"/>
      <w:i/>
      <w:iCs/>
      <w:color w:val="404040"/>
      <w:szCs w:val="20"/>
    </w:rPr>
  </w:style>
  <w:style w:type="paragraph" w:styleId="8">
    <w:name w:val="heading 8"/>
    <w:basedOn w:val="a"/>
    <w:next w:val="a"/>
    <w:link w:val="80"/>
    <w:uiPriority w:val="9"/>
    <w:qFormat/>
    <w:pPr>
      <w:keepNext/>
      <w:keepLines/>
      <w:spacing w:before="200"/>
      <w:outlineLvl w:val="7"/>
    </w:pPr>
    <w:rPr>
      <w:rFonts w:ascii="Cambria" w:hAnsi="Cambria"/>
      <w:color w:val="4F81BD"/>
      <w:sz w:val="20"/>
      <w:szCs w:val="20"/>
    </w:rPr>
  </w:style>
  <w:style w:type="paragraph" w:styleId="9">
    <w:name w:val="heading 9"/>
    <w:basedOn w:val="a"/>
    <w:next w:val="a"/>
    <w:link w:val="90"/>
    <w:uiPriority w:val="9"/>
    <w:qFormat/>
    <w:pPr>
      <w:keepNext/>
      <w:keepLines/>
      <w:spacing w:before="200"/>
      <w:outlineLvl w:val="8"/>
    </w:pPr>
    <w:rPr>
      <w:rFonts w:ascii="Cambria" w:hAnsi="Cambria"/>
      <w:i/>
      <w:iCs/>
      <w:color w:val="404040"/>
      <w:sz w:val="20"/>
      <w:szCs w:val="20"/>
    </w:rPr>
  </w:style>
  <w:style w:type="character" w:default="1" w:styleId="a0">
    <w:name w:val="Default Paragraph Font"/>
    <w:uiPriority w:val="1"/>
    <w:unhideWhenUsed/>
    <w:rsid w:val="00EF09F7"/>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rsid w:val="00EF09F7"/>
  </w:style>
  <w:style w:type="paragraph" w:styleId="a3">
    <w:name w:val="annotation text"/>
    <w:basedOn w:val="a"/>
    <w:link w:val="12"/>
    <w:qFormat/>
    <w:rPr>
      <w:szCs w:val="20"/>
    </w:rPr>
  </w:style>
  <w:style w:type="paragraph" w:styleId="TOC3">
    <w:name w:val="toc 3"/>
    <w:basedOn w:val="a"/>
    <w:next w:val="a"/>
    <w:uiPriority w:val="39"/>
    <w:semiHidden/>
    <w:unhideWhenUsed/>
    <w:qFormat/>
    <w:pPr>
      <w:ind w:leftChars="400" w:left="840"/>
    </w:pPr>
  </w:style>
  <w:style w:type="paragraph" w:styleId="a4">
    <w:name w:val="Balloon Text"/>
    <w:basedOn w:val="a"/>
    <w:link w:val="a5"/>
    <w:uiPriority w:val="99"/>
    <w:semiHidden/>
    <w:unhideWhenUsed/>
    <w:qFormat/>
    <w:rPr>
      <w:sz w:val="18"/>
      <w:szCs w:val="18"/>
    </w:rPr>
  </w:style>
  <w:style w:type="paragraph" w:styleId="a6">
    <w:name w:val="footer"/>
    <w:basedOn w:val="a"/>
    <w:link w:val="a7"/>
    <w:unhideWhenUsed/>
    <w:qFormat/>
    <w:pPr>
      <w:tabs>
        <w:tab w:val="center" w:pos="4153"/>
        <w:tab w:val="right" w:pos="8306"/>
      </w:tabs>
      <w:snapToGrid w:val="0"/>
    </w:pPr>
    <w:rPr>
      <w:sz w:val="18"/>
      <w:szCs w:val="18"/>
    </w:rPr>
  </w:style>
  <w:style w:type="paragraph" w:styleId="a8">
    <w:name w:val="header"/>
    <w:basedOn w:val="a"/>
    <w:link w:val="a9"/>
    <w:uiPriority w:val="99"/>
    <w:unhideWhenUsed/>
    <w:qFormat/>
    <w:pPr>
      <w:widowControl/>
      <w:tabs>
        <w:tab w:val="center" w:pos="4680"/>
        <w:tab w:val="right" w:pos="9360"/>
      </w:tabs>
    </w:pPr>
    <w:rPr>
      <w:kern w:val="0"/>
      <w:szCs w:val="22"/>
    </w:rPr>
  </w:style>
  <w:style w:type="paragraph" w:styleId="aa">
    <w:name w:val="Normal (Web)"/>
    <w:basedOn w:val="a"/>
    <w:uiPriority w:val="99"/>
    <w:semiHidden/>
    <w:unhideWhenUsed/>
    <w:qFormat/>
    <w:pPr>
      <w:widowControl/>
      <w:spacing w:before="100" w:beforeAutospacing="1" w:after="100" w:afterAutospacing="1"/>
    </w:pPr>
    <w:rPr>
      <w:rFonts w:ascii="宋体" w:hAnsi="宋体" w:cs="宋体"/>
      <w:kern w:val="0"/>
      <w:sz w:val="24"/>
    </w:rPr>
  </w:style>
  <w:style w:type="paragraph" w:styleId="ab">
    <w:name w:val="annotation subject"/>
    <w:basedOn w:val="a3"/>
    <w:next w:val="a3"/>
    <w:link w:val="13"/>
    <w:semiHidden/>
    <w:qFormat/>
    <w:rPr>
      <w:b/>
      <w:bCs/>
    </w:rPr>
  </w:style>
  <w:style w:type="table" w:styleId="ac">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endnote reference"/>
    <w:basedOn w:val="a0"/>
    <w:unhideWhenUsed/>
    <w:qFormat/>
    <w:rPr>
      <w:vertAlign w:val="superscript"/>
    </w:rPr>
  </w:style>
  <w:style w:type="character" w:styleId="ae">
    <w:name w:val="page number"/>
    <w:qFormat/>
  </w:style>
  <w:style w:type="character" w:styleId="af">
    <w:name w:val="FollowedHyperlink"/>
    <w:basedOn w:val="a0"/>
    <w:uiPriority w:val="99"/>
    <w:semiHidden/>
    <w:unhideWhenUsed/>
    <w:qFormat/>
    <w:rPr>
      <w:color w:val="800080" w:themeColor="followedHyperlink"/>
      <w:u w:val="single"/>
    </w:rPr>
  </w:style>
  <w:style w:type="character" w:styleId="af0">
    <w:name w:val="Hyperlink"/>
    <w:basedOn w:val="a0"/>
    <w:uiPriority w:val="99"/>
    <w:unhideWhenUsed/>
    <w:qFormat/>
    <w:rPr>
      <w:color w:val="0000FF" w:themeColor="hyperlink"/>
      <w:u w:val="single"/>
    </w:rPr>
  </w:style>
  <w:style w:type="character" w:styleId="af1">
    <w:name w:val="annotation reference"/>
    <w:basedOn w:val="a0"/>
    <w:uiPriority w:val="99"/>
    <w:semiHidden/>
    <w:unhideWhenUsed/>
    <w:qFormat/>
    <w:rPr>
      <w:sz w:val="21"/>
      <w:szCs w:val="21"/>
    </w:rPr>
  </w:style>
  <w:style w:type="character" w:customStyle="1" w:styleId="a5">
    <w:name w:val="批注框文本 字符"/>
    <w:basedOn w:val="a0"/>
    <w:link w:val="a4"/>
    <w:uiPriority w:val="99"/>
    <w:semiHidden/>
    <w:qFormat/>
    <w:rPr>
      <w:rFonts w:ascii="Times New Roman" w:eastAsia="宋体" w:hAnsi="Times New Roman" w:cs="Times New Roman"/>
      <w:sz w:val="18"/>
      <w:szCs w:val="18"/>
    </w:rPr>
  </w:style>
  <w:style w:type="character" w:customStyle="1" w:styleId="11">
    <w:name w:val="标题 1 字符"/>
    <w:basedOn w:val="a0"/>
    <w:link w:val="10"/>
    <w:uiPriority w:val="9"/>
    <w:qFormat/>
    <w:rPr>
      <w:b/>
      <w:bCs/>
      <w:kern w:val="44"/>
      <w:sz w:val="44"/>
      <w:szCs w:val="44"/>
    </w:rPr>
  </w:style>
  <w:style w:type="paragraph" w:customStyle="1" w:styleId="Author">
    <w:name w:val="Author"/>
    <w:basedOn w:val="a"/>
    <w:next w:val="Abstract"/>
    <w:qFormat/>
    <w:pPr>
      <w:keepNext/>
      <w:keepLines/>
      <w:spacing w:before="240" w:after="240" w:line="280" w:lineRule="exact"/>
    </w:pPr>
    <w:rPr>
      <w:rFonts w:ascii="Candara" w:eastAsia="幼圆" w:hAnsi="Candara" w:cs="Arial"/>
      <w:color w:val="000000" w:themeColor="text1"/>
      <w:kern w:val="0"/>
    </w:rPr>
  </w:style>
  <w:style w:type="paragraph" w:customStyle="1" w:styleId="Abstract">
    <w:name w:val="Abstract"/>
    <w:basedOn w:val="Text"/>
    <w:next w:val="Keywords"/>
    <w:qFormat/>
    <w:pPr>
      <w:spacing w:before="120" w:after="120"/>
      <w:ind w:left="108" w:right="108" w:firstLine="0"/>
    </w:pPr>
    <w:rPr>
      <w:color w:val="000000" w:themeColor="text1"/>
    </w:rPr>
  </w:style>
  <w:style w:type="paragraph" w:customStyle="1" w:styleId="Text">
    <w:name w:val="Text"/>
    <w:basedOn w:val="a"/>
    <w:link w:val="TextChar"/>
    <w:qFormat/>
    <w:pPr>
      <w:tabs>
        <w:tab w:val="left" w:pos="284"/>
      </w:tabs>
      <w:spacing w:line="210" w:lineRule="exact"/>
      <w:ind w:firstLine="284"/>
    </w:pPr>
    <w:rPr>
      <w:rFonts w:ascii="Calibri" w:hAnsi="Calibri" w:cs="Courier New"/>
      <w:sz w:val="18"/>
      <w:szCs w:val="18"/>
    </w:rPr>
  </w:style>
  <w:style w:type="paragraph" w:customStyle="1" w:styleId="Keywords">
    <w:name w:val="Keywords"/>
    <w:basedOn w:val="Abstract"/>
    <w:qFormat/>
    <w:pPr>
      <w:textAlignment w:val="center"/>
    </w:pPr>
  </w:style>
  <w:style w:type="paragraph" w:customStyle="1" w:styleId="Address">
    <w:name w:val="Address"/>
    <w:basedOn w:val="a"/>
    <w:qFormat/>
    <w:pPr>
      <w:keepNext/>
      <w:keepLines/>
      <w:spacing w:after="530" w:line="210" w:lineRule="exact"/>
    </w:pPr>
    <w:rPr>
      <w:rFonts w:ascii="Calibri" w:hAnsi="Calibri" w:cs="Courier New"/>
      <w:bCs/>
      <w:i/>
      <w:iCs/>
      <w:color w:val="646464"/>
      <w:sz w:val="18"/>
      <w:szCs w:val="18"/>
    </w:rPr>
  </w:style>
  <w:style w:type="paragraph" w:customStyle="1" w:styleId="References">
    <w:name w:val="References"/>
    <w:basedOn w:val="a"/>
    <w:link w:val="ReferencesChar"/>
    <w:qFormat/>
    <w:pPr>
      <w:numPr>
        <w:ilvl w:val="3"/>
        <w:numId w:val="1"/>
      </w:numPr>
      <w:spacing w:line="210" w:lineRule="exact"/>
      <w:outlineLvl w:val="3"/>
    </w:pPr>
    <w:rPr>
      <w:rFonts w:ascii="Calibri" w:hAnsi="Calibri" w:cs="Courier New"/>
      <w:kern w:val="0"/>
      <w:sz w:val="16"/>
      <w:szCs w:val="21"/>
    </w:rPr>
  </w:style>
  <w:style w:type="paragraph" w:customStyle="1" w:styleId="1">
    <w:name w:val="标题1"/>
    <w:basedOn w:val="10"/>
    <w:next w:val="Author"/>
    <w:link w:val="1Char"/>
    <w:qFormat/>
    <w:pPr>
      <w:numPr>
        <w:numId w:val="1"/>
      </w:numPr>
      <w:spacing w:before="320" w:after="280" w:line="400" w:lineRule="exact"/>
      <w:ind w:right="794"/>
      <w:jc w:val="center"/>
    </w:pPr>
    <w:rPr>
      <w:rFonts w:ascii="Arial" w:hAnsi="Arial" w:cs="Arial"/>
      <w:sz w:val="28"/>
    </w:rPr>
  </w:style>
  <w:style w:type="paragraph" w:customStyle="1" w:styleId="Title1">
    <w:name w:val="Title_1"/>
    <w:basedOn w:val="Text"/>
    <w:next w:val="Text"/>
    <w:qFormat/>
    <w:pPr>
      <w:pBdr>
        <w:top w:val="single" w:sz="4" w:space="3" w:color="2C2FA6"/>
        <w:bottom w:val="single" w:sz="4" w:space="3" w:color="2C2FA6"/>
      </w:pBdr>
      <w:spacing w:before="240" w:after="120" w:line="200" w:lineRule="exact"/>
      <w:ind w:firstLine="0"/>
      <w:textAlignment w:val="center"/>
    </w:pPr>
    <w:rPr>
      <w:b/>
      <w:color w:val="2C2FA6"/>
      <w:position w:val="2"/>
      <w:sz w:val="21"/>
      <w:szCs w:val="21"/>
    </w:rPr>
  </w:style>
  <w:style w:type="paragraph" w:customStyle="1" w:styleId="Title2">
    <w:name w:val="Title_2"/>
    <w:basedOn w:val="a"/>
    <w:next w:val="Text"/>
    <w:qFormat/>
    <w:pPr>
      <w:keepNext/>
      <w:keepLines/>
      <w:numPr>
        <w:ilvl w:val="2"/>
        <w:numId w:val="1"/>
      </w:numPr>
      <w:spacing w:before="120" w:after="60" w:line="220" w:lineRule="exact"/>
      <w:outlineLvl w:val="2"/>
    </w:pPr>
    <w:rPr>
      <w:rFonts w:ascii="Calibri" w:eastAsia="微软雅黑" w:hAnsi="Calibri" w:cs="Arial"/>
      <w:b/>
      <w:color w:val="000000" w:themeColor="text1"/>
      <w:sz w:val="19"/>
      <w:szCs w:val="17"/>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30">
    <w:name w:val="标题 3 字符"/>
    <w:basedOn w:val="a0"/>
    <w:link w:val="3"/>
    <w:uiPriority w:val="9"/>
    <w:qFormat/>
    <w:rPr>
      <w:rFonts w:ascii="Times New Roman" w:eastAsia="宋体" w:hAnsi="Times New Roman" w:cs="Times New Roman"/>
      <w:b/>
      <w:bCs/>
      <w:sz w:val="32"/>
      <w:szCs w:val="32"/>
    </w:rPr>
  </w:style>
  <w:style w:type="paragraph" w:customStyle="1" w:styleId="Scheme">
    <w:name w:val="Scheme"/>
    <w:basedOn w:val="a"/>
    <w:next w:val="Text"/>
    <w:qFormat/>
    <w:pPr>
      <w:spacing w:after="240"/>
    </w:pPr>
    <w:rPr>
      <w:rFonts w:cs="Courier New"/>
      <w:sz w:val="18"/>
      <w:szCs w:val="21"/>
    </w:rPr>
  </w:style>
  <w:style w:type="paragraph" w:customStyle="1" w:styleId="Figure">
    <w:name w:val="Figure"/>
    <w:basedOn w:val="a"/>
    <w:next w:val="FigureCaption"/>
    <w:qFormat/>
    <w:pPr>
      <w:keepNext/>
      <w:spacing w:before="240"/>
      <w:jc w:val="center"/>
    </w:pPr>
    <w:rPr>
      <w:rFonts w:cs="Courier New"/>
      <w:sz w:val="18"/>
      <w:szCs w:val="21"/>
    </w:rPr>
  </w:style>
  <w:style w:type="paragraph" w:customStyle="1" w:styleId="FigureCaption">
    <w:name w:val="FigureCaption"/>
    <w:basedOn w:val="a"/>
    <w:next w:val="Text"/>
    <w:qFormat/>
    <w:pPr>
      <w:keepLines/>
      <w:spacing w:after="240" w:line="210" w:lineRule="exact"/>
    </w:pPr>
    <w:rPr>
      <w:rFonts w:ascii="Calibri" w:hAnsi="Calibri" w:cs="Courier New"/>
      <w:sz w:val="16"/>
      <w:szCs w:val="21"/>
    </w:rPr>
  </w:style>
  <w:style w:type="paragraph" w:customStyle="1" w:styleId="SchemeCaption">
    <w:name w:val="SchemeCaption"/>
    <w:basedOn w:val="a"/>
    <w:next w:val="Scheme"/>
    <w:qFormat/>
    <w:pPr>
      <w:keepNext/>
      <w:spacing w:before="240" w:after="60" w:line="210" w:lineRule="exact"/>
    </w:pPr>
    <w:rPr>
      <w:rFonts w:ascii="Calibri" w:hAnsi="Calibri" w:cs="Courier New"/>
      <w:bCs/>
      <w:sz w:val="16"/>
      <w:szCs w:val="21"/>
    </w:rPr>
  </w:style>
  <w:style w:type="paragraph" w:customStyle="1" w:styleId="TableCaption">
    <w:name w:val="TableCaption"/>
    <w:basedOn w:val="a"/>
    <w:next w:val="Text"/>
    <w:qFormat/>
    <w:pPr>
      <w:keepNext/>
      <w:spacing w:before="200" w:after="40" w:line="210" w:lineRule="exact"/>
    </w:pPr>
    <w:rPr>
      <w:rFonts w:ascii="Calibri" w:hAnsi="Calibri" w:cs="Courier New"/>
      <w:sz w:val="16"/>
      <w:szCs w:val="21"/>
    </w:rPr>
  </w:style>
  <w:style w:type="paragraph" w:customStyle="1" w:styleId="21">
    <w:name w:val="标题2"/>
    <w:basedOn w:val="1"/>
    <w:next w:val="Author"/>
    <w:link w:val="TitleChar"/>
    <w:qFormat/>
    <w:pPr>
      <w:numPr>
        <w:numId w:val="0"/>
      </w:numPr>
      <w:spacing w:before="520" w:after="120" w:line="320" w:lineRule="exact"/>
      <w:ind w:right="0"/>
      <w:jc w:val="left"/>
    </w:pPr>
    <w:rPr>
      <w:rFonts w:ascii="Arial Black" w:eastAsia="Malgun Gothic" w:hAnsi="Arial Black"/>
      <w:b w:val="0"/>
      <w:sz w:val="32"/>
      <w:szCs w:val="30"/>
    </w:rPr>
  </w:style>
  <w:style w:type="paragraph" w:customStyle="1" w:styleId="TableText">
    <w:name w:val="TableText"/>
    <w:basedOn w:val="a"/>
    <w:next w:val="Text"/>
    <w:qFormat/>
    <w:pPr>
      <w:spacing w:line="240" w:lineRule="exact"/>
      <w:jc w:val="center"/>
    </w:pPr>
    <w:rPr>
      <w:rFonts w:ascii="Calibri" w:hAnsi="Calibri" w:cs="Courier New"/>
      <w:color w:val="000000" w:themeColor="text1"/>
      <w:sz w:val="16"/>
      <w:szCs w:val="21"/>
    </w:rPr>
  </w:style>
  <w:style w:type="character" w:customStyle="1" w:styleId="1Char">
    <w:name w:val="标题1 Char"/>
    <w:basedOn w:val="11"/>
    <w:link w:val="1"/>
    <w:qFormat/>
    <w:rPr>
      <w:rFonts w:ascii="Arial" w:hAnsi="Arial" w:cs="Arial"/>
      <w:b/>
      <w:bCs/>
      <w:kern w:val="44"/>
      <w:sz w:val="28"/>
      <w:szCs w:val="44"/>
    </w:rPr>
  </w:style>
  <w:style w:type="character" w:customStyle="1" w:styleId="TitleChar">
    <w:name w:val="Title Char"/>
    <w:basedOn w:val="1Char"/>
    <w:link w:val="21"/>
    <w:qFormat/>
    <w:rPr>
      <w:rFonts w:ascii="Arial Black" w:eastAsia="Malgun Gothic" w:hAnsi="Arial Black" w:cs="Arial"/>
      <w:b w:val="0"/>
      <w:bCs/>
      <w:kern w:val="44"/>
      <w:sz w:val="32"/>
      <w:szCs w:val="30"/>
    </w:rPr>
  </w:style>
  <w:style w:type="paragraph" w:customStyle="1" w:styleId="TableNote">
    <w:name w:val="TableNote"/>
    <w:basedOn w:val="a"/>
    <w:next w:val="Text"/>
    <w:qFormat/>
    <w:pPr>
      <w:spacing w:after="180" w:line="210" w:lineRule="exact"/>
    </w:pPr>
    <w:rPr>
      <w:rFonts w:ascii="Calibri" w:hAnsi="Calibri" w:cs="Courier New"/>
      <w:sz w:val="16"/>
      <w:szCs w:val="21"/>
    </w:rPr>
  </w:style>
  <w:style w:type="paragraph" w:customStyle="1" w:styleId="TOCTitle">
    <w:name w:val="TOC_Title"/>
    <w:basedOn w:val="a"/>
    <w:qFormat/>
    <w:pPr>
      <w:spacing w:line="210" w:lineRule="exact"/>
    </w:pPr>
    <w:rPr>
      <w:rFonts w:ascii="Candara" w:hAnsi="Candara"/>
      <w:b/>
      <w:kern w:val="0"/>
      <w:sz w:val="16"/>
    </w:rPr>
  </w:style>
  <w:style w:type="paragraph" w:customStyle="1" w:styleId="TOCPageNo">
    <w:name w:val="TOC_PageNo"/>
    <w:basedOn w:val="10"/>
    <w:next w:val="a"/>
    <w:qFormat/>
    <w:pPr>
      <w:spacing w:before="120" w:after="0" w:line="240" w:lineRule="exact"/>
      <w:outlineLvl w:val="9"/>
    </w:pPr>
    <w:rPr>
      <w:rFonts w:ascii="Arial" w:hAnsi="Arial" w:cs="Arial"/>
      <w:b w:val="0"/>
      <w:sz w:val="18"/>
    </w:rPr>
  </w:style>
  <w:style w:type="paragraph" w:customStyle="1" w:styleId="TOCAuthor">
    <w:name w:val="TOC_Author"/>
    <w:basedOn w:val="a"/>
    <w:qFormat/>
    <w:pPr>
      <w:spacing w:after="120" w:line="210" w:lineRule="exact"/>
    </w:pPr>
    <w:rPr>
      <w:rFonts w:ascii="Candara" w:hAnsi="Candara"/>
      <w:kern w:val="0"/>
      <w:sz w:val="16"/>
    </w:rPr>
  </w:style>
  <w:style w:type="paragraph" w:customStyle="1" w:styleId="TOCText">
    <w:name w:val="TOC_Text"/>
    <w:basedOn w:val="a"/>
    <w:qFormat/>
    <w:pPr>
      <w:spacing w:before="120" w:after="120" w:line="180" w:lineRule="exact"/>
    </w:pPr>
    <w:rPr>
      <w:rFonts w:ascii="Calibri" w:hAnsi="Calibri"/>
      <w:sz w:val="16"/>
    </w:rPr>
  </w:style>
  <w:style w:type="paragraph" w:customStyle="1" w:styleId="31">
    <w:name w:val="标题3"/>
    <w:basedOn w:val="10"/>
    <w:link w:val="TitleChar1"/>
    <w:qFormat/>
    <w:pPr>
      <w:spacing w:before="520" w:after="120" w:line="320" w:lineRule="exact"/>
    </w:pPr>
    <w:rPr>
      <w:rFonts w:ascii="Arial Black" w:eastAsia="Malgun Gothic" w:hAnsi="Arial Black" w:cs="Arial"/>
      <w:b w:val="0"/>
      <w:sz w:val="32"/>
    </w:rPr>
  </w:style>
  <w:style w:type="character" w:customStyle="1" w:styleId="TitleChar1">
    <w:name w:val="Title Char1"/>
    <w:basedOn w:val="TitleChar"/>
    <w:link w:val="31"/>
    <w:qFormat/>
    <w:rPr>
      <w:rFonts w:ascii="Arial Black" w:eastAsia="Malgun Gothic" w:hAnsi="Arial Black" w:cs="Arial"/>
      <w:b w:val="0"/>
      <w:bCs/>
      <w:kern w:val="44"/>
      <w:sz w:val="32"/>
      <w:szCs w:val="44"/>
    </w:rPr>
  </w:style>
  <w:style w:type="paragraph" w:customStyle="1" w:styleId="40">
    <w:name w:val="标题4"/>
    <w:basedOn w:val="a"/>
    <w:link w:val="TitleChar2"/>
    <w:qFormat/>
    <w:pPr>
      <w:spacing w:before="520" w:after="120" w:line="320" w:lineRule="exact"/>
      <w:outlineLvl w:val="0"/>
    </w:pPr>
    <w:rPr>
      <w:rFonts w:ascii="Arial Black" w:hAnsi="Arial Black"/>
      <w:sz w:val="32"/>
    </w:rPr>
  </w:style>
  <w:style w:type="character" w:customStyle="1" w:styleId="TitleChar2">
    <w:name w:val="Title Char2"/>
    <w:basedOn w:val="a0"/>
    <w:link w:val="40"/>
    <w:qFormat/>
    <w:rPr>
      <w:rFonts w:ascii="Arial Black" w:eastAsia="宋体" w:hAnsi="Arial Black" w:cs="Times New Roman"/>
      <w:sz w:val="32"/>
      <w:szCs w:val="24"/>
    </w:rPr>
  </w:style>
  <w:style w:type="paragraph" w:customStyle="1" w:styleId="Title0">
    <w:name w:val="Title_0"/>
    <w:basedOn w:val="a"/>
    <w:next w:val="Author"/>
    <w:qFormat/>
    <w:pPr>
      <w:keepNext/>
      <w:keepLines/>
      <w:tabs>
        <w:tab w:val="center" w:pos="4988"/>
      </w:tabs>
      <w:spacing w:before="400" w:after="120" w:line="400" w:lineRule="exact"/>
      <w:outlineLvl w:val="0"/>
    </w:pPr>
    <w:rPr>
      <w:rFonts w:ascii="Candara" w:eastAsia="微软雅黑" w:hAnsi="Candara" w:cs="Courier New"/>
      <w:b/>
      <w:color w:val="000000" w:themeColor="text1"/>
      <w:sz w:val="36"/>
      <w:szCs w:val="36"/>
    </w:rPr>
  </w:style>
  <w:style w:type="paragraph" w:customStyle="1" w:styleId="TitleTOC">
    <w:name w:val="Title_TOC"/>
    <w:basedOn w:val="a"/>
    <w:qFormat/>
    <w:pPr>
      <w:widowControl/>
      <w:spacing w:before="120" w:line="225" w:lineRule="atLeast"/>
    </w:pPr>
    <w:rPr>
      <w:rFonts w:ascii="Arial" w:eastAsia="MS Mincho" w:hAnsi="Arial"/>
      <w:b/>
      <w:kern w:val="0"/>
      <w:sz w:val="17"/>
      <w:szCs w:val="20"/>
      <w:lang w:val="en-GB" w:eastAsia="ja-JP"/>
    </w:rPr>
  </w:style>
  <w:style w:type="character" w:customStyle="1" w:styleId="TextChar">
    <w:name w:val="Text Char"/>
    <w:link w:val="Text"/>
    <w:qFormat/>
    <w:rPr>
      <w:rFonts w:ascii="Calibri" w:eastAsia="宋体" w:hAnsi="Calibri" w:cs="Courier New"/>
      <w:sz w:val="18"/>
      <w:szCs w:val="18"/>
    </w:rPr>
  </w:style>
  <w:style w:type="character" w:customStyle="1" w:styleId="41">
    <w:name w:val="标题 4 字符1"/>
    <w:basedOn w:val="a0"/>
    <w:link w:val="4"/>
    <w:uiPriority w:val="9"/>
    <w:qFormat/>
    <w:rPr>
      <w:rFonts w:ascii="Cambria" w:eastAsia="宋体" w:hAnsi="Cambria" w:cs="Times New Roman"/>
      <w:b/>
      <w:bCs/>
      <w:i/>
      <w:iCs/>
      <w:color w:val="4F81BD"/>
      <w:szCs w:val="20"/>
    </w:rPr>
  </w:style>
  <w:style w:type="character" w:customStyle="1" w:styleId="50">
    <w:name w:val="标题 5 字符"/>
    <w:basedOn w:val="a0"/>
    <w:link w:val="5"/>
    <w:uiPriority w:val="9"/>
    <w:qFormat/>
    <w:rPr>
      <w:rFonts w:ascii="Cambria" w:eastAsia="宋体" w:hAnsi="Cambria" w:cs="Times New Roman"/>
      <w:color w:val="243F60"/>
      <w:szCs w:val="20"/>
    </w:rPr>
  </w:style>
  <w:style w:type="character" w:customStyle="1" w:styleId="60">
    <w:name w:val="标题 6 字符"/>
    <w:basedOn w:val="a0"/>
    <w:link w:val="6"/>
    <w:uiPriority w:val="9"/>
    <w:qFormat/>
    <w:rPr>
      <w:rFonts w:ascii="Cambria" w:eastAsia="宋体" w:hAnsi="Cambria" w:cs="Times New Roman"/>
      <w:i/>
      <w:iCs/>
      <w:color w:val="243F60"/>
      <w:szCs w:val="20"/>
    </w:rPr>
  </w:style>
  <w:style w:type="character" w:customStyle="1" w:styleId="70">
    <w:name w:val="标题 7 字符"/>
    <w:basedOn w:val="a0"/>
    <w:link w:val="7"/>
    <w:uiPriority w:val="9"/>
    <w:qFormat/>
    <w:rPr>
      <w:rFonts w:ascii="Cambria" w:eastAsia="宋体" w:hAnsi="Cambria" w:cs="Times New Roman"/>
      <w:i/>
      <w:iCs/>
      <w:color w:val="404040"/>
      <w:szCs w:val="20"/>
    </w:rPr>
  </w:style>
  <w:style w:type="character" w:customStyle="1" w:styleId="80">
    <w:name w:val="标题 8 字符"/>
    <w:basedOn w:val="a0"/>
    <w:link w:val="8"/>
    <w:uiPriority w:val="9"/>
    <w:qFormat/>
    <w:rPr>
      <w:rFonts w:ascii="Cambria" w:eastAsia="宋体" w:hAnsi="Cambria" w:cs="Times New Roman"/>
      <w:color w:val="4F81BD"/>
      <w:sz w:val="20"/>
      <w:szCs w:val="20"/>
    </w:rPr>
  </w:style>
  <w:style w:type="character" w:customStyle="1" w:styleId="90">
    <w:name w:val="标题 9 字符"/>
    <w:basedOn w:val="a0"/>
    <w:link w:val="9"/>
    <w:uiPriority w:val="9"/>
    <w:qFormat/>
    <w:rPr>
      <w:rFonts w:ascii="Cambria" w:eastAsia="宋体" w:hAnsi="Cambria" w:cs="Times New Roman"/>
      <w:i/>
      <w:iCs/>
      <w:color w:val="404040"/>
      <w:sz w:val="20"/>
      <w:szCs w:val="20"/>
    </w:rPr>
  </w:style>
  <w:style w:type="character" w:customStyle="1" w:styleId="14">
    <w:name w:val="不明显强调1"/>
    <w:uiPriority w:val="19"/>
    <w:qFormat/>
    <w:rPr>
      <w:i/>
      <w:iCs/>
      <w:color w:val="808080"/>
    </w:rPr>
  </w:style>
  <w:style w:type="character" w:customStyle="1" w:styleId="15">
    <w:name w:val="明显强调1"/>
    <w:uiPriority w:val="21"/>
    <w:qFormat/>
    <w:rPr>
      <w:b/>
      <w:bCs/>
      <w:i/>
      <w:iCs/>
      <w:color w:val="4F81BD"/>
    </w:rPr>
  </w:style>
  <w:style w:type="character" w:customStyle="1" w:styleId="12">
    <w:name w:val="批注文字 字符1"/>
    <w:link w:val="a3"/>
    <w:qFormat/>
    <w:rPr>
      <w:rFonts w:ascii="Times New Roman" w:eastAsia="宋体" w:hAnsi="Times New Roman" w:cs="Times New Roman"/>
      <w:szCs w:val="20"/>
    </w:rPr>
  </w:style>
  <w:style w:type="character" w:customStyle="1" w:styleId="Char1">
    <w:name w:val="批注文字 Char1"/>
    <w:basedOn w:val="a0"/>
    <w:uiPriority w:val="99"/>
    <w:semiHidden/>
    <w:qFormat/>
    <w:rPr>
      <w:rFonts w:ascii="Times New Roman" w:eastAsia="宋体" w:hAnsi="Times New Roman" w:cs="Times New Roman"/>
      <w:szCs w:val="24"/>
    </w:rPr>
  </w:style>
  <w:style w:type="character" w:customStyle="1" w:styleId="af2">
    <w:name w:val="引用 字符"/>
    <w:link w:val="af3"/>
    <w:uiPriority w:val="29"/>
    <w:qFormat/>
    <w:rPr>
      <w:i/>
      <w:iCs/>
      <w:color w:val="000000"/>
    </w:rPr>
  </w:style>
  <w:style w:type="paragraph" w:styleId="af3">
    <w:name w:val="Quote"/>
    <w:basedOn w:val="a"/>
    <w:next w:val="a"/>
    <w:link w:val="af2"/>
    <w:uiPriority w:val="29"/>
    <w:qFormat/>
    <w:rPr>
      <w:i/>
      <w:iCs/>
      <w:color w:val="000000"/>
      <w:szCs w:val="22"/>
    </w:rPr>
  </w:style>
  <w:style w:type="character" w:customStyle="1" w:styleId="13">
    <w:name w:val="批注主题 字符1"/>
    <w:link w:val="ab"/>
    <w:semiHidden/>
    <w:qFormat/>
    <w:rPr>
      <w:rFonts w:ascii="Times New Roman" w:eastAsia="宋体" w:hAnsi="Times New Roman" w:cs="Times New Roman"/>
      <w:b/>
      <w:bCs/>
      <w:szCs w:val="20"/>
    </w:rPr>
  </w:style>
  <w:style w:type="character" w:customStyle="1" w:styleId="Char10">
    <w:name w:val="批注主题 Char1"/>
    <w:basedOn w:val="Char1"/>
    <w:uiPriority w:val="99"/>
    <w:semiHidden/>
    <w:qFormat/>
    <w:rPr>
      <w:rFonts w:ascii="Times New Roman" w:eastAsia="宋体" w:hAnsi="Times New Roman" w:cs="Times New Roman"/>
      <w:b/>
      <w:bCs/>
      <w:szCs w:val="24"/>
    </w:rPr>
  </w:style>
  <w:style w:type="character" w:customStyle="1" w:styleId="Char11">
    <w:name w:val="尾注文本 Char1"/>
    <w:basedOn w:val="a0"/>
    <w:uiPriority w:val="99"/>
    <w:semiHidden/>
    <w:qFormat/>
    <w:rPr>
      <w:rFonts w:ascii="Times New Roman" w:eastAsia="宋体" w:hAnsi="Times New Roman" w:cs="Times New Roman"/>
      <w:szCs w:val="24"/>
    </w:rPr>
  </w:style>
  <w:style w:type="character" w:customStyle="1" w:styleId="Char12">
    <w:name w:val="脚注文本 Char1"/>
    <w:basedOn w:val="a0"/>
    <w:uiPriority w:val="99"/>
    <w:semiHidden/>
    <w:qFormat/>
    <w:rPr>
      <w:rFonts w:ascii="Times New Roman" w:eastAsia="宋体" w:hAnsi="Times New Roman" w:cs="Times New Roman"/>
      <w:sz w:val="18"/>
      <w:szCs w:val="18"/>
    </w:rPr>
  </w:style>
  <w:style w:type="paragraph" w:customStyle="1" w:styleId="16">
    <w:name w:val="修订1"/>
    <w:uiPriority w:val="99"/>
    <w:semiHidden/>
    <w:qFormat/>
    <w:rPr>
      <w:rFonts w:ascii="Times New Roman" w:eastAsia="宋体" w:hAnsi="Times New Roman" w:cs="Times New Roman"/>
      <w:kern w:val="2"/>
      <w:sz w:val="21"/>
    </w:rPr>
  </w:style>
  <w:style w:type="character" w:customStyle="1" w:styleId="ReferencesChar">
    <w:name w:val="References Char"/>
    <w:link w:val="References"/>
    <w:qFormat/>
    <w:rPr>
      <w:rFonts w:ascii="Calibri" w:eastAsia="宋体" w:hAnsi="Calibri" w:cs="Courier New"/>
      <w:kern w:val="0"/>
      <w:sz w:val="16"/>
      <w:szCs w:val="21"/>
    </w:rPr>
  </w:style>
  <w:style w:type="character" w:customStyle="1" w:styleId="42">
    <w:name w:val="标题 4 字符"/>
    <w:uiPriority w:val="9"/>
    <w:semiHidden/>
    <w:qFormat/>
    <w:rPr>
      <w:rFonts w:ascii="等线 Light" w:eastAsia="等线 Light" w:hAnsi="等线 Light" w:cs="Times New Roman"/>
      <w:b/>
      <w:bCs/>
      <w:kern w:val="2"/>
      <w:sz w:val="28"/>
      <w:szCs w:val="28"/>
    </w:rPr>
  </w:style>
  <w:style w:type="character" w:customStyle="1" w:styleId="af4">
    <w:name w:val="批注文字 字符"/>
    <w:uiPriority w:val="99"/>
    <w:semiHidden/>
    <w:qFormat/>
    <w:rPr>
      <w:rFonts w:ascii="Times New Roman" w:hAnsi="Times New Roman"/>
      <w:kern w:val="2"/>
      <w:sz w:val="21"/>
      <w:szCs w:val="24"/>
    </w:rPr>
  </w:style>
  <w:style w:type="character" w:customStyle="1" w:styleId="af5">
    <w:name w:val="批注主题 字符"/>
    <w:uiPriority w:val="99"/>
    <w:semiHidden/>
    <w:qFormat/>
    <w:rPr>
      <w:rFonts w:ascii="Times New Roman" w:hAnsi="Times New Roman"/>
      <w:b/>
      <w:bCs/>
      <w:kern w:val="2"/>
      <w:sz w:val="21"/>
      <w:szCs w:val="24"/>
    </w:rPr>
  </w:style>
  <w:style w:type="character" w:customStyle="1" w:styleId="a7">
    <w:name w:val="页脚 字符"/>
    <w:basedOn w:val="a0"/>
    <w:link w:val="a6"/>
    <w:qFormat/>
    <w:rPr>
      <w:rFonts w:ascii="Times New Roman" w:eastAsia="宋体" w:hAnsi="Times New Roman" w:cs="Times New Roman"/>
      <w:sz w:val="18"/>
      <w:szCs w:val="18"/>
    </w:rPr>
  </w:style>
  <w:style w:type="character" w:customStyle="1" w:styleId="a9">
    <w:name w:val="页眉 字符"/>
    <w:basedOn w:val="a0"/>
    <w:link w:val="a8"/>
    <w:uiPriority w:val="99"/>
    <w:qFormat/>
    <w:rPr>
      <w:kern w:val="0"/>
      <w:sz w:val="22"/>
    </w:rPr>
  </w:style>
  <w:style w:type="character" w:customStyle="1" w:styleId="5Char1">
    <w:name w:val="标题 5 Char1"/>
    <w:basedOn w:val="a0"/>
    <w:uiPriority w:val="9"/>
    <w:qFormat/>
    <w:rPr>
      <w:rFonts w:ascii="Cambria" w:eastAsia="宋体" w:hAnsi="Cambria" w:cs="Times New Roman"/>
      <w:color w:val="243F60"/>
      <w:kern w:val="2"/>
      <w:sz w:val="21"/>
    </w:rPr>
  </w:style>
  <w:style w:type="character" w:customStyle="1" w:styleId="1Char1">
    <w:name w:val="标题 1 Char1"/>
    <w:basedOn w:val="a0"/>
    <w:uiPriority w:val="9"/>
    <w:qFormat/>
    <w:rPr>
      <w:b/>
      <w:bCs/>
      <w:kern w:val="44"/>
      <w:sz w:val="44"/>
      <w:szCs w:val="44"/>
    </w:rPr>
  </w:style>
  <w:style w:type="character" w:customStyle="1" w:styleId="2Char1">
    <w:name w:val="标题 2 Char1"/>
    <w:basedOn w:val="a0"/>
    <w:uiPriority w:val="9"/>
    <w:qFormat/>
    <w:rPr>
      <w:rFonts w:asciiTheme="majorHAnsi" w:eastAsiaTheme="majorEastAsia" w:hAnsiTheme="majorHAnsi" w:cstheme="majorBidi"/>
      <w:b/>
      <w:bCs/>
      <w:kern w:val="2"/>
      <w:sz w:val="32"/>
      <w:szCs w:val="32"/>
    </w:rPr>
  </w:style>
  <w:style w:type="character" w:customStyle="1" w:styleId="3Char1">
    <w:name w:val="标题 3 Char1"/>
    <w:basedOn w:val="a0"/>
    <w:uiPriority w:val="9"/>
    <w:qFormat/>
    <w:rPr>
      <w:rFonts w:ascii="Times New Roman" w:eastAsia="宋体" w:hAnsi="Times New Roman" w:cs="Times New Roman"/>
      <w:b/>
      <w:bCs/>
      <w:kern w:val="2"/>
      <w:sz w:val="32"/>
      <w:szCs w:val="32"/>
    </w:rPr>
  </w:style>
  <w:style w:type="character" w:customStyle="1" w:styleId="4Char1">
    <w:name w:val="标题 4 Char1"/>
    <w:basedOn w:val="a0"/>
    <w:uiPriority w:val="9"/>
    <w:qFormat/>
    <w:rPr>
      <w:rFonts w:ascii="Cambria" w:eastAsia="宋体" w:hAnsi="Cambria" w:cs="Times New Roman"/>
      <w:b/>
      <w:bCs/>
      <w:i/>
      <w:iCs/>
      <w:color w:val="4F81BD"/>
      <w:kern w:val="2"/>
      <w:sz w:val="21"/>
    </w:rPr>
  </w:style>
  <w:style w:type="character" w:customStyle="1" w:styleId="6Char1">
    <w:name w:val="标题 6 Char1"/>
    <w:basedOn w:val="a0"/>
    <w:uiPriority w:val="9"/>
    <w:qFormat/>
    <w:rPr>
      <w:rFonts w:ascii="Cambria" w:eastAsia="宋体" w:hAnsi="Cambria" w:cs="Times New Roman"/>
      <w:i/>
      <w:iCs/>
      <w:color w:val="243F60"/>
      <w:kern w:val="2"/>
      <w:sz w:val="21"/>
    </w:rPr>
  </w:style>
  <w:style w:type="character" w:customStyle="1" w:styleId="7Char1">
    <w:name w:val="标题 7 Char1"/>
    <w:basedOn w:val="a0"/>
    <w:uiPriority w:val="9"/>
    <w:qFormat/>
    <w:rPr>
      <w:rFonts w:ascii="Cambria" w:eastAsia="宋体" w:hAnsi="Cambria" w:cs="Times New Roman"/>
      <w:i/>
      <w:iCs/>
      <w:color w:val="404040"/>
      <w:kern w:val="2"/>
      <w:sz w:val="21"/>
    </w:rPr>
  </w:style>
  <w:style w:type="character" w:customStyle="1" w:styleId="8Char1">
    <w:name w:val="标题 8 Char1"/>
    <w:basedOn w:val="a0"/>
    <w:uiPriority w:val="9"/>
    <w:qFormat/>
    <w:rPr>
      <w:rFonts w:ascii="Cambria" w:eastAsia="宋体" w:hAnsi="Cambria" w:cs="Times New Roman"/>
      <w:color w:val="4F81BD"/>
      <w:kern w:val="2"/>
    </w:rPr>
  </w:style>
  <w:style w:type="character" w:customStyle="1" w:styleId="9Char1">
    <w:name w:val="标题 9 Char1"/>
    <w:basedOn w:val="a0"/>
    <w:uiPriority w:val="9"/>
    <w:qFormat/>
    <w:rPr>
      <w:rFonts w:ascii="Cambria" w:eastAsia="宋体" w:hAnsi="Cambria" w:cs="Times New Roman"/>
      <w:i/>
      <w:iCs/>
      <w:color w:val="404040"/>
      <w:kern w:val="2"/>
    </w:rPr>
  </w:style>
  <w:style w:type="character" w:customStyle="1" w:styleId="Char2">
    <w:name w:val="批注文字 Char2"/>
    <w:qFormat/>
    <w:rPr>
      <w:rFonts w:ascii="Times New Roman" w:eastAsia="宋体" w:hAnsi="Times New Roman" w:cs="Times New Roman"/>
    </w:rPr>
  </w:style>
  <w:style w:type="character" w:customStyle="1" w:styleId="Char13">
    <w:name w:val="批注框文本 Char1"/>
    <w:basedOn w:val="a0"/>
    <w:uiPriority w:val="99"/>
    <w:semiHidden/>
    <w:qFormat/>
    <w:rPr>
      <w:rFonts w:ascii="Times New Roman" w:eastAsia="宋体" w:hAnsi="Times New Roman" w:cs="Times New Roman"/>
      <w:kern w:val="2"/>
      <w:sz w:val="18"/>
      <w:szCs w:val="18"/>
    </w:rPr>
  </w:style>
  <w:style w:type="character" w:customStyle="1" w:styleId="Char14">
    <w:name w:val="页脚 Char1"/>
    <w:basedOn w:val="a0"/>
    <w:qFormat/>
    <w:rPr>
      <w:rFonts w:ascii="Times New Roman" w:eastAsia="宋体" w:hAnsi="Times New Roman" w:cs="Times New Roman"/>
      <w:kern w:val="2"/>
      <w:sz w:val="18"/>
      <w:szCs w:val="18"/>
    </w:rPr>
  </w:style>
  <w:style w:type="character" w:customStyle="1" w:styleId="Char20">
    <w:name w:val="批注主题 Char2"/>
    <w:semiHidden/>
    <w:qFormat/>
    <w:rPr>
      <w:rFonts w:ascii="Times New Roman" w:eastAsia="宋体" w:hAnsi="Times New Roman" w:cs="Times New Roman"/>
      <w:b/>
      <w:bCs/>
    </w:rPr>
  </w:style>
  <w:style w:type="character" w:customStyle="1" w:styleId="110">
    <w:name w:val="不明显强调11"/>
    <w:uiPriority w:val="19"/>
    <w:qFormat/>
    <w:rPr>
      <w:i/>
      <w:iCs/>
      <w:color w:val="808080"/>
    </w:rPr>
  </w:style>
  <w:style w:type="character" w:customStyle="1" w:styleId="111">
    <w:name w:val="明显强调11"/>
    <w:uiPriority w:val="21"/>
    <w:qFormat/>
    <w:rPr>
      <w:b/>
      <w:bCs/>
      <w:i/>
      <w:iCs/>
      <w:color w:val="4F81BD"/>
    </w:rPr>
  </w:style>
  <w:style w:type="character" w:customStyle="1" w:styleId="Char15">
    <w:name w:val="引用 Char1"/>
    <w:uiPriority w:val="29"/>
    <w:qFormat/>
    <w:rPr>
      <w:i/>
      <w:iCs/>
      <w:color w:val="000000"/>
    </w:rPr>
  </w:style>
  <w:style w:type="paragraph" w:customStyle="1" w:styleId="112">
    <w:name w:val="修订11"/>
    <w:uiPriority w:val="99"/>
    <w:semiHidden/>
    <w:qFormat/>
    <w:rPr>
      <w:rFonts w:ascii="Times New Roman" w:eastAsia="宋体" w:hAnsi="Times New Roman" w:cs="Times New Roman"/>
      <w:kern w:val="2"/>
      <w:sz w:val="21"/>
    </w:rPr>
  </w:style>
  <w:style w:type="character" w:customStyle="1" w:styleId="22">
    <w:name w:val="不明显强调2"/>
    <w:uiPriority w:val="19"/>
    <w:qFormat/>
    <w:rPr>
      <w:i/>
      <w:iCs/>
      <w:color w:val="808080"/>
    </w:rPr>
  </w:style>
  <w:style w:type="character" w:customStyle="1" w:styleId="23">
    <w:name w:val="明显强调2"/>
    <w:uiPriority w:val="21"/>
    <w:qFormat/>
    <w:rPr>
      <w:b/>
      <w:bCs/>
      <w:i/>
      <w:iCs/>
      <w:color w:val="4F81BD"/>
    </w:rPr>
  </w:style>
  <w:style w:type="paragraph" w:customStyle="1" w:styleId="24">
    <w:name w:val="修订2"/>
    <w:uiPriority w:val="99"/>
    <w:semiHidden/>
    <w:qFormat/>
    <w:rPr>
      <w:rFonts w:ascii="Times New Roman" w:eastAsia="宋体" w:hAnsi="Times New Roman" w:cs="Times New Roman"/>
      <w:kern w:val="2"/>
      <w:sz w:val="21"/>
    </w:rPr>
  </w:style>
  <w:style w:type="table" w:customStyle="1" w:styleId="17">
    <w:name w:val="网格型1"/>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DAbstractTitleChar">
    <w:name w:val="BD_Abstract_Title Char"/>
    <w:link w:val="BDAbstractTitle"/>
    <w:qFormat/>
    <w:rPr>
      <w:rFonts w:ascii="Arno Pro" w:hAnsi="Arno Pro"/>
      <w:b/>
      <w:kern w:val="21"/>
      <w:sz w:val="19"/>
      <w:lang w:eastAsia="en-US"/>
    </w:rPr>
  </w:style>
  <w:style w:type="paragraph" w:customStyle="1" w:styleId="BDAbstractTitle">
    <w:name w:val="BD_Abstract_Title"/>
    <w:basedOn w:val="a"/>
    <w:link w:val="BDAbstractTitleChar"/>
    <w:qFormat/>
    <w:pPr>
      <w:widowControl/>
      <w:pBdr>
        <w:top w:val="single" w:sz="4" w:space="1" w:color="auto"/>
        <w:bottom w:val="single" w:sz="4" w:space="1" w:color="auto"/>
      </w:pBdr>
      <w:spacing w:before="100" w:after="600"/>
    </w:pPr>
    <w:rPr>
      <w:rFonts w:ascii="Arno Pro" w:hAnsi="Arno Pro"/>
      <w:b/>
      <w:kern w:val="21"/>
      <w:sz w:val="19"/>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oleObject" Target="embeddings/oleObject1.bin"/><Relationship Id="rId34" Type="http://schemas.openxmlformats.org/officeDocument/2006/relationships/image" Target="media/image12.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5.wmf"/><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5.xml"/><Relationship Id="rId32"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image" Target="media/image7.pn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image" Target="media/image6.png"/><Relationship Id="rId30" Type="http://schemas.openxmlformats.org/officeDocument/2006/relationships/image" Target="media/image9.wmf"/><Relationship Id="rId35" Type="http://schemas.openxmlformats.org/officeDocument/2006/relationships/fontTable" Target="fontTable.xml"/><Relationship Id="rId8" Type="http://schemas.openxmlformats.org/officeDocument/2006/relationships/settings" Target="settings.xml"/></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hyperlink" Target="https://mc.manuscriptcentral.com/cjoc" TargetMode="External"/><Relationship Id="rId2" Type="http://schemas.openxmlformats.org/officeDocument/2006/relationships/hyperlink" Target="https://onlinelibrary.wiley.com/journal/16147065" TargetMode="External"/><Relationship Id="rId1" Type="http://schemas.openxmlformats.org/officeDocument/2006/relationships/hyperlink" Target="https://mc.manuscriptcentral.com/cjoc" TargetMode="External"/><Relationship Id="rId5" Type="http://schemas.openxmlformats.org/officeDocument/2006/relationships/image" Target="media/image2.emf"/><Relationship Id="rId4" Type="http://schemas.openxmlformats.org/officeDocument/2006/relationships/hyperlink" Target="https://onlinelibrary.wiley.com/journal/16147065"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bg1">
            <a:lumMod val="65000"/>
          </a:schemeClr>
        </a:solidFill>
        <a:ln w="6350">
          <a:noFill/>
        </a:ln>
      </a:spPr>
      <a:bodyPr rot="0" spcFirstLastPara="0" vertOverflow="overflow" horzOverflow="overflow" vert="horz" wrap="square" lIns="18000" tIns="0" rIns="0" bIns="0" numCol="1" spcCol="0" rtlCol="0" fromWordArt="0" anchor="ctr"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5D08B4-20A1-4254-B331-B811241225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56B83D20-50B2-4E2C-8250-D11C9D0884B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0C235D6-CF9A-4065-A679-69942C23662E}">
  <ds:schemaRefs>
    <ds:schemaRef ds:uri="http://schemas.microsoft.com/sharepoint/v3/contenttype/forms"/>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FD2578AA-C285-4965-A4EE-3C914907A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8</Pages>
  <Words>3596</Words>
  <Characters>20503</Characters>
  <Application>Microsoft Office Word</Application>
  <DocSecurity>0</DocSecurity>
  <Lines>170</Lines>
  <Paragraphs>48</Paragraphs>
  <ScaleCrop>false</ScaleCrop>
  <Company>CHINA</Company>
  <LinksUpToDate>false</LinksUpToDate>
  <CharactersWithSpaces>24051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吴磊</dc:creator>
  <cp:lastModifiedBy>lei wu</cp:lastModifiedBy>
  <cp:revision>112</cp:revision>
  <cp:lastPrinted>2022-11-08T02:18:00Z</cp:lastPrinted>
  <dcterms:created xsi:type="dcterms:W3CDTF">2024-06-26T08:52:00Z</dcterms:created>
  <dcterms:modified xsi:type="dcterms:W3CDTF">2024-07-01T02:28:00Z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7E588F989FFE4B51A88ED20D1D68FED1_12</vt:lpwstr>
  </property>
</Properties>
</file>