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A53" w:rsidRPr="00910BDF" w:rsidRDefault="004B5834">
      <w:pP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18"/>
          <w:lang w:val="en-US" w:eastAsia="el-GR"/>
        </w:rPr>
      </w:pPr>
      <w:r w:rsidRPr="00910BD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18"/>
          <w:lang w:val="en-US" w:eastAsia="el-GR"/>
        </w:rPr>
        <w:t>Legends of Figures</w:t>
      </w:r>
      <w:bookmarkStart w:id="0" w:name="_GoBack"/>
      <w:bookmarkEnd w:id="0"/>
    </w:p>
    <w:p w:rsidR="004B5834" w:rsidRDefault="004B5834" w:rsidP="004B5834">
      <w:pPr>
        <w:pStyle w:val="a3"/>
        <w:jc w:val="both"/>
        <w:rPr>
          <w:i w:val="0"/>
          <w:color w:val="000000" w:themeColor="text1"/>
          <w:sz w:val="16"/>
          <w:lang w:val="en-US"/>
        </w:rPr>
      </w:pPr>
      <w:r w:rsidRPr="00BA6711">
        <w:rPr>
          <w:b/>
          <w:i w:val="0"/>
          <w:color w:val="000000" w:themeColor="text1"/>
          <w:lang w:val="en-US"/>
        </w:rPr>
        <w:t xml:space="preserve">Figure </w:t>
      </w:r>
      <w:r w:rsidRPr="00BA6711">
        <w:rPr>
          <w:b/>
          <w:i w:val="0"/>
          <w:color w:val="000000" w:themeColor="text1"/>
        </w:rPr>
        <w:fldChar w:fldCharType="begin"/>
      </w:r>
      <w:r w:rsidRPr="00BA6711">
        <w:rPr>
          <w:b/>
          <w:i w:val="0"/>
          <w:color w:val="000000" w:themeColor="text1"/>
          <w:lang w:val="en-US"/>
        </w:rPr>
        <w:instrText xml:space="preserve"> SEQ Figure \* ARABIC </w:instrText>
      </w:r>
      <w:r w:rsidRPr="00BA6711">
        <w:rPr>
          <w:b/>
          <w:i w:val="0"/>
          <w:color w:val="000000" w:themeColor="text1"/>
        </w:rPr>
        <w:fldChar w:fldCharType="separate"/>
      </w:r>
      <w:r w:rsidRPr="00BA6711">
        <w:rPr>
          <w:b/>
          <w:i w:val="0"/>
          <w:noProof/>
          <w:color w:val="000000" w:themeColor="text1"/>
          <w:lang w:val="en-US"/>
        </w:rPr>
        <w:t>1</w:t>
      </w:r>
      <w:r w:rsidRPr="00BA6711">
        <w:rPr>
          <w:b/>
          <w:i w:val="0"/>
          <w:color w:val="000000" w:themeColor="text1"/>
        </w:rPr>
        <w:fldChar w:fldCharType="end"/>
      </w:r>
      <w:r w:rsidRPr="00BA6711">
        <w:rPr>
          <w:i w:val="0"/>
          <w:color w:val="000000" w:themeColor="text1"/>
          <w:lang w:val="en-US"/>
        </w:rPr>
        <w:t>: Comparison of ORs for positivity in each variant versus the rest variants based on presence or absence of any symptoms surveyed in SARS-CoV-2 positive participants.</w:t>
      </w:r>
      <w:r>
        <w:rPr>
          <w:i w:val="0"/>
          <w:color w:val="000000" w:themeColor="text1"/>
          <w:lang w:val="en-US"/>
        </w:rPr>
        <w:t xml:space="preserve"> (</w:t>
      </w:r>
      <w:r w:rsidRPr="00BA6711">
        <w:rPr>
          <w:i w:val="0"/>
          <w:color w:val="000000" w:themeColor="text1"/>
          <w:sz w:val="16"/>
          <w:lang w:val="en-US"/>
        </w:rPr>
        <w:t>Note: ORs are derived from logistic regression models for positivity in each variant versus the rest variants (1/0) as the outcome variable, adjusted for age, sex, and vaccination status. Error bars show 95% confidence intervals.</w:t>
      </w:r>
      <w:r>
        <w:rPr>
          <w:i w:val="0"/>
          <w:color w:val="000000" w:themeColor="text1"/>
          <w:sz w:val="16"/>
          <w:lang w:val="en-US"/>
        </w:rPr>
        <w:t>)</w:t>
      </w:r>
    </w:p>
    <w:p w:rsidR="00537DB5" w:rsidRPr="00537DB5" w:rsidRDefault="00210B59" w:rsidP="00537DB5">
      <w:pP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ORs: odds ratio; SARS-CoV-2: </w:t>
      </w:r>
      <w:r w:rsidRPr="00210B59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severe acute respiratory syndrome coronavirus 2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; </w:t>
      </w:r>
      <w:r w:rsidR="00537DB5" w:rsidRPr="00537DB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WTS: wild type strain; GI: gastrointestinal.</w:t>
      </w:r>
    </w:p>
    <w:p w:rsidR="0078151B" w:rsidRDefault="0078151B" w:rsidP="0023451C">
      <w:pPr>
        <w:pStyle w:val="a3"/>
        <w:rPr>
          <w:b/>
          <w:i w:val="0"/>
          <w:color w:val="000000" w:themeColor="text1"/>
          <w:lang w:val="en-US"/>
        </w:rPr>
      </w:pPr>
    </w:p>
    <w:p w:rsidR="0023451C" w:rsidRDefault="0023451C" w:rsidP="0023451C">
      <w:pPr>
        <w:pStyle w:val="a3"/>
        <w:rPr>
          <w:i w:val="0"/>
          <w:color w:val="000000" w:themeColor="text1"/>
          <w:lang w:val="en-US"/>
        </w:rPr>
      </w:pPr>
      <w:r w:rsidRPr="0023451C">
        <w:rPr>
          <w:b/>
          <w:i w:val="0"/>
          <w:color w:val="000000" w:themeColor="text1"/>
          <w:lang w:val="en-US"/>
        </w:rPr>
        <w:t>Figure 2:</w:t>
      </w:r>
      <w:r w:rsidRPr="0023451C">
        <w:rPr>
          <w:i w:val="0"/>
          <w:color w:val="000000" w:themeColor="text1"/>
          <w:lang w:val="en-US"/>
        </w:rPr>
        <w:t xml:space="preserve"> Comparison of clinical manifestations in children and adults among Omicron and non-Omicron cases.</w:t>
      </w:r>
      <w:r w:rsidR="00100F28">
        <w:rPr>
          <w:i w:val="0"/>
          <w:color w:val="000000" w:themeColor="text1"/>
          <w:lang w:val="en-US"/>
        </w:rPr>
        <w:t xml:space="preserve"> </w:t>
      </w:r>
      <w:r w:rsidR="00100F28" w:rsidRPr="00100F28">
        <w:rPr>
          <w:i w:val="0"/>
          <w:color w:val="000000" w:themeColor="text1"/>
          <w:sz w:val="16"/>
          <w:szCs w:val="16"/>
          <w:lang w:val="en-US"/>
        </w:rPr>
        <w:t>(Note: ns</w:t>
      </w:r>
      <w:r w:rsidR="00100F28" w:rsidRPr="00100F28">
        <w:rPr>
          <w:i w:val="0"/>
          <w:color w:val="000000" w:themeColor="text1"/>
          <w:sz w:val="16"/>
          <w:lang w:val="en-US"/>
        </w:rPr>
        <w:t>: non-significant; *: 0.001&lt; p &lt; 0.05; **: p ≤ 0.001</w:t>
      </w:r>
      <w:r w:rsidR="00210B59">
        <w:rPr>
          <w:i w:val="0"/>
          <w:color w:val="000000" w:themeColor="text1"/>
          <w:sz w:val="16"/>
          <w:lang w:val="en-US"/>
        </w:rPr>
        <w:t>.</w:t>
      </w:r>
      <w:r w:rsidR="00100F28" w:rsidRPr="00100F28">
        <w:rPr>
          <w:i w:val="0"/>
          <w:color w:val="000000" w:themeColor="text1"/>
          <w:sz w:val="16"/>
          <w:lang w:val="en-US"/>
        </w:rPr>
        <w:t>)</w:t>
      </w:r>
    </w:p>
    <w:p w:rsidR="00100F28" w:rsidRPr="00537DB5" w:rsidRDefault="00100F28" w:rsidP="00100F28">
      <w:pP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</w:pPr>
      <w:r w:rsidRPr="00537DB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GI: gastrointestinal.</w:t>
      </w:r>
    </w:p>
    <w:p w:rsidR="0078151B" w:rsidRDefault="0078151B" w:rsidP="0023451C">
      <w:pPr>
        <w:pStyle w:val="a3"/>
        <w:rPr>
          <w:b/>
          <w:i w:val="0"/>
          <w:color w:val="000000" w:themeColor="text1"/>
          <w:lang w:val="en-US"/>
        </w:rPr>
      </w:pPr>
    </w:p>
    <w:p w:rsidR="0023451C" w:rsidRDefault="0023451C" w:rsidP="0023451C">
      <w:pPr>
        <w:pStyle w:val="a3"/>
        <w:rPr>
          <w:i w:val="0"/>
          <w:color w:val="000000" w:themeColor="text1"/>
          <w:lang w:val="en-US"/>
        </w:rPr>
      </w:pPr>
      <w:r w:rsidRPr="0023451C">
        <w:rPr>
          <w:b/>
          <w:i w:val="0"/>
          <w:color w:val="000000" w:themeColor="text1"/>
          <w:lang w:val="en-US"/>
        </w:rPr>
        <w:t xml:space="preserve">Figure 3: </w:t>
      </w:r>
      <w:r w:rsidRPr="0023451C">
        <w:rPr>
          <w:i w:val="0"/>
          <w:color w:val="000000" w:themeColor="text1"/>
          <w:lang w:val="en-US"/>
        </w:rPr>
        <w:t>The proportion (%) of severe outcomes of COVID-19 per SARS-CoV-2 VOC during October 2020 - July 2022.</w:t>
      </w:r>
    </w:p>
    <w:p w:rsidR="00BE1885" w:rsidRPr="00BE1885" w:rsidRDefault="00BE1885" w:rsidP="00BE1885">
      <w:pP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</w:pP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COVID-19: coronavirus disease 2019; </w:t>
      </w:r>
      <w:r w:rsidR="005A55B3" w:rsidRP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SARS-CoV-2: severe acute respiratory syndrome coronavirus 2; VOC: variant of concern;</w:t>
      </w:r>
      <w:r w:rsidR="005A55B3">
        <w:rPr>
          <w:color w:val="000000" w:themeColor="text1"/>
          <w:lang w:val="en-US"/>
        </w:rPr>
        <w:t xml:space="preserve"> 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HDU: </w:t>
      </w:r>
      <w:r w:rsid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h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igh </w:t>
      </w:r>
      <w:r w:rsid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d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ependency care </w:t>
      </w:r>
      <w:r w:rsid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u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nit; ICU: </w:t>
      </w:r>
      <w:r w:rsid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i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ntensive </w:t>
      </w:r>
      <w:r w:rsid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c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are </w:t>
      </w:r>
      <w:r w:rsid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u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nit</w:t>
      </w:r>
      <w:r w:rsidR="0060202C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;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 WTS: </w:t>
      </w:r>
      <w:r w:rsidRPr="00537DB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wild type strain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.</w:t>
      </w:r>
    </w:p>
    <w:p w:rsidR="0078151B" w:rsidRDefault="0078151B" w:rsidP="0023451C">
      <w:pPr>
        <w:pStyle w:val="a3"/>
        <w:rPr>
          <w:b/>
          <w:i w:val="0"/>
          <w:color w:val="000000" w:themeColor="text1"/>
          <w:lang w:val="en-US"/>
        </w:rPr>
      </w:pPr>
    </w:p>
    <w:p w:rsidR="0023451C" w:rsidRPr="0023451C" w:rsidRDefault="0023451C" w:rsidP="0023451C">
      <w:pPr>
        <w:pStyle w:val="a3"/>
        <w:rPr>
          <w:i w:val="0"/>
          <w:color w:val="000000" w:themeColor="text1"/>
          <w:lang w:val="en-US"/>
        </w:rPr>
      </w:pPr>
      <w:r w:rsidRPr="0023451C">
        <w:rPr>
          <w:b/>
          <w:i w:val="0"/>
          <w:color w:val="000000" w:themeColor="text1"/>
          <w:lang w:val="en-US"/>
        </w:rPr>
        <w:t>Figure 4:</w:t>
      </w:r>
      <w:r w:rsidRPr="0023451C">
        <w:rPr>
          <w:i w:val="0"/>
          <w:color w:val="000000" w:themeColor="text1"/>
          <w:lang w:val="en-US"/>
        </w:rPr>
        <w:t xml:space="preserve"> Comparison of COVID-19 severity among vaccinated and unvaccinated participants.</w:t>
      </w:r>
    </w:p>
    <w:p w:rsidR="0023451C" w:rsidRPr="0023451C" w:rsidRDefault="00FE4325" w:rsidP="0023451C">
      <w:pPr>
        <w:rPr>
          <w:lang w:val="en-US" w:eastAsia="el-GR"/>
        </w:rPr>
      </w:pP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COVID-19: coronavirus disease 2019;</w:t>
      </w:r>
      <w:r w:rsidRPr="00FE432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 </w:t>
      </w:r>
      <w:r w:rsidRPr="00537DB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WTS: wild type strain;</w:t>
      </w:r>
      <w:r w:rsidRPr="00FE432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 </w:t>
      </w:r>
      <w:r w:rsidRP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VOC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s</w:t>
      </w:r>
      <w:r w:rsidRP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: variant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s</w:t>
      </w:r>
      <w:r w:rsidRPr="005A55B3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 of concern;</w:t>
      </w:r>
      <w:r>
        <w:rPr>
          <w:color w:val="000000" w:themeColor="text1"/>
          <w:lang w:val="en-US"/>
        </w:rPr>
        <w:t xml:space="preserve"> 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HDU: 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h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igh 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d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ependency care 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u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nit; ICU: 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i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ntensive 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c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 xml:space="preserve">are 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u</w:t>
      </w:r>
      <w:r w:rsidRPr="00BE188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nit</w:t>
      </w:r>
      <w: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.</w:t>
      </w:r>
    </w:p>
    <w:p w:rsidR="0023451C" w:rsidRDefault="0023451C">
      <w:pPr>
        <w:rPr>
          <w:lang w:val="en-US"/>
        </w:rPr>
      </w:pPr>
    </w:p>
    <w:p w:rsidR="00350CFE" w:rsidRDefault="00350CFE">
      <w:pPr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en-US" w:eastAsia="el-GR"/>
        </w:rPr>
      </w:pPr>
      <w:r w:rsidRPr="00350CFE">
        <w:rPr>
          <w:rFonts w:ascii="Times New Roman" w:eastAsia="Times New Roman" w:hAnsi="Times New Roman" w:cs="Times New Roman"/>
          <w:b/>
          <w:iCs/>
          <w:color w:val="000000" w:themeColor="text1"/>
          <w:sz w:val="18"/>
          <w:szCs w:val="18"/>
          <w:lang w:val="en-US" w:eastAsia="el-GR"/>
        </w:rPr>
        <w:t>S. Figure 1:</w:t>
      </w:r>
      <w:r w:rsidRPr="00350CFE"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en-US" w:eastAsia="el-GR"/>
        </w:rPr>
        <w:t xml:space="preserve"> The proportion and the course of symptoms per VOC due to SARS-CoV-2 infection.</w:t>
      </w:r>
    </w:p>
    <w:p w:rsidR="00FD2315" w:rsidRPr="00FD2315" w:rsidRDefault="00FD2315" w:rsidP="00FD2315">
      <w:pPr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</w:pPr>
      <w:r w:rsidRPr="00FD2315">
        <w:rPr>
          <w:rFonts w:ascii="Times New Roman" w:eastAsia="Times New Roman" w:hAnsi="Times New Roman" w:cs="Times New Roman"/>
          <w:iCs/>
          <w:color w:val="000000" w:themeColor="text1"/>
          <w:sz w:val="16"/>
          <w:szCs w:val="18"/>
          <w:lang w:val="en-US" w:eastAsia="el-GR"/>
        </w:rPr>
        <w:t>VOCs: variants of concern; WTS: wild type strain; GI: gastrointestinal; SARS-CoV-2: severe acute respiratory syndrome coronavirus 2.</w:t>
      </w:r>
    </w:p>
    <w:p w:rsidR="00FD2315" w:rsidRPr="00350CFE" w:rsidRDefault="00FD2315">
      <w:pPr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en-US" w:eastAsia="el-GR"/>
        </w:rPr>
      </w:pPr>
    </w:p>
    <w:sectPr w:rsidR="00FD2315" w:rsidRPr="00350C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34"/>
    <w:rsid w:val="00100F28"/>
    <w:rsid w:val="00210B59"/>
    <w:rsid w:val="0023451C"/>
    <w:rsid w:val="00350CFE"/>
    <w:rsid w:val="004B5834"/>
    <w:rsid w:val="004E7F19"/>
    <w:rsid w:val="00537DB5"/>
    <w:rsid w:val="005A55B3"/>
    <w:rsid w:val="0060202C"/>
    <w:rsid w:val="0078151B"/>
    <w:rsid w:val="00910BDF"/>
    <w:rsid w:val="009A2A53"/>
    <w:rsid w:val="00BE1885"/>
    <w:rsid w:val="00FD2315"/>
    <w:rsid w:val="00FE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1E505"/>
  <w15:chartTrackingRefBased/>
  <w15:docId w15:val="{71F7600D-125D-4585-8609-2F3C1C40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B5834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University of Thessaly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Χαρά</dc:creator>
  <cp:keywords/>
  <dc:description/>
  <cp:lastModifiedBy>Χαρά</cp:lastModifiedBy>
  <cp:revision>18</cp:revision>
  <dcterms:created xsi:type="dcterms:W3CDTF">2024-05-11T14:41:00Z</dcterms:created>
  <dcterms:modified xsi:type="dcterms:W3CDTF">2024-05-20T16:22:00Z</dcterms:modified>
</cp:coreProperties>
</file>