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592B" w14:textId="77777777" w:rsidR="00907F72" w:rsidRPr="00C0580D" w:rsidRDefault="00907F72" w:rsidP="00907F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Figure 1. Number of children, adolescents, and young adults aged 5–30 years on psychopharmacological treatment.</w:t>
      </w:r>
    </w:p>
    <w:p w14:paraId="5C491390" w14:textId="0FEC8090" w:rsidR="00907F72" w:rsidRPr="00BB452D" w:rsidRDefault="00907F72" w:rsidP="00907F72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7708D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Pr="0057708D">
        <w:rPr>
          <w:rFonts w:ascii="Times New Roman" w:hAnsi="Times New Roman" w:cs="Times New Roman"/>
          <w:noProof/>
          <w:sz w:val="20"/>
          <w:szCs w:val="20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64CAC9A0" wp14:editId="123CFF64">
            <wp:simplePos x="0" y="0"/>
            <wp:positionH relativeFrom="column">
              <wp:posOffset>33655</wp:posOffset>
            </wp:positionH>
            <wp:positionV relativeFrom="page">
              <wp:posOffset>1593850</wp:posOffset>
            </wp:positionV>
            <wp:extent cx="5461000" cy="3778250"/>
            <wp:effectExtent l="0" t="0" r="6350" b="12700"/>
            <wp:wrapTopAndBottom/>
            <wp:docPr id="4045759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B8B2450-1B05-1771-77BF-403FED12742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EF8" w:rsidRPr="00036EF8">
        <w:rPr>
          <w:rFonts w:ascii="Times New Roman" w:hAnsi="Times New Roman" w:cs="Times New Roman"/>
          <w:color w:val="000000" w:themeColor="text1"/>
          <w:sz w:val="16"/>
          <w:szCs w:val="1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Psychopharmacological treatments (attention deficit and hyperactivity disorder medications, antihistamines, selective serotonin reuptake inhibitors, other types of antidepressants, antipsychotics, anxiolytics, hypnotics and/or sedatives). The total number of unique individuals</w:t>
      </w:r>
      <w:r w:rsidR="00036EF8" w:rsidRPr="00036EF8">
        <w:rPr>
          <w:rFonts w:ascii="Times New Roman" w:hAnsi="Times New Roman" w:cs="Times New Roman"/>
          <w:color w:val="000000" w:themeColor="text1"/>
          <w:sz w:val="16"/>
          <w:szCs w:val="16"/>
          <w:u w:val="single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exposed was 875,430, contributing to 2,647,957 patient-years.</w:t>
      </w:r>
      <w:r w:rsidR="00036EF8" w:rsidRPr="00036EF8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A80658F" w14:textId="77777777" w:rsidR="00907F72" w:rsidRPr="0057708D" w:rsidRDefault="00907F72" w:rsidP="00907F72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2AC50E85" w14:textId="77777777" w:rsidR="00907F72" w:rsidRPr="0057708D" w:rsidRDefault="00907F72" w:rsidP="00907F72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70BDD9C0" w14:textId="77777777" w:rsidR="00BA1552" w:rsidRPr="00036EF8" w:rsidRDefault="00BA1552">
      <w:pPr>
        <w:rPr>
          <w:lang w:val="en-US"/>
        </w:rPr>
      </w:pPr>
    </w:p>
    <w:sectPr w:rsidR="00BA1552" w:rsidRPr="00036E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184FF" w14:textId="77777777" w:rsidR="00185800" w:rsidRDefault="00185800" w:rsidP="00907F72">
      <w:pPr>
        <w:spacing w:after="0" w:line="240" w:lineRule="auto"/>
      </w:pPr>
      <w:r>
        <w:separator/>
      </w:r>
    </w:p>
  </w:endnote>
  <w:endnote w:type="continuationSeparator" w:id="0">
    <w:p w14:paraId="2A7781B8" w14:textId="77777777" w:rsidR="00185800" w:rsidRDefault="00185800" w:rsidP="0090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2092226"/>
      <w:docPartObj>
        <w:docPartGallery w:val="Page Numbers (Bottom of Page)"/>
        <w:docPartUnique/>
      </w:docPartObj>
    </w:sdtPr>
    <w:sdtContent>
      <w:p w14:paraId="621F5845" w14:textId="3B9D8EF4" w:rsidR="00672AB9" w:rsidRDefault="00672AB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05EDC9" w14:textId="77777777" w:rsidR="00672AB9" w:rsidRDefault="00672A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34D58" w14:textId="77777777" w:rsidR="00185800" w:rsidRDefault="00185800" w:rsidP="00907F72">
      <w:pPr>
        <w:spacing w:after="0" w:line="240" w:lineRule="auto"/>
      </w:pPr>
      <w:r>
        <w:separator/>
      </w:r>
    </w:p>
  </w:footnote>
  <w:footnote w:type="continuationSeparator" w:id="0">
    <w:p w14:paraId="76CBBA5E" w14:textId="77777777" w:rsidR="00185800" w:rsidRDefault="00185800" w:rsidP="00907F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907F72"/>
    <w:rsid w:val="00036EF8"/>
    <w:rsid w:val="00153B45"/>
    <w:rsid w:val="00185800"/>
    <w:rsid w:val="001E0514"/>
    <w:rsid w:val="00295A33"/>
    <w:rsid w:val="002D7D02"/>
    <w:rsid w:val="00311C6E"/>
    <w:rsid w:val="004D21E6"/>
    <w:rsid w:val="004F25C9"/>
    <w:rsid w:val="005F0CB0"/>
    <w:rsid w:val="00672AB9"/>
    <w:rsid w:val="00907F72"/>
    <w:rsid w:val="00932CA7"/>
    <w:rsid w:val="00BA1552"/>
    <w:rsid w:val="00BB452D"/>
    <w:rsid w:val="00D85C4D"/>
    <w:rsid w:val="00F02FE3"/>
    <w:rsid w:val="00F6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BA153"/>
  <w15:chartTrackingRefBased/>
  <w15:docId w15:val="{DBF96755-3F34-4BFB-BB57-06912C9D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F7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7F7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7F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7F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7F72"/>
    <w:rPr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0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F72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72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AB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el0003\Desktop\New%20incidence%20data%2025-3-2024\Drug%20sheet%2026-3-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sv-SE" sz="1000" b="1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Exposure to  psychotropic medications over years </a:t>
            </a:r>
            <a:endParaRPr lang="sv-SE" sz="10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v-SE" sz="10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3014521149972533"/>
          <c:y val="2.016806722689075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0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v-SE"/>
        </a:p>
      </c:txPr>
    </c:title>
    <c:autoTitleDeleted val="0"/>
    <c:plotArea>
      <c:layout>
        <c:manualLayout>
          <c:layoutTarget val="inner"/>
          <c:xMode val="edge"/>
          <c:yMode val="edge"/>
          <c:x val="0.14698260391869622"/>
          <c:y val="8.7394957983193272E-2"/>
          <c:w val="0.75069181468595492"/>
          <c:h val="0.69889949050486333"/>
        </c:manualLayout>
      </c:layout>
      <c:lineChart>
        <c:grouping val="standard"/>
        <c:varyColors val="0"/>
        <c:ser>
          <c:idx val="0"/>
          <c:order val="0"/>
          <c:tx>
            <c:strRef>
              <c:f>sheet1!$B$18</c:f>
              <c:strCache>
                <c:ptCount val="1"/>
                <c:pt idx="0">
                  <c:v>Male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sheet1!$A$19:$A$31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sheet1!$B$19:$B$31</c:f>
              <c:numCache>
                <c:formatCode>General</c:formatCode>
                <c:ptCount val="13"/>
                <c:pt idx="0">
                  <c:v>52874</c:v>
                </c:pt>
                <c:pt idx="1">
                  <c:v>58445</c:v>
                </c:pt>
                <c:pt idx="2">
                  <c:v>63441</c:v>
                </c:pt>
                <c:pt idx="3">
                  <c:v>68232</c:v>
                </c:pt>
                <c:pt idx="4">
                  <c:v>75494</c:v>
                </c:pt>
                <c:pt idx="5">
                  <c:v>83153</c:v>
                </c:pt>
                <c:pt idx="6">
                  <c:v>89853</c:v>
                </c:pt>
                <c:pt idx="7">
                  <c:v>96929</c:v>
                </c:pt>
                <c:pt idx="8">
                  <c:v>105251</c:v>
                </c:pt>
                <c:pt idx="9">
                  <c:v>113558</c:v>
                </c:pt>
                <c:pt idx="10">
                  <c:v>120702</c:v>
                </c:pt>
                <c:pt idx="11">
                  <c:v>128174</c:v>
                </c:pt>
                <c:pt idx="12">
                  <c:v>135611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911-4B4D-A771-BAC93F4B52BC}"/>
            </c:ext>
          </c:extLst>
        </c:ser>
        <c:ser>
          <c:idx val="1"/>
          <c:order val="1"/>
          <c:tx>
            <c:strRef>
              <c:f>sheet1!$C$18</c:f>
              <c:strCache>
                <c:ptCount val="1"/>
                <c:pt idx="0">
                  <c:v>Female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sheet1!$A$19:$A$31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sheet1!$C$19:$C$31</c:f>
              <c:numCache>
                <c:formatCode>General</c:formatCode>
                <c:ptCount val="13"/>
                <c:pt idx="0">
                  <c:v>74085</c:v>
                </c:pt>
                <c:pt idx="1">
                  <c:v>79434</c:v>
                </c:pt>
                <c:pt idx="2">
                  <c:v>84136</c:v>
                </c:pt>
                <c:pt idx="3">
                  <c:v>89039</c:v>
                </c:pt>
                <c:pt idx="4">
                  <c:v>95660</c:v>
                </c:pt>
                <c:pt idx="5">
                  <c:v>103697</c:v>
                </c:pt>
                <c:pt idx="6">
                  <c:v>110711</c:v>
                </c:pt>
                <c:pt idx="7">
                  <c:v>118287</c:v>
                </c:pt>
                <c:pt idx="8">
                  <c:v>125557</c:v>
                </c:pt>
                <c:pt idx="9">
                  <c:v>132496</c:v>
                </c:pt>
                <c:pt idx="10">
                  <c:v>140761</c:v>
                </c:pt>
                <c:pt idx="11">
                  <c:v>148477</c:v>
                </c:pt>
                <c:pt idx="12">
                  <c:v>153900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911-4B4D-A771-BAC93F4B52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99885295"/>
        <c:axId val="499879535"/>
      </c:lineChart>
      <c:catAx>
        <c:axId val="49988529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sv-SE" sz="10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Exposure</a:t>
                </a:r>
                <a:r>
                  <a:rPr lang="sv-SE" sz="10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, y</a:t>
                </a:r>
                <a:endParaRPr lang="sv-SE" sz="1000" b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6964933162424466"/>
              <c:y val="0.88545305366240989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  <c:crossAx val="499879535"/>
        <c:crosses val="autoZero"/>
        <c:auto val="1"/>
        <c:lblAlgn val="ctr"/>
        <c:lblOffset val="100"/>
        <c:noMultiLvlLbl val="0"/>
      </c:catAx>
      <c:valAx>
        <c:axId val="4998795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 algn="ctr"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sv-SE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Number of exposed patients</a:t>
                </a:r>
              </a:p>
            </c:rich>
          </c:tx>
          <c:layout>
            <c:manualLayout>
              <c:xMode val="edge"/>
              <c:yMode val="edge"/>
              <c:x val="1.8604651162790697E-2"/>
              <c:y val="0.26903831138754714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 algn="ctr">
                <a:defRPr sz="800" b="1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  <c:crossAx val="499885295"/>
        <c:crosses val="autoZero"/>
        <c:crossBetween val="between"/>
      </c:valAx>
      <c:spPr>
        <a:noFill/>
        <a:ln>
          <a:solidFill>
            <a:schemeClr val="bg1"/>
          </a:solidFill>
        </a:ln>
        <a:effectLst/>
      </c:spPr>
    </c:plotArea>
    <c:legend>
      <c:legendPos val="b"/>
      <c:layout>
        <c:manualLayout>
          <c:xMode val="edge"/>
          <c:yMode val="edge"/>
          <c:x val="0.18832759567844717"/>
          <c:y val="0.19043498974392911"/>
          <c:w val="0.26055392785204173"/>
          <c:h val="4.9901144709852442E-2"/>
        </c:manualLayout>
      </c:layout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sv-S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a48a9ac-7937-4134-8b13-3620bf967764}" enabled="1" method="Privileged" siteId="{5a4ba6f9-f531-4f32-9467-398f19e69de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530</Characters>
  <Application>Microsoft Office Word</Application>
  <DocSecurity>0</DocSecurity>
  <Lines>4</Lines>
  <Paragraphs>1</Paragraphs>
  <ScaleCrop>false</ScaleCrop>
  <Company>ITS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Howaida Elmowafi</dc:creator>
  <cp:keywords/>
  <dc:description/>
  <cp:lastModifiedBy>Howaida Elmowafi</cp:lastModifiedBy>
  <cp:revision>2</cp:revision>
  <dcterms:created xsi:type="dcterms:W3CDTF">2024-05-17T19:32:00Z</dcterms:created>
  <dcterms:modified xsi:type="dcterms:W3CDTF">2024-05-17T19:32:00Z</dcterms:modified>
</cp:coreProperties>
</file>