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32EF7" w14:textId="01196CA6" w:rsidR="004039B0" w:rsidRDefault="004039B0" w:rsidP="004039B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Figure 3.</w:t>
      </w:r>
      <w:r w:rsidR="004D22A6">
        <w:rPr>
          <w:rFonts w:ascii="Times New Roman" w:hAnsi="Times New Roman" w:cs="Times New Roman"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Incidence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of cardiac events, excluding fainting and/or collapse, among those exposed to psychopharmacological treatment</w:t>
      </w:r>
      <w:r w:rsidR="004D753F">
        <w:rPr>
          <w:rFonts w:ascii="Times New Roman" w:hAnsi="Times New Roman" w:cs="Times New Roman"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(2006–2018).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FF0152" wp14:editId="04E2959D">
                <wp:simplePos x="0" y="0"/>
                <wp:positionH relativeFrom="column">
                  <wp:posOffset>-23495</wp:posOffset>
                </wp:positionH>
                <wp:positionV relativeFrom="paragraph">
                  <wp:posOffset>490855</wp:posOffset>
                </wp:positionV>
                <wp:extent cx="368300" cy="285750"/>
                <wp:effectExtent l="0" t="0" r="12700" b="19050"/>
                <wp:wrapNone/>
                <wp:docPr id="1980494375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300" cy="2857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14D14B" id="Rectangle 4" o:spid="_x0000_s1026" style="position:absolute;margin-left:-1.85pt;margin-top:38.65pt;width:29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" filled="f" strokecolor="#09101d [484]" strokeweight="1pt"/>
            </w:pict>
          </mc:Fallback>
        </mc:AlternateContent>
      </w:r>
    </w:p>
    <w:p w14:paraId="2F8D6FD4" w14:textId="77777777" w:rsidR="004039B0" w:rsidRDefault="004039B0" w:rsidP="004039B0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A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Annual incidence by sex.</w:t>
      </w:r>
    </w:p>
    <w:p w14:paraId="6007F766" w14:textId="77777777" w:rsidR="004039B0" w:rsidRDefault="004039B0" w:rsidP="004039B0">
      <w:pPr>
        <w:jc w:val="both"/>
        <w:rPr>
          <w:noProof/>
        </w:rPr>
      </w:pPr>
      <w:r>
        <w:rPr>
          <w:noProof/>
        </w:rPr>
        <w:drawing>
          <wp:inline distT="0" distB="0" distL="0" distR="0" wp14:anchorId="03924DF4" wp14:editId="1EC539AC">
            <wp:extent cx="5480050" cy="3257550"/>
            <wp:effectExtent l="0" t="0" r="6350" b="0"/>
            <wp:docPr id="1365412379" name="Chart 2">
              <a:extLst xmlns:a="http://schemas.openxmlformats.org/drawingml/2006/main">
                <a:ext uri="{FF2B5EF4-FFF2-40B4-BE49-F238E27FC236}">
                  <a16:creationId xmlns:a16="http://schemas.microsoft.com/office/drawing/2014/main" id="{F6A005CC-9AA8-C4CC-B8EF-1B21E7D717A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2CAAE6A9" w14:textId="77777777" w:rsidR="004039B0" w:rsidRDefault="004039B0" w:rsidP="004039B0">
      <w:pPr>
        <w:jc w:val="both"/>
        <w:rPr>
          <w:rFonts w:ascii="Arial" w:hAnsi="Arial" w:cs="Arial"/>
          <w:b/>
          <w:bCs/>
          <w:color w:val="000000" w:themeColor="text1"/>
          <w:sz w:val="18"/>
          <w:szCs w:val="1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35FBCBC" w14:textId="77777777" w:rsidR="004039B0" w:rsidRDefault="004039B0" w:rsidP="004039B0">
      <w:pPr>
        <w:jc w:val="both"/>
        <w:rPr>
          <w:rFonts w:ascii="Arial" w:hAnsi="Arial" w:cs="Arial"/>
          <w:b/>
          <w:bCs/>
          <w:color w:val="000000" w:themeColor="text1"/>
          <w:sz w:val="18"/>
          <w:szCs w:val="1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AD83BE1" w14:textId="77777777" w:rsidR="004039B0" w:rsidRDefault="004039B0" w:rsidP="004039B0">
      <w:pPr>
        <w:jc w:val="both"/>
        <w:rPr>
          <w:rFonts w:ascii="Arial" w:hAnsi="Arial" w:cs="Arial"/>
          <w:b/>
          <w:bCs/>
          <w:color w:val="000000" w:themeColor="text1"/>
          <w:sz w:val="18"/>
          <w:szCs w:val="1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47E20CC" w14:textId="77777777" w:rsidR="004039B0" w:rsidRDefault="004039B0" w:rsidP="004039B0">
      <w:pPr>
        <w:jc w:val="both"/>
        <w:rPr>
          <w:rFonts w:ascii="Arial" w:hAnsi="Arial" w:cs="Arial"/>
          <w:b/>
          <w:bCs/>
          <w:color w:val="000000" w:themeColor="text1"/>
          <w:sz w:val="18"/>
          <w:szCs w:val="1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5BD07E8" w14:textId="77777777" w:rsidR="004039B0" w:rsidRDefault="004039B0" w:rsidP="004039B0">
      <w:pPr>
        <w:jc w:val="both"/>
        <w:rPr>
          <w:rFonts w:ascii="Arial" w:hAnsi="Arial" w:cs="Arial"/>
          <w:b/>
          <w:bCs/>
          <w:color w:val="000000" w:themeColor="text1"/>
          <w:sz w:val="18"/>
          <w:szCs w:val="1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FE501EF" w14:textId="77777777" w:rsidR="004039B0" w:rsidRDefault="004039B0" w:rsidP="004039B0">
      <w:pPr>
        <w:jc w:val="both"/>
        <w:rPr>
          <w:rFonts w:ascii="Arial" w:hAnsi="Arial" w:cs="Arial"/>
          <w:b/>
          <w:bCs/>
          <w:color w:val="000000" w:themeColor="text1"/>
          <w:sz w:val="18"/>
          <w:szCs w:val="1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F87FF92" w14:textId="77777777" w:rsidR="004039B0" w:rsidRDefault="004039B0" w:rsidP="004039B0">
      <w:pPr>
        <w:jc w:val="both"/>
        <w:rPr>
          <w:rFonts w:ascii="Arial" w:hAnsi="Arial" w:cs="Arial"/>
          <w:b/>
          <w:bCs/>
          <w:color w:val="000000" w:themeColor="text1"/>
          <w:sz w:val="18"/>
          <w:szCs w:val="1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F646466" w14:textId="77777777" w:rsidR="004039B0" w:rsidRDefault="004039B0" w:rsidP="004039B0">
      <w:pPr>
        <w:jc w:val="both"/>
        <w:rPr>
          <w:rFonts w:ascii="Arial" w:hAnsi="Arial" w:cs="Arial"/>
          <w:b/>
          <w:bCs/>
          <w:color w:val="000000" w:themeColor="text1"/>
          <w:sz w:val="18"/>
          <w:szCs w:val="1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96C6729" w14:textId="77777777" w:rsidR="004039B0" w:rsidRDefault="004039B0" w:rsidP="004039B0">
      <w:pPr>
        <w:jc w:val="both"/>
        <w:rPr>
          <w:rFonts w:ascii="Arial" w:hAnsi="Arial" w:cs="Arial"/>
          <w:b/>
          <w:bCs/>
          <w:color w:val="000000" w:themeColor="text1"/>
          <w:sz w:val="18"/>
          <w:szCs w:val="1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EBE5C06" w14:textId="77777777" w:rsidR="004039B0" w:rsidRDefault="004039B0" w:rsidP="004039B0">
      <w:pPr>
        <w:jc w:val="both"/>
        <w:rPr>
          <w:rFonts w:ascii="Arial" w:hAnsi="Arial" w:cs="Arial"/>
          <w:b/>
          <w:bCs/>
          <w:color w:val="000000" w:themeColor="text1"/>
          <w:sz w:val="18"/>
          <w:szCs w:val="1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7DD1AA3" w14:textId="77777777" w:rsidR="004039B0" w:rsidRDefault="004039B0" w:rsidP="004039B0">
      <w:pPr>
        <w:jc w:val="both"/>
        <w:rPr>
          <w:rFonts w:ascii="Arial" w:hAnsi="Arial" w:cs="Arial"/>
          <w:b/>
          <w:bCs/>
          <w:color w:val="000000" w:themeColor="text1"/>
          <w:sz w:val="18"/>
          <w:szCs w:val="1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853AB7E" w14:textId="77777777" w:rsidR="004039B0" w:rsidRDefault="004039B0" w:rsidP="004039B0">
      <w:pPr>
        <w:jc w:val="both"/>
        <w:rPr>
          <w:rFonts w:ascii="Arial" w:hAnsi="Arial" w:cs="Arial"/>
          <w:b/>
          <w:bCs/>
          <w:color w:val="000000" w:themeColor="text1"/>
          <w:sz w:val="18"/>
          <w:szCs w:val="1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CE6D72A" w14:textId="77777777" w:rsidR="004039B0" w:rsidRDefault="004039B0" w:rsidP="004039B0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ED950A8" w14:textId="77777777" w:rsidR="004039B0" w:rsidRDefault="004039B0" w:rsidP="004039B0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1F8142D" w14:textId="77777777" w:rsidR="004039B0" w:rsidRDefault="004039B0" w:rsidP="004039B0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52ABF58" w14:textId="77777777" w:rsidR="004039B0" w:rsidRDefault="004039B0" w:rsidP="004039B0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3FB40E7" w14:textId="77777777" w:rsidR="004039B0" w:rsidRDefault="004039B0" w:rsidP="004039B0">
      <w:pPr>
        <w:spacing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8F59EA7" w14:textId="77777777" w:rsidR="004039B0" w:rsidRDefault="004039B0" w:rsidP="004039B0">
      <w:pPr>
        <w:spacing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423F86" wp14:editId="7B8BA874">
                <wp:simplePos x="0" y="0"/>
                <wp:positionH relativeFrom="leftMargin">
                  <wp:posOffset>825500</wp:posOffset>
                </wp:positionH>
                <wp:positionV relativeFrom="paragraph">
                  <wp:posOffset>243840</wp:posOffset>
                </wp:positionV>
                <wp:extent cx="234950" cy="266700"/>
                <wp:effectExtent l="0" t="0" r="12700" b="19050"/>
                <wp:wrapNone/>
                <wp:docPr id="483504417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950" cy="2667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0E4366" id="Rectangle 3" o:spid="_x0000_s1026" style="position:absolute;margin-left:65pt;margin-top:19.2pt;width:18.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" filled="f" strokecolor="#09101d [484]" strokeweight="1pt">
                <w10:wrap anchorx="margin"/>
              </v:rect>
            </w:pict>
          </mc:Fallback>
        </mc:AlternateContent>
      </w:r>
    </w:p>
    <w:p w14:paraId="01D46A7A" w14:textId="77777777" w:rsidR="004039B0" w:rsidRDefault="004039B0" w:rsidP="004039B0">
      <w:pPr>
        <w:spacing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B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Mean overall incidence by sex and age.</w:t>
      </w:r>
    </w:p>
    <w:p w14:paraId="4D057CE5" w14:textId="77777777" w:rsidR="004039B0" w:rsidRDefault="004039B0" w:rsidP="004039B0">
      <w:pPr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37CA73DC" wp14:editId="6CCB935D">
            <wp:extent cx="5410200" cy="2882900"/>
            <wp:effectExtent l="0" t="0" r="0" b="12700"/>
            <wp:docPr id="1592850055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AED3B421-BE6A-240F-500A-9497E7D9EBF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546"/>
      </w:tblGrid>
      <w:tr w:rsidR="004039B0" w:rsidRPr="004D22A6" w14:paraId="08EB0E5D" w14:textId="77777777" w:rsidTr="00906341">
        <w:trPr>
          <w:trHeight w:val="235"/>
        </w:trPr>
        <w:tc>
          <w:tcPr>
            <w:tcW w:w="8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6954E55" w14:textId="77777777" w:rsidR="004039B0" w:rsidRDefault="004039B0" w:rsidP="00906341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D0D0D"/>
                <w:sz w:val="16"/>
                <w:szCs w:val="16"/>
                <w:shd w:val="clear" w:color="auto" w:fill="FFFFFF"/>
                <w:lang w:val="en-US"/>
              </w:rPr>
              <w:t>Mean overall incidence, 0.51%; mean overall incidence in males, 0.49%, in females, 0.53%.</w:t>
            </w:r>
          </w:p>
        </w:tc>
      </w:tr>
    </w:tbl>
    <w:p w14:paraId="3C92C673" w14:textId="77777777" w:rsidR="004039B0" w:rsidRDefault="004039B0" w:rsidP="004039B0">
      <w:pPr>
        <w:tabs>
          <w:tab w:val="left" w:pos="2290"/>
        </w:tabs>
        <w:spacing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14:paraId="65D3FA40" w14:textId="77777777" w:rsidR="004039B0" w:rsidRDefault="004039B0" w:rsidP="004039B0">
      <w:pPr>
        <w:jc w:val="both"/>
        <w:rPr>
          <w:rFonts w:ascii="Arial" w:hAnsi="Arial" w:cs="Arial"/>
          <w:b/>
          <w:bCs/>
          <w:color w:val="000000" w:themeColor="text1"/>
          <w:sz w:val="18"/>
          <w:szCs w:val="1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034463D" w14:textId="77777777" w:rsidR="004039B0" w:rsidRDefault="004039B0" w:rsidP="004039B0">
      <w:pPr>
        <w:jc w:val="both"/>
        <w:rPr>
          <w:rFonts w:ascii="Arial" w:hAnsi="Arial" w:cs="Arial"/>
          <w:b/>
          <w:bCs/>
          <w:color w:val="000000" w:themeColor="text1"/>
          <w:sz w:val="18"/>
          <w:szCs w:val="1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0775599" w14:textId="77777777" w:rsidR="004039B0" w:rsidRDefault="004039B0" w:rsidP="004039B0">
      <w:pPr>
        <w:jc w:val="both"/>
        <w:rPr>
          <w:rFonts w:ascii="Arial" w:hAnsi="Arial" w:cs="Arial"/>
          <w:b/>
          <w:bCs/>
          <w:color w:val="000000" w:themeColor="text1"/>
          <w:sz w:val="18"/>
          <w:szCs w:val="1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D1B9457" w14:textId="77777777" w:rsidR="004039B0" w:rsidRDefault="004039B0" w:rsidP="004039B0">
      <w:pPr>
        <w:jc w:val="both"/>
        <w:rPr>
          <w:rFonts w:ascii="Arial" w:hAnsi="Arial" w:cs="Arial"/>
          <w:b/>
          <w:bCs/>
          <w:color w:val="000000" w:themeColor="text1"/>
          <w:sz w:val="18"/>
          <w:szCs w:val="1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616AB90" w14:textId="77777777" w:rsidR="004039B0" w:rsidRDefault="004039B0" w:rsidP="004039B0">
      <w:pPr>
        <w:jc w:val="both"/>
        <w:rPr>
          <w:rFonts w:ascii="Arial" w:hAnsi="Arial" w:cs="Arial"/>
          <w:b/>
          <w:bCs/>
          <w:color w:val="000000" w:themeColor="text1"/>
          <w:sz w:val="18"/>
          <w:szCs w:val="1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EC0AAFA" w14:textId="77777777" w:rsidR="004039B0" w:rsidRDefault="004039B0" w:rsidP="004039B0">
      <w:pPr>
        <w:jc w:val="both"/>
        <w:rPr>
          <w:rFonts w:ascii="Arial" w:hAnsi="Arial" w:cs="Arial"/>
          <w:b/>
          <w:bCs/>
          <w:color w:val="000000" w:themeColor="text1"/>
          <w:sz w:val="18"/>
          <w:szCs w:val="1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06BEF5F" w14:textId="77777777" w:rsidR="004039B0" w:rsidRDefault="004039B0" w:rsidP="004039B0">
      <w:pPr>
        <w:jc w:val="both"/>
        <w:rPr>
          <w:rFonts w:ascii="Arial" w:hAnsi="Arial" w:cs="Arial"/>
          <w:b/>
          <w:bCs/>
          <w:color w:val="000000" w:themeColor="text1"/>
          <w:sz w:val="18"/>
          <w:szCs w:val="1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7CACBFB" w14:textId="77777777" w:rsidR="004039B0" w:rsidRDefault="004039B0" w:rsidP="004039B0">
      <w:pPr>
        <w:jc w:val="both"/>
        <w:rPr>
          <w:rFonts w:ascii="Arial" w:hAnsi="Arial" w:cs="Arial"/>
          <w:b/>
          <w:bCs/>
          <w:color w:val="000000" w:themeColor="text1"/>
          <w:sz w:val="18"/>
          <w:szCs w:val="1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A002610" w14:textId="77777777" w:rsidR="004039B0" w:rsidRDefault="004039B0" w:rsidP="004039B0">
      <w:pPr>
        <w:jc w:val="both"/>
        <w:rPr>
          <w:rFonts w:ascii="Arial" w:hAnsi="Arial" w:cs="Arial"/>
          <w:b/>
          <w:bCs/>
          <w:color w:val="000000" w:themeColor="text1"/>
          <w:sz w:val="18"/>
          <w:szCs w:val="1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2C11166" w14:textId="77777777" w:rsidR="004039B0" w:rsidRDefault="004039B0" w:rsidP="004039B0">
      <w:pPr>
        <w:jc w:val="both"/>
        <w:rPr>
          <w:rFonts w:ascii="Arial" w:hAnsi="Arial" w:cs="Arial"/>
          <w:b/>
          <w:bCs/>
          <w:color w:val="000000" w:themeColor="text1"/>
          <w:sz w:val="18"/>
          <w:szCs w:val="1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3C54ADF" w14:textId="77777777" w:rsidR="004039B0" w:rsidRDefault="004039B0" w:rsidP="004039B0">
      <w:pPr>
        <w:jc w:val="both"/>
        <w:rPr>
          <w:rFonts w:ascii="Arial" w:hAnsi="Arial" w:cs="Arial"/>
          <w:b/>
          <w:bCs/>
          <w:color w:val="000000" w:themeColor="text1"/>
          <w:sz w:val="18"/>
          <w:szCs w:val="1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2D63E87" w14:textId="77777777" w:rsidR="004039B0" w:rsidRDefault="004039B0" w:rsidP="004039B0">
      <w:pPr>
        <w:jc w:val="both"/>
        <w:rPr>
          <w:rFonts w:ascii="Arial" w:hAnsi="Arial" w:cs="Arial"/>
          <w:b/>
          <w:bCs/>
          <w:color w:val="000000" w:themeColor="text1"/>
          <w:sz w:val="18"/>
          <w:szCs w:val="1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029A201" w14:textId="77777777" w:rsidR="004039B0" w:rsidRDefault="004039B0" w:rsidP="004039B0">
      <w:pPr>
        <w:jc w:val="both"/>
        <w:rPr>
          <w:rFonts w:ascii="Arial" w:hAnsi="Arial" w:cs="Arial"/>
          <w:b/>
          <w:bCs/>
          <w:color w:val="000000" w:themeColor="text1"/>
          <w:sz w:val="18"/>
          <w:szCs w:val="1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838B57C" w14:textId="77777777" w:rsidR="004039B0" w:rsidRDefault="004039B0" w:rsidP="004039B0">
      <w:pPr>
        <w:jc w:val="both"/>
        <w:rPr>
          <w:rFonts w:ascii="Arial" w:hAnsi="Arial" w:cs="Arial"/>
          <w:b/>
          <w:bCs/>
          <w:color w:val="000000" w:themeColor="text1"/>
          <w:sz w:val="18"/>
          <w:szCs w:val="1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2974DF0" w14:textId="77777777" w:rsidR="004039B0" w:rsidRDefault="004039B0" w:rsidP="004039B0">
      <w:pPr>
        <w:jc w:val="both"/>
        <w:rPr>
          <w:rFonts w:ascii="Arial" w:hAnsi="Arial" w:cs="Arial"/>
          <w:b/>
          <w:bCs/>
          <w:color w:val="000000" w:themeColor="text1"/>
          <w:sz w:val="18"/>
          <w:szCs w:val="1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195A3AA" w14:textId="77777777" w:rsidR="004039B0" w:rsidRDefault="004039B0" w:rsidP="004039B0">
      <w:pPr>
        <w:jc w:val="both"/>
        <w:rPr>
          <w:rFonts w:ascii="Arial" w:hAnsi="Arial" w:cs="Arial"/>
          <w:b/>
          <w:bCs/>
          <w:color w:val="000000" w:themeColor="text1"/>
          <w:sz w:val="18"/>
          <w:szCs w:val="1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4B4826D" w14:textId="77777777" w:rsidR="004039B0" w:rsidRDefault="004039B0" w:rsidP="004039B0">
      <w:pPr>
        <w:jc w:val="both"/>
        <w:rPr>
          <w:rFonts w:ascii="Arial" w:hAnsi="Arial" w:cs="Arial"/>
          <w:b/>
          <w:bCs/>
          <w:color w:val="000000" w:themeColor="text1"/>
          <w:sz w:val="18"/>
          <w:szCs w:val="1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BFC8F5A" w14:textId="77777777" w:rsidR="004039B0" w:rsidRDefault="004039B0" w:rsidP="004039B0">
      <w:pPr>
        <w:jc w:val="both"/>
        <w:rPr>
          <w:rFonts w:ascii="Arial" w:hAnsi="Arial" w:cs="Arial"/>
          <w:b/>
          <w:bCs/>
          <w:color w:val="000000" w:themeColor="text1"/>
          <w:sz w:val="18"/>
          <w:szCs w:val="1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3143DFF" w14:textId="77777777" w:rsidR="004039B0" w:rsidRPr="00235600" w:rsidRDefault="004039B0" w:rsidP="004039B0">
      <w:pPr>
        <w:jc w:val="both"/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b/>
          <w:bCs/>
          <w:noProof/>
          <w:color w:val="000000" w:themeColor="text1"/>
          <w:sz w:val="18"/>
          <w:szCs w:val="18"/>
          <w:lang w:val="en-US"/>
          <w14:ligatures w14:val="standardContextua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E14BD2" wp14:editId="5626AD00">
                <wp:simplePos x="0" y="0"/>
                <wp:positionH relativeFrom="column">
                  <wp:posOffset>-74295</wp:posOffset>
                </wp:positionH>
                <wp:positionV relativeFrom="paragraph">
                  <wp:posOffset>270510</wp:posOffset>
                </wp:positionV>
                <wp:extent cx="273050" cy="273050"/>
                <wp:effectExtent l="0" t="0" r="12700" b="12700"/>
                <wp:wrapNone/>
                <wp:docPr id="47877357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730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538BA3" id="Rectangle 1" o:spid="_x0000_s1026" style="position:absolute;margin-left:-5.85pt;margin-top:21.3pt;width:21.5pt;height:2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" filled="f" strokecolor="#09101d [484]" strokeweight="1pt"/>
            </w:pict>
          </mc:Fallback>
        </mc:AlternateContent>
      </w:r>
    </w:p>
    <w:p w14:paraId="2A9B325C" w14:textId="3703C657" w:rsidR="004039B0" w:rsidRDefault="004039B0" w:rsidP="004039B0">
      <w:pPr>
        <w:jc w:val="both"/>
        <w:rPr>
          <w:rFonts w:ascii="Arial" w:hAnsi="Arial" w:cs="Arial"/>
          <w:b/>
          <w:bCs/>
          <w:color w:val="000000" w:themeColor="text1"/>
          <w:sz w:val="18"/>
          <w:szCs w:val="1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35600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</w:t>
      </w:r>
      <w:r>
        <w:rPr>
          <w:rFonts w:ascii="Arial" w:hAnsi="Arial" w:cs="Arial"/>
          <w:b/>
          <w:bCs/>
          <w:color w:val="000000" w:themeColor="text1"/>
          <w:sz w:val="18"/>
          <w:szCs w:val="1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Annual incidence versus </w:t>
      </w:r>
      <w:r w:rsidR="000071C4">
        <w:rPr>
          <w:rFonts w:ascii="Times New Roman" w:hAnsi="Times New Roman" w:cs="Times New Roman"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incidence of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fainting and/or collapse.</w:t>
      </w:r>
    </w:p>
    <w:p w14:paraId="1EE7BB48" w14:textId="77777777" w:rsidR="004039B0" w:rsidRDefault="004039B0" w:rsidP="004039B0">
      <w:pPr>
        <w:jc w:val="both"/>
        <w:rPr>
          <w:lang w:val="en-US"/>
        </w:rPr>
      </w:pPr>
      <w:r>
        <w:rPr>
          <w:noProof/>
          <w14:ligatures w14:val="standardContextual"/>
        </w:rPr>
        <w:drawing>
          <wp:inline distT="0" distB="0" distL="0" distR="0" wp14:anchorId="24C7C08E" wp14:editId="1E32BC1D">
            <wp:extent cx="5854700" cy="3651250"/>
            <wp:effectExtent l="0" t="0" r="12700" b="6350"/>
            <wp:docPr id="1150224857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BB08C3AC-DFFD-0EF5-E14A-564E93E56EE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3B08740D" w14:textId="77777777" w:rsidR="004039B0" w:rsidRPr="00A87F85" w:rsidRDefault="004039B0" w:rsidP="004039B0">
      <w:pPr>
        <w:rPr>
          <w:lang w:val="en-US"/>
        </w:rPr>
      </w:pPr>
    </w:p>
    <w:p w14:paraId="4E58E7B8" w14:textId="77777777" w:rsidR="004039B0" w:rsidRDefault="004039B0" w:rsidP="004039B0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3BE653F" w14:textId="77777777" w:rsidR="004039B0" w:rsidRDefault="004039B0" w:rsidP="004039B0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A3EEED6" w14:textId="77777777" w:rsidR="004039B0" w:rsidRDefault="004039B0" w:rsidP="004039B0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B5D767C" w14:textId="77777777" w:rsidR="004039B0" w:rsidRDefault="004039B0" w:rsidP="004039B0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B975EDF" w14:textId="77777777" w:rsidR="004039B0" w:rsidRDefault="004039B0" w:rsidP="004039B0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91F5319" w14:textId="77777777" w:rsidR="004039B0" w:rsidRDefault="004039B0" w:rsidP="004039B0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1C3C7DC" w14:textId="77777777" w:rsidR="004039B0" w:rsidRDefault="004039B0" w:rsidP="004039B0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ED744B2" w14:textId="77777777" w:rsidR="004039B0" w:rsidRDefault="004039B0" w:rsidP="004039B0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3735195" w14:textId="77777777" w:rsidR="004039B0" w:rsidRDefault="004039B0" w:rsidP="004039B0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A0D90C8" w14:textId="77777777" w:rsidR="004039B0" w:rsidRDefault="004039B0" w:rsidP="004039B0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577FF5B" w14:textId="77777777" w:rsidR="004039B0" w:rsidRDefault="004039B0" w:rsidP="004039B0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78C1077" w14:textId="77777777" w:rsidR="004039B0" w:rsidRDefault="004039B0" w:rsidP="004039B0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36066DF" w14:textId="77777777" w:rsidR="004039B0" w:rsidRDefault="004039B0" w:rsidP="004039B0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563BD81" w14:textId="77777777" w:rsidR="00BA1552" w:rsidRDefault="00BA1552"/>
    <w:sectPr w:rsidR="00BA155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4C74E" w14:textId="77777777" w:rsidR="004129EF" w:rsidRDefault="004129EF" w:rsidP="004039B0">
      <w:pPr>
        <w:spacing w:after="0" w:line="240" w:lineRule="auto"/>
      </w:pPr>
      <w:r>
        <w:separator/>
      </w:r>
    </w:p>
  </w:endnote>
  <w:endnote w:type="continuationSeparator" w:id="0">
    <w:p w14:paraId="150998CC" w14:textId="77777777" w:rsidR="004129EF" w:rsidRDefault="004129EF" w:rsidP="00403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3099538"/>
      <w:docPartObj>
        <w:docPartGallery w:val="Page Numbers (Bottom of Page)"/>
        <w:docPartUnique/>
      </w:docPartObj>
    </w:sdtPr>
    <w:sdtContent>
      <w:p w14:paraId="1D9997DB" w14:textId="0908D831" w:rsidR="004039B0" w:rsidRDefault="004039B0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B623B3" w14:textId="77777777" w:rsidR="004039B0" w:rsidRDefault="004039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5BAFE" w14:textId="77777777" w:rsidR="004129EF" w:rsidRDefault="004129EF" w:rsidP="004039B0">
      <w:pPr>
        <w:spacing w:after="0" w:line="240" w:lineRule="auto"/>
      </w:pPr>
      <w:r>
        <w:separator/>
      </w:r>
    </w:p>
  </w:footnote>
  <w:footnote w:type="continuationSeparator" w:id="0">
    <w:p w14:paraId="6267FD3F" w14:textId="77777777" w:rsidR="004129EF" w:rsidRDefault="004129EF" w:rsidP="004039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9B0"/>
    <w:rsid w:val="000071C4"/>
    <w:rsid w:val="00012B39"/>
    <w:rsid w:val="004039B0"/>
    <w:rsid w:val="004129EF"/>
    <w:rsid w:val="004D21E6"/>
    <w:rsid w:val="004D22A6"/>
    <w:rsid w:val="004D753F"/>
    <w:rsid w:val="008C2DC1"/>
    <w:rsid w:val="00A97BDB"/>
    <w:rsid w:val="00BA1552"/>
    <w:rsid w:val="00E60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A4AF1"/>
  <w15:chartTrackingRefBased/>
  <w15:docId w15:val="{EBAB3CE4-0680-4822-8ED5-691D8F90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v-S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39B0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9B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03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39B0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403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39B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hoel0003\Desktop\New%20incidence%20data%2025-3-2024\Pat%20chart%2026-3-2024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hoel0003\Desktop\New%20incidence%20data%2025-3-2024\Pat%20chart%2026-3-2024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hoel0003\Desktop\New%20incidence%20data%2030-3-2024\others\Pat%20chart%2026-3-2024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6869964425178562E-2"/>
          <c:y val="7.2289156626506021E-2"/>
          <c:w val="0.86828682999990858"/>
          <c:h val="0.67833602125035575"/>
        </c:manualLayout>
      </c:layout>
      <c:lineChart>
        <c:grouping val="standard"/>
        <c:varyColors val="0"/>
        <c:ser>
          <c:idx val="0"/>
          <c:order val="0"/>
          <c:tx>
            <c:strRef>
              <c:f>'Annual incidence no fainting'!$C$4:$C$5</c:f>
              <c:strCache>
                <c:ptCount val="2"/>
                <c:pt idx="0">
                  <c:v>All cardiac events</c:v>
                </c:pt>
                <c:pt idx="1">
                  <c:v>Male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'Annual incidence no fainting'!$B$6:$B$18</c:f>
              <c:numCache>
                <c:formatCode>General</c:formatCode>
                <c:ptCount val="13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</c:numCache>
            </c:numRef>
          </c:cat>
          <c:val>
            <c:numRef>
              <c:f>'Annual incidence no fainting'!$C$6:$C$18</c:f>
              <c:numCache>
                <c:formatCode>General</c:formatCode>
                <c:ptCount val="13"/>
                <c:pt idx="0">
                  <c:v>0.31</c:v>
                </c:pt>
                <c:pt idx="1">
                  <c:v>0.37</c:v>
                </c:pt>
                <c:pt idx="2">
                  <c:v>0.36</c:v>
                </c:pt>
                <c:pt idx="3">
                  <c:v>0.42</c:v>
                </c:pt>
                <c:pt idx="4">
                  <c:v>0.46</c:v>
                </c:pt>
                <c:pt idx="5">
                  <c:v>0.54</c:v>
                </c:pt>
                <c:pt idx="6">
                  <c:v>0.57999999999999996</c:v>
                </c:pt>
                <c:pt idx="7">
                  <c:v>0.54</c:v>
                </c:pt>
                <c:pt idx="8">
                  <c:v>0.5</c:v>
                </c:pt>
                <c:pt idx="9">
                  <c:v>0.52</c:v>
                </c:pt>
                <c:pt idx="10">
                  <c:v>0.51</c:v>
                </c:pt>
                <c:pt idx="11">
                  <c:v>0.51</c:v>
                </c:pt>
                <c:pt idx="12">
                  <c:v>0.49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CE08-4AA8-BF1B-A6625010B284}"/>
            </c:ext>
          </c:extLst>
        </c:ser>
        <c:ser>
          <c:idx val="1"/>
          <c:order val="1"/>
          <c:tx>
            <c:strRef>
              <c:f>'Annual incidence no fainting'!$D$4:$D$5</c:f>
              <c:strCache>
                <c:ptCount val="2"/>
                <c:pt idx="0">
                  <c:v>All cardiac events</c:v>
                </c:pt>
                <c:pt idx="1">
                  <c:v>Female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numRef>
              <c:f>'Annual incidence no fainting'!$B$6:$B$18</c:f>
              <c:numCache>
                <c:formatCode>General</c:formatCode>
                <c:ptCount val="13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</c:numCache>
            </c:numRef>
          </c:cat>
          <c:val>
            <c:numRef>
              <c:f>'Annual incidence no fainting'!$D$6:$D$18</c:f>
              <c:numCache>
                <c:formatCode>General</c:formatCode>
                <c:ptCount val="13"/>
                <c:pt idx="0">
                  <c:v>0.32</c:v>
                </c:pt>
                <c:pt idx="1">
                  <c:v>0.36</c:v>
                </c:pt>
                <c:pt idx="2">
                  <c:v>0.34</c:v>
                </c:pt>
                <c:pt idx="3">
                  <c:v>0.44</c:v>
                </c:pt>
                <c:pt idx="4">
                  <c:v>0.48</c:v>
                </c:pt>
                <c:pt idx="5">
                  <c:v>0.52</c:v>
                </c:pt>
                <c:pt idx="6">
                  <c:v>0.57999999999999996</c:v>
                </c:pt>
                <c:pt idx="7">
                  <c:v>0.63</c:v>
                </c:pt>
                <c:pt idx="8">
                  <c:v>0.6</c:v>
                </c:pt>
                <c:pt idx="9">
                  <c:v>0.6</c:v>
                </c:pt>
                <c:pt idx="10">
                  <c:v>0.6</c:v>
                </c:pt>
                <c:pt idx="11">
                  <c:v>0.6</c:v>
                </c:pt>
                <c:pt idx="12">
                  <c:v>0.56999999999999995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CE08-4AA8-BF1B-A6625010B284}"/>
            </c:ext>
          </c:extLst>
        </c:ser>
        <c:ser>
          <c:idx val="2"/>
          <c:order val="2"/>
          <c:tx>
            <c:strRef>
              <c:f>'Annual incidence no fainting'!$E$4:$E$5</c:f>
              <c:strCache>
                <c:ptCount val="2"/>
                <c:pt idx="0">
                  <c:v>First-ever cardiac event</c:v>
                </c:pt>
                <c:pt idx="1">
                  <c:v>Male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numRef>
              <c:f>'Annual incidence no fainting'!$B$6:$B$18</c:f>
              <c:numCache>
                <c:formatCode>General</c:formatCode>
                <c:ptCount val="13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</c:numCache>
            </c:numRef>
          </c:cat>
          <c:val>
            <c:numRef>
              <c:f>'Annual incidence no fainting'!$E$6:$E$18</c:f>
              <c:numCache>
                <c:formatCode>General</c:formatCode>
                <c:ptCount val="13"/>
                <c:pt idx="1">
                  <c:v>0.34</c:v>
                </c:pt>
                <c:pt idx="2">
                  <c:v>0.32</c:v>
                </c:pt>
                <c:pt idx="3">
                  <c:v>0.35</c:v>
                </c:pt>
                <c:pt idx="4">
                  <c:v>0.38</c:v>
                </c:pt>
                <c:pt idx="5">
                  <c:v>0.47</c:v>
                </c:pt>
                <c:pt idx="6">
                  <c:v>0.48</c:v>
                </c:pt>
                <c:pt idx="7">
                  <c:v>0.43</c:v>
                </c:pt>
                <c:pt idx="8">
                  <c:v>0.41</c:v>
                </c:pt>
                <c:pt idx="9">
                  <c:v>0.4</c:v>
                </c:pt>
                <c:pt idx="10">
                  <c:v>0.41</c:v>
                </c:pt>
                <c:pt idx="11">
                  <c:v>0.38</c:v>
                </c:pt>
                <c:pt idx="12">
                  <c:v>0.38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CE08-4AA8-BF1B-A6625010B284}"/>
            </c:ext>
          </c:extLst>
        </c:ser>
        <c:ser>
          <c:idx val="3"/>
          <c:order val="3"/>
          <c:tx>
            <c:strRef>
              <c:f>'Annual incidence no fainting'!$F$4:$F$5</c:f>
              <c:strCache>
                <c:ptCount val="2"/>
                <c:pt idx="0">
                  <c:v>First-ever cardiac event</c:v>
                </c:pt>
                <c:pt idx="1">
                  <c:v>Female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cat>
            <c:numRef>
              <c:f>'Annual incidence no fainting'!$B$6:$B$18</c:f>
              <c:numCache>
                <c:formatCode>General</c:formatCode>
                <c:ptCount val="13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</c:numCache>
            </c:numRef>
          </c:cat>
          <c:val>
            <c:numRef>
              <c:f>'Annual incidence no fainting'!$F$6:$F$18</c:f>
              <c:numCache>
                <c:formatCode>General</c:formatCode>
                <c:ptCount val="13"/>
                <c:pt idx="1">
                  <c:v>0.33</c:v>
                </c:pt>
                <c:pt idx="2">
                  <c:v>0.28000000000000003</c:v>
                </c:pt>
                <c:pt idx="3">
                  <c:v>0.36</c:v>
                </c:pt>
                <c:pt idx="4">
                  <c:v>0.38</c:v>
                </c:pt>
                <c:pt idx="5">
                  <c:v>0.4</c:v>
                </c:pt>
                <c:pt idx="6">
                  <c:v>0.46</c:v>
                </c:pt>
                <c:pt idx="7">
                  <c:v>0.48</c:v>
                </c:pt>
                <c:pt idx="8">
                  <c:v>0.45</c:v>
                </c:pt>
                <c:pt idx="9">
                  <c:v>0.43</c:v>
                </c:pt>
                <c:pt idx="10">
                  <c:v>0.43</c:v>
                </c:pt>
                <c:pt idx="11">
                  <c:v>0.41</c:v>
                </c:pt>
                <c:pt idx="12">
                  <c:v>0.39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CE08-4AA8-BF1B-A6625010B28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08616256"/>
        <c:axId val="2128959088"/>
      </c:lineChart>
      <c:catAx>
        <c:axId val="10861625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sv-SE" sz="1000" b="1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Incidence,y</a:t>
                </a:r>
              </a:p>
            </c:rich>
          </c:tx>
          <c:layout>
            <c:manualLayout>
              <c:xMode val="edge"/>
              <c:yMode val="edge"/>
              <c:x val="0.41222639852945209"/>
              <c:y val="0.866682281153212"/>
            </c:manualLayout>
          </c:layout>
          <c:overlay val="0"/>
          <c:spPr>
            <a:noFill/>
            <a:ln>
              <a:solidFill>
                <a:schemeClr val="tx1"/>
              </a:solidFill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sv-S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v-SE"/>
          </a:p>
        </c:txPr>
        <c:crossAx val="2128959088"/>
        <c:crosses val="autoZero"/>
        <c:auto val="1"/>
        <c:lblAlgn val="ctr"/>
        <c:lblOffset val="100"/>
        <c:noMultiLvlLbl val="0"/>
      </c:catAx>
      <c:valAx>
        <c:axId val="21289590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sv-SE" sz="1000" b="1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Incidence,%</a:t>
                </a:r>
              </a:p>
            </c:rich>
          </c:tx>
          <c:layout>
            <c:manualLayout>
              <c:xMode val="edge"/>
              <c:yMode val="edge"/>
              <c:x val="1.1062763496026412E-2"/>
              <c:y val="0.29614804998690231"/>
            </c:manualLayout>
          </c:layout>
          <c:overlay val="0"/>
          <c:spPr>
            <a:noFill/>
            <a:ln>
              <a:solidFill>
                <a:schemeClr val="tx1"/>
              </a:solidFill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sv-S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v-SE"/>
          </a:p>
        </c:txPr>
        <c:crossAx val="108616256"/>
        <c:crosses val="autoZero"/>
        <c:crossBetween val="between"/>
      </c:valAx>
      <c:spPr>
        <a:noFill/>
        <a:ln>
          <a:solidFill>
            <a:schemeClr val="bg1"/>
          </a:solidFill>
        </a:ln>
        <a:effectLst/>
      </c:spPr>
    </c:plotArea>
    <c:legend>
      <c:legendPos val="b"/>
      <c:layout>
        <c:manualLayout>
          <c:xMode val="edge"/>
          <c:yMode val="edge"/>
          <c:x val="0.57747812011303468"/>
          <c:y val="0.46577906677327985"/>
          <c:w val="0.37698336488426754"/>
          <c:h val="0.23817962513721933"/>
        </c:manualLayout>
      </c:layout>
      <c:overlay val="0"/>
      <c:spPr>
        <a:noFill/>
        <a:ln>
          <a:solidFill>
            <a:schemeClr val="tx1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sv-SE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sv-SE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3564986977010295E-2"/>
          <c:y val="7.620618772210995E-2"/>
          <c:w val="0.81720620486492723"/>
          <c:h val="0.7646161417322836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'Mean incidence no fainti'!$D$2:$D$3</c:f>
              <c:strCache>
                <c:ptCount val="2"/>
                <c:pt idx="0">
                  <c:v>All cardiac events </c:v>
                </c:pt>
                <c:pt idx="1">
                  <c:v>Male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'Mean incidence no fainti'!$C$4:$C$15</c:f>
              <c:strCache>
                <c:ptCount val="12"/>
                <c:pt idx="3">
                  <c:v>5-9</c:v>
                </c:pt>
                <c:pt idx="5">
                  <c:v>10-14</c:v>
                </c:pt>
                <c:pt idx="7">
                  <c:v>15-19</c:v>
                </c:pt>
                <c:pt idx="9">
                  <c:v>20-24</c:v>
                </c:pt>
                <c:pt idx="11">
                  <c:v>25-30</c:v>
                </c:pt>
              </c:strCache>
            </c:strRef>
          </c:cat>
          <c:val>
            <c:numRef>
              <c:f>'Mean incidence no fainti'!$D$4:$D$15</c:f>
              <c:numCache>
                <c:formatCode>General</c:formatCode>
                <c:ptCount val="12"/>
                <c:pt idx="3">
                  <c:v>0.18</c:v>
                </c:pt>
                <c:pt idx="5">
                  <c:v>0.25</c:v>
                </c:pt>
                <c:pt idx="7">
                  <c:v>0.42</c:v>
                </c:pt>
                <c:pt idx="9">
                  <c:v>0.64</c:v>
                </c:pt>
                <c:pt idx="11">
                  <c:v>0.57999999999999996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73B-4D89-A82C-49058B36E7F8}"/>
            </c:ext>
          </c:extLst>
        </c:ser>
        <c:ser>
          <c:idx val="1"/>
          <c:order val="1"/>
          <c:tx>
            <c:strRef>
              <c:f>'Mean incidence no fainti'!$E$2:$E$3</c:f>
              <c:strCache>
                <c:ptCount val="2"/>
                <c:pt idx="0">
                  <c:v>All cardiac events </c:v>
                </c:pt>
                <c:pt idx="1">
                  <c:v>Female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'Mean incidence no fainti'!$C$4:$C$15</c:f>
              <c:strCache>
                <c:ptCount val="12"/>
                <c:pt idx="3">
                  <c:v>5-9</c:v>
                </c:pt>
                <c:pt idx="5">
                  <c:v>10-14</c:v>
                </c:pt>
                <c:pt idx="7">
                  <c:v>15-19</c:v>
                </c:pt>
                <c:pt idx="9">
                  <c:v>20-24</c:v>
                </c:pt>
                <c:pt idx="11">
                  <c:v>25-30</c:v>
                </c:pt>
              </c:strCache>
            </c:strRef>
          </c:cat>
          <c:val>
            <c:numRef>
              <c:f>'Mean incidence no fainti'!$E$4:$E$15</c:f>
              <c:numCache>
                <c:formatCode>General</c:formatCode>
                <c:ptCount val="12"/>
                <c:pt idx="3">
                  <c:v>0.16</c:v>
                </c:pt>
                <c:pt idx="5">
                  <c:v>0.3</c:v>
                </c:pt>
                <c:pt idx="7">
                  <c:v>0.5</c:v>
                </c:pt>
                <c:pt idx="9">
                  <c:v>0.56000000000000005</c:v>
                </c:pt>
                <c:pt idx="11">
                  <c:v>0.57999999999999996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73B-4D89-A82C-49058B36E7F8}"/>
            </c:ext>
          </c:extLst>
        </c:ser>
        <c:ser>
          <c:idx val="2"/>
          <c:order val="2"/>
          <c:tx>
            <c:strRef>
              <c:f>'Mean incidence no fainti'!$F$2:$F$3</c:f>
              <c:strCache>
                <c:ptCount val="2"/>
                <c:pt idx="0">
                  <c:v>First-ever cardiac event </c:v>
                </c:pt>
                <c:pt idx="1">
                  <c:v>Male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'Mean incidence no fainti'!$C$4:$C$15</c:f>
              <c:strCache>
                <c:ptCount val="12"/>
                <c:pt idx="3">
                  <c:v>5-9</c:v>
                </c:pt>
                <c:pt idx="5">
                  <c:v>10-14</c:v>
                </c:pt>
                <c:pt idx="7">
                  <c:v>15-19</c:v>
                </c:pt>
                <c:pt idx="9">
                  <c:v>20-24</c:v>
                </c:pt>
                <c:pt idx="11">
                  <c:v>25-30</c:v>
                </c:pt>
              </c:strCache>
            </c:strRef>
          </c:cat>
          <c:val>
            <c:numRef>
              <c:f>'Mean incidence no fainti'!$F$4:$F$15</c:f>
              <c:numCache>
                <c:formatCode>General</c:formatCode>
                <c:ptCount val="12"/>
                <c:pt idx="3">
                  <c:v>0.17</c:v>
                </c:pt>
                <c:pt idx="5">
                  <c:v>0.2</c:v>
                </c:pt>
                <c:pt idx="7">
                  <c:v>0.35</c:v>
                </c:pt>
                <c:pt idx="9">
                  <c:v>0.54</c:v>
                </c:pt>
                <c:pt idx="11">
                  <c:v>0.47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73B-4D89-A82C-49058B36E7F8}"/>
            </c:ext>
          </c:extLst>
        </c:ser>
        <c:ser>
          <c:idx val="3"/>
          <c:order val="3"/>
          <c:tx>
            <c:strRef>
              <c:f>'Mean incidence no fainti'!$G$2:$G$3</c:f>
              <c:strCache>
                <c:ptCount val="2"/>
                <c:pt idx="0">
                  <c:v>First-ever cardiac event </c:v>
                </c:pt>
                <c:pt idx="1">
                  <c:v>Female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'Mean incidence no fainti'!$C$4:$C$15</c:f>
              <c:strCache>
                <c:ptCount val="12"/>
                <c:pt idx="3">
                  <c:v>5-9</c:v>
                </c:pt>
                <c:pt idx="5">
                  <c:v>10-14</c:v>
                </c:pt>
                <c:pt idx="7">
                  <c:v>15-19</c:v>
                </c:pt>
                <c:pt idx="9">
                  <c:v>20-24</c:v>
                </c:pt>
                <c:pt idx="11">
                  <c:v>25-30</c:v>
                </c:pt>
              </c:strCache>
            </c:strRef>
          </c:cat>
          <c:val>
            <c:numRef>
              <c:f>'Mean incidence no fainti'!$G$4:$G$15</c:f>
              <c:numCache>
                <c:formatCode>General</c:formatCode>
                <c:ptCount val="12"/>
                <c:pt idx="3">
                  <c:v>0.13</c:v>
                </c:pt>
                <c:pt idx="5">
                  <c:v>0.26</c:v>
                </c:pt>
                <c:pt idx="7">
                  <c:v>0.39</c:v>
                </c:pt>
                <c:pt idx="9">
                  <c:v>0.42</c:v>
                </c:pt>
                <c:pt idx="11">
                  <c:v>0.43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473B-4D89-A82C-49058B36E7F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861017808"/>
        <c:axId val="2041704256"/>
      </c:barChart>
      <c:catAx>
        <c:axId val="1861017808"/>
        <c:scaling>
          <c:orientation val="minMax"/>
        </c:scaling>
        <c:delete val="0"/>
        <c:axPos val="b"/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800" b="1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sv-SE" sz="800" b="1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Age</a:t>
                </a:r>
                <a:r>
                  <a:rPr lang="sv-SE" sz="800" b="1" baseline="0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 group,y</a:t>
                </a:r>
                <a:endParaRPr lang="sv-SE" sz="800" b="1">
                  <a:solidFill>
                    <a:schemeClr val="tx1"/>
                  </a:solidFill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1322705260433995"/>
              <c:y val="0.92413784730653159"/>
            </c:manualLayout>
          </c:layout>
          <c:overlay val="0"/>
          <c:spPr>
            <a:noFill/>
            <a:ln>
              <a:solidFill>
                <a:schemeClr val="tx1"/>
              </a:solidFill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800" b="1" i="0" u="none" strike="noStrike" kern="1200" baseline="0">
                  <a:solidFill>
                    <a:schemeClr val="tx1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sv-S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sv-SE"/>
          </a:p>
        </c:txPr>
        <c:crossAx val="2041704256"/>
        <c:crosses val="autoZero"/>
        <c:auto val="1"/>
        <c:lblAlgn val="ctr"/>
        <c:lblOffset val="100"/>
        <c:noMultiLvlLbl val="0"/>
      </c:catAx>
      <c:valAx>
        <c:axId val="20417042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sv-SE" sz="1000" b="1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Incidence,%</a:t>
                </a:r>
              </a:p>
            </c:rich>
          </c:tx>
          <c:overlay val="0"/>
          <c:spPr>
            <a:noFill/>
            <a:ln>
              <a:solidFill>
                <a:sysClr val="windowText" lastClr="000000"/>
              </a:solidFill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sv-S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sv-SE"/>
          </a:p>
        </c:txPr>
        <c:crossAx val="1861017808"/>
        <c:crosses val="autoZero"/>
        <c:crossBetween val="between"/>
      </c:valAx>
      <c:spPr>
        <a:solidFill>
          <a:schemeClr val="bg1"/>
        </a:solidFill>
        <a:ln>
          <a:solidFill>
            <a:schemeClr val="bg1"/>
          </a:solidFill>
        </a:ln>
        <a:effectLst/>
      </c:spPr>
    </c:plotArea>
    <c:legend>
      <c:legendPos val="b"/>
      <c:layout>
        <c:manualLayout>
          <c:xMode val="edge"/>
          <c:yMode val="edge"/>
          <c:x val="0.11526515208543482"/>
          <c:y val="7.4827886558427981E-2"/>
          <c:w val="0.40490607890074926"/>
          <c:h val="0.26940361621463982"/>
        </c:manualLayout>
      </c:layout>
      <c:overlay val="0"/>
      <c:spPr>
        <a:noFill/>
        <a:ln>
          <a:solidFill>
            <a:schemeClr val="tx1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sv-SE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sv-SE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660219674008394"/>
          <c:y val="4.4599794590893527E-2"/>
          <c:w val="0.76978532946539557"/>
          <c:h val="0.83205011982197874"/>
        </c:manualLayout>
      </c:layout>
      <c:lineChart>
        <c:grouping val="standard"/>
        <c:varyColors val="0"/>
        <c:ser>
          <c:idx val="0"/>
          <c:order val="0"/>
          <c:tx>
            <c:strRef>
              <c:f>'Annual incidence no fainting'!$R$4:$R$5</c:f>
              <c:strCache>
                <c:ptCount val="2"/>
                <c:pt idx="0">
                  <c:v>Incidence of fainting and collapse</c:v>
                </c:pt>
                <c:pt idx="1">
                  <c:v>Male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'Annual incidence no fainting'!$Q$6:$Q$18</c:f>
              <c:numCache>
                <c:formatCode>General</c:formatCode>
                <c:ptCount val="13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</c:numCache>
            </c:numRef>
          </c:cat>
          <c:val>
            <c:numRef>
              <c:f>'Annual incidence no fainting'!$R$6:$R$18</c:f>
              <c:numCache>
                <c:formatCode>General</c:formatCode>
                <c:ptCount val="13"/>
                <c:pt idx="0">
                  <c:v>0.26</c:v>
                </c:pt>
                <c:pt idx="1">
                  <c:v>0.22</c:v>
                </c:pt>
                <c:pt idx="2">
                  <c:v>0.23</c:v>
                </c:pt>
                <c:pt idx="3">
                  <c:v>0.25</c:v>
                </c:pt>
                <c:pt idx="4">
                  <c:v>0.32</c:v>
                </c:pt>
                <c:pt idx="5">
                  <c:v>0.31</c:v>
                </c:pt>
                <c:pt idx="6">
                  <c:v>0.32</c:v>
                </c:pt>
                <c:pt idx="7">
                  <c:v>0.34</c:v>
                </c:pt>
                <c:pt idx="8">
                  <c:v>0.33</c:v>
                </c:pt>
                <c:pt idx="9">
                  <c:v>0.38</c:v>
                </c:pt>
                <c:pt idx="10">
                  <c:v>0.34</c:v>
                </c:pt>
                <c:pt idx="11">
                  <c:v>0.36</c:v>
                </c:pt>
                <c:pt idx="12">
                  <c:v>0.37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2C24-489C-83A6-1312F73113E5}"/>
            </c:ext>
          </c:extLst>
        </c:ser>
        <c:ser>
          <c:idx val="1"/>
          <c:order val="1"/>
          <c:tx>
            <c:strRef>
              <c:f>'Annual incidence no fainting'!$S$4:$S$5</c:f>
              <c:strCache>
                <c:ptCount val="2"/>
                <c:pt idx="0">
                  <c:v>Incidence of fainting and collapse</c:v>
                </c:pt>
                <c:pt idx="1">
                  <c:v>Female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numRef>
              <c:f>'Annual incidence no fainting'!$Q$6:$Q$18</c:f>
              <c:numCache>
                <c:formatCode>General</c:formatCode>
                <c:ptCount val="13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</c:numCache>
            </c:numRef>
          </c:cat>
          <c:val>
            <c:numRef>
              <c:f>'Annual incidence no fainting'!$S$6:$S$18</c:f>
              <c:numCache>
                <c:formatCode>General</c:formatCode>
                <c:ptCount val="13"/>
                <c:pt idx="0">
                  <c:v>0.42</c:v>
                </c:pt>
                <c:pt idx="1">
                  <c:v>0.44</c:v>
                </c:pt>
                <c:pt idx="2">
                  <c:v>0.5</c:v>
                </c:pt>
                <c:pt idx="3">
                  <c:v>0.56999999999999995</c:v>
                </c:pt>
                <c:pt idx="4">
                  <c:v>0.64</c:v>
                </c:pt>
                <c:pt idx="5">
                  <c:v>0.68</c:v>
                </c:pt>
                <c:pt idx="6">
                  <c:v>0.66</c:v>
                </c:pt>
                <c:pt idx="7">
                  <c:v>0.71</c:v>
                </c:pt>
                <c:pt idx="8">
                  <c:v>0.67</c:v>
                </c:pt>
                <c:pt idx="9">
                  <c:v>0.72</c:v>
                </c:pt>
                <c:pt idx="10">
                  <c:v>0.71</c:v>
                </c:pt>
                <c:pt idx="11">
                  <c:v>0.72</c:v>
                </c:pt>
                <c:pt idx="12">
                  <c:v>0.7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2C24-489C-83A6-1312F73113E5}"/>
            </c:ext>
          </c:extLst>
        </c:ser>
        <c:ser>
          <c:idx val="2"/>
          <c:order val="2"/>
          <c:tx>
            <c:strRef>
              <c:f>'Annual incidence no fainting'!$T$4:$T$5</c:f>
              <c:strCache>
                <c:ptCount val="2"/>
                <c:pt idx="0">
                  <c:v>Incidence of Cardiac event(no fainting or collapse)</c:v>
                </c:pt>
                <c:pt idx="1">
                  <c:v>Male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numRef>
              <c:f>'Annual incidence no fainting'!$Q$6:$Q$18</c:f>
              <c:numCache>
                <c:formatCode>General</c:formatCode>
                <c:ptCount val="13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</c:numCache>
            </c:numRef>
          </c:cat>
          <c:val>
            <c:numRef>
              <c:f>'Annual incidence no fainting'!$T$6:$T$18</c:f>
              <c:numCache>
                <c:formatCode>General</c:formatCode>
                <c:ptCount val="13"/>
                <c:pt idx="0">
                  <c:v>0.31</c:v>
                </c:pt>
                <c:pt idx="1">
                  <c:v>0.37</c:v>
                </c:pt>
                <c:pt idx="2">
                  <c:v>0.36</c:v>
                </c:pt>
                <c:pt idx="3">
                  <c:v>0.42</c:v>
                </c:pt>
                <c:pt idx="4">
                  <c:v>0.46</c:v>
                </c:pt>
                <c:pt idx="5">
                  <c:v>0.54</c:v>
                </c:pt>
                <c:pt idx="6">
                  <c:v>0.57999999999999996</c:v>
                </c:pt>
                <c:pt idx="7">
                  <c:v>0.54</c:v>
                </c:pt>
                <c:pt idx="8">
                  <c:v>0.5</c:v>
                </c:pt>
                <c:pt idx="9">
                  <c:v>0.52</c:v>
                </c:pt>
                <c:pt idx="10">
                  <c:v>0.51</c:v>
                </c:pt>
                <c:pt idx="11">
                  <c:v>0.51</c:v>
                </c:pt>
                <c:pt idx="12">
                  <c:v>0.49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2C24-489C-83A6-1312F73113E5}"/>
            </c:ext>
          </c:extLst>
        </c:ser>
        <c:ser>
          <c:idx val="3"/>
          <c:order val="3"/>
          <c:tx>
            <c:strRef>
              <c:f>'Annual incidence no fainting'!$U$4:$U$5</c:f>
              <c:strCache>
                <c:ptCount val="2"/>
                <c:pt idx="0">
                  <c:v>Incidence of Cardiac event(no fainting or collapse)</c:v>
                </c:pt>
                <c:pt idx="1">
                  <c:v>Female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cat>
            <c:numRef>
              <c:f>'Annual incidence no fainting'!$Q$6:$Q$18</c:f>
              <c:numCache>
                <c:formatCode>General</c:formatCode>
                <c:ptCount val="13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</c:numCache>
            </c:numRef>
          </c:cat>
          <c:val>
            <c:numRef>
              <c:f>'Annual incidence no fainting'!$U$6:$U$18</c:f>
              <c:numCache>
                <c:formatCode>General</c:formatCode>
                <c:ptCount val="13"/>
                <c:pt idx="0">
                  <c:v>0.32</c:v>
                </c:pt>
                <c:pt idx="1">
                  <c:v>0.36</c:v>
                </c:pt>
                <c:pt idx="2">
                  <c:v>0.34</c:v>
                </c:pt>
                <c:pt idx="3">
                  <c:v>0.44</c:v>
                </c:pt>
                <c:pt idx="4">
                  <c:v>0.48</c:v>
                </c:pt>
                <c:pt idx="5">
                  <c:v>0.52</c:v>
                </c:pt>
                <c:pt idx="6">
                  <c:v>0.57999999999999996</c:v>
                </c:pt>
                <c:pt idx="7">
                  <c:v>0.63</c:v>
                </c:pt>
                <c:pt idx="8">
                  <c:v>0.6</c:v>
                </c:pt>
                <c:pt idx="9">
                  <c:v>0.6</c:v>
                </c:pt>
                <c:pt idx="10">
                  <c:v>0.6</c:v>
                </c:pt>
                <c:pt idx="11">
                  <c:v>0.6</c:v>
                </c:pt>
                <c:pt idx="12">
                  <c:v>0.56999999999999995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2C24-489C-83A6-1312F73113E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722924991"/>
        <c:axId val="1722925951"/>
      </c:lineChart>
      <c:catAx>
        <c:axId val="1722924991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sv-SE" sz="1000" b="1"/>
                  <a:t>Incidence,y</a:t>
                </a:r>
              </a:p>
            </c:rich>
          </c:tx>
          <c:layout>
            <c:manualLayout>
              <c:xMode val="edge"/>
              <c:yMode val="edge"/>
              <c:x val="0.47293397810804205"/>
              <c:y val="0.93001246148579253"/>
            </c:manualLayout>
          </c:layout>
          <c:overlay val="0"/>
          <c:spPr>
            <a:noFill/>
            <a:ln>
              <a:solidFill>
                <a:schemeClr val="tx1"/>
              </a:solidFill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sv-S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sv-SE"/>
          </a:p>
        </c:txPr>
        <c:crossAx val="1722925951"/>
        <c:crosses val="autoZero"/>
        <c:auto val="1"/>
        <c:lblAlgn val="ctr"/>
        <c:lblOffset val="100"/>
        <c:noMultiLvlLbl val="0"/>
      </c:catAx>
      <c:valAx>
        <c:axId val="172292595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sv-SE" sz="1000" b="1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Incidence,%</a:t>
                </a:r>
              </a:p>
            </c:rich>
          </c:tx>
          <c:layout>
            <c:manualLayout>
              <c:xMode val="edge"/>
              <c:yMode val="edge"/>
              <c:x val="3.6553999881847564E-2"/>
              <c:y val="0.30130311537144816"/>
            </c:manualLayout>
          </c:layout>
          <c:overlay val="0"/>
          <c:spPr>
            <a:noFill/>
            <a:ln>
              <a:solidFill>
                <a:schemeClr val="tx1"/>
              </a:solidFill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sv-S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v-SE"/>
          </a:p>
        </c:txPr>
        <c:crossAx val="172292499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54640487463182852"/>
          <c:y val="0.55610599109893877"/>
          <c:w val="0.38928644369614568"/>
          <c:h val="0.30735090722355357"/>
        </c:manualLayout>
      </c:layout>
      <c:overlay val="0"/>
      <c:spPr>
        <a:noFill/>
        <a:ln>
          <a:solidFill>
            <a:schemeClr val="tx1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sv-SE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 sz="800">
          <a:solidFill>
            <a:sysClr val="windowText" lastClr="000000"/>
          </a:solidFill>
        </a:defRPr>
      </a:pPr>
      <a:endParaRPr lang="sv-SE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a48a9ac-7937-4134-8b13-3620bf967764}" enabled="1" method="Privileged" siteId="{5a4ba6f9-f531-4f32-9467-398f19e69de4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</Words>
  <Characters>373</Characters>
  <Application>Microsoft Office Word</Application>
  <DocSecurity>0</DocSecurity>
  <Lines>3</Lines>
  <Paragraphs>1</Paragraphs>
  <ScaleCrop>false</ScaleCrop>
  <Company>ITS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Howaida Elmowafi</dc:creator>
  <cp:keywords/>
  <dc:description/>
  <cp:lastModifiedBy>Howaida Elmowafi</cp:lastModifiedBy>
  <cp:revision>7</cp:revision>
  <dcterms:created xsi:type="dcterms:W3CDTF">2024-05-16T13:05:00Z</dcterms:created>
  <dcterms:modified xsi:type="dcterms:W3CDTF">2024-05-16T18:58:00Z</dcterms:modified>
</cp:coreProperties>
</file>