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11BA1" w14:textId="6A36E92D" w:rsidR="00A63EB6" w:rsidRDefault="00A63EB6" w:rsidP="00A63EB6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bookmarkStart w:id="0" w:name="_Hlk164426227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>Figure 2. Incidence of cardiac events among those aged 5–30 years exposed to psychopharmacological treatment (2006–2018).</w:t>
      </w:r>
    </w:p>
    <w:p w14:paraId="2DADD564" w14:textId="3A1A32C4" w:rsidR="00A63EB6" w:rsidRDefault="00A63EB6" w:rsidP="00A63EB6">
      <w:pPr>
        <w:tabs>
          <w:tab w:val="left" w:pos="1670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365BB6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FA742F" wp14:editId="392C44F9">
                <wp:simplePos x="0" y="0"/>
                <wp:positionH relativeFrom="margin">
                  <wp:posOffset>-61595</wp:posOffset>
                </wp:positionH>
                <wp:positionV relativeFrom="page">
                  <wp:posOffset>1383665</wp:posOffset>
                </wp:positionV>
                <wp:extent cx="241300" cy="222250"/>
                <wp:effectExtent l="0" t="0" r="25400" b="25400"/>
                <wp:wrapNone/>
                <wp:docPr id="813087288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2222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DDC7B1" id="Rectangle 3" o:spid="_x0000_s1026" style="position:absolute;margin-left:-4.85pt;margin-top:108.95pt;width:19pt;height:17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" filled="f" strokecolor="#09101d [484]" strokeweight="1pt">
                <w10:wrap anchorx="margin" anchory="page"/>
              </v:rect>
            </w:pict>
          </mc:Fallback>
        </mc:AlternateContent>
      </w:r>
      <w:r w:rsidRPr="00365BB6">
        <w:rPr>
          <w:rFonts w:ascii="Times New Roman" w:hAnsi="Times New Roman" w:cs="Times New Roman"/>
          <w:b/>
          <w:bCs/>
          <w:noProof/>
          <w:sz w:val="20"/>
          <w:szCs w:val="20"/>
          <w:lang w:val="en-US"/>
        </w:rPr>
        <w:t xml:space="preserve"> A  </w:t>
      </w:r>
      <w:r w:rsidRPr="00365BB6">
        <w:rPr>
          <w:rFonts w:ascii="Times New Roman" w:hAnsi="Times New Roman" w:cs="Times New Roman"/>
          <w:noProof/>
          <w:sz w:val="20"/>
          <w:szCs w:val="20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Overall annual incidence.</w:t>
      </w:r>
    </w:p>
    <w:p w14:paraId="3D63D290" w14:textId="77777777" w:rsidR="00E57C80" w:rsidRPr="00365BB6" w:rsidRDefault="00E57C80" w:rsidP="00A63EB6">
      <w:pPr>
        <w:tabs>
          <w:tab w:val="left" w:pos="1670"/>
        </w:tabs>
        <w:rPr>
          <w:rFonts w:ascii="Times New Roman" w:hAnsi="Times New Roman" w:cs="Times New Roman"/>
          <w:noProof/>
          <w:sz w:val="20"/>
          <w:szCs w:val="20"/>
          <w:u w:val="single"/>
          <w:lang w:val="en-US"/>
        </w:rPr>
      </w:pPr>
    </w:p>
    <w:p w14:paraId="00E0385F" w14:textId="77777777" w:rsidR="00A63EB6" w:rsidRPr="00365BB6" w:rsidRDefault="00A63EB6" w:rsidP="00A63EB6">
      <w:pPr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  <w:lang w:val="en-US"/>
        </w:rPr>
      </w:pPr>
      <w:r w:rsidRPr="00365BB6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6B8D7F0A" wp14:editId="2B0BCE9D">
            <wp:extent cx="5276850" cy="3114675"/>
            <wp:effectExtent l="0" t="0" r="0" b="9525"/>
            <wp:docPr id="110032963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57879D4D-41D6-F501-F91E-05B6AF6DE13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tbl>
      <w:tblPr>
        <w:tblStyle w:val="TableGrid"/>
        <w:tblpPr w:leftFromText="141" w:rightFromText="141" w:vertAnchor="text" w:horzAnchor="margin" w:tblpY="34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447"/>
      </w:tblGrid>
      <w:tr w:rsidR="00A63EB6" w:rsidRPr="0004454A" w14:paraId="73163AE2" w14:textId="77777777" w:rsidTr="00906341">
        <w:trPr>
          <w:trHeight w:val="117"/>
        </w:trPr>
        <w:tc>
          <w:tcPr>
            <w:tcW w:w="8447" w:type="dxa"/>
          </w:tcPr>
          <w:p w14:paraId="34DF3C3A" w14:textId="77777777" w:rsidR="00A63EB6" w:rsidRPr="007B7326" w:rsidRDefault="00A63EB6" w:rsidP="0090634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en-US"/>
              </w:rPr>
              <w:t>Cardiac events included cardiac arrest, atrial arrhythmias, supraventricular tachycardia, ventricular tachycardia, other rare or undefined arrythmias, and fainting and/or collapse. The overall mean incidence for all events was 0.98% and the overall mean incidence for first-ever events was 0.80%.</w:t>
            </w:r>
          </w:p>
        </w:tc>
      </w:tr>
    </w:tbl>
    <w:p w14:paraId="36DDF630" w14:textId="77777777" w:rsidR="00A63EB6" w:rsidRPr="00365BB6" w:rsidRDefault="00A63EB6" w:rsidP="00A63EB6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C3A57E4" w14:textId="77777777" w:rsidR="00A63EB6" w:rsidRPr="00365BB6" w:rsidRDefault="00A63EB6" w:rsidP="00A63EB6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54AB877" w14:textId="77777777" w:rsidR="00A63EB6" w:rsidRPr="00365BB6" w:rsidRDefault="00A63EB6" w:rsidP="00A63EB6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E93AA22" w14:textId="77777777" w:rsidR="00A63EB6" w:rsidRPr="00365BB6" w:rsidRDefault="00A63EB6" w:rsidP="00A63EB6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1F2D2B1" w14:textId="77777777" w:rsidR="00A63EB6" w:rsidRPr="00365BB6" w:rsidRDefault="00A63EB6" w:rsidP="00A63EB6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B8978FC" w14:textId="77777777" w:rsidR="00A63EB6" w:rsidRPr="00365BB6" w:rsidRDefault="00A63EB6" w:rsidP="00A63EB6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3F34D97" w14:textId="77777777" w:rsidR="00A63EB6" w:rsidRPr="00365BB6" w:rsidRDefault="00A63EB6" w:rsidP="00A63EB6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7F475DE" w14:textId="77777777" w:rsidR="00A63EB6" w:rsidRPr="00365BB6" w:rsidRDefault="00A63EB6" w:rsidP="00A63EB6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85AA196" w14:textId="77777777" w:rsidR="00A63EB6" w:rsidRPr="00365BB6" w:rsidRDefault="00A63EB6" w:rsidP="00A63EB6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7F5CC76" w14:textId="77777777" w:rsidR="00A63EB6" w:rsidRPr="00365BB6" w:rsidRDefault="00A63EB6" w:rsidP="00A63EB6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BB1A3F4" w14:textId="77777777" w:rsidR="00A63EB6" w:rsidRPr="00365BB6" w:rsidRDefault="00A63EB6" w:rsidP="00A63EB6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8EBC6B9" w14:textId="77777777" w:rsidR="00A63EB6" w:rsidRPr="00365BB6" w:rsidRDefault="00A63EB6" w:rsidP="00A63EB6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8335D15" w14:textId="77777777" w:rsidR="00A63EB6" w:rsidRPr="00365BB6" w:rsidRDefault="00A63EB6" w:rsidP="00A63EB6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586B91B" w14:textId="77777777" w:rsidR="00A63EB6" w:rsidRPr="00365BB6" w:rsidRDefault="00A63EB6" w:rsidP="00A63EB6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C782FC7" w14:textId="77777777" w:rsidR="00A63EB6" w:rsidRPr="00365BB6" w:rsidRDefault="00A63EB6" w:rsidP="00A63EB6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9CDBF82" w14:textId="77777777" w:rsidR="00A63EB6" w:rsidRPr="00365BB6" w:rsidRDefault="00A63EB6" w:rsidP="00A63EB6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538AC61" w14:textId="77777777" w:rsidR="00A63EB6" w:rsidRPr="00365BB6" w:rsidRDefault="00A63EB6" w:rsidP="00A63EB6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A39CA05" w14:textId="77777777" w:rsidR="00A63EB6" w:rsidRPr="00365BB6" w:rsidRDefault="00A63EB6" w:rsidP="00A63EB6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65BB6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3E6A7F" wp14:editId="418852D1">
                <wp:simplePos x="0" y="0"/>
                <wp:positionH relativeFrom="column">
                  <wp:posOffset>-17145</wp:posOffset>
                </wp:positionH>
                <wp:positionV relativeFrom="paragraph">
                  <wp:posOffset>315595</wp:posOffset>
                </wp:positionV>
                <wp:extent cx="184150" cy="196850"/>
                <wp:effectExtent l="0" t="0" r="25400" b="12700"/>
                <wp:wrapNone/>
                <wp:docPr id="1431042391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968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61ABDC" id="Rectangle 3" o:spid="_x0000_s1026" style="position:absolute;margin-left:-1.35pt;margin-top:24.85pt;width:14.5pt;height:1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" filled="f" strokecolor="#09101d [484]" strokeweight="1pt"/>
            </w:pict>
          </mc:Fallback>
        </mc:AlternateContent>
      </w:r>
    </w:p>
    <w:p w14:paraId="46081847" w14:textId="3886A1DF" w:rsidR="00A63EB6" w:rsidRPr="00365BB6" w:rsidRDefault="00A63EB6" w:rsidP="00A63EB6">
      <w:pPr>
        <w:spacing w:line="276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56DC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Annual incidence by sex.</w:t>
      </w:r>
    </w:p>
    <w:p w14:paraId="3F983C4D" w14:textId="77777777" w:rsidR="00A63EB6" w:rsidRPr="00365BB6" w:rsidRDefault="00A63EB6" w:rsidP="00A63EB6">
      <w:pPr>
        <w:jc w:val="both"/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  <w:lang w:val="en-US"/>
          <w14:textOutline w14:w="9525" w14:cap="rnd" w14:cmpd="sng" w14:algn="ctr">
            <w14:solidFill>
              <w14:srgbClr w14:val="0070C0"/>
            </w14:solidFill>
            <w14:prstDash w14:val="solid"/>
            <w14:bevel/>
          </w14:textOutline>
        </w:rPr>
      </w:pPr>
      <w:r w:rsidRPr="00365BB6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25DDFD1C" wp14:editId="5043E533">
            <wp:extent cx="5410200" cy="3124200"/>
            <wp:effectExtent l="0" t="0" r="0" b="0"/>
            <wp:docPr id="1287923958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EE8EC6C5-C20F-5143-F833-2255E964ED0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tbl>
      <w:tblPr>
        <w:tblStyle w:val="TableGrid"/>
        <w:tblpPr w:leftFromText="141" w:rightFromText="141" w:vertAnchor="text" w:horzAnchor="margin" w:tblpY="23"/>
        <w:tblW w:w="8609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09"/>
      </w:tblGrid>
      <w:tr w:rsidR="00A63EB6" w:rsidRPr="0004454A" w14:paraId="701AB9CF" w14:textId="77777777" w:rsidTr="00906341">
        <w:trPr>
          <w:trHeight w:val="223"/>
        </w:trPr>
        <w:tc>
          <w:tcPr>
            <w:tcW w:w="8609" w:type="dxa"/>
          </w:tcPr>
          <w:p w14:paraId="4E4E2E03" w14:textId="77777777" w:rsidR="00A63EB6" w:rsidRDefault="00A63EB6" w:rsidP="00906341">
            <w:pPr>
              <w:spacing w:line="276" w:lineRule="auto"/>
              <w:jc w:val="both"/>
              <w:rPr>
                <w:rFonts w:ascii="Times New Roman" w:hAnsi="Times New Roman" w:cs="Times New Roman"/>
                <w:color w:val="0D0D0D"/>
                <w:sz w:val="16"/>
                <w:szCs w:val="16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D0D0D"/>
                <w:sz w:val="16"/>
                <w:szCs w:val="16"/>
                <w:shd w:val="clear" w:color="auto" w:fill="FFFFFF"/>
                <w:lang w:val="en-US"/>
              </w:rPr>
              <w:t>The mean annual incidence rate of all cardiac events was 0.8% for males and 1.13% for females.</w:t>
            </w:r>
          </w:p>
          <w:p w14:paraId="28481357" w14:textId="77777777" w:rsidR="00A63EB6" w:rsidRPr="00093B1D" w:rsidRDefault="00A63EB6" w:rsidP="0090634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0D0D0D"/>
                <w:sz w:val="16"/>
                <w:szCs w:val="16"/>
                <w:shd w:val="clear" w:color="auto" w:fill="FFFFFF"/>
                <w:lang w:val="en-US"/>
              </w:rPr>
              <w:t>The mean annual incidence rate of first-ever cardiac events was 0.67% for males and 0.9% for females.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093B1D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sz w:val="16"/>
                <w:szCs w:val="16"/>
                <w:lang w:val="en-US"/>
              </w:rPr>
              <w:t xml:space="preserve"> </w:t>
            </w:r>
          </w:p>
        </w:tc>
      </w:tr>
    </w:tbl>
    <w:p w14:paraId="4C5725CC" w14:textId="77777777" w:rsidR="00A63EB6" w:rsidRPr="00365BB6" w:rsidRDefault="00A63EB6" w:rsidP="00A63EB6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</w:rPr>
      </w:pPr>
    </w:p>
    <w:p w14:paraId="4651D6A8" w14:textId="77777777" w:rsidR="00A63EB6" w:rsidRPr="00365BB6" w:rsidRDefault="00A63EB6" w:rsidP="00A63EB6">
      <w:pPr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  <w:lang w:val="en-US"/>
        </w:rPr>
      </w:pPr>
    </w:p>
    <w:p w14:paraId="4CA4B2D0" w14:textId="77777777" w:rsidR="00A63EB6" w:rsidRPr="00365BB6" w:rsidRDefault="00A63EB6" w:rsidP="00A63EB6">
      <w:pPr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  <w:lang w:val="en-US"/>
        </w:rPr>
      </w:pPr>
    </w:p>
    <w:p w14:paraId="656CAFD9" w14:textId="77777777" w:rsidR="00A63EB6" w:rsidRPr="00365BB6" w:rsidRDefault="00A63EB6" w:rsidP="00A63EB6">
      <w:pPr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  <w:lang w:val="en-US"/>
        </w:rPr>
      </w:pPr>
    </w:p>
    <w:p w14:paraId="15A31351" w14:textId="77777777" w:rsidR="00A63EB6" w:rsidRPr="00365BB6" w:rsidRDefault="00A63EB6" w:rsidP="00A63EB6">
      <w:pPr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  <w:lang w:val="en-US"/>
        </w:rPr>
      </w:pPr>
    </w:p>
    <w:p w14:paraId="2C28CB17" w14:textId="77777777" w:rsidR="00A63EB6" w:rsidRPr="00365BB6" w:rsidRDefault="00A63EB6" w:rsidP="00A63EB6">
      <w:pPr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  <w:lang w:val="en-US"/>
        </w:rPr>
      </w:pPr>
    </w:p>
    <w:p w14:paraId="340401D4" w14:textId="77777777" w:rsidR="00A63EB6" w:rsidRPr="00365BB6" w:rsidRDefault="00A63EB6" w:rsidP="00A63EB6">
      <w:pPr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  <w:lang w:val="en-US"/>
        </w:rPr>
      </w:pPr>
    </w:p>
    <w:p w14:paraId="18C6FF01" w14:textId="77777777" w:rsidR="00A63EB6" w:rsidRPr="00365BB6" w:rsidRDefault="00A63EB6" w:rsidP="00A63EB6">
      <w:pPr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  <w:lang w:val="en-US"/>
        </w:rPr>
      </w:pPr>
    </w:p>
    <w:p w14:paraId="25318CCD" w14:textId="77777777" w:rsidR="00A63EB6" w:rsidRPr="00365BB6" w:rsidRDefault="00A63EB6" w:rsidP="00A63EB6">
      <w:pPr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  <w:lang w:val="en-US"/>
        </w:rPr>
      </w:pPr>
    </w:p>
    <w:p w14:paraId="78F35A3A" w14:textId="77777777" w:rsidR="00A63EB6" w:rsidRPr="00365BB6" w:rsidRDefault="00A63EB6" w:rsidP="00A63EB6">
      <w:pPr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  <w:lang w:val="en-US"/>
        </w:rPr>
      </w:pPr>
    </w:p>
    <w:p w14:paraId="2AD96765" w14:textId="77777777" w:rsidR="00A63EB6" w:rsidRPr="00365BB6" w:rsidRDefault="00A63EB6" w:rsidP="00A63EB6">
      <w:pPr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  <w:lang w:val="en-US"/>
        </w:rPr>
      </w:pPr>
    </w:p>
    <w:p w14:paraId="71605F23" w14:textId="77777777" w:rsidR="00A63EB6" w:rsidRPr="00365BB6" w:rsidRDefault="00A63EB6" w:rsidP="00A63EB6">
      <w:pPr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  <w:lang w:val="en-US"/>
        </w:rPr>
      </w:pPr>
    </w:p>
    <w:p w14:paraId="192EAC91" w14:textId="77777777" w:rsidR="00A63EB6" w:rsidRPr="00365BB6" w:rsidRDefault="00A63EB6" w:rsidP="00A63EB6">
      <w:pPr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  <w:lang w:val="en-US"/>
        </w:rPr>
      </w:pPr>
    </w:p>
    <w:p w14:paraId="2E9EEB0D" w14:textId="77777777" w:rsidR="00A63EB6" w:rsidRPr="00365BB6" w:rsidRDefault="00A63EB6" w:rsidP="00A63EB6">
      <w:pPr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  <w:lang w:val="en-US"/>
        </w:rPr>
      </w:pPr>
    </w:p>
    <w:p w14:paraId="21AC2A4A" w14:textId="77777777" w:rsidR="00A63EB6" w:rsidRPr="00365BB6" w:rsidRDefault="00A63EB6" w:rsidP="00A63EB6">
      <w:pPr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  <w:lang w:val="en-US"/>
        </w:rPr>
      </w:pPr>
    </w:p>
    <w:p w14:paraId="64DF272E" w14:textId="77777777" w:rsidR="00A63EB6" w:rsidRPr="00365BB6" w:rsidRDefault="00A63EB6" w:rsidP="00A63EB6">
      <w:pPr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  <w:lang w:val="en-US"/>
        </w:rPr>
      </w:pPr>
    </w:p>
    <w:p w14:paraId="5FEF08CB" w14:textId="77777777" w:rsidR="00A63EB6" w:rsidRPr="00365BB6" w:rsidRDefault="00A63EB6" w:rsidP="00A63EB6">
      <w:pPr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  <w:lang w:val="en-US"/>
        </w:rPr>
      </w:pPr>
    </w:p>
    <w:p w14:paraId="703141F7" w14:textId="77777777" w:rsidR="00A63EB6" w:rsidRPr="00365BB6" w:rsidRDefault="00A63EB6" w:rsidP="00A63EB6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</w:rPr>
      </w:pPr>
    </w:p>
    <w:p w14:paraId="2CBC81FD" w14:textId="76588E70" w:rsidR="00A63EB6" w:rsidRPr="00365BB6" w:rsidRDefault="00A63EB6" w:rsidP="00A63EB6">
      <w:pPr>
        <w:spacing w:line="276" w:lineRule="auto"/>
        <w:rPr>
          <w:rFonts w:ascii="Times New Roman" w:hAnsi="Times New Roman" w:cs="Times New Roman"/>
          <w:color w:val="000000" w:themeColor="text1"/>
          <w:sz w:val="20"/>
          <w:szCs w:val="20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65BB6"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BCC10C" wp14:editId="7F46DC4C">
                <wp:simplePos x="0" y="0"/>
                <wp:positionH relativeFrom="margin">
                  <wp:align>left</wp:align>
                </wp:positionH>
                <wp:positionV relativeFrom="paragraph">
                  <wp:posOffset>-4445</wp:posOffset>
                </wp:positionV>
                <wp:extent cx="247650" cy="234950"/>
                <wp:effectExtent l="0" t="0" r="19050" b="12700"/>
                <wp:wrapNone/>
                <wp:docPr id="633409227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349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EB5951" id="Rectangle 3" o:spid="_x0000_s1026" style="position:absolute;margin-left:0;margin-top:-.35pt;width:19.5pt;height:18.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" filled="f" strokecolor="#09101d [484]" strokeweight="1pt">
                <w10:wrap anchorx="margin"/>
              </v:rect>
            </w:pict>
          </mc:Fallback>
        </mc:AlternateContent>
      </w:r>
      <w:r w:rsidRPr="00365BB6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</w:rPr>
        <w:t xml:space="preserve"> C</w:t>
      </w:r>
      <w:r w:rsidRPr="00365BB6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</w:t>
      </w:r>
      <w:r w:rsidRPr="00365BB6">
        <w:rPr>
          <w:rFonts w:ascii="Times New Roman" w:hAnsi="Times New Roman" w:cs="Times New Roman"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Mean overall</w:t>
      </w:r>
      <w:r w:rsidRPr="00365BB6">
        <w:rPr>
          <w:rFonts w:ascii="Times New Roman" w:hAnsi="Times New Roman" w:cs="Times New Roman"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incidence by sex and age</w:t>
      </w:r>
      <w:r w:rsidR="006F5858">
        <w:rPr>
          <w:rFonts w:ascii="Times New Roman" w:hAnsi="Times New Roman" w:cs="Times New Roman"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56D3980E" w14:textId="77777777" w:rsidR="00A63EB6" w:rsidRPr="00365BB6" w:rsidRDefault="00A63EB6" w:rsidP="00A63EB6">
      <w:pPr>
        <w:spacing w:line="276" w:lineRule="auto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65BB6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5C7E41E0" wp14:editId="72B2085C">
            <wp:extent cx="5797550" cy="4025900"/>
            <wp:effectExtent l="0" t="0" r="12700" b="12700"/>
            <wp:docPr id="1539527622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8F3EA1A9-3DA5-00EF-C3A1-68D0A0CEAE4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tbl>
      <w:tblPr>
        <w:tblStyle w:val="TableGrid"/>
        <w:tblW w:w="9459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59"/>
      </w:tblGrid>
      <w:tr w:rsidR="00A63EB6" w:rsidRPr="0004454A" w14:paraId="7703884E" w14:textId="77777777" w:rsidTr="00906341">
        <w:trPr>
          <w:trHeight w:val="877"/>
        </w:trPr>
        <w:tc>
          <w:tcPr>
            <w:tcW w:w="9459" w:type="dxa"/>
          </w:tcPr>
          <w:p w14:paraId="0E7D466D" w14:textId="77777777" w:rsidR="00A63EB6" w:rsidRPr="002765BB" w:rsidRDefault="00A63EB6" w:rsidP="00906341">
            <w:pPr>
              <w:spacing w:after="16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The mean overall incidence </w:t>
            </w:r>
            <w:r w:rsidRPr="002765B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rate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s of cardiac events, by age group, were: 5–9 y = 0.36%, 10–14 y = 0.64%, 15–19 y = 1.18%, 20–24 y = 1.15%, 25–30 y = 1.00%.The mean overall incidence </w:t>
            </w:r>
            <w:r w:rsidRPr="002765B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rate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 of first-ever events, by age group, were, 5–9 y = 0.33%, 10–14 y = 0.55%, 15–19 y = 0.96%, 20–24 y = 0.91%, 25–30 y = 0.78%.</w:t>
            </w:r>
          </w:p>
        </w:tc>
      </w:tr>
    </w:tbl>
    <w:p w14:paraId="5D9107D4" w14:textId="77777777" w:rsidR="00A63EB6" w:rsidRPr="00365BB6" w:rsidRDefault="00A63EB6" w:rsidP="00A63EB6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FE634A6" w14:textId="77777777" w:rsidR="00A63EB6" w:rsidRPr="00365BB6" w:rsidRDefault="00A63EB6" w:rsidP="00A63EB6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D7E759B" w14:textId="77777777" w:rsidR="00A63EB6" w:rsidRPr="00365BB6" w:rsidRDefault="00A63EB6" w:rsidP="00A63EB6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772A914" w14:textId="77777777" w:rsidR="00A63EB6" w:rsidRPr="00365BB6" w:rsidRDefault="00A63EB6" w:rsidP="00A63EB6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4CD4213" w14:textId="77777777" w:rsidR="00A63EB6" w:rsidRPr="00365BB6" w:rsidRDefault="00A63EB6" w:rsidP="00A63EB6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16CBCA1" w14:textId="77777777" w:rsidR="00A63EB6" w:rsidRPr="00365BB6" w:rsidRDefault="00A63EB6" w:rsidP="00A63EB6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38D2B47" w14:textId="77777777" w:rsidR="00A63EB6" w:rsidRPr="00365BB6" w:rsidRDefault="00A63EB6" w:rsidP="00A63EB6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9C224E0" w14:textId="77777777" w:rsidR="00A63EB6" w:rsidRPr="00365BB6" w:rsidRDefault="00A63EB6" w:rsidP="00A63EB6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80D764C" w14:textId="77777777" w:rsidR="00A63EB6" w:rsidRDefault="00A63EB6" w:rsidP="00A63EB6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780220A" w14:textId="77777777" w:rsidR="00A63EB6" w:rsidRPr="00365BB6" w:rsidRDefault="00A63EB6" w:rsidP="00A63EB6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9A6D112" w14:textId="77777777" w:rsidR="00A63EB6" w:rsidRPr="00365BB6" w:rsidRDefault="00A63EB6" w:rsidP="00A63EB6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FAF67B2" w14:textId="40F2F6E7" w:rsidR="00A63EB6" w:rsidRPr="00DF0675" w:rsidRDefault="00A63EB6" w:rsidP="00A63EB6">
      <w:pPr>
        <w:spacing w:line="276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F0675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F7B765" wp14:editId="64436ED6">
                <wp:simplePos x="0" y="0"/>
                <wp:positionH relativeFrom="column">
                  <wp:posOffset>-36195</wp:posOffset>
                </wp:positionH>
                <wp:positionV relativeFrom="paragraph">
                  <wp:posOffset>-36195</wp:posOffset>
                </wp:positionV>
                <wp:extent cx="247650" cy="234950"/>
                <wp:effectExtent l="0" t="0" r="19050" b="12700"/>
                <wp:wrapNone/>
                <wp:docPr id="205037571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349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6B1709" id="Rectangle 3" o:spid="_x0000_s1026" style="position:absolute;margin-left:-2.85pt;margin-top:-2.85pt;width:19.5pt;height:1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" filled="f" strokecolor="#09101d [484]" strokeweight="1pt"/>
            </w:pict>
          </mc:Fallback>
        </mc:AlternateContent>
      </w:r>
      <w:r w:rsidRPr="00DF067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D</w:t>
      </w:r>
      <w:r w:rsidRPr="00DF067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</w:t>
      </w:r>
      <w:r w:rsidRPr="00DF0675">
        <w:rPr>
          <w:rFonts w:ascii="Times New Roman" w:hAnsi="Times New Roman" w:cs="Times New Roman"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Mean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overall</w:t>
      </w:r>
      <w:r w:rsidRPr="00DF0675">
        <w:rPr>
          <w:rFonts w:ascii="Times New Roman" w:hAnsi="Times New Roman" w:cs="Times New Roman"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incidence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by</w:t>
      </w:r>
      <w:r w:rsidRPr="00DF0675">
        <w:rPr>
          <w:rFonts w:ascii="Times New Roman" w:hAnsi="Times New Roman" w:cs="Times New Roman"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polypharmacy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and </w:t>
      </w:r>
      <w:r w:rsidRPr="00DF0675">
        <w:rPr>
          <w:rFonts w:ascii="Times New Roman" w:hAnsi="Times New Roman" w:cs="Times New Roman"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sex</w:t>
      </w:r>
      <w:r w:rsidR="00E209D1">
        <w:rPr>
          <w:rFonts w:ascii="Times New Roman" w:hAnsi="Times New Roman" w:cs="Times New Roman"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6729EE6E" w14:textId="77777777" w:rsidR="00A63EB6" w:rsidRPr="00365BB6" w:rsidRDefault="00A63EB6" w:rsidP="00A63EB6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365BB6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09FFFD15" wp14:editId="3C9CD357">
            <wp:extent cx="6000750" cy="3816350"/>
            <wp:effectExtent l="0" t="0" r="0" b="12700"/>
            <wp:docPr id="222712493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FF8E2CD4-4F68-8751-8500-7966D9E9D8F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tbl>
      <w:tblPr>
        <w:tblStyle w:val="TableGrid"/>
        <w:tblpPr w:leftFromText="141" w:rightFromText="141" w:vertAnchor="text" w:horzAnchor="margin" w:tblpY="14"/>
        <w:tblW w:w="934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40"/>
      </w:tblGrid>
      <w:tr w:rsidR="00A63EB6" w:rsidRPr="0004454A" w14:paraId="580772A4" w14:textId="77777777" w:rsidTr="00906341">
        <w:trPr>
          <w:trHeight w:val="136"/>
        </w:trPr>
        <w:tc>
          <w:tcPr>
            <w:tcW w:w="9340" w:type="dxa"/>
          </w:tcPr>
          <w:p w14:paraId="4EACD8D6" w14:textId="77777777" w:rsidR="00A63EB6" w:rsidRPr="00272873" w:rsidRDefault="00A63EB6" w:rsidP="00906341">
            <w:pPr>
              <w:spacing w:after="160" w:line="36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Polypharmacy means receiving three or more psychotropic medications during the calendar year. Mean incidence of polypharmacy was calculated as the average of all annual incidence </w:t>
            </w:r>
            <w:r w:rsidRPr="00272873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rate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 of polypharmacy for each sex. Females had the highest mean incidence when exposed to polypharmacy.</w:t>
            </w:r>
          </w:p>
        </w:tc>
      </w:tr>
    </w:tbl>
    <w:p w14:paraId="30C5E2CF" w14:textId="77777777" w:rsidR="00A63EB6" w:rsidRPr="00365BB6" w:rsidRDefault="00A63EB6" w:rsidP="00A63EB6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329AE1E3" w14:textId="77777777" w:rsidR="00A63EB6" w:rsidRPr="00365BB6" w:rsidRDefault="00A63EB6" w:rsidP="00A63EB6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AD88E43" w14:textId="77777777" w:rsidR="00A63EB6" w:rsidRDefault="00A63EB6" w:rsidP="00A63EB6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0D6A782" w14:textId="77777777" w:rsidR="00A63EB6" w:rsidRDefault="00A63EB6" w:rsidP="00A63EB6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5E51A24" w14:textId="77777777" w:rsidR="00A63EB6" w:rsidRDefault="00A63EB6" w:rsidP="00A63EB6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128B0D7" w14:textId="77777777" w:rsidR="00A63EB6" w:rsidRDefault="00A63EB6" w:rsidP="00A63EB6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115192B" w14:textId="77777777" w:rsidR="00A63EB6" w:rsidRDefault="00A63EB6" w:rsidP="00A63EB6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1738A7F" w14:textId="77777777" w:rsidR="00A63EB6" w:rsidRDefault="00A63EB6" w:rsidP="00A63EB6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894F7FC" w14:textId="77777777" w:rsidR="00A63EB6" w:rsidRDefault="00A63EB6" w:rsidP="00A63EB6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66B2FB9" w14:textId="77777777" w:rsidR="00BA1552" w:rsidRPr="00A63EB6" w:rsidRDefault="00BA1552">
      <w:pPr>
        <w:rPr>
          <w:lang w:val="en-US"/>
        </w:rPr>
      </w:pPr>
    </w:p>
    <w:sectPr w:rsidR="00BA1552" w:rsidRPr="00A63EB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416A0" w14:textId="77777777" w:rsidR="00002155" w:rsidRDefault="00002155" w:rsidP="00A63EB6">
      <w:pPr>
        <w:spacing w:after="0" w:line="240" w:lineRule="auto"/>
      </w:pPr>
      <w:r>
        <w:separator/>
      </w:r>
    </w:p>
  </w:endnote>
  <w:endnote w:type="continuationSeparator" w:id="0">
    <w:p w14:paraId="7E4720A9" w14:textId="77777777" w:rsidR="00002155" w:rsidRDefault="00002155" w:rsidP="00A63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634976"/>
      <w:docPartObj>
        <w:docPartGallery w:val="Page Numbers (Bottom of Page)"/>
        <w:docPartUnique/>
      </w:docPartObj>
    </w:sdtPr>
    <w:sdtContent>
      <w:p w14:paraId="78299673" w14:textId="65C2619E" w:rsidR="006F5858" w:rsidRDefault="006F5858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DA6450" w14:textId="77777777" w:rsidR="006F5858" w:rsidRDefault="006F58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57017" w14:textId="77777777" w:rsidR="00002155" w:rsidRDefault="00002155" w:rsidP="00A63EB6">
      <w:pPr>
        <w:spacing w:after="0" w:line="240" w:lineRule="auto"/>
      </w:pPr>
      <w:r>
        <w:separator/>
      </w:r>
    </w:p>
  </w:footnote>
  <w:footnote w:type="continuationSeparator" w:id="0">
    <w:p w14:paraId="45CC7443" w14:textId="77777777" w:rsidR="00002155" w:rsidRDefault="00002155" w:rsidP="00A63E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EB6"/>
    <w:rsid w:val="00002155"/>
    <w:rsid w:val="0004454A"/>
    <w:rsid w:val="001442DD"/>
    <w:rsid w:val="00447A9D"/>
    <w:rsid w:val="00485D89"/>
    <w:rsid w:val="004A2A8C"/>
    <w:rsid w:val="004D21E6"/>
    <w:rsid w:val="00667838"/>
    <w:rsid w:val="006F5858"/>
    <w:rsid w:val="008451A7"/>
    <w:rsid w:val="0098544E"/>
    <w:rsid w:val="00990296"/>
    <w:rsid w:val="00A63EB6"/>
    <w:rsid w:val="00AA3803"/>
    <w:rsid w:val="00B36481"/>
    <w:rsid w:val="00BA1552"/>
    <w:rsid w:val="00D124D5"/>
    <w:rsid w:val="00E0074F"/>
    <w:rsid w:val="00E209D1"/>
    <w:rsid w:val="00E57C80"/>
    <w:rsid w:val="00F05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4ACBD"/>
  <w15:chartTrackingRefBased/>
  <w15:docId w15:val="{91EC7B3A-D314-41E1-BDEC-8F4B9335B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v-S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3EB6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3EB6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63E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3EB6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6F5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5858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hoel0003\Desktop\New%20incidence%20data%2025-3-2024\Pat%20chart%2026-3-2024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hoel0003\Desktop\New%20incidence%20data%2025-3-2024\Pat%20chart%2026-3-2024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hoel0003\Desktop\New%20incidence%20data%2025-3-2024\Pat%20chart%2026-3-2024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hoel0003\Desktop\New%20incidence%20data%2025-3-2024\Pat%20chart%2026-3-2024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41350134641835"/>
          <c:y val="8.5626911314984705E-2"/>
          <c:w val="0.81479291622843175"/>
          <c:h val="0.71334440993041004"/>
        </c:manualLayout>
      </c:layout>
      <c:scatterChart>
        <c:scatterStyle val="lineMarker"/>
        <c:varyColors val="0"/>
        <c:ser>
          <c:idx val="0"/>
          <c:order val="0"/>
          <c:tx>
            <c:strRef>
              <c:f>Sheet11!$C$3:$C$4</c:f>
              <c:strCache>
                <c:ptCount val="2"/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Sheet11!$B$5:$B$17</c:f>
              <c:numCache>
                <c:formatCode>General</c:formatCode>
                <c:ptCount val="13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</c:numCache>
            </c:numRef>
          </c:xVal>
          <c:yVal>
            <c:numRef>
              <c:f>Sheet11!$C$5:$C$17</c:f>
              <c:numCache>
                <c:formatCode>General</c:formatCode>
                <c:ptCount val="13"/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B037-4066-8645-28183CDB52B0}"/>
            </c:ext>
          </c:extLst>
        </c:ser>
        <c:ser>
          <c:idx val="1"/>
          <c:order val="1"/>
          <c:tx>
            <c:strRef>
              <c:f>Sheet11!$D$3:$D$4</c:f>
              <c:strCache>
                <c:ptCount val="2"/>
                <c:pt idx="0">
                  <c:v> </c:v>
                </c:pt>
                <c:pt idx="1">
                  <c:v>All cardiac events</c:v>
                </c:pt>
              </c:strCache>
            </c:strRef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xVal>
            <c:numRef>
              <c:f>Sheet11!$B$5:$B$17</c:f>
              <c:numCache>
                <c:formatCode>General</c:formatCode>
                <c:ptCount val="13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</c:numCache>
            </c:numRef>
          </c:xVal>
          <c:yVal>
            <c:numRef>
              <c:f>Sheet11!$D$5:$D$17</c:f>
              <c:numCache>
                <c:formatCode>General</c:formatCode>
                <c:ptCount val="13"/>
                <c:pt idx="0">
                  <c:v>0.67</c:v>
                </c:pt>
                <c:pt idx="1">
                  <c:v>0.72</c:v>
                </c:pt>
                <c:pt idx="2">
                  <c:v>0.73</c:v>
                </c:pt>
                <c:pt idx="3">
                  <c:v>0.86</c:v>
                </c:pt>
                <c:pt idx="4">
                  <c:v>0.96</c:v>
                </c:pt>
                <c:pt idx="5">
                  <c:v>1.04</c:v>
                </c:pt>
                <c:pt idx="6">
                  <c:v>1.0900000000000001</c:v>
                </c:pt>
                <c:pt idx="7">
                  <c:v>1.1299999999999999</c:v>
                </c:pt>
                <c:pt idx="8">
                  <c:v>1.07</c:v>
                </c:pt>
                <c:pt idx="9">
                  <c:v>1.1200000000000001</c:v>
                </c:pt>
                <c:pt idx="10">
                  <c:v>1.1000000000000001</c:v>
                </c:pt>
                <c:pt idx="11">
                  <c:v>1.1100000000000001</c:v>
                </c:pt>
                <c:pt idx="12">
                  <c:v>1.08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B037-4066-8645-28183CDB52B0}"/>
            </c:ext>
          </c:extLst>
        </c:ser>
        <c:ser>
          <c:idx val="2"/>
          <c:order val="2"/>
          <c:tx>
            <c:strRef>
              <c:f>Sheet11!$E$3:$E$4</c:f>
              <c:strCache>
                <c:ptCount val="2"/>
                <c:pt idx="0">
                  <c:v> </c:v>
                </c:pt>
                <c:pt idx="1">
                  <c:v>First-ever cardiac event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Sheet11!$B$5:$B$17</c:f>
              <c:numCache>
                <c:formatCode>General</c:formatCode>
                <c:ptCount val="13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</c:numCache>
            </c:numRef>
          </c:xVal>
          <c:yVal>
            <c:numRef>
              <c:f>Sheet11!$E$5:$E$17</c:f>
              <c:numCache>
                <c:formatCode>General</c:formatCode>
                <c:ptCount val="13"/>
                <c:pt idx="1">
                  <c:v>0.64</c:v>
                </c:pt>
                <c:pt idx="2">
                  <c:v>0.63</c:v>
                </c:pt>
                <c:pt idx="3">
                  <c:v>0.73</c:v>
                </c:pt>
                <c:pt idx="4">
                  <c:v>0.81</c:v>
                </c:pt>
                <c:pt idx="5">
                  <c:v>0.86</c:v>
                </c:pt>
                <c:pt idx="6">
                  <c:v>0.89</c:v>
                </c:pt>
                <c:pt idx="7">
                  <c:v>0.89</c:v>
                </c:pt>
                <c:pt idx="8">
                  <c:v>0.85</c:v>
                </c:pt>
                <c:pt idx="9">
                  <c:v>0.86</c:v>
                </c:pt>
                <c:pt idx="10">
                  <c:v>0.85</c:v>
                </c:pt>
                <c:pt idx="11">
                  <c:v>0.82</c:v>
                </c:pt>
                <c:pt idx="12">
                  <c:v>0.82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B037-4066-8645-28183CDB52B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18962031"/>
        <c:axId val="914053903"/>
      </c:scatterChart>
      <c:valAx>
        <c:axId val="918962031"/>
        <c:scaling>
          <c:orientation val="minMax"/>
          <c:max val="2018"/>
          <c:min val="2006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800" b="1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sv-SE" sz="800" b="1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Incidence,y</a:t>
                </a:r>
              </a:p>
            </c:rich>
          </c:tx>
          <c:layout>
            <c:manualLayout>
              <c:xMode val="edge"/>
              <c:yMode val="edge"/>
              <c:x val="0.44198740983322904"/>
              <c:y val="0.90488317400691876"/>
            </c:manualLayout>
          </c:layout>
          <c:overlay val="0"/>
          <c:spPr>
            <a:noFill/>
            <a:ln>
              <a:solidFill>
                <a:schemeClr val="tx1"/>
              </a:solidFill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800" b="1" i="0" u="none" strike="noStrike" kern="1200" baseline="0">
                  <a:solidFill>
                    <a:schemeClr val="tx1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sv-S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sv-SE"/>
          </a:p>
        </c:txPr>
        <c:crossAx val="914053903"/>
        <c:crosses val="autoZero"/>
        <c:crossBetween val="midCat"/>
        <c:majorUnit val="1"/>
      </c:valAx>
      <c:valAx>
        <c:axId val="91405390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sv-SE" sz="1000" b="1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Incidence,%</a:t>
                </a:r>
              </a:p>
            </c:rich>
          </c:tx>
          <c:layout>
            <c:manualLayout>
              <c:xMode val="edge"/>
              <c:yMode val="edge"/>
              <c:x val="1.5262224436427779E-2"/>
              <c:y val="0.33714755515625139"/>
            </c:manualLayout>
          </c:layout>
          <c:overlay val="0"/>
          <c:spPr>
            <a:noFill/>
            <a:ln>
              <a:solidFill>
                <a:schemeClr val="tx1"/>
              </a:solidFill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sv-S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sv-SE"/>
          </a:p>
        </c:txPr>
        <c:crossAx val="918962031"/>
        <c:crosses val="autoZero"/>
        <c:crossBetween val="midCat"/>
      </c:valAx>
      <c:spPr>
        <a:noFill/>
        <a:ln>
          <a:solidFill>
            <a:schemeClr val="bg1"/>
          </a:solidFill>
        </a:ln>
        <a:effectLst/>
      </c:spPr>
    </c:plotArea>
    <c:legend>
      <c:legendPos val="r"/>
      <c:legendEntry>
        <c:idx val="0"/>
        <c:delete val="1"/>
      </c:legendEntry>
      <c:layout>
        <c:manualLayout>
          <c:xMode val="edge"/>
          <c:yMode val="edge"/>
          <c:x val="0.51285198555956679"/>
          <c:y val="0.54499811376788898"/>
          <c:w val="0.39569193742478942"/>
          <c:h val="0.19950396108743287"/>
        </c:manualLayout>
      </c:layout>
      <c:overlay val="1"/>
      <c:spPr>
        <a:noFill/>
        <a:ln>
          <a:solidFill>
            <a:schemeClr val="tx1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sv-SE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sv-SE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36078148682119"/>
          <c:y val="5.3297378923524964E-2"/>
          <c:w val="0.82968707256663354"/>
          <c:h val="0.7782302340632079"/>
        </c:manualLayout>
      </c:layout>
      <c:scatterChart>
        <c:scatterStyle val="lineMarker"/>
        <c:varyColors val="0"/>
        <c:ser>
          <c:idx val="0"/>
          <c:order val="0"/>
          <c:tx>
            <c:strRef>
              <c:f>'Annual incidence'!$C$6:$C$7</c:f>
              <c:strCache>
                <c:ptCount val="2"/>
                <c:pt idx="0">
                  <c:v>All cardiac events</c:v>
                </c:pt>
                <c:pt idx="1">
                  <c:v>Male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'Annual incidence'!$B$8:$B$20</c:f>
              <c:numCache>
                <c:formatCode>General</c:formatCode>
                <c:ptCount val="13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</c:numCache>
            </c:numRef>
          </c:xVal>
          <c:yVal>
            <c:numRef>
              <c:f>'Annual incidence'!$C$8:$C$20</c:f>
              <c:numCache>
                <c:formatCode>General</c:formatCode>
                <c:ptCount val="13"/>
                <c:pt idx="0">
                  <c:v>0.56999999999999995</c:v>
                </c:pt>
                <c:pt idx="1">
                  <c:v>0.59</c:v>
                </c:pt>
                <c:pt idx="2">
                  <c:v>0.59</c:v>
                </c:pt>
                <c:pt idx="3">
                  <c:v>0.67</c:v>
                </c:pt>
                <c:pt idx="4">
                  <c:v>0.77</c:v>
                </c:pt>
                <c:pt idx="5">
                  <c:v>0.86</c:v>
                </c:pt>
                <c:pt idx="6">
                  <c:v>0.89</c:v>
                </c:pt>
                <c:pt idx="7">
                  <c:v>0.87</c:v>
                </c:pt>
                <c:pt idx="8">
                  <c:v>0.84</c:v>
                </c:pt>
                <c:pt idx="9">
                  <c:v>0.89</c:v>
                </c:pt>
                <c:pt idx="10">
                  <c:v>0.86</c:v>
                </c:pt>
                <c:pt idx="11">
                  <c:v>0.87</c:v>
                </c:pt>
                <c:pt idx="12">
                  <c:v>0.87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9270-4420-A47F-798D16CA1B0C}"/>
            </c:ext>
          </c:extLst>
        </c:ser>
        <c:ser>
          <c:idx val="1"/>
          <c:order val="1"/>
          <c:tx>
            <c:strRef>
              <c:f>'Annual incidence'!$D$6:$D$7</c:f>
              <c:strCache>
                <c:ptCount val="2"/>
                <c:pt idx="0">
                  <c:v>All cardiac events</c:v>
                </c:pt>
                <c:pt idx="1">
                  <c:v>Female</c:v>
                </c:pt>
              </c:strCache>
            </c:strRef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xVal>
            <c:numRef>
              <c:f>'Annual incidence'!$B$8:$B$20</c:f>
              <c:numCache>
                <c:formatCode>General</c:formatCode>
                <c:ptCount val="13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</c:numCache>
            </c:numRef>
          </c:xVal>
          <c:yVal>
            <c:numRef>
              <c:f>'Annual incidence'!$D$8:$D$20</c:f>
              <c:numCache>
                <c:formatCode>General</c:formatCode>
                <c:ptCount val="13"/>
                <c:pt idx="0">
                  <c:v>0.74</c:v>
                </c:pt>
                <c:pt idx="1">
                  <c:v>0.81</c:v>
                </c:pt>
                <c:pt idx="2">
                  <c:v>0.84</c:v>
                </c:pt>
                <c:pt idx="3">
                  <c:v>1.01</c:v>
                </c:pt>
                <c:pt idx="4">
                  <c:v>1.1100000000000001</c:v>
                </c:pt>
                <c:pt idx="5">
                  <c:v>1.19</c:v>
                </c:pt>
                <c:pt idx="6">
                  <c:v>1.24</c:v>
                </c:pt>
                <c:pt idx="7">
                  <c:v>1.33</c:v>
                </c:pt>
                <c:pt idx="8">
                  <c:v>1.27</c:v>
                </c:pt>
                <c:pt idx="9">
                  <c:v>1.32</c:v>
                </c:pt>
                <c:pt idx="10">
                  <c:v>1.3</c:v>
                </c:pt>
                <c:pt idx="11">
                  <c:v>1.31</c:v>
                </c:pt>
                <c:pt idx="12">
                  <c:v>1.26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9270-4420-A47F-798D16CA1B0C}"/>
            </c:ext>
          </c:extLst>
        </c:ser>
        <c:ser>
          <c:idx val="2"/>
          <c:order val="2"/>
          <c:tx>
            <c:strRef>
              <c:f>'Annual incidence'!$E$6:$E$7</c:f>
              <c:strCache>
                <c:ptCount val="2"/>
                <c:pt idx="0">
                  <c:v>First-ever cardiac event</c:v>
                </c:pt>
                <c:pt idx="1">
                  <c:v>Male</c:v>
                </c:pt>
              </c:strCache>
            </c:strRef>
          </c:tx>
          <c:spPr>
            <a:ln w="19050" cap="rnd">
              <a:solidFill>
                <a:srgbClr val="00B05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rgbClr val="00B050"/>
                </a:solidFill>
              </a:ln>
              <a:effectLst/>
            </c:spPr>
          </c:marker>
          <c:xVal>
            <c:numRef>
              <c:f>'Annual incidence'!$B$8:$B$20</c:f>
              <c:numCache>
                <c:formatCode>General</c:formatCode>
                <c:ptCount val="13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</c:numCache>
            </c:numRef>
          </c:xVal>
          <c:yVal>
            <c:numRef>
              <c:f>'Annual incidence'!$E$8:$E$20</c:f>
              <c:numCache>
                <c:formatCode>General</c:formatCode>
                <c:ptCount val="13"/>
                <c:pt idx="1">
                  <c:v>0.54</c:v>
                </c:pt>
                <c:pt idx="2">
                  <c:v>0.53</c:v>
                </c:pt>
                <c:pt idx="3">
                  <c:v>0.56999999999999995</c:v>
                </c:pt>
                <c:pt idx="4">
                  <c:v>0.67</c:v>
                </c:pt>
                <c:pt idx="5">
                  <c:v>0.75</c:v>
                </c:pt>
                <c:pt idx="6">
                  <c:v>0.76</c:v>
                </c:pt>
                <c:pt idx="7">
                  <c:v>0.72</c:v>
                </c:pt>
                <c:pt idx="8">
                  <c:v>0.7</c:v>
                </c:pt>
                <c:pt idx="9">
                  <c:v>0.72</c:v>
                </c:pt>
                <c:pt idx="10">
                  <c:v>0.7</c:v>
                </c:pt>
                <c:pt idx="11">
                  <c:v>0.68</c:v>
                </c:pt>
                <c:pt idx="12">
                  <c:v>0.69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9270-4420-A47F-798D16CA1B0C}"/>
            </c:ext>
          </c:extLst>
        </c:ser>
        <c:ser>
          <c:idx val="3"/>
          <c:order val="3"/>
          <c:tx>
            <c:strRef>
              <c:f>'Annual incidence'!$F$6:$F$7</c:f>
              <c:strCache>
                <c:ptCount val="2"/>
                <c:pt idx="0">
                  <c:v>First-ever cardiac event</c:v>
                </c:pt>
                <c:pt idx="1">
                  <c:v>Female</c:v>
                </c:pt>
              </c:strCache>
            </c:strRef>
          </c:tx>
          <c:spPr>
            <a:ln w="19050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xVal>
            <c:numRef>
              <c:f>'Annual incidence'!$B$8:$B$20</c:f>
              <c:numCache>
                <c:formatCode>General</c:formatCode>
                <c:ptCount val="13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</c:numCache>
            </c:numRef>
          </c:xVal>
          <c:yVal>
            <c:numRef>
              <c:f>'Annual incidence'!$F$8:$F$20</c:f>
              <c:numCache>
                <c:formatCode>General</c:formatCode>
                <c:ptCount val="13"/>
                <c:pt idx="1">
                  <c:v>0.72</c:v>
                </c:pt>
                <c:pt idx="2">
                  <c:v>0.7</c:v>
                </c:pt>
                <c:pt idx="3">
                  <c:v>0.85</c:v>
                </c:pt>
                <c:pt idx="4">
                  <c:v>0.92</c:v>
                </c:pt>
                <c:pt idx="5">
                  <c:v>0.95</c:v>
                </c:pt>
                <c:pt idx="6">
                  <c:v>0.99</c:v>
                </c:pt>
                <c:pt idx="7">
                  <c:v>1.03</c:v>
                </c:pt>
                <c:pt idx="8">
                  <c:v>0.97</c:v>
                </c:pt>
                <c:pt idx="9">
                  <c:v>0.99</c:v>
                </c:pt>
                <c:pt idx="10">
                  <c:v>0.98</c:v>
                </c:pt>
                <c:pt idx="11">
                  <c:v>0.94</c:v>
                </c:pt>
                <c:pt idx="12">
                  <c:v>0.93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3-9270-4420-A47F-798D16CA1B0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55536992"/>
        <c:axId val="1569124672"/>
      </c:scatterChart>
      <c:valAx>
        <c:axId val="1555536992"/>
        <c:scaling>
          <c:orientation val="minMax"/>
          <c:max val="2018"/>
          <c:min val="2006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sv-SE" sz="1000" b="1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Incidence,y</a:t>
                </a:r>
              </a:p>
            </c:rich>
          </c:tx>
          <c:layout>
            <c:manualLayout>
              <c:xMode val="edge"/>
              <c:yMode val="edge"/>
              <c:x val="0.44117022237321374"/>
              <c:y val="0.91133706552576876"/>
            </c:manualLayout>
          </c:layout>
          <c:overlay val="0"/>
          <c:spPr>
            <a:noFill/>
            <a:ln>
              <a:solidFill>
                <a:schemeClr val="tx1"/>
              </a:solidFill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sv-S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v-SE"/>
          </a:p>
        </c:txPr>
        <c:crossAx val="1569124672"/>
        <c:crosses val="autoZero"/>
        <c:crossBetween val="midCat"/>
        <c:majorUnit val="1"/>
      </c:valAx>
      <c:valAx>
        <c:axId val="15691246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sv-SE" sz="1000" b="1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Incidence.% </a:t>
                </a:r>
              </a:p>
            </c:rich>
          </c:tx>
          <c:layout>
            <c:manualLayout>
              <c:xMode val="edge"/>
              <c:yMode val="edge"/>
              <c:x val="1.7469779305755793E-2"/>
              <c:y val="0.3054721208629409"/>
            </c:manualLayout>
          </c:layout>
          <c:overlay val="0"/>
          <c:spPr>
            <a:noFill/>
            <a:ln>
              <a:solidFill>
                <a:schemeClr val="tx1"/>
              </a:solidFill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sv-S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sv-SE"/>
          </a:p>
        </c:txPr>
        <c:crossAx val="1555536992"/>
        <c:crosses val="autoZero"/>
        <c:crossBetween val="midCat"/>
      </c:valAx>
      <c:spPr>
        <a:noFill/>
        <a:ln>
          <a:solidFill>
            <a:schemeClr val="bg1"/>
          </a:solidFill>
        </a:ln>
        <a:effectLst/>
      </c:spPr>
    </c:plotArea>
    <c:legend>
      <c:legendPos val="t"/>
      <c:layout>
        <c:manualLayout>
          <c:xMode val="edge"/>
          <c:yMode val="edge"/>
          <c:x val="0.57279435141029911"/>
          <c:y val="0.54378165157101033"/>
          <c:w val="0.36817696203467526"/>
          <c:h val="0.25792635747121206"/>
        </c:manualLayout>
      </c:layout>
      <c:overlay val="0"/>
      <c:spPr>
        <a:noFill/>
        <a:ln>
          <a:solidFill>
            <a:schemeClr val="tx1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sv-SE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 sz="800"/>
      </a:pPr>
      <a:endParaRPr lang="sv-SE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0700770963128563E-2"/>
          <c:y val="8.428003676196627E-2"/>
          <c:w val="0.81127526246719162"/>
          <c:h val="0.7503852554708263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'Incidence all events'!$F$2:$F$3</c:f>
              <c:strCache>
                <c:ptCount val="2"/>
                <c:pt idx="0">
                  <c:v>All cardiac events</c:v>
                </c:pt>
                <c:pt idx="1">
                  <c:v>Male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'Incidence all events'!$E$4:$E$15</c:f>
              <c:strCache>
                <c:ptCount val="12"/>
                <c:pt idx="3">
                  <c:v>5-9</c:v>
                </c:pt>
                <c:pt idx="5">
                  <c:v>10-14</c:v>
                </c:pt>
                <c:pt idx="7">
                  <c:v>15-19</c:v>
                </c:pt>
                <c:pt idx="9">
                  <c:v>20-24</c:v>
                </c:pt>
                <c:pt idx="11">
                  <c:v>25-30</c:v>
                </c:pt>
              </c:strCache>
            </c:strRef>
          </c:cat>
          <c:val>
            <c:numRef>
              <c:f>'Incidence all events'!$F$4:$F$15</c:f>
              <c:numCache>
                <c:formatCode>General</c:formatCode>
                <c:ptCount val="12"/>
                <c:pt idx="3">
                  <c:v>0.35</c:v>
                </c:pt>
                <c:pt idx="5">
                  <c:v>0.5</c:v>
                </c:pt>
                <c:pt idx="7">
                  <c:v>0.82</c:v>
                </c:pt>
                <c:pt idx="9">
                  <c:v>0.99</c:v>
                </c:pt>
                <c:pt idx="11">
                  <c:v>0.89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F19-4DE3-87E0-6BBE91F7CFA8}"/>
            </c:ext>
          </c:extLst>
        </c:ser>
        <c:ser>
          <c:idx val="1"/>
          <c:order val="1"/>
          <c:tx>
            <c:strRef>
              <c:f>'Incidence all events'!$G$2:$G$3</c:f>
              <c:strCache>
                <c:ptCount val="2"/>
                <c:pt idx="0">
                  <c:v>All cardiac events</c:v>
                </c:pt>
                <c:pt idx="1">
                  <c:v>Female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'Incidence all events'!$E$4:$E$15</c:f>
              <c:strCache>
                <c:ptCount val="12"/>
                <c:pt idx="3">
                  <c:v>5-9</c:v>
                </c:pt>
                <c:pt idx="5">
                  <c:v>10-14</c:v>
                </c:pt>
                <c:pt idx="7">
                  <c:v>15-19</c:v>
                </c:pt>
                <c:pt idx="9">
                  <c:v>20-24</c:v>
                </c:pt>
                <c:pt idx="11">
                  <c:v>25-30</c:v>
                </c:pt>
              </c:strCache>
            </c:strRef>
          </c:cat>
          <c:val>
            <c:numRef>
              <c:f>'Incidence all events'!$G$4:$G$15</c:f>
              <c:numCache>
                <c:formatCode>General</c:formatCode>
                <c:ptCount val="12"/>
                <c:pt idx="3">
                  <c:v>0.37</c:v>
                </c:pt>
                <c:pt idx="5">
                  <c:v>0.94</c:v>
                </c:pt>
                <c:pt idx="7">
                  <c:v>1.5</c:v>
                </c:pt>
                <c:pt idx="9">
                  <c:v>1.25</c:v>
                </c:pt>
                <c:pt idx="11">
                  <c:v>1.06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F19-4DE3-87E0-6BBE91F7CFA8}"/>
            </c:ext>
          </c:extLst>
        </c:ser>
        <c:ser>
          <c:idx val="2"/>
          <c:order val="2"/>
          <c:tx>
            <c:strRef>
              <c:f>'Incidence all events'!$H$2:$H$3</c:f>
              <c:strCache>
                <c:ptCount val="2"/>
                <c:pt idx="0">
                  <c:v>First-ever cardiac event</c:v>
                </c:pt>
                <c:pt idx="1">
                  <c:v>Male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'Incidence all events'!$E$4:$E$15</c:f>
              <c:strCache>
                <c:ptCount val="12"/>
                <c:pt idx="3">
                  <c:v>5-9</c:v>
                </c:pt>
                <c:pt idx="5">
                  <c:v>10-14</c:v>
                </c:pt>
                <c:pt idx="7">
                  <c:v>15-19</c:v>
                </c:pt>
                <c:pt idx="9">
                  <c:v>20-24</c:v>
                </c:pt>
                <c:pt idx="11">
                  <c:v>25-30</c:v>
                </c:pt>
              </c:strCache>
            </c:strRef>
          </c:cat>
          <c:val>
            <c:numRef>
              <c:f>'Incidence all events'!$H$4:$H$15</c:f>
              <c:numCache>
                <c:formatCode>General</c:formatCode>
                <c:ptCount val="12"/>
                <c:pt idx="3">
                  <c:v>0.33</c:v>
                </c:pt>
                <c:pt idx="5">
                  <c:v>0.43</c:v>
                </c:pt>
                <c:pt idx="7">
                  <c:v>0.7</c:v>
                </c:pt>
                <c:pt idx="9">
                  <c:v>0.82</c:v>
                </c:pt>
                <c:pt idx="11">
                  <c:v>0.73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F19-4DE3-87E0-6BBE91F7CFA8}"/>
            </c:ext>
          </c:extLst>
        </c:ser>
        <c:ser>
          <c:idx val="3"/>
          <c:order val="3"/>
          <c:tx>
            <c:strRef>
              <c:f>'Incidence all events'!$I$2:$I$3</c:f>
              <c:strCache>
                <c:ptCount val="2"/>
                <c:pt idx="0">
                  <c:v>First-ever cardiac event</c:v>
                </c:pt>
                <c:pt idx="1">
                  <c:v>Female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'Incidence all events'!$E$4:$E$15</c:f>
              <c:strCache>
                <c:ptCount val="12"/>
                <c:pt idx="3">
                  <c:v>5-9</c:v>
                </c:pt>
                <c:pt idx="5">
                  <c:v>10-14</c:v>
                </c:pt>
                <c:pt idx="7">
                  <c:v>15-19</c:v>
                </c:pt>
                <c:pt idx="9">
                  <c:v>20-24</c:v>
                </c:pt>
                <c:pt idx="11">
                  <c:v>25-30</c:v>
                </c:pt>
              </c:strCache>
            </c:strRef>
          </c:cat>
          <c:val>
            <c:numRef>
              <c:f>'Incidence all events'!$I$4:$I$15</c:f>
              <c:numCache>
                <c:formatCode>General</c:formatCode>
                <c:ptCount val="12"/>
                <c:pt idx="3">
                  <c:v>0.33</c:v>
                </c:pt>
                <c:pt idx="5">
                  <c:v>0.8</c:v>
                </c:pt>
                <c:pt idx="7">
                  <c:v>1.19</c:v>
                </c:pt>
                <c:pt idx="9">
                  <c:v>0.97</c:v>
                </c:pt>
                <c:pt idx="11">
                  <c:v>0.82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9F19-4DE3-87E0-6BBE91F7CFA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67775920"/>
        <c:axId val="168697408"/>
      </c:barChart>
      <c:catAx>
        <c:axId val="16777592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sv-SE" sz="1000" b="1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Age</a:t>
                </a:r>
                <a:r>
                  <a:rPr lang="sv-SE" sz="1000" b="1" baseline="0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group,y</a:t>
                </a:r>
                <a:endParaRPr lang="sv-SE" sz="1000" b="1">
                  <a:solidFill>
                    <a:schemeClr val="tx1"/>
                  </a:solidFill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0.42034776902887139"/>
              <c:y val="0.91216324300156482"/>
            </c:manualLayout>
          </c:layout>
          <c:overlay val="0"/>
          <c:spPr>
            <a:noFill/>
            <a:ln>
              <a:solidFill>
                <a:schemeClr val="tx1"/>
              </a:solidFill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sv-S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1000" b="1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v-SE"/>
          </a:p>
        </c:txPr>
        <c:crossAx val="168697408"/>
        <c:crosses val="autoZero"/>
        <c:auto val="1"/>
        <c:lblAlgn val="ctr"/>
        <c:lblOffset val="100"/>
        <c:noMultiLvlLbl val="0"/>
      </c:catAx>
      <c:valAx>
        <c:axId val="1686974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sv-SE" sz="1000" b="1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Incidence</a:t>
                </a:r>
                <a:r>
                  <a:rPr lang="sv-SE" sz="1000" b="1" baseline="0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,%</a:t>
                </a:r>
                <a:endParaRPr lang="sv-SE" sz="1000" b="1">
                  <a:solidFill>
                    <a:schemeClr val="tx1"/>
                  </a:solidFill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1.3731791338582678E-2"/>
              <c:y val="0.38179910082217638"/>
            </c:manualLayout>
          </c:layout>
          <c:overlay val="0"/>
          <c:spPr>
            <a:noFill/>
            <a:ln>
              <a:solidFill>
                <a:schemeClr val="tx1"/>
              </a:solidFill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sv-S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v-SE"/>
          </a:p>
        </c:txPr>
        <c:crossAx val="167775920"/>
        <c:crosses val="autoZero"/>
        <c:crossBetween val="between"/>
      </c:valAx>
      <c:spPr>
        <a:noFill/>
        <a:ln>
          <a:solidFill>
            <a:schemeClr val="bg1"/>
          </a:solidFill>
        </a:ln>
        <a:effectLst/>
      </c:spPr>
    </c:plotArea>
    <c:legend>
      <c:legendPos val="b"/>
      <c:legendEntry>
        <c:idx val="2"/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v-SE"/>
          </a:p>
        </c:txPr>
      </c:legendEntry>
      <c:layout>
        <c:manualLayout>
          <c:xMode val="edge"/>
          <c:yMode val="edge"/>
          <c:x val="0.10625"/>
          <c:y val="0.12842171936709804"/>
          <c:w val="0.29022719816272963"/>
          <c:h val="0.19101915099729253"/>
        </c:manualLayout>
      </c:layout>
      <c:overlay val="0"/>
      <c:spPr>
        <a:noFill/>
        <a:ln>
          <a:solidFill>
            <a:schemeClr val="tx1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sv-SE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sv-SE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5121943090447025E-2"/>
          <c:y val="7.9866888519134774E-2"/>
          <c:w val="0.82657117860267471"/>
          <c:h val="0.6630461042619256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Sheet13!$B$4</c:f>
              <c:strCache>
                <c:ptCount val="1"/>
                <c:pt idx="0">
                  <c:v>&lt;Three psychotropic medications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multiLvlStrRef>
              <c:f>Sheet13!$C$2:$H$3</c:f>
              <c:multiLvlStrCache>
                <c:ptCount val="6"/>
                <c:lvl>
                  <c:pt idx="0">
                    <c:v>Male</c:v>
                  </c:pt>
                  <c:pt idx="1">
                    <c:v>Female</c:v>
                  </c:pt>
                  <c:pt idx="2">
                    <c:v>Male</c:v>
                  </c:pt>
                  <c:pt idx="3">
                    <c:v>Female</c:v>
                  </c:pt>
                  <c:pt idx="4">
                    <c:v>All cardiac events</c:v>
                  </c:pt>
                  <c:pt idx="5">
                    <c:v>First-ever cardiac event</c:v>
                  </c:pt>
                </c:lvl>
                <c:lvl>
                  <c:pt idx="0">
                    <c:v>     All cardiac events</c:v>
                  </c:pt>
                  <c:pt idx="2">
                    <c:v>First-ever  event</c:v>
                  </c:pt>
                  <c:pt idx="4">
                    <c:v>Mean Incidence</c:v>
                  </c:pt>
                </c:lvl>
              </c:multiLvlStrCache>
            </c:multiLvlStrRef>
          </c:cat>
          <c:val>
            <c:numRef>
              <c:f>Sheet13!$C$4:$H$4</c:f>
              <c:numCache>
                <c:formatCode>General</c:formatCode>
                <c:ptCount val="6"/>
                <c:pt idx="0">
                  <c:v>0.72</c:v>
                </c:pt>
                <c:pt idx="1">
                  <c:v>1.04</c:v>
                </c:pt>
                <c:pt idx="2">
                  <c:v>0.61</c:v>
                </c:pt>
                <c:pt idx="3">
                  <c:v>0.83</c:v>
                </c:pt>
                <c:pt idx="4">
                  <c:v>0.9</c:v>
                </c:pt>
                <c:pt idx="5">
                  <c:v>0.73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D81-4E74-8ABD-FA83C4CD436D}"/>
            </c:ext>
          </c:extLst>
        </c:ser>
        <c:ser>
          <c:idx val="1"/>
          <c:order val="1"/>
          <c:tx>
            <c:strRef>
              <c:f>Sheet13!$B$5</c:f>
              <c:strCache>
                <c:ptCount val="1"/>
                <c:pt idx="0">
                  <c:v>&gt;=Three  psychotropic medications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multiLvlStrRef>
              <c:f>Sheet13!$C$2:$H$3</c:f>
              <c:multiLvlStrCache>
                <c:ptCount val="6"/>
                <c:lvl>
                  <c:pt idx="0">
                    <c:v>Male</c:v>
                  </c:pt>
                  <c:pt idx="1">
                    <c:v>Female</c:v>
                  </c:pt>
                  <c:pt idx="2">
                    <c:v>Male</c:v>
                  </c:pt>
                  <c:pt idx="3">
                    <c:v>Female</c:v>
                  </c:pt>
                  <c:pt idx="4">
                    <c:v>All cardiac events</c:v>
                  </c:pt>
                  <c:pt idx="5">
                    <c:v>First-ever cardiac event</c:v>
                  </c:pt>
                </c:lvl>
                <c:lvl>
                  <c:pt idx="0">
                    <c:v>     All cardiac events</c:v>
                  </c:pt>
                  <c:pt idx="2">
                    <c:v>First-ever  event</c:v>
                  </c:pt>
                  <c:pt idx="4">
                    <c:v>Mean Incidence</c:v>
                  </c:pt>
                </c:lvl>
              </c:multiLvlStrCache>
            </c:multiLvlStrRef>
          </c:cat>
          <c:val>
            <c:numRef>
              <c:f>Sheet13!$C$5:$H$5</c:f>
              <c:numCache>
                <c:formatCode>General</c:formatCode>
                <c:ptCount val="6"/>
                <c:pt idx="0">
                  <c:v>1.33</c:v>
                </c:pt>
                <c:pt idx="1">
                  <c:v>1.84</c:v>
                </c:pt>
                <c:pt idx="2">
                  <c:v>1.1000000000000001</c:v>
                </c:pt>
                <c:pt idx="3">
                  <c:v>1.43</c:v>
                </c:pt>
                <c:pt idx="4">
                  <c:v>1.63</c:v>
                </c:pt>
                <c:pt idx="5">
                  <c:v>1.29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D81-4E74-8ABD-FA83C4CD436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73"/>
        <c:overlap val="-27"/>
        <c:axId val="1915859791"/>
        <c:axId val="1787780175"/>
      </c:barChart>
      <c:catAx>
        <c:axId val="1915859791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800" b="1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sv-SE" sz="1000" b="1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Cardiac</a:t>
                </a:r>
                <a:r>
                  <a:rPr lang="sv-SE" sz="800" b="1"/>
                  <a:t> events</a:t>
                </a:r>
              </a:p>
            </c:rich>
          </c:tx>
          <c:layout>
            <c:manualLayout>
              <c:xMode val="edge"/>
              <c:yMode val="edge"/>
              <c:x val="0.40916435445569305"/>
              <c:y val="0.92252361549648221"/>
            </c:manualLayout>
          </c:layout>
          <c:overlay val="0"/>
          <c:spPr>
            <a:noFill/>
            <a:ln>
              <a:solidFill>
                <a:schemeClr val="tx1"/>
              </a:solidFill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800" b="1" i="0" u="none" strike="noStrike" kern="1200" baseline="0">
                  <a:solidFill>
                    <a:schemeClr val="tx1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sv-S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v-SE"/>
          </a:p>
        </c:txPr>
        <c:crossAx val="1787780175"/>
        <c:crosses val="autoZero"/>
        <c:auto val="1"/>
        <c:lblAlgn val="ctr"/>
        <c:lblOffset val="100"/>
        <c:noMultiLvlLbl val="0"/>
      </c:catAx>
      <c:valAx>
        <c:axId val="178778017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1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sv-SE" sz="1000" b="1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Incidence ,%</a:t>
                </a:r>
              </a:p>
            </c:rich>
          </c:tx>
          <c:layout>
            <c:manualLayout>
              <c:xMode val="edge"/>
              <c:yMode val="edge"/>
              <c:x val="1.2273299170936966E-2"/>
              <c:y val="0.3306842925832274"/>
            </c:manualLayout>
          </c:layout>
          <c:overlay val="0"/>
          <c:spPr>
            <a:noFill/>
            <a:ln>
              <a:solidFill>
                <a:schemeClr val="tx1"/>
              </a:solidFill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800" b="1" i="0" u="none" strike="noStrike" kern="1200" baseline="0">
                  <a:solidFill>
                    <a:schemeClr val="tx1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sv-S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sv-SE"/>
          </a:p>
        </c:txPr>
        <c:crossAx val="1915859791"/>
        <c:crosses val="autoZero"/>
        <c:crossBetween val="between"/>
      </c:valAx>
      <c:spPr>
        <a:noFill/>
        <a:ln>
          <a:solidFill>
            <a:schemeClr val="bg1"/>
          </a:solidFill>
        </a:ln>
        <a:effectLst/>
      </c:spPr>
    </c:plotArea>
    <c:legend>
      <c:legendPos val="b"/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v-SE"/>
          </a:p>
        </c:txPr>
      </c:legendEntry>
      <c:layout>
        <c:manualLayout>
          <c:xMode val="edge"/>
          <c:yMode val="edge"/>
          <c:x val="0.59478715160604922"/>
          <c:y val="3.8437512282678478E-2"/>
          <c:w val="0.35533774944798568"/>
          <c:h val="0.12961573230966761"/>
        </c:manualLayout>
      </c:layout>
      <c:overlay val="0"/>
      <c:spPr>
        <a:noFill/>
        <a:ln>
          <a:solidFill>
            <a:schemeClr val="tx1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sv-SE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 b="1">
          <a:solidFill>
            <a:schemeClr val="tx1"/>
          </a:solidFill>
          <a:latin typeface="Arial" panose="020B0604020202020204" pitchFamily="34" charset="0"/>
          <a:cs typeface="Arial" panose="020B0604020202020204" pitchFamily="34" charset="0"/>
        </a:defRPr>
      </a:pPr>
      <a:endParaRPr lang="sv-SE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a48a9ac-7937-4134-8b13-3620bf967764}" enabled="1" method="Privileged" siteId="{5a4ba6f9-f531-4f32-9467-398f19e69de4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230</Words>
  <Characters>1222</Characters>
  <Application>Microsoft Office Word</Application>
  <DocSecurity>0</DocSecurity>
  <Lines>10</Lines>
  <Paragraphs>2</Paragraphs>
  <ScaleCrop>false</ScaleCrop>
  <Company>ITS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Howaida Elmowafi</dc:creator>
  <cp:keywords/>
  <dc:description/>
  <cp:lastModifiedBy>Howaida Elmowafi</cp:lastModifiedBy>
  <cp:revision>19</cp:revision>
  <dcterms:created xsi:type="dcterms:W3CDTF">2024-05-16T13:02:00Z</dcterms:created>
  <dcterms:modified xsi:type="dcterms:W3CDTF">2024-05-18T05:23:00Z</dcterms:modified>
</cp:coreProperties>
</file>