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760AA" w14:textId="1B6A81F0" w:rsidR="005F51C0" w:rsidRPr="005F51C0" w:rsidRDefault="004D37E2" w:rsidP="00975D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034E3">
        <w:rPr>
          <w:rFonts w:ascii="Times New Roman" w:hAnsi="Times New Roman" w:cs="Times New Roman"/>
          <w:sz w:val="24"/>
          <w:szCs w:val="24"/>
          <w:lang w:val="en-US"/>
        </w:rPr>
        <w:t xml:space="preserve">Figure </w:t>
      </w:r>
      <w:r w:rsidR="00CA27F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1395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25BF1" w:rsidRPr="000034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34E3" w:rsidRPr="000034E3">
        <w:rPr>
          <w:rFonts w:ascii="Times New Roman" w:hAnsi="Times New Roman" w:cs="Times New Roman"/>
          <w:sz w:val="24"/>
          <w:szCs w:val="24"/>
          <w:lang w:val="en-US"/>
        </w:rPr>
        <w:t>OASIS prevalence</w:t>
      </w:r>
      <w:r w:rsidR="00113952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0034E3">
        <w:rPr>
          <w:rFonts w:ascii="Times New Roman" w:hAnsi="Times New Roman" w:cs="Times New Roman"/>
          <w:sz w:val="24"/>
          <w:szCs w:val="24"/>
          <w:lang w:val="en-US"/>
        </w:rPr>
        <w:t>forceps or vacuum delivery, with or without episiotomy</w:t>
      </w:r>
      <w:r w:rsidR="000034E3" w:rsidRPr="000034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952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113952" w:rsidRPr="000034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5BF1">
        <w:rPr>
          <w:rFonts w:ascii="Times New Roman" w:hAnsi="Times New Roman" w:cs="Times New Roman"/>
          <w:sz w:val="24"/>
          <w:szCs w:val="24"/>
          <w:lang w:val="en-US"/>
        </w:rPr>
        <w:t>the time periods</w:t>
      </w:r>
      <w:r w:rsidR="000034E3" w:rsidRPr="000034E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D2158" w:rsidRPr="007F50E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Data are </w:t>
      </w:r>
      <w:r w:rsidR="007F50E3" w:rsidRPr="007F50E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percentages with 95% confidence interval</w:t>
      </w:r>
      <w:r w:rsidR="007F50E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s</w:t>
      </w:r>
      <w:r w:rsidR="002D2158" w:rsidRPr="007F50E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.</w:t>
      </w:r>
    </w:p>
    <w:p w14:paraId="09FD745D" w14:textId="15B231A5" w:rsidR="002510B1" w:rsidRDefault="00363F4E" w:rsidP="00975D13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7027479A" wp14:editId="0977E897">
            <wp:extent cx="8461094" cy="4375150"/>
            <wp:effectExtent l="0" t="0" r="10160" b="6350"/>
            <wp:docPr id="11780014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DCC4D9D-7191-DB45-CA44-0FD2E1A6AE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EA211BF" w14:textId="69CC204F" w:rsidR="005F51C0" w:rsidRDefault="005F51C0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sectPr w:rsidR="005F51C0" w:rsidSect="00CF3EC9"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86E43" w14:textId="77777777" w:rsidR="00CF3EC9" w:rsidRDefault="00CF3EC9" w:rsidP="00113952">
      <w:pPr>
        <w:spacing w:after="0" w:line="240" w:lineRule="auto"/>
      </w:pPr>
      <w:r>
        <w:separator/>
      </w:r>
    </w:p>
  </w:endnote>
  <w:endnote w:type="continuationSeparator" w:id="0">
    <w:p w14:paraId="125C1700" w14:textId="77777777" w:rsidR="00CF3EC9" w:rsidRDefault="00CF3EC9" w:rsidP="0011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B11FA" w14:textId="77777777" w:rsidR="00CF3EC9" w:rsidRDefault="00CF3EC9" w:rsidP="00113952">
      <w:pPr>
        <w:spacing w:after="0" w:line="240" w:lineRule="auto"/>
      </w:pPr>
      <w:r>
        <w:separator/>
      </w:r>
    </w:p>
  </w:footnote>
  <w:footnote w:type="continuationSeparator" w:id="0">
    <w:p w14:paraId="64400130" w14:textId="77777777" w:rsidR="00CF3EC9" w:rsidRDefault="00CF3EC9" w:rsidP="00113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5C4"/>
    <w:rsid w:val="00001B64"/>
    <w:rsid w:val="000034E3"/>
    <w:rsid w:val="00013972"/>
    <w:rsid w:val="00020547"/>
    <w:rsid w:val="00020EEC"/>
    <w:rsid w:val="00047CB3"/>
    <w:rsid w:val="00050B48"/>
    <w:rsid w:val="00072848"/>
    <w:rsid w:val="000C753B"/>
    <w:rsid w:val="000D5C0C"/>
    <w:rsid w:val="000F3B26"/>
    <w:rsid w:val="00113952"/>
    <w:rsid w:val="00134610"/>
    <w:rsid w:val="00196744"/>
    <w:rsid w:val="00201C13"/>
    <w:rsid w:val="00225BF1"/>
    <w:rsid w:val="002510B1"/>
    <w:rsid w:val="0026684D"/>
    <w:rsid w:val="00270C77"/>
    <w:rsid w:val="00290255"/>
    <w:rsid w:val="002A62CC"/>
    <w:rsid w:val="002C015B"/>
    <w:rsid w:val="002D2158"/>
    <w:rsid w:val="002D374F"/>
    <w:rsid w:val="002D7D9C"/>
    <w:rsid w:val="002E5556"/>
    <w:rsid w:val="003402A1"/>
    <w:rsid w:val="0034431B"/>
    <w:rsid w:val="00363F4E"/>
    <w:rsid w:val="003664B8"/>
    <w:rsid w:val="004045C7"/>
    <w:rsid w:val="004360D9"/>
    <w:rsid w:val="004567D5"/>
    <w:rsid w:val="004D047A"/>
    <w:rsid w:val="004D37E2"/>
    <w:rsid w:val="004D78A7"/>
    <w:rsid w:val="00532A3D"/>
    <w:rsid w:val="00540811"/>
    <w:rsid w:val="005416D7"/>
    <w:rsid w:val="005713B1"/>
    <w:rsid w:val="0058485B"/>
    <w:rsid w:val="005967F5"/>
    <w:rsid w:val="005C23CF"/>
    <w:rsid w:val="005E727C"/>
    <w:rsid w:val="005F51C0"/>
    <w:rsid w:val="00604B02"/>
    <w:rsid w:val="00667467"/>
    <w:rsid w:val="006700D9"/>
    <w:rsid w:val="00672356"/>
    <w:rsid w:val="00676279"/>
    <w:rsid w:val="006C3B6E"/>
    <w:rsid w:val="006D439C"/>
    <w:rsid w:val="006D43F2"/>
    <w:rsid w:val="006D559A"/>
    <w:rsid w:val="007060D4"/>
    <w:rsid w:val="00766931"/>
    <w:rsid w:val="007A5888"/>
    <w:rsid w:val="007B0C97"/>
    <w:rsid w:val="007C5BAE"/>
    <w:rsid w:val="007D3410"/>
    <w:rsid w:val="007F50E3"/>
    <w:rsid w:val="00810EF7"/>
    <w:rsid w:val="00815B1B"/>
    <w:rsid w:val="008439EE"/>
    <w:rsid w:val="00860DFD"/>
    <w:rsid w:val="0087121E"/>
    <w:rsid w:val="008759AE"/>
    <w:rsid w:val="008816B3"/>
    <w:rsid w:val="00886B48"/>
    <w:rsid w:val="008A4A78"/>
    <w:rsid w:val="008D31C6"/>
    <w:rsid w:val="008D6ED1"/>
    <w:rsid w:val="00906E26"/>
    <w:rsid w:val="00971CB4"/>
    <w:rsid w:val="00975D13"/>
    <w:rsid w:val="00985EE2"/>
    <w:rsid w:val="009D6CD8"/>
    <w:rsid w:val="009E341B"/>
    <w:rsid w:val="00A0464C"/>
    <w:rsid w:val="00A359D2"/>
    <w:rsid w:val="00A56E1C"/>
    <w:rsid w:val="00A758AE"/>
    <w:rsid w:val="00AC17CE"/>
    <w:rsid w:val="00AF6BFA"/>
    <w:rsid w:val="00B17F8E"/>
    <w:rsid w:val="00B42377"/>
    <w:rsid w:val="00B64727"/>
    <w:rsid w:val="00B675C0"/>
    <w:rsid w:val="00B83277"/>
    <w:rsid w:val="00B85510"/>
    <w:rsid w:val="00BA3840"/>
    <w:rsid w:val="00BA47BA"/>
    <w:rsid w:val="00BC04B9"/>
    <w:rsid w:val="00BE30AD"/>
    <w:rsid w:val="00C10E99"/>
    <w:rsid w:val="00C22598"/>
    <w:rsid w:val="00C31A3E"/>
    <w:rsid w:val="00C7734C"/>
    <w:rsid w:val="00C813D9"/>
    <w:rsid w:val="00C91DB8"/>
    <w:rsid w:val="00CA1DD4"/>
    <w:rsid w:val="00CA27F3"/>
    <w:rsid w:val="00CB6387"/>
    <w:rsid w:val="00CC180D"/>
    <w:rsid w:val="00CC7929"/>
    <w:rsid w:val="00CD5522"/>
    <w:rsid w:val="00CE25BF"/>
    <w:rsid w:val="00CF3EC9"/>
    <w:rsid w:val="00D20587"/>
    <w:rsid w:val="00D2386C"/>
    <w:rsid w:val="00D37821"/>
    <w:rsid w:val="00D51FC9"/>
    <w:rsid w:val="00D52519"/>
    <w:rsid w:val="00D537EC"/>
    <w:rsid w:val="00D6712C"/>
    <w:rsid w:val="00D705C4"/>
    <w:rsid w:val="00D81225"/>
    <w:rsid w:val="00DA0F1C"/>
    <w:rsid w:val="00E15DED"/>
    <w:rsid w:val="00E1672D"/>
    <w:rsid w:val="00E2065E"/>
    <w:rsid w:val="00E3335D"/>
    <w:rsid w:val="00E62D84"/>
    <w:rsid w:val="00E83518"/>
    <w:rsid w:val="00EA0127"/>
    <w:rsid w:val="00EA1459"/>
    <w:rsid w:val="00EA2D39"/>
    <w:rsid w:val="00EA31F4"/>
    <w:rsid w:val="00EA64D4"/>
    <w:rsid w:val="00EB1DFC"/>
    <w:rsid w:val="00EB2DA9"/>
    <w:rsid w:val="00EC1147"/>
    <w:rsid w:val="00EC44FF"/>
    <w:rsid w:val="00ED753C"/>
    <w:rsid w:val="00EF2EAB"/>
    <w:rsid w:val="00F0715E"/>
    <w:rsid w:val="00F33B86"/>
    <w:rsid w:val="00FB1699"/>
    <w:rsid w:val="00FB755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9F9A"/>
  <w15:chartTrackingRefBased/>
  <w15:docId w15:val="{E31D9462-8B5F-4F19-818F-8930C272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52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113952"/>
    <w:pPr>
      <w:spacing w:after="0" w:line="240" w:lineRule="exact"/>
      <w:ind w:left="227" w:hanging="227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13952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113952"/>
    <w:rPr>
      <w:b/>
      <w:bdr w:val="none" w:sz="0" w:space="0" w:color="auto"/>
      <w:shd w:val="clear" w:color="auto" w:fill="FFFF00"/>
      <w:vertAlign w:val="superscript"/>
    </w:rPr>
  </w:style>
  <w:style w:type="paragraph" w:styleId="Revision">
    <w:name w:val="Revision"/>
    <w:hidden/>
    <w:uiPriority w:val="99"/>
    <w:semiHidden/>
    <w:rsid w:val="002902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kattiksen\Documents\Documents%20the\A%20Forceps\Table%20YY%20OASIS%20prevalence%20time%20period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GB" sz="1600"/>
              <a:t>OASIS prevalence (%) with forceps or vacuum delivery, </a:t>
            </a:r>
          </a:p>
          <a:p>
            <a:pPr>
              <a:defRPr sz="1600"/>
            </a:pPr>
            <a:r>
              <a:rPr lang="en-GB" sz="1600"/>
              <a:t>with or without episiotomy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5.4204019952051451E-2"/>
          <c:y val="0.15589339794064203"/>
          <c:w val="0.70678392473668061"/>
          <c:h val="0.75431312401086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Forceps without episiotomy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cust"/>
            <c:noEndCap val="0"/>
            <c:plus>
              <c:numLit>
                <c:formatCode>General</c:formatCode>
                <c:ptCount val="6"/>
                <c:pt idx="0">
                  <c:v>4.7</c:v>
                </c:pt>
                <c:pt idx="1">
                  <c:v>3.9</c:v>
                </c:pt>
                <c:pt idx="2">
                  <c:v>4.5999999999999996</c:v>
                </c:pt>
                <c:pt idx="3">
                  <c:v>4.0999999999999996</c:v>
                </c:pt>
                <c:pt idx="4">
                  <c:v>7.1</c:v>
                </c:pt>
                <c:pt idx="5">
                  <c:v>9.3000000000000007</c:v>
                </c:pt>
              </c:numLit>
            </c:plus>
            <c:minus>
              <c:numLit>
                <c:formatCode>General</c:formatCode>
                <c:ptCount val="6"/>
                <c:pt idx="0">
                  <c:v>4.7</c:v>
                </c:pt>
                <c:pt idx="1">
                  <c:v>3.9</c:v>
                </c:pt>
                <c:pt idx="2">
                  <c:v>4.5999999999999996</c:v>
                </c:pt>
                <c:pt idx="3">
                  <c:v>4.0999999999999996</c:v>
                </c:pt>
                <c:pt idx="4">
                  <c:v>7.1</c:v>
                </c:pt>
                <c:pt idx="5">
                  <c:v>9.3000000000000007</c:v>
                </c:pt>
              </c:numLit>
            </c:minus>
            <c:spPr>
              <a:noFill/>
              <a:ln w="22225" cap="flat" cmpd="sng" algn="ctr">
                <a:solidFill>
                  <a:srgbClr val="7030A0">
                    <a:alpha val="95000"/>
                  </a:srgbClr>
                </a:solidFill>
                <a:prstDash val="sysDot"/>
                <a:round/>
              </a:ln>
              <a:effectLst/>
            </c:spPr>
          </c:errBars>
          <c:cat>
            <c:strRef>
              <c:f>Sheet1!$B$2:$G$2</c:f>
              <c:strCache>
                <c:ptCount val="6"/>
                <c:pt idx="0">
                  <c:v>2001-2003</c:v>
                </c:pt>
                <c:pt idx="1">
                  <c:v>2004-2006</c:v>
                </c:pt>
                <c:pt idx="2">
                  <c:v>2007-2009</c:v>
                </c:pt>
                <c:pt idx="3">
                  <c:v>2010-2012</c:v>
                </c:pt>
                <c:pt idx="4">
                  <c:v>2013-2015</c:v>
                </c:pt>
                <c:pt idx="5">
                  <c:v>2016-2018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24</c:v>
                </c:pt>
                <c:pt idx="1">
                  <c:v>23.6</c:v>
                </c:pt>
                <c:pt idx="2">
                  <c:v>17.8</c:v>
                </c:pt>
                <c:pt idx="3">
                  <c:v>14.3</c:v>
                </c:pt>
                <c:pt idx="4">
                  <c:v>20.7</c:v>
                </c:pt>
                <c:pt idx="5">
                  <c:v>23.8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D8B-834E-A272-89466A402E1C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Forceps with episiotomy</c:v>
                </c:pt>
              </c:strCache>
            </c:strRef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Lbls>
            <c:dLbl>
              <c:idx val="4"/>
              <c:layout>
                <c:manualLayout>
                  <c:x val="-2.4725598620560778E-2"/>
                  <c:y val="2.088051752866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D8B-834E-A272-89466A402E1C}"/>
                </c:ext>
              </c:extLst>
            </c:dLbl>
            <c:dLbl>
              <c:idx val="5"/>
              <c:layout>
                <c:manualLayout>
                  <c:x val="-8.1240981240981239E-3"/>
                  <c:y val="3.064613821535426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D8B-834E-A272-89466A402E1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cust"/>
            <c:noEndCap val="0"/>
            <c:plus>
              <c:numLit>
                <c:formatCode>General</c:formatCode>
                <c:ptCount val="6"/>
                <c:pt idx="0">
                  <c:v>2.4</c:v>
                </c:pt>
                <c:pt idx="1">
                  <c:v>2.2999999999999998</c:v>
                </c:pt>
                <c:pt idx="2">
                  <c:v>1.7</c:v>
                </c:pt>
                <c:pt idx="3">
                  <c:v>1.4</c:v>
                </c:pt>
                <c:pt idx="4">
                  <c:v>1.2</c:v>
                </c:pt>
                <c:pt idx="5">
                  <c:v>1.1000000000000001</c:v>
                </c:pt>
              </c:numLit>
            </c:plus>
            <c:minus>
              <c:numLit>
                <c:formatCode>General</c:formatCode>
                <c:ptCount val="6"/>
                <c:pt idx="0">
                  <c:v>2.4</c:v>
                </c:pt>
                <c:pt idx="1">
                  <c:v>2.2999999999999998</c:v>
                </c:pt>
                <c:pt idx="2">
                  <c:v>1.7</c:v>
                </c:pt>
                <c:pt idx="3">
                  <c:v>1.4</c:v>
                </c:pt>
                <c:pt idx="4">
                  <c:v>1.2</c:v>
                </c:pt>
                <c:pt idx="5">
                  <c:v>1.1000000000000001</c:v>
                </c:pt>
              </c:numLit>
            </c:minus>
            <c:spPr>
              <a:noFill/>
              <a:ln w="19050" cap="flat" cmpd="sng" algn="ctr">
                <a:solidFill>
                  <a:schemeClr val="accent1">
                    <a:lumMod val="75000"/>
                  </a:schemeClr>
                </a:solidFill>
                <a:prstDash val="sysDot"/>
                <a:round/>
              </a:ln>
              <a:effectLst/>
            </c:spPr>
          </c:errBars>
          <c:cat>
            <c:strRef>
              <c:f>Sheet1!$B$2:$G$2</c:f>
              <c:strCache>
                <c:ptCount val="6"/>
                <c:pt idx="0">
                  <c:v>2001-2003</c:v>
                </c:pt>
                <c:pt idx="1">
                  <c:v>2004-2006</c:v>
                </c:pt>
                <c:pt idx="2">
                  <c:v>2007-2009</c:v>
                </c:pt>
                <c:pt idx="3">
                  <c:v>2010-2012</c:v>
                </c:pt>
                <c:pt idx="4">
                  <c:v>2013-2015</c:v>
                </c:pt>
                <c:pt idx="5">
                  <c:v>2016-2018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0">
                  <c:v>21.1</c:v>
                </c:pt>
                <c:pt idx="1">
                  <c:v>15.9</c:v>
                </c:pt>
                <c:pt idx="2">
                  <c:v>13.9</c:v>
                </c:pt>
                <c:pt idx="3">
                  <c:v>9.1999999999999993</c:v>
                </c:pt>
                <c:pt idx="4">
                  <c:v>7.4</c:v>
                </c:pt>
                <c:pt idx="5">
                  <c:v>6.1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D8B-834E-A272-89466A402E1C}"/>
            </c:ext>
          </c:extLst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Vacuum without episiotomy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5620547431571066E-2"/>
                  <c:y val="-1.05085871710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D8B-834E-A272-89466A402E1C}"/>
                </c:ext>
              </c:extLst>
            </c:dLbl>
            <c:dLbl>
              <c:idx val="4"/>
              <c:layout>
                <c:manualLayout>
                  <c:x val="-1.7538669316820833E-2"/>
                  <c:y val="-1.4047004497881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D8B-834E-A272-89466A402E1C}"/>
                </c:ext>
              </c:extLst>
            </c:dLbl>
            <c:dLbl>
              <c:idx val="5"/>
              <c:layout>
                <c:manualLayout>
                  <c:x val="-2.1111111111111112E-2"/>
                  <c:y val="-4.028526210898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D8B-834E-A272-89466A402E1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cust"/>
            <c:noEndCap val="0"/>
            <c:plus>
              <c:numLit>
                <c:formatCode>General</c:formatCode>
                <c:ptCount val="7"/>
                <c:pt idx="0">
                  <c:v>1.2</c:v>
                </c:pt>
                <c:pt idx="1">
                  <c:v>1.05</c:v>
                </c:pt>
                <c:pt idx="2">
                  <c:v>1</c:v>
                </c:pt>
                <c:pt idx="3">
                  <c:v>1</c:v>
                </c:pt>
                <c:pt idx="4">
                  <c:v>1.1000000000000001</c:v>
                </c:pt>
                <c:pt idx="5">
                  <c:v>1</c:v>
                </c:pt>
                <c:pt idx="6">
                  <c:v>25</c:v>
                </c:pt>
              </c:numLit>
            </c:plus>
            <c:minus>
              <c:numLit>
                <c:formatCode>General</c:formatCode>
                <c:ptCount val="7"/>
                <c:pt idx="0">
                  <c:v>1.2</c:v>
                </c:pt>
                <c:pt idx="1">
                  <c:v>1.05</c:v>
                </c:pt>
                <c:pt idx="2">
                  <c:v>1</c:v>
                </c:pt>
                <c:pt idx="3">
                  <c:v>1</c:v>
                </c:pt>
                <c:pt idx="4">
                  <c:v>1.1000000000000001</c:v>
                </c:pt>
                <c:pt idx="5">
                  <c:v>1</c:v>
                </c:pt>
                <c:pt idx="6">
                  <c:v>25</c:v>
                </c:pt>
              </c:numLit>
            </c:minus>
            <c:spPr>
              <a:noFill/>
              <a:ln w="19050" cap="flat" cmpd="sng" algn="ctr">
                <a:solidFill>
                  <a:srgbClr val="FF0000"/>
                </a:solidFill>
                <a:prstDash val="sysDash"/>
                <a:round/>
              </a:ln>
              <a:effectLst/>
            </c:spPr>
          </c:errBars>
          <c:cat>
            <c:strRef>
              <c:f>Sheet1!$B$2:$G$2</c:f>
              <c:strCache>
                <c:ptCount val="6"/>
                <c:pt idx="0">
                  <c:v>2001-2003</c:v>
                </c:pt>
                <c:pt idx="1">
                  <c:v>2004-2006</c:v>
                </c:pt>
                <c:pt idx="2">
                  <c:v>2007-2009</c:v>
                </c:pt>
                <c:pt idx="3">
                  <c:v>2010-2012</c:v>
                </c:pt>
                <c:pt idx="4">
                  <c:v>2013-2015</c:v>
                </c:pt>
                <c:pt idx="5">
                  <c:v>2016-2018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  <c:pt idx="0">
                  <c:v>14.9</c:v>
                </c:pt>
                <c:pt idx="1">
                  <c:v>14.4</c:v>
                </c:pt>
                <c:pt idx="2">
                  <c:v>11.5</c:v>
                </c:pt>
                <c:pt idx="3">
                  <c:v>9.1999999999999993</c:v>
                </c:pt>
                <c:pt idx="4">
                  <c:v>9.1</c:v>
                </c:pt>
                <c:pt idx="5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D8B-834E-A272-89466A402E1C}"/>
            </c:ext>
          </c:extLst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Vacuum with episiotomy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cust"/>
            <c:noEndCap val="0"/>
            <c:plus>
              <c:numLit>
                <c:formatCode>General</c:formatCode>
                <c:ptCount val="6"/>
                <c:pt idx="0">
                  <c:v>0.95</c:v>
                </c:pt>
                <c:pt idx="1">
                  <c:v>0.85</c:v>
                </c:pt>
                <c:pt idx="2">
                  <c:v>0.6</c:v>
                </c:pt>
                <c:pt idx="3">
                  <c:v>0.45</c:v>
                </c:pt>
                <c:pt idx="4">
                  <c:v>0.45</c:v>
                </c:pt>
                <c:pt idx="5">
                  <c:v>0.4</c:v>
                </c:pt>
              </c:numLit>
            </c:plus>
            <c:minus>
              <c:numLit>
                <c:formatCode>General</c:formatCode>
                <c:ptCount val="6"/>
                <c:pt idx="0">
                  <c:v>0.95</c:v>
                </c:pt>
                <c:pt idx="1">
                  <c:v>0.85</c:v>
                </c:pt>
                <c:pt idx="2">
                  <c:v>0.6</c:v>
                </c:pt>
                <c:pt idx="3">
                  <c:v>0.45</c:v>
                </c:pt>
                <c:pt idx="4">
                  <c:v>0.45</c:v>
                </c:pt>
                <c:pt idx="5">
                  <c:v>0.4</c:v>
                </c:pt>
              </c:numLit>
            </c:minus>
            <c:spPr>
              <a:noFill/>
              <a:ln w="15875" cap="flat" cmpd="sng" algn="ctr">
                <a:solidFill>
                  <a:srgbClr val="00B050"/>
                </a:solidFill>
                <a:prstDash val="sysDash"/>
                <a:round/>
              </a:ln>
              <a:effectLst/>
            </c:spPr>
          </c:errBars>
          <c:cat>
            <c:strRef>
              <c:f>Sheet1!$B$2:$G$2</c:f>
              <c:strCache>
                <c:ptCount val="6"/>
                <c:pt idx="0">
                  <c:v>2001-2003</c:v>
                </c:pt>
                <c:pt idx="1">
                  <c:v>2004-2006</c:v>
                </c:pt>
                <c:pt idx="2">
                  <c:v>2007-2009</c:v>
                </c:pt>
                <c:pt idx="3">
                  <c:v>2010-2012</c:v>
                </c:pt>
                <c:pt idx="4">
                  <c:v>2013-2015</c:v>
                </c:pt>
                <c:pt idx="5">
                  <c:v>2016-2018</c:v>
                </c:pt>
              </c:strCache>
            </c:strRef>
          </c:cat>
          <c:val>
            <c:numRef>
              <c:f>Sheet1!$B$6:$G$6</c:f>
              <c:numCache>
                <c:formatCode>General</c:formatCode>
                <c:ptCount val="6"/>
                <c:pt idx="0">
                  <c:v>12.8</c:v>
                </c:pt>
                <c:pt idx="1">
                  <c:v>10</c:v>
                </c:pt>
                <c:pt idx="2">
                  <c:v>7.1</c:v>
                </c:pt>
                <c:pt idx="3">
                  <c:v>4.5</c:v>
                </c:pt>
                <c:pt idx="4">
                  <c:v>3.9</c:v>
                </c:pt>
                <c:pt idx="5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AD8B-834E-A272-89466A402E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22354640"/>
        <c:axId val="719372656"/>
      </c:lineChart>
      <c:catAx>
        <c:axId val="1022354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9372656"/>
        <c:crosses val="autoZero"/>
        <c:auto val="1"/>
        <c:lblAlgn val="ctr"/>
        <c:lblOffset val="100"/>
        <c:noMultiLvlLbl val="0"/>
      </c:catAx>
      <c:valAx>
        <c:axId val="719372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22354640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r"/>
      <c:layout>
        <c:manualLayout>
          <c:xMode val="edge"/>
          <c:yMode val="edge"/>
          <c:x val="0.79179326078342249"/>
          <c:y val="0.42833916593759114"/>
          <c:w val="0.18096068088576306"/>
          <c:h val="0.331662014470413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95000"/>
          <a:lumOff val="5000"/>
        </a:schemeClr>
      </a:solidFill>
      <a:round/>
    </a:ln>
    <a:effectLst/>
  </c:spPr>
  <c:txPr>
    <a:bodyPr/>
    <a:lstStyle/>
    <a:p>
      <a:pPr>
        <a:defRPr sz="1600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Helse Sør-Øst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 Katariina Laine</dc:creator>
  <cp:keywords/>
  <dc:description/>
  <cp:lastModifiedBy>Kathrine Fodstad</cp:lastModifiedBy>
  <cp:revision>2</cp:revision>
  <cp:lastPrinted>2024-04-09T12:00:00Z</cp:lastPrinted>
  <dcterms:created xsi:type="dcterms:W3CDTF">2024-05-09T12:49:00Z</dcterms:created>
  <dcterms:modified xsi:type="dcterms:W3CDTF">2024-05-09T12:49:00Z</dcterms:modified>
</cp:coreProperties>
</file>