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A1F18B" w14:textId="65A1F318" w:rsidR="00B30213" w:rsidRDefault="00375295" w:rsidP="00B30213">
      <w:pPr>
        <w:autoSpaceDE w:val="0"/>
        <w:autoSpaceDN w:val="0"/>
        <w:adjustRightInd w:val="0"/>
        <w:spacing w:after="0" w:line="240" w:lineRule="auto"/>
        <w:ind w:firstLine="0"/>
        <w:jc w:val="center"/>
        <w:rPr>
          <w:rFonts w:cs="Times New Roman"/>
          <w:szCs w:val="20"/>
        </w:rPr>
      </w:pPr>
      <w:r>
        <w:rPr>
          <w:rFonts w:cs="Times New Roman"/>
          <w:bCs w:val="0"/>
          <w:sz w:val="30"/>
          <w:szCs w:val="30"/>
          <w:u w:val="single"/>
        </w:rPr>
        <w:t>Assessment</w:t>
      </w:r>
      <w:r w:rsidRPr="00E33063">
        <w:rPr>
          <w:rFonts w:cs="Times New Roman"/>
          <w:bCs w:val="0"/>
          <w:sz w:val="30"/>
          <w:szCs w:val="30"/>
          <w:u w:val="single"/>
        </w:rPr>
        <w:t xml:space="preserve"> </w:t>
      </w:r>
      <w:r>
        <w:rPr>
          <w:rFonts w:cs="Times New Roman"/>
          <w:bCs w:val="0"/>
          <w:sz w:val="30"/>
          <w:szCs w:val="30"/>
          <w:u w:val="single"/>
        </w:rPr>
        <w:t xml:space="preserve">of </w:t>
      </w:r>
      <w:r w:rsidR="00535E32" w:rsidRPr="00E33063">
        <w:rPr>
          <w:rFonts w:cs="Times New Roman"/>
          <w:bCs w:val="0"/>
          <w:sz w:val="30"/>
          <w:szCs w:val="30"/>
          <w:u w:val="single"/>
        </w:rPr>
        <w:t>genotoxic potential of fragrance materials</w:t>
      </w:r>
      <w:r w:rsidRPr="00375295">
        <w:rPr>
          <w:rFonts w:cs="Times New Roman"/>
          <w:bCs w:val="0"/>
          <w:sz w:val="30"/>
          <w:szCs w:val="30"/>
          <w:u w:val="single"/>
        </w:rPr>
        <w:t xml:space="preserve"> </w:t>
      </w:r>
      <w:r>
        <w:rPr>
          <w:rFonts w:cs="Times New Roman"/>
          <w:bCs w:val="0"/>
          <w:sz w:val="30"/>
          <w:szCs w:val="30"/>
          <w:u w:val="single"/>
        </w:rPr>
        <w:t xml:space="preserve">in the </w:t>
      </w:r>
      <w:r w:rsidRPr="00E33063">
        <w:rPr>
          <w:rFonts w:cs="Times New Roman"/>
          <w:bCs w:val="0"/>
          <w:sz w:val="30"/>
          <w:szCs w:val="30"/>
          <w:u w:val="single"/>
        </w:rPr>
        <w:t>Chicken Egg Assay</w:t>
      </w:r>
      <w:r w:rsidR="00FB0FC0">
        <w:rPr>
          <w:rFonts w:cs="Times New Roman"/>
          <w:bCs w:val="0"/>
          <w:sz w:val="30"/>
          <w:szCs w:val="30"/>
          <w:u w:val="single"/>
        </w:rPr>
        <w:t>s</w:t>
      </w:r>
      <w:r w:rsidRPr="00E33063">
        <w:rPr>
          <w:rFonts w:cs="Times New Roman"/>
          <w:bCs w:val="0"/>
          <w:sz w:val="30"/>
          <w:szCs w:val="30"/>
          <w:u w:val="single"/>
        </w:rPr>
        <w:t xml:space="preserve"> </w:t>
      </w:r>
    </w:p>
    <w:p w14:paraId="0FE07A17" w14:textId="77777777" w:rsidR="00B30213" w:rsidRDefault="00B30213" w:rsidP="00B30213">
      <w:pPr>
        <w:autoSpaceDE w:val="0"/>
        <w:autoSpaceDN w:val="0"/>
        <w:adjustRightInd w:val="0"/>
        <w:spacing w:after="0" w:line="240" w:lineRule="auto"/>
        <w:ind w:firstLine="0"/>
        <w:jc w:val="both"/>
        <w:rPr>
          <w:rFonts w:cs="Times New Roman"/>
          <w:szCs w:val="20"/>
        </w:rPr>
      </w:pPr>
    </w:p>
    <w:p w14:paraId="6ECC72EB" w14:textId="49018A09" w:rsidR="00B30213" w:rsidRPr="00247C75" w:rsidRDefault="00B30213" w:rsidP="00B30213">
      <w:pPr>
        <w:autoSpaceDE w:val="0"/>
        <w:autoSpaceDN w:val="0"/>
        <w:adjustRightInd w:val="0"/>
        <w:spacing w:after="0" w:line="240" w:lineRule="auto"/>
        <w:ind w:firstLine="0"/>
        <w:jc w:val="both"/>
        <w:rPr>
          <w:rFonts w:cs="Times New Roman"/>
          <w:szCs w:val="20"/>
        </w:rPr>
      </w:pPr>
      <w:r w:rsidRPr="00E33D7B">
        <w:rPr>
          <w:rFonts w:cs="Times New Roman"/>
          <w:szCs w:val="20"/>
        </w:rPr>
        <w:t>Yax Thakkar</w:t>
      </w:r>
      <w:r w:rsidRPr="00E33D7B">
        <w:rPr>
          <w:rFonts w:cs="Times New Roman"/>
          <w:szCs w:val="20"/>
          <w:vertAlign w:val="superscript"/>
        </w:rPr>
        <w:t>1,2</w:t>
      </w:r>
      <w:r w:rsidRPr="00E33D7B">
        <w:rPr>
          <w:rFonts w:cs="Times New Roman"/>
          <w:szCs w:val="20"/>
        </w:rPr>
        <w:t xml:space="preserve">, </w:t>
      </w:r>
      <w:r w:rsidR="00F70B64" w:rsidRPr="00E33D7B">
        <w:rPr>
          <w:rFonts w:cs="Times New Roman"/>
          <w:szCs w:val="20"/>
        </w:rPr>
        <w:t>Kobets T.</w:t>
      </w:r>
      <w:r w:rsidR="00F70B64" w:rsidRPr="00E33D7B">
        <w:rPr>
          <w:rFonts w:cs="Times New Roman"/>
          <w:szCs w:val="20"/>
          <w:vertAlign w:val="superscript"/>
        </w:rPr>
        <w:t xml:space="preserve"> 2</w:t>
      </w:r>
      <w:r w:rsidRPr="00B54C47">
        <w:rPr>
          <w:rFonts w:cs="Times New Roman"/>
          <w:szCs w:val="20"/>
        </w:rPr>
        <w:t>Anne Marie Api</w:t>
      </w:r>
      <w:r w:rsidRPr="00B54C47">
        <w:rPr>
          <w:rFonts w:cs="Times New Roman"/>
          <w:szCs w:val="20"/>
          <w:vertAlign w:val="superscript"/>
        </w:rPr>
        <w:t>1</w:t>
      </w:r>
      <w:r w:rsidRPr="00E33D7B">
        <w:rPr>
          <w:rFonts w:cs="Times New Roman"/>
          <w:szCs w:val="20"/>
        </w:rPr>
        <w:t>, Duan J.D.</w:t>
      </w:r>
      <w:r w:rsidRPr="00E33D7B">
        <w:rPr>
          <w:rFonts w:cs="Times New Roman"/>
          <w:szCs w:val="20"/>
          <w:vertAlign w:val="superscript"/>
        </w:rPr>
        <w:t xml:space="preserve"> 2</w:t>
      </w:r>
      <w:r w:rsidR="004F19D6" w:rsidRPr="00E33D7B">
        <w:rPr>
          <w:rFonts w:cs="Times New Roman"/>
          <w:szCs w:val="20"/>
        </w:rPr>
        <w:t>,</w:t>
      </w:r>
      <w:r w:rsidR="004F19D6">
        <w:rPr>
          <w:rFonts w:cs="Times New Roman"/>
          <w:szCs w:val="20"/>
        </w:rPr>
        <w:t xml:space="preserve"> </w:t>
      </w:r>
      <w:r>
        <w:rPr>
          <w:rFonts w:cs="Times New Roman"/>
          <w:szCs w:val="20"/>
        </w:rPr>
        <w:t>Williams G.</w:t>
      </w:r>
      <w:r w:rsidRPr="0040622C">
        <w:rPr>
          <w:rFonts w:cs="Times New Roman"/>
          <w:szCs w:val="20"/>
          <w:vertAlign w:val="superscript"/>
        </w:rPr>
        <w:t xml:space="preserve"> </w:t>
      </w:r>
      <w:r w:rsidRPr="00E33D7B">
        <w:rPr>
          <w:rFonts w:cs="Times New Roman"/>
          <w:szCs w:val="20"/>
          <w:vertAlign w:val="superscript"/>
        </w:rPr>
        <w:t>2</w:t>
      </w:r>
    </w:p>
    <w:p w14:paraId="34619AC2" w14:textId="77777777" w:rsidR="00B30213" w:rsidRPr="00E33D7B" w:rsidRDefault="00B30213" w:rsidP="00B30213">
      <w:pPr>
        <w:autoSpaceDE w:val="0"/>
        <w:autoSpaceDN w:val="0"/>
        <w:adjustRightInd w:val="0"/>
        <w:spacing w:after="0" w:line="240" w:lineRule="auto"/>
        <w:ind w:firstLine="0"/>
        <w:jc w:val="both"/>
        <w:rPr>
          <w:rFonts w:cs="Times New Roman"/>
          <w:szCs w:val="20"/>
        </w:rPr>
      </w:pPr>
    </w:p>
    <w:p w14:paraId="1F7AC1D8" w14:textId="77777777" w:rsidR="00B30213" w:rsidRPr="00E33D7B" w:rsidRDefault="00B30213" w:rsidP="00B30213">
      <w:pPr>
        <w:autoSpaceDE w:val="0"/>
        <w:autoSpaceDN w:val="0"/>
        <w:adjustRightInd w:val="0"/>
        <w:spacing w:after="0" w:line="240" w:lineRule="auto"/>
        <w:ind w:firstLine="0"/>
        <w:jc w:val="both"/>
        <w:rPr>
          <w:rFonts w:cs="Times New Roman"/>
          <w:szCs w:val="20"/>
        </w:rPr>
      </w:pPr>
      <w:r w:rsidRPr="00E33D7B">
        <w:rPr>
          <w:rFonts w:cs="Times New Roman"/>
          <w:szCs w:val="20"/>
          <w:vertAlign w:val="superscript"/>
        </w:rPr>
        <w:t>1</w:t>
      </w:r>
      <w:r w:rsidRPr="00E33D7B">
        <w:rPr>
          <w:rFonts w:cs="Times New Roman"/>
          <w:szCs w:val="20"/>
        </w:rPr>
        <w:t xml:space="preserve"> Research Institute for Fragrance Materials, Inc. 50 Tice Blvd. Woodcliff Lake, NJ, 07677</w:t>
      </w:r>
    </w:p>
    <w:p w14:paraId="436B4C3E" w14:textId="77777777" w:rsidR="00B30213" w:rsidRPr="00B30213" w:rsidRDefault="00B30213" w:rsidP="00B30213">
      <w:pPr>
        <w:autoSpaceDE w:val="0"/>
        <w:autoSpaceDN w:val="0"/>
        <w:adjustRightInd w:val="0"/>
        <w:spacing w:after="0" w:line="240" w:lineRule="auto"/>
        <w:ind w:firstLine="0"/>
        <w:jc w:val="both"/>
        <w:rPr>
          <w:rFonts w:cs="Times New Roman"/>
          <w:szCs w:val="20"/>
        </w:rPr>
      </w:pPr>
      <w:r w:rsidRPr="00E33D7B">
        <w:rPr>
          <w:rFonts w:cs="Times New Roman"/>
          <w:szCs w:val="20"/>
          <w:vertAlign w:val="superscript"/>
        </w:rPr>
        <w:t xml:space="preserve">2 </w:t>
      </w:r>
      <w:r w:rsidRPr="00E33D7B">
        <w:rPr>
          <w:rFonts w:cs="Times New Roman"/>
          <w:szCs w:val="20"/>
        </w:rPr>
        <w:t xml:space="preserve">New York Medical College, Valhalla, NY, </w:t>
      </w:r>
      <w:r>
        <w:rPr>
          <w:rFonts w:cs="Times New Roman"/>
          <w:szCs w:val="20"/>
        </w:rPr>
        <w:t>1059</w:t>
      </w:r>
    </w:p>
    <w:p w14:paraId="63D93D6F" w14:textId="0658B906" w:rsidR="00535E32" w:rsidRDefault="00535E32" w:rsidP="00E33063">
      <w:pPr>
        <w:spacing w:line="240" w:lineRule="auto"/>
        <w:ind w:firstLine="0"/>
        <w:jc w:val="center"/>
        <w:rPr>
          <w:rFonts w:cs="Times New Roman"/>
          <w:bCs w:val="0"/>
          <w:sz w:val="30"/>
          <w:szCs w:val="30"/>
          <w:u w:val="single"/>
        </w:rPr>
      </w:pPr>
    </w:p>
    <w:p w14:paraId="749A2FE0" w14:textId="77777777" w:rsidR="00710E5F" w:rsidRDefault="00710E5F" w:rsidP="00E33063">
      <w:pPr>
        <w:spacing w:line="240" w:lineRule="auto"/>
        <w:ind w:firstLine="0"/>
        <w:jc w:val="center"/>
        <w:rPr>
          <w:rFonts w:cs="Times New Roman"/>
          <w:bCs w:val="0"/>
          <w:sz w:val="30"/>
          <w:szCs w:val="30"/>
          <w:u w:val="single"/>
        </w:rPr>
      </w:pPr>
    </w:p>
    <w:p w14:paraId="07C6B727" w14:textId="77777777" w:rsidR="00710E5F" w:rsidRDefault="00710E5F" w:rsidP="00E33063">
      <w:pPr>
        <w:spacing w:line="240" w:lineRule="auto"/>
        <w:ind w:firstLine="0"/>
        <w:jc w:val="center"/>
        <w:rPr>
          <w:rFonts w:cs="Times New Roman"/>
          <w:bCs w:val="0"/>
          <w:sz w:val="30"/>
          <w:szCs w:val="30"/>
          <w:u w:val="single"/>
        </w:rPr>
      </w:pPr>
    </w:p>
    <w:p w14:paraId="3B951744" w14:textId="77777777" w:rsidR="00710E5F" w:rsidRDefault="00710E5F" w:rsidP="00E33063">
      <w:pPr>
        <w:spacing w:line="240" w:lineRule="auto"/>
        <w:ind w:firstLine="0"/>
        <w:jc w:val="center"/>
        <w:rPr>
          <w:rFonts w:cs="Times New Roman"/>
          <w:bCs w:val="0"/>
          <w:sz w:val="30"/>
          <w:szCs w:val="30"/>
          <w:u w:val="single"/>
        </w:rPr>
      </w:pPr>
    </w:p>
    <w:p w14:paraId="49BE0BDC" w14:textId="77777777" w:rsidR="00710E5F" w:rsidRDefault="00710E5F" w:rsidP="00E33063">
      <w:pPr>
        <w:spacing w:line="240" w:lineRule="auto"/>
        <w:ind w:firstLine="0"/>
        <w:jc w:val="center"/>
        <w:rPr>
          <w:rFonts w:cs="Times New Roman"/>
          <w:bCs w:val="0"/>
          <w:sz w:val="30"/>
          <w:szCs w:val="30"/>
          <w:u w:val="single"/>
        </w:rPr>
      </w:pPr>
    </w:p>
    <w:p w14:paraId="36F5CC8E" w14:textId="77777777" w:rsidR="00710E5F" w:rsidRDefault="00710E5F" w:rsidP="00E33063">
      <w:pPr>
        <w:spacing w:line="240" w:lineRule="auto"/>
        <w:ind w:firstLine="0"/>
        <w:jc w:val="center"/>
        <w:rPr>
          <w:rFonts w:cs="Times New Roman"/>
          <w:bCs w:val="0"/>
          <w:sz w:val="30"/>
          <w:szCs w:val="30"/>
          <w:u w:val="single"/>
        </w:rPr>
      </w:pPr>
    </w:p>
    <w:p w14:paraId="374FC2B2" w14:textId="77777777" w:rsidR="00710E5F" w:rsidRPr="00E33063" w:rsidRDefault="00710E5F" w:rsidP="00E33063">
      <w:pPr>
        <w:spacing w:line="240" w:lineRule="auto"/>
        <w:ind w:firstLine="0"/>
        <w:jc w:val="center"/>
        <w:rPr>
          <w:rFonts w:cs="Times New Roman"/>
          <w:bCs w:val="0"/>
          <w:sz w:val="30"/>
          <w:szCs w:val="30"/>
          <w:u w:val="single"/>
        </w:rPr>
      </w:pPr>
    </w:p>
    <w:p w14:paraId="61B86B75" w14:textId="2B8361DF" w:rsidR="00710E5F" w:rsidRPr="001E24F0" w:rsidRDefault="00710E5F" w:rsidP="00710E5F">
      <w:pPr>
        <w:ind w:firstLine="0"/>
        <w:rPr>
          <w:rFonts w:cs="Times New Roman"/>
          <w:b/>
          <w:bCs w:val="0"/>
          <w:sz w:val="20"/>
          <w:szCs w:val="20"/>
        </w:rPr>
      </w:pPr>
      <w:r w:rsidRPr="001E24F0">
        <w:rPr>
          <w:rFonts w:cs="Times New Roman"/>
          <w:b/>
          <w:sz w:val="20"/>
          <w:szCs w:val="20"/>
        </w:rPr>
        <w:t xml:space="preserve">Key Words: </w:t>
      </w:r>
      <w:r w:rsidR="00B81C3A">
        <w:rPr>
          <w:rFonts w:cs="Times New Roman"/>
          <w:b/>
          <w:sz w:val="20"/>
          <w:szCs w:val="20"/>
        </w:rPr>
        <w:t>CEGA COMET</w:t>
      </w:r>
      <w:r w:rsidRPr="001E24F0">
        <w:rPr>
          <w:rFonts w:cs="Times New Roman"/>
          <w:b/>
          <w:sz w:val="20"/>
          <w:szCs w:val="20"/>
        </w:rPr>
        <w:t>,</w:t>
      </w:r>
      <w:r w:rsidR="00B81C3A">
        <w:rPr>
          <w:rFonts w:cs="Times New Roman"/>
          <w:b/>
          <w:sz w:val="20"/>
          <w:szCs w:val="20"/>
        </w:rPr>
        <w:t xml:space="preserve"> HET-</w:t>
      </w:r>
      <w:proofErr w:type="gramStart"/>
      <w:r w:rsidR="00B81C3A">
        <w:rPr>
          <w:rFonts w:cs="Times New Roman"/>
          <w:b/>
          <w:sz w:val="20"/>
          <w:szCs w:val="20"/>
        </w:rPr>
        <w:t xml:space="preserve">MN, </w:t>
      </w:r>
      <w:r w:rsidRPr="001E24F0">
        <w:rPr>
          <w:rFonts w:cs="Times New Roman"/>
          <w:b/>
          <w:sz w:val="20"/>
          <w:szCs w:val="20"/>
        </w:rPr>
        <w:t xml:space="preserve"> Fragrance</w:t>
      </w:r>
      <w:proofErr w:type="gramEnd"/>
      <w:r w:rsidRPr="001E24F0">
        <w:rPr>
          <w:rFonts w:cs="Times New Roman"/>
          <w:b/>
          <w:sz w:val="20"/>
          <w:szCs w:val="20"/>
        </w:rPr>
        <w:t xml:space="preserve"> Materials, Animal alternative, Genotoxicity</w:t>
      </w:r>
    </w:p>
    <w:p w14:paraId="7AFF453C" w14:textId="77777777" w:rsidR="00710E5F" w:rsidRDefault="00710E5F" w:rsidP="009C1C10">
      <w:pPr>
        <w:pStyle w:val="Footer"/>
        <w:ind w:firstLine="0"/>
      </w:pPr>
      <w:r>
        <w:t>Email for corresponding author: ythakkar@rifm.org</w:t>
      </w:r>
    </w:p>
    <w:p w14:paraId="75371316" w14:textId="200FCC27" w:rsidR="00B30213" w:rsidRPr="00B30213" w:rsidRDefault="00710E5F" w:rsidP="00710E5F">
      <w:pPr>
        <w:spacing w:after="160" w:line="259" w:lineRule="auto"/>
        <w:ind w:firstLine="0"/>
        <w:rPr>
          <w:rFonts w:cs="Times New Roman"/>
          <w:szCs w:val="20"/>
        </w:rPr>
      </w:pPr>
      <w:r>
        <w:rPr>
          <w:rFonts w:cs="Times New Roman"/>
          <w:szCs w:val="20"/>
        </w:rPr>
        <w:br w:type="page"/>
      </w:r>
    </w:p>
    <w:p w14:paraId="2F329F76" w14:textId="7750CD22" w:rsidR="005C3D66" w:rsidRDefault="005C3D66" w:rsidP="00A34EDF">
      <w:pPr>
        <w:pStyle w:val="Heading1"/>
      </w:pPr>
      <w:bookmarkStart w:id="0" w:name="_Toc533059242"/>
      <w:r>
        <w:lastRenderedPageBreak/>
        <w:t>Abstract</w:t>
      </w:r>
    </w:p>
    <w:p w14:paraId="7DAB95A5" w14:textId="1C07ACFE" w:rsidR="005C3D66" w:rsidRPr="005C3D66" w:rsidRDefault="005C3D66" w:rsidP="004F19D6">
      <w:pPr>
        <w:jc w:val="both"/>
      </w:pPr>
      <w:r w:rsidRPr="005C3D66">
        <w:t xml:space="preserve">The genotoxic </w:t>
      </w:r>
      <w:r w:rsidR="001B6312">
        <w:t xml:space="preserve">and </w:t>
      </w:r>
      <w:r w:rsidR="001B6312" w:rsidRPr="005C3D66">
        <w:t xml:space="preserve">clastogenic/aneugeneic </w:t>
      </w:r>
      <w:r w:rsidRPr="005C3D66">
        <w:t xml:space="preserve">potentials of four </w:t>
      </w:r>
      <w:r w:rsidR="00CC4B9A" w:rsidRPr="005C3D66">
        <w:t>α, ß</w:t>
      </w:r>
      <w:r w:rsidRPr="005C3D66">
        <w:t>-unsaturated aldehyde</w:t>
      </w:r>
      <w:r w:rsidR="009129E8">
        <w:t>s</w:t>
      </w:r>
      <w:r w:rsidRPr="005C3D66">
        <w:t xml:space="preserve">, 2-phenyl-2-butenal, nona-2-trans-6-cis-dienal, 2-methyl-2-pentenal and p-methoxy cinnamaldehyde, </w:t>
      </w:r>
      <w:r w:rsidR="009F4047">
        <w:t>which are used as</w:t>
      </w:r>
      <w:r w:rsidR="009F4047" w:rsidRPr="005C3D66">
        <w:t xml:space="preserve"> fragrance materials</w:t>
      </w:r>
      <w:r w:rsidR="009F4047">
        <w:t>,</w:t>
      </w:r>
      <w:r w:rsidR="009F4047" w:rsidRPr="005C3D66">
        <w:t xml:space="preserve"> </w:t>
      </w:r>
      <w:r w:rsidRPr="005C3D66">
        <w:t>were assessed in avian fetal livers using the Chicken Egg Genotoxicity Assay (CEGA)</w:t>
      </w:r>
      <w:r w:rsidR="001B6312">
        <w:t xml:space="preserve"> and </w:t>
      </w:r>
      <w:r w:rsidR="001B6312" w:rsidRPr="005C3D66">
        <w:t>the Hen’s egg micronucleus (HET-MN) assay</w:t>
      </w:r>
      <w:r w:rsidR="002157AF">
        <w:t>, respectively</w:t>
      </w:r>
      <w:r w:rsidRPr="005C3D66">
        <w:t xml:space="preserve">. </w:t>
      </w:r>
      <w:r w:rsidR="001D0367">
        <w:t>Selection of m</w:t>
      </w:r>
      <w:r w:rsidRPr="005C3D66">
        <w:t xml:space="preserve">aterials </w:t>
      </w:r>
      <w:r w:rsidR="00BC5739" w:rsidRPr="005C3D66">
        <w:t>w</w:t>
      </w:r>
      <w:r w:rsidR="00BC5739">
        <w:t>as</w:t>
      </w:r>
      <w:r w:rsidR="00BC5739" w:rsidRPr="005C3D66">
        <w:t xml:space="preserve"> based</w:t>
      </w:r>
      <w:r w:rsidRPr="005C3D66">
        <w:t xml:space="preserve"> on their chemical structures </w:t>
      </w:r>
      <w:r w:rsidR="002157AF">
        <w:t>and</w:t>
      </w:r>
      <w:r w:rsidRPr="005C3D66">
        <w:t xml:space="preserve"> the results</w:t>
      </w:r>
      <w:r w:rsidR="000F059A">
        <w:t xml:space="preserve"> of their assessment</w:t>
      </w:r>
      <w:r w:rsidRPr="005C3D66">
        <w:t xml:space="preserve"> in</w:t>
      </w:r>
      <w:r w:rsidR="000F059A">
        <w:t xml:space="preserve"> the</w:t>
      </w:r>
      <w:r w:rsidRPr="005C3D66">
        <w:t xml:space="preserve"> regulatory </w:t>
      </w:r>
      <w:r w:rsidRPr="005C3D66">
        <w:rPr>
          <w:i/>
          <w:iCs/>
        </w:rPr>
        <w:t>in vitro</w:t>
      </w:r>
      <w:r w:rsidRPr="005C3D66">
        <w:t xml:space="preserve"> and/or </w:t>
      </w:r>
      <w:r w:rsidRPr="005C3D66">
        <w:rPr>
          <w:i/>
          <w:iCs/>
        </w:rPr>
        <w:t>in vivo</w:t>
      </w:r>
      <w:r w:rsidRPr="005C3D66">
        <w:t xml:space="preserve"> genotoxicity</w:t>
      </w:r>
      <w:r w:rsidR="000419E8">
        <w:t xml:space="preserve"> test</w:t>
      </w:r>
      <w:r w:rsidRPr="005C3D66">
        <w:t xml:space="preserve"> </w:t>
      </w:r>
      <w:r w:rsidR="000F059A">
        <w:t>battery</w:t>
      </w:r>
      <w:r w:rsidRPr="005C3D66">
        <w:t xml:space="preserve">. </w:t>
      </w:r>
      <w:r w:rsidR="00C5040E">
        <w:t xml:space="preserve">Three tested materials, </w:t>
      </w:r>
      <w:r w:rsidR="00C5040E" w:rsidRPr="005C3D66">
        <w:t>2-phenyl-2-butenal, nona-2-trans-6-cis-dienal</w:t>
      </w:r>
      <w:r w:rsidR="00C5040E">
        <w:t xml:space="preserve"> and</w:t>
      </w:r>
      <w:r w:rsidR="00C5040E" w:rsidRPr="005C3D66">
        <w:t xml:space="preserve"> 2-methyl-2-pentenal</w:t>
      </w:r>
      <w:r w:rsidR="00C5040E">
        <w:t xml:space="preserve">, were </w:t>
      </w:r>
      <w:r w:rsidR="00FA1437" w:rsidRPr="005C3D66">
        <w:t xml:space="preserve">negative in </w:t>
      </w:r>
      <w:r w:rsidR="00FA1437">
        <w:t xml:space="preserve">both, </w:t>
      </w:r>
      <w:r w:rsidR="00FA1437" w:rsidRPr="005C3D66">
        <w:t>CEGA and HET-MN assays</w:t>
      </w:r>
      <w:r w:rsidR="00FA1437">
        <w:t xml:space="preserve">. </w:t>
      </w:r>
      <w:r w:rsidRPr="005C3D66">
        <w:t>The</w:t>
      </w:r>
      <w:r w:rsidR="007A7A43">
        <w:t>se</w:t>
      </w:r>
      <w:r w:rsidRPr="005C3D66">
        <w:t xml:space="preserve"> findings were congruent with the results of regulatory </w:t>
      </w:r>
      <w:r w:rsidRPr="005C3D66">
        <w:rPr>
          <w:i/>
          <w:iCs/>
        </w:rPr>
        <w:t>in vivo</w:t>
      </w:r>
      <w:r w:rsidRPr="005C3D66">
        <w:t xml:space="preserve"> genotoxicity assays. In contrast, p-methoxy cinnamaldehyde</w:t>
      </w:r>
      <w:r w:rsidR="00E32B06">
        <w:t>, which</w:t>
      </w:r>
      <w:r w:rsidR="00E32B06" w:rsidRPr="005C3D66">
        <w:t xml:space="preserve"> was</w:t>
      </w:r>
      <w:r w:rsidR="00E32B06">
        <w:t xml:space="preserve"> also</w:t>
      </w:r>
      <w:r w:rsidR="00E32B06" w:rsidRPr="005C3D66">
        <w:t xml:space="preserve"> negative in the </w:t>
      </w:r>
      <w:r w:rsidR="00E32B06" w:rsidRPr="005C3D66">
        <w:rPr>
          <w:i/>
          <w:iCs/>
        </w:rPr>
        <w:t>in vivo</w:t>
      </w:r>
      <w:r w:rsidR="00E32B06" w:rsidRPr="005C3D66">
        <w:t xml:space="preserve"> genotoxicity assays</w:t>
      </w:r>
      <w:r w:rsidR="003A543A">
        <w:t>,</w:t>
      </w:r>
      <w:r w:rsidR="00E32B06" w:rsidRPr="005C3D66" w:rsidDel="00445A31">
        <w:t xml:space="preserve"> </w:t>
      </w:r>
      <w:r w:rsidRPr="005C3D66">
        <w:t xml:space="preserve">produced </w:t>
      </w:r>
      <w:r w:rsidR="00D22DAC">
        <w:t xml:space="preserve">evidence of </w:t>
      </w:r>
      <w:r w:rsidRPr="005C3D66">
        <w:t>DNA damage, including DNA strand breaks</w:t>
      </w:r>
      <w:r w:rsidR="008A7852">
        <w:t xml:space="preserve"> and </w:t>
      </w:r>
      <w:r w:rsidR="00D22DAC">
        <w:t xml:space="preserve">DNA </w:t>
      </w:r>
      <w:r w:rsidRPr="005C3D66">
        <w:t>adducts</w:t>
      </w:r>
      <w:r w:rsidR="00EF5B58">
        <w:t xml:space="preserve"> </w:t>
      </w:r>
      <w:r w:rsidR="00D9113A">
        <w:t>in CEGA</w:t>
      </w:r>
      <w:r w:rsidRPr="005C3D66">
        <w:t>,</w:t>
      </w:r>
      <w:r w:rsidR="00225846">
        <w:t xml:space="preserve"> </w:t>
      </w:r>
      <w:r w:rsidR="003A543A">
        <w:t>however, no increase in the micronucleus formation</w:t>
      </w:r>
      <w:r w:rsidR="00EF5B58">
        <w:t xml:space="preserve"> </w:t>
      </w:r>
      <w:r w:rsidR="00A462A8">
        <w:t xml:space="preserve">in blood </w:t>
      </w:r>
      <w:proofErr w:type="gramStart"/>
      <w:r w:rsidR="00A462A8">
        <w:t>was reported</w:t>
      </w:r>
      <w:proofErr w:type="gramEnd"/>
      <w:r w:rsidR="00A462A8">
        <w:t xml:space="preserve"> </w:t>
      </w:r>
      <w:r w:rsidR="008A7852">
        <w:t xml:space="preserve">in </w:t>
      </w:r>
      <w:r w:rsidR="004128F2">
        <w:t xml:space="preserve">the </w:t>
      </w:r>
      <w:r w:rsidR="008A7852">
        <w:t xml:space="preserve">HET-MN study. </w:t>
      </w:r>
      <w:r w:rsidR="00D81A4F">
        <w:t xml:space="preserve">Pretreatment with a glutathione precursor, </w:t>
      </w:r>
      <w:r>
        <w:t xml:space="preserve">N-acetyl </w:t>
      </w:r>
      <w:r w:rsidR="00BC5739">
        <w:t>cysteine, negated</w:t>
      </w:r>
      <w:r w:rsidR="00883476">
        <w:t xml:space="preserve"> </w:t>
      </w:r>
      <w:r>
        <w:t>positive outcome</w:t>
      </w:r>
      <w:r w:rsidR="00883476">
        <w:t>s</w:t>
      </w:r>
      <w:r>
        <w:t xml:space="preserve"> </w:t>
      </w:r>
      <w:r w:rsidR="00883476">
        <w:t xml:space="preserve">produced by </w:t>
      </w:r>
      <w:r w:rsidR="00D96FBD" w:rsidRPr="005C3D66">
        <w:t>p-methoxy cinnamaldehyde</w:t>
      </w:r>
      <w:r w:rsidR="00D96FBD" w:rsidDel="00883476">
        <w:t xml:space="preserve"> </w:t>
      </w:r>
      <w:r w:rsidR="00D96FBD">
        <w:t>in CEGA</w:t>
      </w:r>
      <w:r w:rsidR="00F738B1">
        <w:t xml:space="preserve">, indicating that </w:t>
      </w:r>
      <w:r w:rsidR="00F738B1" w:rsidRPr="005C3D66">
        <w:t>difference</w:t>
      </w:r>
      <w:r w:rsidR="00F738B1">
        <w:t xml:space="preserve"> in response</w:t>
      </w:r>
      <w:r w:rsidR="00F738B1" w:rsidRPr="005C3D66">
        <w:t xml:space="preserve"> </w:t>
      </w:r>
      <w:r w:rsidR="00EE014A">
        <w:t>observed in</w:t>
      </w:r>
      <w:r w:rsidR="00F738B1">
        <w:t xml:space="preserve"> the </w:t>
      </w:r>
      <w:r w:rsidR="00EE014A">
        <w:t xml:space="preserve">egg and </w:t>
      </w:r>
      <w:r w:rsidR="00F738B1">
        <w:t xml:space="preserve">rodent </w:t>
      </w:r>
      <w:r w:rsidR="00EE014A">
        <w:t xml:space="preserve">models </w:t>
      </w:r>
      <w:r w:rsidR="00F738B1" w:rsidRPr="005C3D66">
        <w:t xml:space="preserve">can </w:t>
      </w:r>
      <w:proofErr w:type="gramStart"/>
      <w:r w:rsidR="00F738B1" w:rsidRPr="005C3D66">
        <w:t xml:space="preserve">be </w:t>
      </w:r>
      <w:r w:rsidR="00F738B1">
        <w:t>attributed</w:t>
      </w:r>
      <w:proofErr w:type="gramEnd"/>
      <w:r w:rsidR="00F738B1">
        <w:t xml:space="preserve"> </w:t>
      </w:r>
      <w:r w:rsidR="00F738B1" w:rsidRPr="005C3D66">
        <w:t xml:space="preserve">to rapid glutathione depletion. </w:t>
      </w:r>
      <w:r w:rsidR="00F27021">
        <w:t xml:space="preserve">Additionally, the dosing protocols for both HET-MN and CEGA assays are </w:t>
      </w:r>
      <w:r w:rsidR="00BC5739">
        <w:t>different,</w:t>
      </w:r>
      <w:r w:rsidR="00F27021">
        <w:t xml:space="preserve"> which can also be an important contributing factor. </w:t>
      </w:r>
      <w:r w:rsidRPr="005C3D66">
        <w:t xml:space="preserve">Overall, our findings support the conclusion that CEGA and/or HET-MN can </w:t>
      </w:r>
      <w:proofErr w:type="gramStart"/>
      <w:r w:rsidRPr="005C3D66">
        <w:t>be considered</w:t>
      </w:r>
      <w:proofErr w:type="gramEnd"/>
      <w:r w:rsidRPr="005C3D66">
        <w:t xml:space="preserve"> as a </w:t>
      </w:r>
      <w:r w:rsidR="00BC5739" w:rsidRPr="005C3D66">
        <w:t>potential alternative</w:t>
      </w:r>
      <w:r w:rsidRPr="005C3D66">
        <w:t xml:space="preserve"> to animal testing </w:t>
      </w:r>
      <w:r w:rsidR="00E54858" w:rsidRPr="005C3D66">
        <w:t xml:space="preserve">as follow-up </w:t>
      </w:r>
      <w:r w:rsidRPr="005C3D66">
        <w:t>strategies for assessment of genotoxic potential of fragrance materials</w:t>
      </w:r>
      <w:r w:rsidR="00BF6134">
        <w:t xml:space="preserve"> with evidence of </w:t>
      </w:r>
      <w:r w:rsidR="00012259">
        <w:t>genotoxicity</w:t>
      </w:r>
      <w:r w:rsidRPr="005C3D66">
        <w:t xml:space="preserve"> </w:t>
      </w:r>
      <w:r w:rsidRPr="005C3D66">
        <w:rPr>
          <w:i/>
          <w:iCs/>
        </w:rPr>
        <w:t xml:space="preserve">in </w:t>
      </w:r>
      <w:r w:rsidR="00CC4B9A" w:rsidRPr="005C3D66">
        <w:rPr>
          <w:i/>
          <w:iCs/>
        </w:rPr>
        <w:t>vitro</w:t>
      </w:r>
      <w:r w:rsidR="00CC4B9A" w:rsidRPr="005C3D66">
        <w:t>.</w:t>
      </w:r>
    </w:p>
    <w:p w14:paraId="62C6CB4F" w14:textId="759AF4F4" w:rsidR="005C3D66" w:rsidRPr="005C3D66" w:rsidRDefault="00012259" w:rsidP="00012259">
      <w:pPr>
        <w:ind w:firstLine="0"/>
      </w:pPr>
      <w:r>
        <w:t xml:space="preserve">Key words: </w:t>
      </w:r>
    </w:p>
    <w:p w14:paraId="2E4873AC" w14:textId="0F660DAF" w:rsidR="00A34EDF" w:rsidRPr="00E33063" w:rsidRDefault="00A34EDF" w:rsidP="00A34EDF">
      <w:pPr>
        <w:pStyle w:val="Heading1"/>
      </w:pPr>
      <w:r w:rsidRPr="00E33063">
        <w:t>INTRODUCTION</w:t>
      </w:r>
      <w:bookmarkEnd w:id="0"/>
    </w:p>
    <w:p w14:paraId="0891ADBE" w14:textId="78D95684" w:rsidR="00140044" w:rsidRDefault="00935E6D" w:rsidP="00871E4B">
      <w:pPr>
        <w:jc w:val="both"/>
      </w:pPr>
      <w:r>
        <w:t>T</w:t>
      </w:r>
      <w:r w:rsidR="005D6EFF">
        <w:t xml:space="preserve">he </w:t>
      </w:r>
      <w:r w:rsidR="005D6EFF" w:rsidRPr="005D6EFF">
        <w:t>Scientific Committee on Consumer Safety (</w:t>
      </w:r>
      <w:r w:rsidR="00CA04DB">
        <w:t>SCCS</w:t>
      </w:r>
      <w:r w:rsidR="009145C8">
        <w:t>)</w:t>
      </w:r>
      <w:r w:rsidR="00CA04DB" w:rsidRPr="00CA04DB">
        <w:t xml:space="preserve"> 7</w:t>
      </w:r>
      <w:r w:rsidR="00CA04DB" w:rsidRPr="004F19D6">
        <w:rPr>
          <w:vertAlign w:val="superscript"/>
        </w:rPr>
        <w:t>th</w:t>
      </w:r>
      <w:r w:rsidR="00CA04DB" w:rsidRPr="00CA04DB">
        <w:t xml:space="preserve"> amendment to the EU Cosmetics Directive (EC 2003)</w:t>
      </w:r>
      <w:r w:rsidR="002177D8">
        <w:t xml:space="preserve"> </w:t>
      </w:r>
      <w:r w:rsidR="00DD5A2C">
        <w:t xml:space="preserve">prohibits </w:t>
      </w:r>
      <w:r w:rsidR="00E80564">
        <w:t xml:space="preserve">marketing </w:t>
      </w:r>
      <w:r w:rsidR="001F42B4">
        <w:t xml:space="preserve">of </w:t>
      </w:r>
      <w:r w:rsidR="0090716A">
        <w:t xml:space="preserve">cosmetic ingredients which </w:t>
      </w:r>
      <w:r w:rsidR="004128F2">
        <w:t xml:space="preserve">have </w:t>
      </w:r>
      <w:r w:rsidR="0090716A">
        <w:t>under</w:t>
      </w:r>
      <w:r w:rsidR="004128F2">
        <w:t xml:space="preserve">gone </w:t>
      </w:r>
      <w:r w:rsidR="000A20CA">
        <w:t>animal</w:t>
      </w:r>
      <w:r w:rsidR="00344E1C">
        <w:t xml:space="preserve"> safety</w:t>
      </w:r>
      <w:r w:rsidR="000A20CA">
        <w:t xml:space="preserve"> testing </w:t>
      </w:r>
      <w:r w:rsidR="00344E1C">
        <w:t xml:space="preserve">after </w:t>
      </w:r>
      <w:r w:rsidR="00DE571E">
        <w:t>March 2013</w:t>
      </w:r>
      <w:r w:rsidR="00AB3DDA">
        <w:t xml:space="preserve">. Accordingly, </w:t>
      </w:r>
      <w:r w:rsidR="00CA04DB">
        <w:t>c</w:t>
      </w:r>
      <w:r w:rsidR="00CA04DB" w:rsidRPr="00CA04DB">
        <w:t xml:space="preserve">osmetic and fragrance materials </w:t>
      </w:r>
      <w:r w:rsidR="00067279">
        <w:t>which produce</w:t>
      </w:r>
      <w:r w:rsidR="00067279" w:rsidRPr="00CA04DB">
        <w:t xml:space="preserve"> </w:t>
      </w:r>
      <w:r w:rsidR="00CA04DB" w:rsidRPr="00CA04DB">
        <w:t xml:space="preserve">positive results in the standard </w:t>
      </w:r>
      <w:r w:rsidR="00CA04DB" w:rsidRPr="003631EC">
        <w:rPr>
          <w:i/>
          <w:iCs/>
        </w:rPr>
        <w:t xml:space="preserve">in vitro </w:t>
      </w:r>
      <w:r w:rsidR="00CA04DB" w:rsidRPr="00CA04DB">
        <w:t>genotoxicity</w:t>
      </w:r>
      <w:r w:rsidR="00067279">
        <w:t xml:space="preserve"> test</w:t>
      </w:r>
      <w:r w:rsidR="00CA04DB" w:rsidRPr="00CA04DB">
        <w:t xml:space="preserve"> </w:t>
      </w:r>
      <w:r w:rsidR="001E19B6">
        <w:t>battery</w:t>
      </w:r>
      <w:r w:rsidR="001E19B6" w:rsidRPr="00CA04DB">
        <w:t xml:space="preserve"> </w:t>
      </w:r>
      <w:proofErr w:type="gramStart"/>
      <w:r w:rsidR="00FB3D71">
        <w:t>are</w:t>
      </w:r>
      <w:r w:rsidR="00CA04DB" w:rsidRPr="00CA04DB">
        <w:t xml:space="preserve"> prevented</w:t>
      </w:r>
      <w:proofErr w:type="gramEnd"/>
      <w:r w:rsidR="00CA04DB" w:rsidRPr="00CA04DB">
        <w:t xml:space="preserve"> from further development. </w:t>
      </w:r>
      <w:r w:rsidR="007B6841">
        <w:t xml:space="preserve">Nevertheless, traditional </w:t>
      </w:r>
      <w:r w:rsidR="00375DE2" w:rsidRPr="004F19D6">
        <w:rPr>
          <w:i/>
          <w:iCs/>
        </w:rPr>
        <w:t>in vitro</w:t>
      </w:r>
      <w:r w:rsidR="00375DE2" w:rsidRPr="00375DE2">
        <w:t xml:space="preserve"> mutagenicity and genotoxicity </w:t>
      </w:r>
      <w:r w:rsidR="00725518">
        <w:t>assays</w:t>
      </w:r>
      <w:r w:rsidR="00EE4C3F">
        <w:t xml:space="preserve"> often </w:t>
      </w:r>
      <w:r w:rsidR="003C6655">
        <w:t xml:space="preserve">produce false positive results, in part due to </w:t>
      </w:r>
      <w:r w:rsidR="003C6655" w:rsidRPr="003C6655">
        <w:t>a lack of sufficient phase II metabolic detoxification</w:t>
      </w:r>
      <w:r w:rsidR="00A24236">
        <w:t xml:space="preserve"> (Kirkland et al., 2007)</w:t>
      </w:r>
      <w:r w:rsidR="003C6655">
        <w:t xml:space="preserve">. </w:t>
      </w:r>
      <w:r w:rsidR="00CC4B9A">
        <w:t xml:space="preserve">Thus, </w:t>
      </w:r>
      <w:r w:rsidR="00CC4B9A" w:rsidRPr="00375DE2">
        <w:t>according</w:t>
      </w:r>
      <w:r w:rsidR="00FD59DB" w:rsidRPr="00CA04DB">
        <w:t xml:space="preserve"> </w:t>
      </w:r>
      <w:r w:rsidR="00CA04DB" w:rsidRPr="00CA04DB">
        <w:t xml:space="preserve">to Ates et al (2014), non-confirmed or “misleading” positive results occurred in up to 93% of </w:t>
      </w:r>
      <w:r w:rsidR="00CA04DB" w:rsidRPr="004F19D6">
        <w:rPr>
          <w:i/>
          <w:iCs/>
        </w:rPr>
        <w:t xml:space="preserve">in vitro </w:t>
      </w:r>
      <w:r w:rsidR="00CA04DB" w:rsidRPr="00CA04DB">
        <w:t xml:space="preserve">genotoxicity </w:t>
      </w:r>
      <w:r w:rsidR="00744E7C">
        <w:t>assays</w:t>
      </w:r>
      <w:r w:rsidR="00CA04DB" w:rsidRPr="00CA04DB">
        <w:t xml:space="preserve"> with cosmetic ingredients. </w:t>
      </w:r>
      <w:r w:rsidR="00CC4B9A">
        <w:t>Hence, there</w:t>
      </w:r>
      <w:r w:rsidR="001240A5">
        <w:t xml:space="preserve"> is a </w:t>
      </w:r>
      <w:r w:rsidR="001240A5">
        <w:lastRenderedPageBreak/>
        <w:t xml:space="preserve">need </w:t>
      </w:r>
      <w:r w:rsidR="00A831DD">
        <w:t xml:space="preserve">for </w:t>
      </w:r>
      <w:r w:rsidR="001240A5">
        <w:t xml:space="preserve">a </w:t>
      </w:r>
      <w:proofErr w:type="gramStart"/>
      <w:r w:rsidR="001240A5">
        <w:t>reliable</w:t>
      </w:r>
      <w:proofErr w:type="gramEnd"/>
      <w:r w:rsidR="001240A5">
        <w:t xml:space="preserve"> </w:t>
      </w:r>
      <w:r w:rsidR="00A831DD">
        <w:t>non-</w:t>
      </w:r>
      <w:r w:rsidR="001240A5">
        <w:t xml:space="preserve">animal alternative </w:t>
      </w:r>
      <w:r w:rsidR="00A831DD">
        <w:t xml:space="preserve">assay to be used as a </w:t>
      </w:r>
      <w:r w:rsidR="001240A5">
        <w:t xml:space="preserve">follow-up </w:t>
      </w:r>
      <w:r w:rsidR="008A12A8">
        <w:t xml:space="preserve">testing </w:t>
      </w:r>
      <w:r w:rsidR="00731E58">
        <w:t xml:space="preserve">strategy </w:t>
      </w:r>
      <w:r w:rsidR="00FD59DB">
        <w:t xml:space="preserve">for </w:t>
      </w:r>
      <w:r w:rsidR="00F61D05">
        <w:t>compo</w:t>
      </w:r>
      <w:r w:rsidR="00D87D9B">
        <w:t xml:space="preserve">unds that produces positive results in the </w:t>
      </w:r>
      <w:r w:rsidR="00FD59DB">
        <w:t xml:space="preserve">in vitro </w:t>
      </w:r>
      <w:r w:rsidR="00D87D9B">
        <w:t xml:space="preserve">genotoxicity </w:t>
      </w:r>
      <w:r w:rsidR="001240A5">
        <w:t>assay</w:t>
      </w:r>
      <w:r w:rsidR="00B23345">
        <w:t>s</w:t>
      </w:r>
      <w:r w:rsidR="001240A5">
        <w:t>.</w:t>
      </w:r>
    </w:p>
    <w:p w14:paraId="36BA26A4" w14:textId="2B98F255" w:rsidR="00A34EDF" w:rsidRPr="00E33063" w:rsidRDefault="00B23345" w:rsidP="00A24236">
      <w:pPr>
        <w:spacing w:before="120"/>
        <w:jc w:val="both"/>
      </w:pPr>
      <w:r>
        <w:t xml:space="preserve">The Chicken and </w:t>
      </w:r>
      <w:r w:rsidRPr="00E33063">
        <w:rPr>
          <w:rFonts w:cs="Times New Roman"/>
          <w:noProof/>
          <w:szCs w:val="24"/>
        </w:rPr>
        <w:t xml:space="preserve">related </w:t>
      </w:r>
      <w:r w:rsidRPr="00E33063">
        <w:t>Turkey Egg Genotoxicity Assay</w:t>
      </w:r>
      <w:r>
        <w:t>s</w:t>
      </w:r>
      <w:r w:rsidRPr="00E33063">
        <w:t xml:space="preserve"> (</w:t>
      </w:r>
      <w:r>
        <w:t xml:space="preserve">CEGA and </w:t>
      </w:r>
      <w:r w:rsidRPr="00E33063">
        <w:t>TEGA</w:t>
      </w:r>
      <w:r>
        <w:t>, respectively</w:t>
      </w:r>
      <w:r w:rsidRPr="00E33063">
        <w:t xml:space="preserve">) </w:t>
      </w:r>
      <w:r w:rsidR="00A34EDF" w:rsidRPr="00E33063">
        <w:rPr>
          <w:rFonts w:cs="Times New Roman"/>
          <w:noProof/>
          <w:szCs w:val="24"/>
        </w:rPr>
        <w:t xml:space="preserve">(Williams et al., 2014; </w:t>
      </w:r>
      <w:r w:rsidR="00A34EDF" w:rsidRPr="00E33063">
        <w:rPr>
          <w:rFonts w:cs="Times New Roman"/>
          <w:szCs w:val="24"/>
        </w:rPr>
        <w:t>Iatropoulos et al., 2017; Kobets et al., 2018b</w:t>
      </w:r>
      <w:r w:rsidR="007269D2">
        <w:rPr>
          <w:rFonts w:cs="Times New Roman"/>
          <w:szCs w:val="24"/>
        </w:rPr>
        <w:t xml:space="preserve">; </w:t>
      </w:r>
      <w:r w:rsidR="00A34EDF" w:rsidRPr="00E33063">
        <w:rPr>
          <w:rFonts w:cs="Times New Roman"/>
          <w:noProof/>
          <w:szCs w:val="24"/>
        </w:rPr>
        <w:t>Kobets et al., 2016; 2018a)</w:t>
      </w:r>
      <w:r w:rsidR="00A34EDF" w:rsidRPr="00E33063">
        <w:t xml:space="preserve">, were developed as </w:t>
      </w:r>
      <w:r w:rsidR="00CC4B9A" w:rsidRPr="00E33063">
        <w:t>metabolically competent</w:t>
      </w:r>
      <w:r w:rsidR="00A34EDF" w:rsidRPr="00E33063">
        <w:t xml:space="preserve"> </w:t>
      </w:r>
      <w:r w:rsidR="00A34EDF" w:rsidRPr="00E33063">
        <w:rPr>
          <w:rFonts w:cs="Times New Roman"/>
          <w:szCs w:val="24"/>
        </w:rPr>
        <w:t xml:space="preserve">(Kobets et al., 2018b; Perrone et al., 2004) </w:t>
      </w:r>
      <w:r w:rsidR="00A34EDF" w:rsidRPr="00E33063">
        <w:t xml:space="preserve">non-animal screening </w:t>
      </w:r>
      <w:r w:rsidR="003A4227">
        <w:t>assays</w:t>
      </w:r>
      <w:r w:rsidR="00A34EDF" w:rsidRPr="00E33063">
        <w:t xml:space="preserve"> for genotoxicity testing to potentially replace short-term </w:t>
      </w:r>
      <w:r w:rsidR="00A34EDF" w:rsidRPr="000D6061">
        <w:t>in vivo</w:t>
      </w:r>
      <w:r w:rsidR="00A34EDF" w:rsidRPr="00E33063">
        <w:t xml:space="preserve"> studies required for human safety assessment. CEGA </w:t>
      </w:r>
      <w:r w:rsidR="00A24236">
        <w:t>evaluates</w:t>
      </w:r>
      <w:r w:rsidR="00CC4B9A">
        <w:t xml:space="preserve"> </w:t>
      </w:r>
      <w:r w:rsidR="00A34EDF" w:rsidRPr="00E33063">
        <w:t xml:space="preserve">two </w:t>
      </w:r>
      <w:r w:rsidR="00A24236">
        <w:t xml:space="preserve">different </w:t>
      </w:r>
      <w:r w:rsidR="00F96D08">
        <w:t>endpoints indicative of DNA damage</w:t>
      </w:r>
      <w:r w:rsidR="009F321E">
        <w:t xml:space="preserve"> </w:t>
      </w:r>
      <w:r w:rsidR="0023795B" w:rsidRPr="00E33063">
        <w:t xml:space="preserve">produced by either direct or indirect mechanisms </w:t>
      </w:r>
      <w:r w:rsidR="009F321E">
        <w:t>including</w:t>
      </w:r>
      <w:r w:rsidR="00A34EDF" w:rsidRPr="00E33063">
        <w:t xml:space="preserve"> </w:t>
      </w:r>
      <w:r w:rsidR="00F96D08">
        <w:t xml:space="preserve">nuclear </w:t>
      </w:r>
      <w:r w:rsidR="00F96D08" w:rsidRPr="00E33063">
        <w:t>DNA adducts</w:t>
      </w:r>
      <w:r w:rsidR="009F321E">
        <w:t xml:space="preserve"> by the means of t</w:t>
      </w:r>
      <w:r w:rsidR="00A34EDF" w:rsidRPr="00E33063">
        <w:t xml:space="preserve">he nucleotide </w:t>
      </w:r>
      <w:r w:rsidR="00A34EDF" w:rsidRPr="00E33063">
        <w:rPr>
          <w:vertAlign w:val="superscript"/>
        </w:rPr>
        <w:t>32</w:t>
      </w:r>
      <w:r w:rsidR="00A34EDF" w:rsidRPr="00E33063">
        <w:t xml:space="preserve">P-postlabeling (NPL) assay </w:t>
      </w:r>
      <w:r w:rsidR="00A34EDF" w:rsidRPr="00E33063">
        <w:rPr>
          <w:rFonts w:cs="Times New Roman"/>
          <w:noProof/>
          <w:szCs w:val="24"/>
        </w:rPr>
        <w:t>(Phillips and Arlt, 2014; Randerath et al., 1981; Reddy and Randerath, 1986)</w:t>
      </w:r>
      <w:r w:rsidR="00A34EDF" w:rsidRPr="00E33063">
        <w:t xml:space="preserve"> and</w:t>
      </w:r>
      <w:r w:rsidR="0023795B">
        <w:t xml:space="preserve"> DNA strand breaks using t</w:t>
      </w:r>
      <w:r w:rsidR="00A34EDF" w:rsidRPr="00E33063">
        <w:t xml:space="preserve">he </w:t>
      </w:r>
      <w:r w:rsidR="00A34EDF" w:rsidRPr="00E33063">
        <w:rPr>
          <w:rFonts w:cs="Times New Roman"/>
          <w:szCs w:val="24"/>
        </w:rPr>
        <w:t xml:space="preserve">alkaline single cell gel electrophoresis (comet) assay (Brendler-Schwaab et al., 2005; OECD, 2016; </w:t>
      </w:r>
      <w:r w:rsidR="00A34EDF" w:rsidRPr="00E33063">
        <w:rPr>
          <w:rFonts w:cs="Times New Roman"/>
          <w:noProof/>
          <w:szCs w:val="24"/>
        </w:rPr>
        <w:t>Tice et al., 2000</w:t>
      </w:r>
      <w:r w:rsidR="00A34EDF" w:rsidRPr="00E33063">
        <w:rPr>
          <w:rFonts w:cs="Times New Roman"/>
          <w:szCs w:val="24"/>
        </w:rPr>
        <w:t>)</w:t>
      </w:r>
      <w:r w:rsidR="00A24236">
        <w:t xml:space="preserve">. </w:t>
      </w:r>
      <w:r w:rsidR="00A34EDF" w:rsidRPr="00E33063">
        <w:rPr>
          <w:rFonts w:cs="Times New Roman"/>
          <w:szCs w:val="24"/>
        </w:rPr>
        <w:t xml:space="preserve">Both </w:t>
      </w:r>
      <w:r w:rsidR="0023795B">
        <w:rPr>
          <w:rFonts w:cs="Times New Roman"/>
          <w:szCs w:val="24"/>
        </w:rPr>
        <w:t>techniques</w:t>
      </w:r>
      <w:r w:rsidR="00A24236">
        <w:rPr>
          <w:rFonts w:cs="Times New Roman"/>
          <w:szCs w:val="24"/>
        </w:rPr>
        <w:t xml:space="preserve"> </w:t>
      </w:r>
      <w:proofErr w:type="gramStart"/>
      <w:r w:rsidR="00A24236">
        <w:rPr>
          <w:rFonts w:cs="Times New Roman"/>
          <w:szCs w:val="24"/>
        </w:rPr>
        <w:t>are</w:t>
      </w:r>
      <w:r w:rsidR="00A34EDF" w:rsidRPr="00E33063">
        <w:rPr>
          <w:rFonts w:cs="Times New Roman"/>
          <w:szCs w:val="24"/>
        </w:rPr>
        <w:t xml:space="preserve"> widely used</w:t>
      </w:r>
      <w:proofErr w:type="gramEnd"/>
      <w:r w:rsidR="00A34EDF" w:rsidRPr="00E33063">
        <w:rPr>
          <w:rFonts w:cs="Times New Roman"/>
          <w:szCs w:val="24"/>
        </w:rPr>
        <w:t xml:space="preserve"> for </w:t>
      </w:r>
      <w:r w:rsidR="00A24236">
        <w:rPr>
          <w:rFonts w:cs="Times New Roman"/>
          <w:szCs w:val="24"/>
        </w:rPr>
        <w:t xml:space="preserve">the </w:t>
      </w:r>
      <w:r w:rsidR="00A34EDF" w:rsidRPr="00E33063">
        <w:rPr>
          <w:rFonts w:cs="Times New Roman"/>
          <w:szCs w:val="24"/>
        </w:rPr>
        <w:t xml:space="preserve">evaluation of chemical-induced DNA damage </w:t>
      </w:r>
      <w:r w:rsidR="00A24236">
        <w:rPr>
          <w:rFonts w:cs="Times New Roman"/>
          <w:szCs w:val="24"/>
        </w:rPr>
        <w:t xml:space="preserve">in </w:t>
      </w:r>
      <w:r w:rsidR="00CC4B9A">
        <w:rPr>
          <w:rFonts w:cs="Times New Roman"/>
          <w:szCs w:val="24"/>
        </w:rPr>
        <w:t>animal</w:t>
      </w:r>
      <w:r w:rsidR="00A24236">
        <w:rPr>
          <w:rFonts w:cs="Times New Roman"/>
          <w:szCs w:val="24"/>
        </w:rPr>
        <w:t xml:space="preserve"> models as well</w:t>
      </w:r>
      <w:r w:rsidR="00A34EDF" w:rsidRPr="00E33063">
        <w:rPr>
          <w:rFonts w:cs="Times New Roman"/>
          <w:szCs w:val="24"/>
        </w:rPr>
        <w:t xml:space="preserve"> (Himmelstein et al., 2009). </w:t>
      </w:r>
      <w:r w:rsidR="00A34EDF" w:rsidRPr="00E33063">
        <w:t>Thus, elucidation of the mechanism of action of chemicals is possible.</w:t>
      </w:r>
    </w:p>
    <w:p w14:paraId="4EEE0BE8" w14:textId="357E6F70" w:rsidR="00CE5CFB" w:rsidRDefault="007B43CF" w:rsidP="000B4DFF">
      <w:pPr>
        <w:jc w:val="both"/>
        <w:rPr>
          <w:szCs w:val="24"/>
        </w:rPr>
      </w:pPr>
      <w:r>
        <w:t>CEGA</w:t>
      </w:r>
      <w:r w:rsidR="00906C85">
        <w:t xml:space="preserve"> </w:t>
      </w:r>
      <w:r w:rsidR="00A34EDF" w:rsidRPr="00E33063">
        <w:t>uses fertilized</w:t>
      </w:r>
      <w:r w:rsidR="00056722">
        <w:t>,</w:t>
      </w:r>
      <w:r w:rsidR="00A34EDF" w:rsidRPr="00E33063">
        <w:t xml:space="preserve"> </w:t>
      </w:r>
      <w:r w:rsidR="00056722" w:rsidRPr="00E33063">
        <w:t xml:space="preserve">specific pathogen free </w:t>
      </w:r>
      <w:r w:rsidR="00A34EDF" w:rsidRPr="00E33063">
        <w:t xml:space="preserve">eggs from </w:t>
      </w:r>
      <w:r w:rsidR="00444ABF">
        <w:t xml:space="preserve">the </w:t>
      </w:r>
      <w:r w:rsidR="00A34EDF" w:rsidRPr="00E33063">
        <w:t xml:space="preserve">white leghorn chicken of undetermined </w:t>
      </w:r>
      <w:r w:rsidR="00CC4B9A" w:rsidRPr="00E33063">
        <w:t>sex</w:t>
      </w:r>
      <w:r w:rsidR="00CC4B9A">
        <w:t>.</w:t>
      </w:r>
      <w:r w:rsidR="00A34EDF" w:rsidRPr="00E33063">
        <w:t xml:space="preserve"> The average incubation period until hatching for chicken egg is 21 days. Termination of the embryos</w:t>
      </w:r>
      <w:r w:rsidR="00C64578">
        <w:t xml:space="preserve"> in CEGA</w:t>
      </w:r>
      <w:r w:rsidR="00A34EDF" w:rsidRPr="00E33063">
        <w:t xml:space="preserve"> </w:t>
      </w:r>
      <w:proofErr w:type="gramStart"/>
      <w:r w:rsidR="00A34EDF" w:rsidRPr="00E33063">
        <w:t>is conducted</w:t>
      </w:r>
      <w:proofErr w:type="gramEnd"/>
      <w:r w:rsidR="00A34EDF" w:rsidRPr="00E33063">
        <w:t xml:space="preserve"> </w:t>
      </w:r>
      <w:r w:rsidR="00CC4B9A" w:rsidRPr="00E33063">
        <w:t>on</w:t>
      </w:r>
      <w:r w:rsidR="00A34EDF" w:rsidRPr="00E33063">
        <w:t xml:space="preserve"> day 11, well before hatching</w:t>
      </w:r>
      <w:r w:rsidR="00906C85">
        <w:t>, and</w:t>
      </w:r>
      <w:r w:rsidR="00906C85" w:rsidRPr="00906C85">
        <w:t xml:space="preserve"> </w:t>
      </w:r>
      <w:r w:rsidR="00906C85" w:rsidRPr="00E33063">
        <w:t>is considered not to cause discomfort to the organism, as the nervous system of the embryos is not completely formed (</w:t>
      </w:r>
      <w:r w:rsidR="00906C85" w:rsidRPr="00E33063">
        <w:rPr>
          <w:rFonts w:cs="Arial"/>
        </w:rPr>
        <w:t>Hughes</w:t>
      </w:r>
      <w:r w:rsidR="00906C85" w:rsidRPr="00E33063">
        <w:t xml:space="preserve"> 1953</w:t>
      </w:r>
      <w:r w:rsidR="00906C85">
        <w:t>)</w:t>
      </w:r>
      <w:r w:rsidR="00A34EDF" w:rsidRPr="00E33063">
        <w:t xml:space="preserve">. Thus, in compliance with Animals (Scientific Procedures) Act 1986, the assay </w:t>
      </w:r>
      <w:proofErr w:type="gramStart"/>
      <w:r w:rsidR="00A34EDF" w:rsidRPr="00E33063">
        <w:t>is not considered</w:t>
      </w:r>
      <w:proofErr w:type="gramEnd"/>
      <w:r w:rsidR="00A34EDF" w:rsidRPr="00E33063">
        <w:t xml:space="preserve"> to be an animal model.</w:t>
      </w:r>
    </w:p>
    <w:p w14:paraId="3B79D392" w14:textId="6E18E29F" w:rsidR="00E75069" w:rsidRPr="00E75069" w:rsidRDefault="0087727C" w:rsidP="00E75069">
      <w:pPr>
        <w:jc w:val="both"/>
        <w:rPr>
          <w:szCs w:val="24"/>
        </w:rPr>
      </w:pPr>
      <w:r>
        <w:rPr>
          <w:szCs w:val="24"/>
        </w:rPr>
        <w:t xml:space="preserve">Another </w:t>
      </w:r>
      <w:r w:rsidRPr="000D6061">
        <w:rPr>
          <w:szCs w:val="24"/>
        </w:rPr>
        <w:t>in ovo</w:t>
      </w:r>
      <w:r>
        <w:rPr>
          <w:szCs w:val="24"/>
        </w:rPr>
        <w:t xml:space="preserve"> model</w:t>
      </w:r>
      <w:r w:rsidR="00E75069">
        <w:rPr>
          <w:szCs w:val="24"/>
        </w:rPr>
        <w:t xml:space="preserve">, </w:t>
      </w:r>
      <w:r w:rsidR="00E75069" w:rsidRPr="00E75069">
        <w:rPr>
          <w:szCs w:val="24"/>
        </w:rPr>
        <w:t xml:space="preserve">Hen’s egg test for </w:t>
      </w:r>
      <w:r w:rsidR="00EB5175">
        <w:rPr>
          <w:szCs w:val="24"/>
        </w:rPr>
        <w:t>m</w:t>
      </w:r>
      <w:r w:rsidR="00EB5175" w:rsidRPr="00E75069">
        <w:rPr>
          <w:szCs w:val="24"/>
        </w:rPr>
        <w:t xml:space="preserve">icronucleus </w:t>
      </w:r>
      <w:r w:rsidR="00EB5175">
        <w:rPr>
          <w:szCs w:val="24"/>
        </w:rPr>
        <w:t>i</w:t>
      </w:r>
      <w:r w:rsidR="00EB5175" w:rsidRPr="00E75069">
        <w:rPr>
          <w:szCs w:val="24"/>
        </w:rPr>
        <w:t xml:space="preserve">nduction </w:t>
      </w:r>
      <w:r w:rsidR="00E75069" w:rsidRPr="00E75069">
        <w:rPr>
          <w:szCs w:val="24"/>
        </w:rPr>
        <w:t xml:space="preserve">(HET-MN) </w:t>
      </w:r>
      <w:proofErr w:type="gramStart"/>
      <w:r w:rsidR="00E75069">
        <w:rPr>
          <w:szCs w:val="24"/>
        </w:rPr>
        <w:t>is utilized</w:t>
      </w:r>
      <w:proofErr w:type="gramEnd"/>
      <w:r w:rsidR="00E75069">
        <w:rPr>
          <w:szCs w:val="24"/>
        </w:rPr>
        <w:t xml:space="preserve"> </w:t>
      </w:r>
      <w:r w:rsidR="00E75069" w:rsidRPr="00E75069">
        <w:rPr>
          <w:szCs w:val="24"/>
        </w:rPr>
        <w:t xml:space="preserve">to assess the </w:t>
      </w:r>
      <w:r w:rsidR="00E75069">
        <w:rPr>
          <w:szCs w:val="24"/>
        </w:rPr>
        <w:t>clastogenic</w:t>
      </w:r>
      <w:r w:rsidR="00E75069" w:rsidRPr="00E75069">
        <w:rPr>
          <w:szCs w:val="24"/>
        </w:rPr>
        <w:t xml:space="preserve"> properties of </w:t>
      </w:r>
      <w:r w:rsidR="00013FF2">
        <w:rPr>
          <w:szCs w:val="24"/>
        </w:rPr>
        <w:t>chemical</w:t>
      </w:r>
      <w:r w:rsidR="00DE551E">
        <w:rPr>
          <w:szCs w:val="24"/>
        </w:rPr>
        <w:t>s</w:t>
      </w:r>
      <w:r w:rsidR="00E75069" w:rsidRPr="00E75069">
        <w:rPr>
          <w:szCs w:val="24"/>
        </w:rPr>
        <w:t xml:space="preserve">. </w:t>
      </w:r>
      <w:r w:rsidR="00013FF2">
        <w:rPr>
          <w:szCs w:val="24"/>
        </w:rPr>
        <w:t xml:space="preserve">The assay </w:t>
      </w:r>
      <w:proofErr w:type="gramStart"/>
      <w:r w:rsidR="00E75069" w:rsidRPr="00E75069">
        <w:rPr>
          <w:szCs w:val="24"/>
        </w:rPr>
        <w:t>was first described</w:t>
      </w:r>
      <w:proofErr w:type="gramEnd"/>
      <w:r w:rsidR="00E75069" w:rsidRPr="00E75069">
        <w:rPr>
          <w:szCs w:val="24"/>
        </w:rPr>
        <w:t xml:space="preserve"> in 1997 by Wolf et. al., and has been </w:t>
      </w:r>
      <w:r w:rsidR="00AD034F">
        <w:rPr>
          <w:szCs w:val="24"/>
        </w:rPr>
        <w:t>subsequently</w:t>
      </w:r>
      <w:r w:rsidR="00AD034F" w:rsidRPr="00E75069">
        <w:rPr>
          <w:szCs w:val="24"/>
        </w:rPr>
        <w:t xml:space="preserve"> </w:t>
      </w:r>
      <w:r w:rsidR="00E75069" w:rsidRPr="00E75069">
        <w:rPr>
          <w:szCs w:val="24"/>
        </w:rPr>
        <w:t xml:space="preserve">optimized by different working </w:t>
      </w:r>
      <w:r w:rsidR="00CC4B9A" w:rsidRPr="00E75069">
        <w:rPr>
          <w:szCs w:val="24"/>
        </w:rPr>
        <w:t>groups</w:t>
      </w:r>
      <w:r w:rsidR="00CC4B9A">
        <w:rPr>
          <w:szCs w:val="24"/>
        </w:rPr>
        <w:t xml:space="preserve"> (</w:t>
      </w:r>
      <w:r w:rsidR="00A24236">
        <w:rPr>
          <w:szCs w:val="24"/>
        </w:rPr>
        <w:t>Kerstein et al., 2019)</w:t>
      </w:r>
      <w:r w:rsidR="00E75069" w:rsidRPr="00E75069">
        <w:rPr>
          <w:szCs w:val="24"/>
        </w:rPr>
        <w:t xml:space="preserve">. In comparison with other alternative micronucleus </w:t>
      </w:r>
      <w:r w:rsidR="00EB5175">
        <w:rPr>
          <w:szCs w:val="24"/>
        </w:rPr>
        <w:t>assays</w:t>
      </w:r>
      <w:r w:rsidR="00E75069" w:rsidRPr="00E75069">
        <w:rPr>
          <w:szCs w:val="24"/>
        </w:rPr>
        <w:t xml:space="preserve">, the physiological conditions of the incubated </w:t>
      </w:r>
      <w:r w:rsidR="00013FF2">
        <w:rPr>
          <w:szCs w:val="24"/>
        </w:rPr>
        <w:t>fertilized chicken</w:t>
      </w:r>
      <w:r w:rsidR="00013FF2" w:rsidRPr="00E75069">
        <w:rPr>
          <w:szCs w:val="24"/>
        </w:rPr>
        <w:t xml:space="preserve"> </w:t>
      </w:r>
      <w:r w:rsidR="00E75069" w:rsidRPr="00E75069">
        <w:rPr>
          <w:szCs w:val="24"/>
        </w:rPr>
        <w:t xml:space="preserve">egg may be more </w:t>
      </w:r>
      <w:proofErr w:type="gramStart"/>
      <w:r w:rsidR="00E75069" w:rsidRPr="00E75069">
        <w:rPr>
          <w:szCs w:val="24"/>
        </w:rPr>
        <w:t>similar to</w:t>
      </w:r>
      <w:proofErr w:type="gramEnd"/>
      <w:r w:rsidR="00E75069" w:rsidRPr="00E75069">
        <w:rPr>
          <w:szCs w:val="24"/>
        </w:rPr>
        <w:t xml:space="preserve"> the conditions present in animals than in any in vitro system. The hematopoietic system and the metabolic competency of the incubated </w:t>
      </w:r>
      <w:r w:rsidR="005C3D66">
        <w:rPr>
          <w:szCs w:val="24"/>
        </w:rPr>
        <w:t>chicken</w:t>
      </w:r>
      <w:r w:rsidR="00CC4B9A">
        <w:rPr>
          <w:szCs w:val="24"/>
        </w:rPr>
        <w:t xml:space="preserve"> </w:t>
      </w:r>
      <w:r w:rsidR="00E75069" w:rsidRPr="00E75069">
        <w:rPr>
          <w:szCs w:val="24"/>
        </w:rPr>
        <w:t xml:space="preserve">egg resemble </w:t>
      </w:r>
      <w:proofErr w:type="gramStart"/>
      <w:r w:rsidR="00E75069" w:rsidRPr="00E75069">
        <w:rPr>
          <w:szCs w:val="24"/>
        </w:rPr>
        <w:t>much</w:t>
      </w:r>
      <w:proofErr w:type="gramEnd"/>
      <w:r w:rsidR="00E75069" w:rsidRPr="00E75069">
        <w:rPr>
          <w:szCs w:val="24"/>
        </w:rPr>
        <w:t xml:space="preserve"> more the situation of mammals </w:t>
      </w:r>
      <w:r w:rsidR="00E75069" w:rsidRPr="000D6061">
        <w:rPr>
          <w:szCs w:val="24"/>
        </w:rPr>
        <w:t>in vivo</w:t>
      </w:r>
      <w:r w:rsidR="00E75069" w:rsidRPr="00E75069">
        <w:rPr>
          <w:szCs w:val="24"/>
        </w:rPr>
        <w:t xml:space="preserve">. The HET-MN combines the use of the commonly accepted genetic endpoint “formation of micronuclei” with the well characterized and complex model of the incubated </w:t>
      </w:r>
      <w:r w:rsidR="00FE45DD">
        <w:rPr>
          <w:szCs w:val="24"/>
        </w:rPr>
        <w:t>chicken</w:t>
      </w:r>
      <w:r w:rsidR="00FE45DD" w:rsidRPr="00E75069">
        <w:rPr>
          <w:szCs w:val="24"/>
        </w:rPr>
        <w:t xml:space="preserve"> </w:t>
      </w:r>
      <w:r w:rsidR="00E75069" w:rsidRPr="00E75069">
        <w:rPr>
          <w:szCs w:val="24"/>
        </w:rPr>
        <w:t xml:space="preserve">egg, which enables metabolic activation, </w:t>
      </w:r>
      <w:r w:rsidR="008A7852" w:rsidRPr="00E75069">
        <w:rPr>
          <w:szCs w:val="24"/>
        </w:rPr>
        <w:t>elimination,</w:t>
      </w:r>
      <w:r w:rsidR="00E75069" w:rsidRPr="00E75069">
        <w:rPr>
          <w:szCs w:val="24"/>
        </w:rPr>
        <w:t xml:space="preserve"> and excretion of xenobiotics – including those that are mutagens or pro</w:t>
      </w:r>
      <w:r w:rsidR="00CC4B9A">
        <w:rPr>
          <w:szCs w:val="24"/>
        </w:rPr>
        <w:t>-</w:t>
      </w:r>
      <w:r w:rsidR="00E75069" w:rsidRPr="00E75069">
        <w:rPr>
          <w:szCs w:val="24"/>
        </w:rPr>
        <w:lastRenderedPageBreak/>
        <w:t>mutagens. The incidence of micronuclei in interphase cells provides an indirect but easy and rapid measure of chromosomal damage. Micronuclei arise from acentric chromosomal fragments or whole chromosomes induced by clastogens or agents affecting the spindle apparatus.</w:t>
      </w:r>
      <w:r w:rsidR="00E75069" w:rsidRPr="00EA6955">
        <w:rPr>
          <w:rFonts w:cs="Times New Roman"/>
          <w:szCs w:val="24"/>
        </w:rPr>
        <w:t xml:space="preserve"> </w:t>
      </w:r>
      <w:r w:rsidR="009922C4" w:rsidRPr="000D6061">
        <w:rPr>
          <w:rFonts w:cs="Times New Roman"/>
          <w:color w:val="212121"/>
          <w:shd w:val="clear" w:color="auto" w:fill="FFFFFF"/>
        </w:rPr>
        <w:t xml:space="preserve">Avian erythrocytes </w:t>
      </w:r>
      <w:proofErr w:type="gramStart"/>
      <w:r w:rsidR="00BC5739" w:rsidRPr="000D6061">
        <w:rPr>
          <w:rFonts w:cs="Times New Roman"/>
          <w:color w:val="212121"/>
          <w:shd w:val="clear" w:color="auto" w:fill="FFFFFF"/>
        </w:rPr>
        <w:t>are nucleated</w:t>
      </w:r>
      <w:proofErr w:type="gramEnd"/>
      <w:r w:rsidR="00EA6955" w:rsidRPr="000D6061">
        <w:rPr>
          <w:rFonts w:cs="Times New Roman"/>
          <w:color w:val="212121"/>
          <w:shd w:val="clear" w:color="auto" w:fill="FFFFFF"/>
        </w:rPr>
        <w:t xml:space="preserve"> and oval which is </w:t>
      </w:r>
      <w:r w:rsidR="009922C4" w:rsidRPr="000D6061">
        <w:rPr>
          <w:rFonts w:cs="Times New Roman"/>
          <w:color w:val="212121"/>
          <w:shd w:val="clear" w:color="auto" w:fill="FFFFFF"/>
        </w:rPr>
        <w:t>differ</w:t>
      </w:r>
      <w:r w:rsidR="00EA6955" w:rsidRPr="000D6061">
        <w:rPr>
          <w:rFonts w:cs="Times New Roman"/>
          <w:color w:val="212121"/>
          <w:shd w:val="clear" w:color="auto" w:fill="FFFFFF"/>
        </w:rPr>
        <w:t>ent</w:t>
      </w:r>
      <w:r w:rsidR="009922C4" w:rsidRPr="000D6061">
        <w:rPr>
          <w:rFonts w:cs="Times New Roman"/>
          <w:color w:val="212121"/>
          <w:shd w:val="clear" w:color="auto" w:fill="FFFFFF"/>
        </w:rPr>
        <w:t xml:space="preserve"> from mammalian erythrocytes. </w:t>
      </w:r>
      <w:r w:rsidR="00EA6955" w:rsidRPr="000D6061">
        <w:rPr>
          <w:rFonts w:cs="Times New Roman"/>
          <w:color w:val="212121"/>
          <w:shd w:val="clear" w:color="auto" w:fill="FFFFFF"/>
        </w:rPr>
        <w:t>Additionally, avian erythrocytes survive 35 days in circulation as compared to 120 days for mammals (el-Mekawi et al.,1993)</w:t>
      </w:r>
      <w:r w:rsidR="009922C4" w:rsidRPr="000D6061">
        <w:rPr>
          <w:rFonts w:cs="Times New Roman"/>
          <w:color w:val="212121"/>
          <w:shd w:val="clear" w:color="auto" w:fill="FFFFFF"/>
        </w:rPr>
        <w:t>.</w:t>
      </w:r>
    </w:p>
    <w:p w14:paraId="2DCCAF57" w14:textId="521B3877" w:rsidR="00E75069" w:rsidRDefault="00E75069" w:rsidP="00EA6955">
      <w:pPr>
        <w:jc w:val="both"/>
        <w:rPr>
          <w:szCs w:val="24"/>
        </w:rPr>
      </w:pPr>
      <w:r w:rsidRPr="00E75069">
        <w:rPr>
          <w:szCs w:val="24"/>
        </w:rPr>
        <w:t xml:space="preserve">In the fertilized </w:t>
      </w:r>
      <w:r w:rsidR="00BA499B">
        <w:rPr>
          <w:szCs w:val="24"/>
        </w:rPr>
        <w:t xml:space="preserve">chicken </w:t>
      </w:r>
      <w:r w:rsidRPr="00E75069">
        <w:rPr>
          <w:szCs w:val="24"/>
        </w:rPr>
        <w:t xml:space="preserve">egg, blood cells </w:t>
      </w:r>
      <w:proofErr w:type="gramStart"/>
      <w:r w:rsidRPr="00E75069">
        <w:rPr>
          <w:szCs w:val="24"/>
        </w:rPr>
        <w:t>are formed</w:t>
      </w:r>
      <w:proofErr w:type="gramEnd"/>
      <w:r w:rsidRPr="00E75069">
        <w:rPr>
          <w:szCs w:val="24"/>
        </w:rPr>
        <w:t xml:space="preserve"> as early as about 1 day after </w:t>
      </w:r>
      <w:r w:rsidR="00CC4B9A" w:rsidRPr="00E75069">
        <w:rPr>
          <w:szCs w:val="24"/>
        </w:rPr>
        <w:t>the start</w:t>
      </w:r>
      <w:r w:rsidRPr="00E75069">
        <w:rPr>
          <w:szCs w:val="24"/>
        </w:rPr>
        <w:t xml:space="preserve"> of incubation. Just a couple of hours later the differentiation of blood vessels starts in the yolk sac. </w:t>
      </w:r>
      <w:r w:rsidR="0091386F">
        <w:rPr>
          <w:szCs w:val="24"/>
        </w:rPr>
        <w:t xml:space="preserve">Formation of </w:t>
      </w:r>
      <w:r w:rsidRPr="00E75069">
        <w:rPr>
          <w:szCs w:val="24"/>
        </w:rPr>
        <w:t xml:space="preserve">the chorioallantoic membrane (CAM), </w:t>
      </w:r>
      <w:r w:rsidR="0091386F">
        <w:rPr>
          <w:szCs w:val="24"/>
        </w:rPr>
        <w:t>occurs on day 5 of incubation</w:t>
      </w:r>
      <w:r w:rsidRPr="00E75069">
        <w:rPr>
          <w:szCs w:val="24"/>
        </w:rPr>
        <w:t>. CAM is highly vascularized and contains the main volume of extraembryonic peripheral blood of the incubated hen’s egg</w:t>
      </w:r>
      <w:proofErr w:type="gramStart"/>
      <w:r w:rsidRPr="00E75069">
        <w:rPr>
          <w:szCs w:val="24"/>
        </w:rPr>
        <w:t>.</w:t>
      </w:r>
      <w:r>
        <w:rPr>
          <w:szCs w:val="24"/>
        </w:rPr>
        <w:t xml:space="preserve"> </w:t>
      </w:r>
      <w:r w:rsidR="0046558C" w:rsidRPr="00E75069" w:rsidDel="0046558C">
        <w:rPr>
          <w:szCs w:val="24"/>
        </w:rPr>
        <w:t xml:space="preserve"> </w:t>
      </w:r>
      <w:proofErr w:type="gramEnd"/>
      <w:r w:rsidR="005E7D7D">
        <w:rPr>
          <w:szCs w:val="24"/>
        </w:rPr>
        <w:t>D</w:t>
      </w:r>
      <w:r w:rsidRPr="00E75069">
        <w:rPr>
          <w:szCs w:val="24"/>
        </w:rPr>
        <w:t>ifferen</w:t>
      </w:r>
      <w:r w:rsidR="005E7D7D">
        <w:rPr>
          <w:szCs w:val="24"/>
        </w:rPr>
        <w:t>t</w:t>
      </w:r>
      <w:r w:rsidRPr="00E75069">
        <w:rPr>
          <w:szCs w:val="24"/>
        </w:rPr>
        <w:t xml:space="preserve"> </w:t>
      </w:r>
      <w:r w:rsidR="005E7D7D">
        <w:rPr>
          <w:szCs w:val="24"/>
        </w:rPr>
        <w:t>from</w:t>
      </w:r>
      <w:r w:rsidRPr="00E75069">
        <w:rPr>
          <w:szCs w:val="24"/>
        </w:rPr>
        <w:t xml:space="preserve"> adult animals</w:t>
      </w:r>
      <w:r w:rsidR="005E7D7D">
        <w:rPr>
          <w:szCs w:val="24"/>
        </w:rPr>
        <w:t>,</w:t>
      </w:r>
      <w:r w:rsidRPr="00E75069">
        <w:rPr>
          <w:szCs w:val="24"/>
        </w:rPr>
        <w:t xml:space="preserve"> there are two different cell lines in the peripheral blood of the chick embryo: primitive erythrocytes (E I) and definite erythrocytes (E II). The latter appear in diverse maturation stages as early, middle and late polychromatic erythrocytes, and as normochromatic </w:t>
      </w:r>
      <w:proofErr w:type="gramStart"/>
      <w:r w:rsidRPr="00E75069">
        <w:rPr>
          <w:szCs w:val="24"/>
        </w:rPr>
        <w:t>erythrocytes</w:t>
      </w:r>
      <w:proofErr w:type="gramEnd"/>
    </w:p>
    <w:p w14:paraId="1666762D" w14:textId="479533C8" w:rsidR="003739F9" w:rsidRPr="00E33063" w:rsidRDefault="00164097" w:rsidP="00E75069">
      <w:pPr>
        <w:jc w:val="both"/>
      </w:pPr>
      <w:r>
        <w:rPr>
          <w:szCs w:val="24"/>
        </w:rPr>
        <w:t xml:space="preserve">In order to evaluate the potential of both CEGA COMET/NPL and HET-MN in detecting genotoxic events set of four fragrance materials with </w:t>
      </w:r>
      <w:r w:rsidRPr="00E33063">
        <w:t>α, β-unsaturated aldehyde</w:t>
      </w:r>
      <w:r>
        <w:rPr>
          <w:szCs w:val="24"/>
        </w:rPr>
        <w:t xml:space="preserve"> structures</w:t>
      </w:r>
      <w:r w:rsidR="00266B05">
        <w:rPr>
          <w:szCs w:val="24"/>
        </w:rPr>
        <w:t xml:space="preserve">, </w:t>
      </w:r>
      <w:r w:rsidR="00266B05" w:rsidRPr="00266B05">
        <w:rPr>
          <w:szCs w:val="24"/>
        </w:rPr>
        <w:t>2-phenyl-2-butenal, nona-2-trans-6-cis-dienal, 2-methyl-2-pentenal and p-methoxy  cinnamaldehyde</w:t>
      </w:r>
      <w:r w:rsidR="00266B05">
        <w:rPr>
          <w:szCs w:val="24"/>
        </w:rPr>
        <w:t>,</w:t>
      </w:r>
      <w:r>
        <w:rPr>
          <w:szCs w:val="24"/>
        </w:rPr>
        <w:t xml:space="preserve"> were evaluated in these models. </w:t>
      </w:r>
      <w:r w:rsidR="0083015B" w:rsidRPr="0083015B">
        <w:rPr>
          <w:szCs w:val="24"/>
        </w:rPr>
        <w:t xml:space="preserve">Alpha, beta-unsaturated carbonyl compounds are a class of organic molecules that contain a carbonyl group (C=O) attached to a carbon-carbon double bond (C=C) at the alpha and beta positions. </w:t>
      </w:r>
      <w:proofErr w:type="gramStart"/>
      <w:r w:rsidR="0083015B" w:rsidRPr="0083015B">
        <w:rPr>
          <w:szCs w:val="24"/>
        </w:rPr>
        <w:t>Some</w:t>
      </w:r>
      <w:proofErr w:type="gramEnd"/>
      <w:r w:rsidR="0083015B" w:rsidRPr="0083015B">
        <w:rPr>
          <w:szCs w:val="24"/>
        </w:rPr>
        <w:t xml:space="preserve"> examples of these compounds include acrolein, crotonaldehyde, and acrylamide. These compounds are known to be genotoxic and mutagenic, meaning they can cause DNA damage and mutations</w:t>
      </w:r>
      <w:r w:rsidR="00A64628">
        <w:rPr>
          <w:szCs w:val="24"/>
        </w:rPr>
        <w:t xml:space="preserve"> (Li et al., 2021)</w:t>
      </w:r>
      <w:r w:rsidR="0083015B" w:rsidRPr="0083015B">
        <w:rPr>
          <w:szCs w:val="24"/>
        </w:rPr>
        <w:t xml:space="preserve">. The molecular mechanisms of DNA damage initiated by alpha, beta-unsaturated carbonyl compounds involve </w:t>
      </w:r>
      <w:proofErr w:type="gramStart"/>
      <w:r w:rsidR="0083015B" w:rsidRPr="0083015B">
        <w:rPr>
          <w:szCs w:val="24"/>
        </w:rPr>
        <w:t>several</w:t>
      </w:r>
      <w:proofErr w:type="gramEnd"/>
      <w:r w:rsidR="0083015B" w:rsidRPr="0083015B">
        <w:rPr>
          <w:szCs w:val="24"/>
        </w:rPr>
        <w:t xml:space="preserve"> processes</w:t>
      </w:r>
      <w:r w:rsidR="0083015B">
        <w:rPr>
          <w:szCs w:val="24"/>
        </w:rPr>
        <w:t xml:space="preserve"> such as formation of DNA adduct, deamination of adenine, formation of DNA cross-links, induction of oxidative stress, interference in DNA self-repair processes, etc</w:t>
      </w:r>
      <w:r w:rsidR="00FE0ACE">
        <w:rPr>
          <w:szCs w:val="24"/>
        </w:rPr>
        <w:t>.</w:t>
      </w:r>
      <w:r w:rsidR="0083015B">
        <w:rPr>
          <w:szCs w:val="24"/>
        </w:rPr>
        <w:t xml:space="preserve"> (Eder et al., 1990).</w:t>
      </w:r>
      <w:r w:rsidR="00170288">
        <w:rPr>
          <w:szCs w:val="24"/>
        </w:rPr>
        <w:t xml:space="preserve"> </w:t>
      </w:r>
      <w:r w:rsidR="00FE0ACE">
        <w:rPr>
          <w:szCs w:val="24"/>
        </w:rPr>
        <w:t>However, sometimes this class of materials tend</w:t>
      </w:r>
      <w:r w:rsidR="00D923C1">
        <w:rPr>
          <w:szCs w:val="24"/>
        </w:rPr>
        <w:t>s</w:t>
      </w:r>
      <w:r w:rsidR="00FE0ACE">
        <w:rPr>
          <w:szCs w:val="24"/>
        </w:rPr>
        <w:t xml:space="preserve"> to </w:t>
      </w:r>
      <w:r w:rsidR="00D923C1">
        <w:rPr>
          <w:szCs w:val="24"/>
        </w:rPr>
        <w:t xml:space="preserve">produce </w:t>
      </w:r>
      <w:r w:rsidR="00FE0ACE">
        <w:rPr>
          <w:szCs w:val="24"/>
        </w:rPr>
        <w:t xml:space="preserve">biologically non-relevant misleading positive outcomes in the </w:t>
      </w:r>
      <w:r w:rsidR="00FE0ACE" w:rsidRPr="000D6061">
        <w:rPr>
          <w:szCs w:val="24"/>
        </w:rPr>
        <w:t>in vitro</w:t>
      </w:r>
      <w:r w:rsidR="00FE0ACE" w:rsidRPr="002C6E57">
        <w:rPr>
          <w:szCs w:val="24"/>
        </w:rPr>
        <w:t xml:space="preserve"> </w:t>
      </w:r>
      <w:r w:rsidR="00FE0ACE">
        <w:rPr>
          <w:szCs w:val="24"/>
        </w:rPr>
        <w:t>genotoxicity testing battery.</w:t>
      </w:r>
      <w:r w:rsidR="00D10C57">
        <w:rPr>
          <w:szCs w:val="24"/>
        </w:rPr>
        <w:t xml:space="preserve"> </w:t>
      </w:r>
      <w:r w:rsidR="00266618" w:rsidRPr="00E33063">
        <w:t xml:space="preserve">The main purpose of </w:t>
      </w:r>
      <w:r w:rsidR="00CC4B9A" w:rsidRPr="00E33063">
        <w:t>the current</w:t>
      </w:r>
      <w:r w:rsidR="00266618" w:rsidRPr="00E33063">
        <w:t xml:space="preserve"> study was to verify </w:t>
      </w:r>
      <w:r w:rsidR="00A062B6">
        <w:t>whether CEGA and HEN-MT</w:t>
      </w:r>
      <w:r w:rsidR="00266618" w:rsidRPr="00E33063">
        <w:rPr>
          <w:szCs w:val="24"/>
        </w:rPr>
        <w:t xml:space="preserve"> </w:t>
      </w:r>
      <w:r w:rsidR="00A062B6">
        <w:rPr>
          <w:szCs w:val="24"/>
        </w:rPr>
        <w:t>are</w:t>
      </w:r>
      <w:r w:rsidR="00266618" w:rsidRPr="00E33063">
        <w:rPr>
          <w:szCs w:val="24"/>
        </w:rPr>
        <w:t xml:space="preserve"> reasonable follow up assay</w:t>
      </w:r>
      <w:r w:rsidR="00A062B6">
        <w:rPr>
          <w:szCs w:val="24"/>
        </w:rPr>
        <w:t>s</w:t>
      </w:r>
      <w:r w:rsidR="00266618" w:rsidRPr="00E33063">
        <w:rPr>
          <w:szCs w:val="24"/>
        </w:rPr>
        <w:t xml:space="preserve"> to </w:t>
      </w:r>
      <w:r w:rsidR="004128F2">
        <w:rPr>
          <w:szCs w:val="24"/>
        </w:rPr>
        <w:t xml:space="preserve">the </w:t>
      </w:r>
      <w:r w:rsidR="00266618" w:rsidRPr="000D6061">
        <w:rPr>
          <w:szCs w:val="24"/>
        </w:rPr>
        <w:t>in vitro</w:t>
      </w:r>
      <w:r w:rsidR="00266618" w:rsidRPr="002C6E57">
        <w:rPr>
          <w:szCs w:val="24"/>
        </w:rPr>
        <w:t xml:space="preserve"> </w:t>
      </w:r>
      <w:r w:rsidR="0015240D">
        <w:rPr>
          <w:szCs w:val="24"/>
        </w:rPr>
        <w:t xml:space="preserve">genotoxicity assays. </w:t>
      </w:r>
      <w:r w:rsidR="00CC4B9A">
        <w:rPr>
          <w:szCs w:val="24"/>
        </w:rPr>
        <w:t xml:space="preserve">Furthermore, </w:t>
      </w:r>
      <w:r w:rsidR="00CC4B9A" w:rsidRPr="00E33063">
        <w:t>analysis</w:t>
      </w:r>
      <w:r w:rsidR="00266618" w:rsidRPr="00E33063">
        <w:rPr>
          <w:szCs w:val="24"/>
        </w:rPr>
        <w:t xml:space="preserve"> of DNA adduct formation can add additional weight of evidence in supporting a genotoxicity safety assessment</w:t>
      </w:r>
      <w:r w:rsidR="00266618" w:rsidRPr="00E33063">
        <w:t xml:space="preserve"> </w:t>
      </w:r>
      <w:r w:rsidR="00266618" w:rsidRPr="00E33063">
        <w:rPr>
          <w:szCs w:val="24"/>
        </w:rPr>
        <w:t>for safety assessment of fragrance materials.</w:t>
      </w:r>
      <w:r w:rsidR="0033538A">
        <w:rPr>
          <w:szCs w:val="24"/>
        </w:rPr>
        <w:t xml:space="preserve"> </w:t>
      </w:r>
    </w:p>
    <w:p w14:paraId="4C1C6666" w14:textId="1C56EA77" w:rsidR="00CE5CFB" w:rsidRPr="00E33063" w:rsidRDefault="00CE5CFB" w:rsidP="00CE5CFB">
      <w:pPr>
        <w:pStyle w:val="Heading1"/>
      </w:pPr>
      <w:bookmarkStart w:id="1" w:name="_Toc533059243"/>
      <w:r w:rsidRPr="00E33063">
        <w:lastRenderedPageBreak/>
        <w:t>MATERIALS AND METHODS</w:t>
      </w:r>
      <w:bookmarkEnd w:id="1"/>
    </w:p>
    <w:p w14:paraId="4D6D9DBD" w14:textId="67E853F6" w:rsidR="002D3172" w:rsidRPr="00E33063" w:rsidRDefault="002D3172" w:rsidP="002D3172">
      <w:pPr>
        <w:pStyle w:val="Heading1"/>
        <w:rPr>
          <w:u w:val="single"/>
        </w:rPr>
      </w:pPr>
      <w:r w:rsidRPr="00E33063">
        <w:rPr>
          <w:u w:val="single"/>
        </w:rPr>
        <w:t>Selection of test materials</w:t>
      </w:r>
    </w:p>
    <w:p w14:paraId="0D3C4017" w14:textId="2985C0EC" w:rsidR="00791420" w:rsidRPr="00E33063" w:rsidRDefault="00032403" w:rsidP="004F19D6">
      <w:pPr>
        <w:ind w:firstLine="0"/>
      </w:pPr>
      <w:r>
        <w:t xml:space="preserve">The four </w:t>
      </w:r>
      <w:r w:rsidRPr="00E33063">
        <w:t>α, β-unsaturated aldehyde</w:t>
      </w:r>
      <w:r>
        <w:t>s</w:t>
      </w:r>
      <w:r w:rsidRPr="00E33063">
        <w:t xml:space="preserve"> </w:t>
      </w:r>
      <w:r w:rsidR="002D3172" w:rsidRPr="00E33063">
        <w:t xml:space="preserve">selected for testing </w:t>
      </w:r>
      <w:r>
        <w:t>previously pro</w:t>
      </w:r>
      <w:r w:rsidR="006B71F1">
        <w:t>duced</w:t>
      </w:r>
      <w:r w:rsidR="002D3172" w:rsidRPr="00E33063">
        <w:t xml:space="preserve"> positive outcome in at least one of the traditional </w:t>
      </w:r>
      <w:r w:rsidR="002D3172" w:rsidRPr="000D6061">
        <w:t>in vitro</w:t>
      </w:r>
      <w:r w:rsidR="002D3172" w:rsidRPr="002C6E57">
        <w:t xml:space="preserve"> </w:t>
      </w:r>
      <w:r w:rsidR="002D3172" w:rsidRPr="00E33063">
        <w:t xml:space="preserve">Ames and/or </w:t>
      </w:r>
      <w:r w:rsidR="002D3172" w:rsidRPr="000D6061">
        <w:t>in vivo</w:t>
      </w:r>
      <w:r w:rsidR="002D3172" w:rsidRPr="00E33063">
        <w:t xml:space="preserve"> micronucleus assay</w:t>
      </w:r>
      <w:r w:rsidR="004128F2">
        <w:t>s</w:t>
      </w:r>
      <w:r w:rsidR="006B71F1">
        <w:t xml:space="preserve"> and had </w:t>
      </w:r>
      <w:r w:rsidR="002D3172" w:rsidRPr="00E33063">
        <w:t xml:space="preserve">been </w:t>
      </w:r>
      <w:proofErr w:type="gramStart"/>
      <w:r w:rsidR="002D3172" w:rsidRPr="00E33063">
        <w:t>tested</w:t>
      </w:r>
      <w:proofErr w:type="gramEnd"/>
      <w:r w:rsidR="002D3172" w:rsidRPr="00E33063">
        <w:t xml:space="preserve"> in the </w:t>
      </w:r>
      <w:r w:rsidR="002D3172" w:rsidRPr="000D6061">
        <w:t>in vivo</w:t>
      </w:r>
      <w:r w:rsidR="002D3172" w:rsidRPr="00E33063">
        <w:t xml:space="preserve"> comet and/or micronucleus </w:t>
      </w:r>
      <w:r w:rsidR="004128F2">
        <w:t>assay</w:t>
      </w:r>
      <w:r w:rsidR="002D3172" w:rsidRPr="00E33063">
        <w:t xml:space="preserve"> as a follow-up to </w:t>
      </w:r>
      <w:r w:rsidR="007D00E8">
        <w:t xml:space="preserve">the </w:t>
      </w:r>
      <w:r w:rsidR="002D3172" w:rsidRPr="000D6061">
        <w:t>in vitro</w:t>
      </w:r>
      <w:r w:rsidR="002D3172" w:rsidRPr="002C6E57">
        <w:t xml:space="preserve"> </w:t>
      </w:r>
      <w:r w:rsidR="002D3172" w:rsidRPr="00E33063">
        <w:t>assays</w:t>
      </w:r>
      <w:r w:rsidR="00837B52">
        <w:t xml:space="preserve">. </w:t>
      </w:r>
    </w:p>
    <w:p w14:paraId="6C977120" w14:textId="077D22D2" w:rsidR="00A35247" w:rsidRPr="00E33063" w:rsidRDefault="00791420" w:rsidP="00A35247">
      <w:r w:rsidRPr="00E33063">
        <w:t>2-Phenyl-2-butenal (CAS: 4411-89-6; &gt; 97</w:t>
      </w:r>
      <w:r w:rsidR="004128F2">
        <w:t>%</w:t>
      </w:r>
      <w:r w:rsidRPr="00E33063">
        <w:t xml:space="preserve"> pure) </w:t>
      </w:r>
      <w:proofErr w:type="gramStart"/>
      <w:r w:rsidRPr="00E33063">
        <w:t xml:space="preserve">was </w:t>
      </w:r>
      <w:r w:rsidR="00214DE7">
        <w:t>supplied</w:t>
      </w:r>
      <w:proofErr w:type="gramEnd"/>
      <w:r w:rsidR="00214DE7">
        <w:t xml:space="preserve"> by</w:t>
      </w:r>
      <w:r w:rsidRPr="00E33063">
        <w:t xml:space="preserve"> Symrise (Holzminden, Germany). Nona-2 trans- 6-cis-dienal (CAS: 557-48-2; &gt; 98</w:t>
      </w:r>
      <w:r w:rsidR="004128F2">
        <w:t>%</w:t>
      </w:r>
      <w:r w:rsidRPr="00E33063">
        <w:t xml:space="preserve"> pure) </w:t>
      </w:r>
      <w:proofErr w:type="gramStart"/>
      <w:r w:rsidRPr="00E33063">
        <w:t xml:space="preserve">was </w:t>
      </w:r>
      <w:r w:rsidR="00214DE7">
        <w:t>prov</w:t>
      </w:r>
      <w:r w:rsidR="003416CF">
        <w:t>ided</w:t>
      </w:r>
      <w:proofErr w:type="gramEnd"/>
      <w:r w:rsidR="00214DE7" w:rsidRPr="00E33063">
        <w:t xml:space="preserve"> </w:t>
      </w:r>
      <w:r w:rsidRPr="00E33063">
        <w:t xml:space="preserve">from Bedoukian Research Inc. (Danbury, CT, USA). 2-Methyl-2-pentenal (CAS: 623-36-9) </w:t>
      </w:r>
      <w:proofErr w:type="gramStart"/>
      <w:r w:rsidRPr="00E33063">
        <w:t>was delivered</w:t>
      </w:r>
      <w:proofErr w:type="gramEnd"/>
      <w:r w:rsidRPr="00E33063">
        <w:t xml:space="preserve"> from International Flavors &amp; Fragrances (New York City, NY, USA). p-Methoxy cinnamaldehyde (CAS: 1963-36-6; &gt; 96</w:t>
      </w:r>
      <w:r w:rsidR="004128F2">
        <w:t>%</w:t>
      </w:r>
      <w:r w:rsidRPr="00E33063">
        <w:t xml:space="preserve"> pure) </w:t>
      </w:r>
      <w:proofErr w:type="gramStart"/>
      <w:r w:rsidRPr="00E33063">
        <w:t xml:space="preserve">was </w:t>
      </w:r>
      <w:r w:rsidR="00112FA5">
        <w:t>contributed</w:t>
      </w:r>
      <w:proofErr w:type="gramEnd"/>
      <w:r w:rsidR="00112FA5">
        <w:t xml:space="preserve"> by</w:t>
      </w:r>
      <w:r w:rsidRPr="00E33063">
        <w:t xml:space="preserve"> Hasegawa Co., LTD. (Tokyo, Japan).</w:t>
      </w:r>
      <w:r w:rsidR="00A35247" w:rsidRPr="00A35247">
        <w:t xml:space="preserve"> </w:t>
      </w:r>
      <w:r w:rsidR="00A35247" w:rsidRPr="00E33063">
        <w:t xml:space="preserve">Chemical structures and tested doses for the chemicals selected for testing </w:t>
      </w:r>
      <w:proofErr w:type="gramStart"/>
      <w:r w:rsidR="00A35247" w:rsidRPr="00E33063">
        <w:t>are provided</w:t>
      </w:r>
      <w:proofErr w:type="gramEnd"/>
      <w:r w:rsidR="00A35247" w:rsidRPr="00E33063">
        <w:t xml:space="preserve"> in </w:t>
      </w:r>
      <w:r w:rsidR="00A35247" w:rsidRPr="00E33063">
        <w:rPr>
          <w:b/>
        </w:rPr>
        <w:t xml:space="preserve">Table </w:t>
      </w:r>
      <w:r w:rsidR="00A35247">
        <w:rPr>
          <w:b/>
        </w:rPr>
        <w:t>1</w:t>
      </w:r>
      <w:r w:rsidR="00A35247" w:rsidRPr="00E33063">
        <w:t xml:space="preserve">. </w:t>
      </w:r>
    </w:p>
    <w:p w14:paraId="78913B28" w14:textId="45FF4AAA" w:rsidR="00CE5CFB" w:rsidRPr="00E33063" w:rsidRDefault="00CE5CFB" w:rsidP="002D3172">
      <w:pPr>
        <w:pStyle w:val="Heading1"/>
        <w:rPr>
          <w:szCs w:val="24"/>
          <w:u w:val="single"/>
        </w:rPr>
      </w:pPr>
      <w:bookmarkStart w:id="2" w:name="_Toc533059244"/>
      <w:r w:rsidRPr="00E33063">
        <w:rPr>
          <w:szCs w:val="24"/>
          <w:u w:val="single"/>
        </w:rPr>
        <w:t xml:space="preserve">Control </w:t>
      </w:r>
      <w:bookmarkEnd w:id="2"/>
      <w:r w:rsidR="00B245F9" w:rsidRPr="00E33063">
        <w:rPr>
          <w:szCs w:val="24"/>
          <w:u w:val="single"/>
        </w:rPr>
        <w:t xml:space="preserve">test </w:t>
      </w:r>
      <w:proofErr w:type="gramStart"/>
      <w:r w:rsidR="00B245F9" w:rsidRPr="00E33063">
        <w:rPr>
          <w:szCs w:val="24"/>
          <w:u w:val="single"/>
        </w:rPr>
        <w:t>materials</w:t>
      </w:r>
      <w:proofErr w:type="gramEnd"/>
    </w:p>
    <w:p w14:paraId="6BCEE3CC" w14:textId="0D2E77E1" w:rsidR="00CE5CFB" w:rsidRPr="00E33063" w:rsidRDefault="00CE5CFB" w:rsidP="00CE5CFB">
      <w:pPr>
        <w:rPr>
          <w:highlight w:val="yellow"/>
        </w:rPr>
      </w:pPr>
      <w:r w:rsidRPr="00E33063">
        <w:rPr>
          <w:rFonts w:cs="Times New Roman"/>
          <w:szCs w:val="24"/>
        </w:rPr>
        <w:t xml:space="preserve">Solutol HS15 (Kolliphor HS15) (CAS: 70142-34-6), obtained from Sigma-Aldrich (St Louis, MO, USA) prepared as a 20 % aqueous solution (20% HS15) </w:t>
      </w:r>
      <w:proofErr w:type="gramStart"/>
      <w:r w:rsidRPr="00E33063">
        <w:rPr>
          <w:rFonts w:cs="Times New Roman"/>
          <w:szCs w:val="24"/>
        </w:rPr>
        <w:t>was used</w:t>
      </w:r>
      <w:proofErr w:type="gramEnd"/>
      <w:r w:rsidRPr="00E33063">
        <w:rPr>
          <w:rFonts w:cs="Times New Roman"/>
          <w:szCs w:val="24"/>
        </w:rPr>
        <w:t xml:space="preserve"> as the vehicle</w:t>
      </w:r>
      <w:r w:rsidR="00280AFF">
        <w:rPr>
          <w:rFonts w:cs="Times New Roman"/>
          <w:szCs w:val="24"/>
        </w:rPr>
        <w:t xml:space="preserve"> in CEGA</w:t>
      </w:r>
      <w:r w:rsidRPr="00E33063">
        <w:rPr>
          <w:rFonts w:cs="Times New Roman"/>
          <w:szCs w:val="24"/>
        </w:rPr>
        <w:t>.</w:t>
      </w:r>
      <w:r w:rsidR="00CA19C2">
        <w:rPr>
          <w:rFonts w:cs="Times New Roman"/>
          <w:szCs w:val="24"/>
        </w:rPr>
        <w:t xml:space="preserve"> </w:t>
      </w:r>
      <w:r w:rsidR="00CA19C2" w:rsidRPr="00CA19C2">
        <w:rPr>
          <w:rFonts w:cs="Times New Roman"/>
          <w:szCs w:val="24"/>
        </w:rPr>
        <w:t>Isopropylmyristate (IPM)</w:t>
      </w:r>
      <w:r w:rsidR="00CC4B9A" w:rsidRPr="00CA19C2">
        <w:rPr>
          <w:rFonts w:cs="Times New Roman"/>
          <w:szCs w:val="24"/>
        </w:rPr>
        <w:t>,</w:t>
      </w:r>
      <w:r w:rsidR="00CA19C2" w:rsidRPr="00CA19C2">
        <w:rPr>
          <w:rFonts w:cs="Times New Roman"/>
          <w:szCs w:val="24"/>
        </w:rPr>
        <w:t xml:space="preserve"> </w:t>
      </w:r>
      <w:r w:rsidR="00430339">
        <w:rPr>
          <w:rFonts w:cs="Times New Roman"/>
          <w:szCs w:val="24"/>
        </w:rPr>
        <w:t>(</w:t>
      </w:r>
      <w:r w:rsidR="00CA19C2" w:rsidRPr="00CA19C2">
        <w:rPr>
          <w:rFonts w:cs="Times New Roman"/>
          <w:szCs w:val="24"/>
        </w:rPr>
        <w:t>CAS: 110-27-0, batch: STBF9929V</w:t>
      </w:r>
      <w:r w:rsidR="00430339">
        <w:rPr>
          <w:rFonts w:cs="Times New Roman"/>
          <w:szCs w:val="24"/>
        </w:rPr>
        <w:t>)</w:t>
      </w:r>
      <w:r w:rsidR="00CA19C2" w:rsidRPr="00CA19C2">
        <w:rPr>
          <w:rFonts w:cs="Times New Roman"/>
          <w:szCs w:val="24"/>
        </w:rPr>
        <w:t xml:space="preserve">, </w:t>
      </w:r>
      <w:r w:rsidR="00430339">
        <w:rPr>
          <w:rFonts w:cs="Times New Roman"/>
          <w:szCs w:val="24"/>
        </w:rPr>
        <w:t>obtained from</w:t>
      </w:r>
      <w:r w:rsidR="00CA19C2" w:rsidRPr="00CA19C2">
        <w:rPr>
          <w:rFonts w:cs="Times New Roman"/>
          <w:szCs w:val="24"/>
        </w:rPr>
        <w:t xml:space="preserve"> Sigma Aldrich</w:t>
      </w:r>
      <w:r w:rsidR="00CA19C2">
        <w:rPr>
          <w:rFonts w:cs="Times New Roman"/>
          <w:szCs w:val="24"/>
        </w:rPr>
        <w:t xml:space="preserve"> </w:t>
      </w:r>
      <w:r w:rsidR="00430339" w:rsidRPr="00E33063">
        <w:rPr>
          <w:rFonts w:cs="Times New Roman"/>
          <w:szCs w:val="24"/>
        </w:rPr>
        <w:t>(St Louis, MO, USA)</w:t>
      </w:r>
      <w:r w:rsidR="00430339">
        <w:rPr>
          <w:rFonts w:cs="Times New Roman"/>
          <w:szCs w:val="24"/>
        </w:rPr>
        <w:t xml:space="preserve"> </w:t>
      </w:r>
      <w:proofErr w:type="gramStart"/>
      <w:r w:rsidR="00CA19C2">
        <w:rPr>
          <w:rFonts w:cs="Times New Roman"/>
          <w:szCs w:val="24"/>
        </w:rPr>
        <w:t>was used</w:t>
      </w:r>
      <w:proofErr w:type="gramEnd"/>
      <w:r w:rsidR="00CA19C2">
        <w:rPr>
          <w:rFonts w:cs="Times New Roman"/>
          <w:szCs w:val="24"/>
        </w:rPr>
        <w:t xml:space="preserve"> as a vehicle control in HET-MN studies.</w:t>
      </w:r>
    </w:p>
    <w:p w14:paraId="17D0B159" w14:textId="63A5EA70" w:rsidR="004E3C2F" w:rsidRPr="00E33063" w:rsidRDefault="00CE5CFB" w:rsidP="009C1C10">
      <w:r w:rsidRPr="00E33063">
        <w:t xml:space="preserve">Quinoline (CAS: 91-22-5; 99% pure), purchased from Acros Organics </w:t>
      </w:r>
      <w:r w:rsidRPr="00E33063">
        <w:rPr>
          <w:rFonts w:cs="Times New Roman"/>
          <w:szCs w:val="24"/>
        </w:rPr>
        <w:t>(Bridgewater, NJ, USA)</w:t>
      </w:r>
      <w:r w:rsidRPr="00E33063">
        <w:t xml:space="preserve">, </w:t>
      </w:r>
      <w:proofErr w:type="gramStart"/>
      <w:r w:rsidRPr="00E33063">
        <w:t>was used</w:t>
      </w:r>
      <w:proofErr w:type="gramEnd"/>
      <w:r w:rsidRPr="00E33063">
        <w:t xml:space="preserve"> as a positive control </w:t>
      </w:r>
      <w:r w:rsidR="00676F57">
        <w:t>in CEGA</w:t>
      </w:r>
      <w:r w:rsidR="00B85F81">
        <w:t xml:space="preserve"> at the total dose of 5 mg/egg</w:t>
      </w:r>
      <w:r w:rsidRPr="00E33063">
        <w:t xml:space="preserve">. </w:t>
      </w:r>
      <w:r w:rsidR="00CA19C2" w:rsidRPr="00CA19C2">
        <w:t>Cyclophosphamide (CPA, CAS Number: 6055-19-2, batch: MKBX1822V)</w:t>
      </w:r>
      <w:r w:rsidR="00462CCF">
        <w:t xml:space="preserve">; </w:t>
      </w:r>
      <w:r w:rsidR="00462CCF">
        <w:rPr>
          <w:rFonts w:cs="Times New Roman"/>
          <w:szCs w:val="24"/>
        </w:rPr>
        <w:t>obtained from</w:t>
      </w:r>
      <w:r w:rsidR="00462CCF" w:rsidRPr="00CA19C2">
        <w:rPr>
          <w:rFonts w:cs="Times New Roman"/>
          <w:szCs w:val="24"/>
        </w:rPr>
        <w:t xml:space="preserve"> Sigma Aldrich</w:t>
      </w:r>
      <w:r w:rsidR="00462CCF">
        <w:rPr>
          <w:rFonts w:cs="Times New Roman"/>
          <w:szCs w:val="24"/>
        </w:rPr>
        <w:t xml:space="preserve"> </w:t>
      </w:r>
      <w:r w:rsidR="00462CCF" w:rsidRPr="00E33063">
        <w:rPr>
          <w:rFonts w:cs="Times New Roman"/>
          <w:szCs w:val="24"/>
        </w:rPr>
        <w:t>(St Louis, MO, USA)</w:t>
      </w:r>
      <w:r w:rsidR="00462CCF">
        <w:rPr>
          <w:rFonts w:cs="Times New Roman"/>
          <w:szCs w:val="24"/>
        </w:rPr>
        <w:t xml:space="preserve"> </w:t>
      </w:r>
      <w:r w:rsidR="00CA19C2" w:rsidRPr="00CA19C2">
        <w:t xml:space="preserve"> </w:t>
      </w:r>
      <w:r w:rsidR="004128F2">
        <w:t>at a dose</w:t>
      </w:r>
      <w:r w:rsidR="00CA19C2" w:rsidRPr="00CA19C2">
        <w:t xml:space="preserve"> of 0.191 μmol/65 g egg (0.05 mg CPA/egg), dissolved in 300 μL sterile water (local water tap</w:t>
      </w:r>
      <w:r w:rsidR="00CA19C2">
        <w:t>) and was used as a positive control in the HET-MN study.</w:t>
      </w:r>
    </w:p>
    <w:p w14:paraId="571C6AA8" w14:textId="5F8CC158" w:rsidR="00B245F9" w:rsidRPr="000D6061" w:rsidRDefault="00B245F9" w:rsidP="000D6061">
      <w:pPr>
        <w:pStyle w:val="Heading1"/>
        <w:rPr>
          <w:u w:val="single"/>
        </w:rPr>
      </w:pPr>
      <w:bookmarkStart w:id="3" w:name="_Hlk128138649"/>
      <w:r w:rsidRPr="000D6061">
        <w:rPr>
          <w:u w:val="single"/>
        </w:rPr>
        <w:t xml:space="preserve">CEGA </w:t>
      </w:r>
    </w:p>
    <w:p w14:paraId="4BA457D2" w14:textId="07FC8148" w:rsidR="009501F7" w:rsidRDefault="009B00C1" w:rsidP="009501F7">
      <w:pPr>
        <w:ind w:firstLine="0"/>
        <w:jc w:val="both"/>
        <w:rPr>
          <w:rFonts w:cs="Times New Roman"/>
        </w:rPr>
      </w:pPr>
      <w:r>
        <w:rPr>
          <w:rFonts w:cs="Times New Roman"/>
          <w:u w:val="single"/>
        </w:rPr>
        <w:t>EXPERIMENTAL DESIGN</w:t>
      </w:r>
    </w:p>
    <w:p w14:paraId="24C63628" w14:textId="71FD8D87" w:rsidR="00645F69" w:rsidRPr="00645F69" w:rsidRDefault="00645F69" w:rsidP="0030657B">
      <w:pPr>
        <w:jc w:val="both"/>
        <w:rPr>
          <w:rFonts w:cs="Times New Roman"/>
        </w:rPr>
      </w:pPr>
      <w:r w:rsidRPr="00645F69">
        <w:rPr>
          <w:rFonts w:cs="Times New Roman"/>
        </w:rPr>
        <w:t xml:space="preserve">Fertilized white leghorn chicken </w:t>
      </w:r>
      <w:r w:rsidR="009B00C1" w:rsidRPr="00E33063">
        <w:t>(</w:t>
      </w:r>
      <w:r w:rsidR="009B00C1" w:rsidRPr="004F19D6">
        <w:rPr>
          <w:i/>
          <w:iCs/>
        </w:rPr>
        <w:t>Gallus gallus</w:t>
      </w:r>
      <w:r w:rsidR="009B00C1" w:rsidRPr="00E33063">
        <w:t xml:space="preserve">) </w:t>
      </w:r>
      <w:r w:rsidRPr="00645F69">
        <w:rPr>
          <w:rFonts w:cs="Times New Roman"/>
        </w:rPr>
        <w:t xml:space="preserve">eggs </w:t>
      </w:r>
      <w:proofErr w:type="gramStart"/>
      <w:r w:rsidRPr="00645F69">
        <w:rPr>
          <w:rFonts w:cs="Times New Roman"/>
        </w:rPr>
        <w:t>were sourced</w:t>
      </w:r>
      <w:proofErr w:type="gramEnd"/>
      <w:r w:rsidRPr="00645F69">
        <w:rPr>
          <w:rFonts w:cs="Times New Roman"/>
        </w:rPr>
        <w:t xml:space="preserve"> from Charles River</w:t>
      </w:r>
      <w:r w:rsidR="00D501CD" w:rsidRPr="00D501CD">
        <w:t xml:space="preserve"> </w:t>
      </w:r>
      <w:r w:rsidR="00D501CD" w:rsidRPr="00D501CD">
        <w:rPr>
          <w:rFonts w:cs="Times New Roman"/>
        </w:rPr>
        <w:t>Laboratories (North Franklin, CT, USA)</w:t>
      </w:r>
      <w:r w:rsidRPr="00645F69">
        <w:rPr>
          <w:rFonts w:cs="Times New Roman"/>
        </w:rPr>
        <w:t xml:space="preserve">. The eggs </w:t>
      </w:r>
      <w:proofErr w:type="gramStart"/>
      <w:r w:rsidRPr="00645F69">
        <w:rPr>
          <w:rFonts w:cs="Times New Roman"/>
        </w:rPr>
        <w:t>were numbered</w:t>
      </w:r>
      <w:proofErr w:type="gramEnd"/>
      <w:r w:rsidRPr="00645F69">
        <w:rPr>
          <w:rFonts w:cs="Times New Roman"/>
        </w:rPr>
        <w:t xml:space="preserve">, weighed, and </w:t>
      </w:r>
      <w:r w:rsidR="00D501CD">
        <w:rPr>
          <w:rFonts w:cs="Times New Roman"/>
        </w:rPr>
        <w:t xml:space="preserve">randomly </w:t>
      </w:r>
      <w:r w:rsidRPr="00645F69">
        <w:rPr>
          <w:rFonts w:cs="Times New Roman"/>
        </w:rPr>
        <w:t xml:space="preserve">divided into control and dosed groups (minimum 10 eggs per group). Incubation began on Day 0 in Styrofoam incubators, maintaining conditions at 37 ± 0.5 °C and 60 ± 5% humidity. Viability </w:t>
      </w:r>
      <w:r w:rsidR="00B432A7" w:rsidRPr="00645F69">
        <w:rPr>
          <w:rFonts w:cs="Times New Roman"/>
        </w:rPr>
        <w:lastRenderedPageBreak/>
        <w:t>assessments</w:t>
      </w:r>
      <w:r w:rsidRPr="00645F69">
        <w:rPr>
          <w:rFonts w:cs="Times New Roman"/>
        </w:rPr>
        <w:t xml:space="preserve"> </w:t>
      </w:r>
      <w:proofErr w:type="gramStart"/>
      <w:r w:rsidRPr="00645F69">
        <w:rPr>
          <w:rFonts w:cs="Times New Roman"/>
        </w:rPr>
        <w:t>were performed</w:t>
      </w:r>
      <w:proofErr w:type="gramEnd"/>
      <w:r w:rsidRPr="00645F69">
        <w:rPr>
          <w:rFonts w:cs="Times New Roman"/>
        </w:rPr>
        <w:t xml:space="preserve"> on Day 8 through transillumination, and non-developing eggs were </w:t>
      </w:r>
      <w:r w:rsidR="00AA3F2E">
        <w:rPr>
          <w:rFonts w:cs="Times New Roman"/>
        </w:rPr>
        <w:t>discarded</w:t>
      </w:r>
      <w:r w:rsidRPr="00645F69">
        <w:rPr>
          <w:rFonts w:cs="Times New Roman"/>
        </w:rPr>
        <w:t xml:space="preserve">. Test compounds </w:t>
      </w:r>
      <w:proofErr w:type="gramStart"/>
      <w:r w:rsidRPr="00645F69">
        <w:rPr>
          <w:rFonts w:cs="Times New Roman"/>
        </w:rPr>
        <w:t>were administered</w:t>
      </w:r>
      <w:proofErr w:type="gramEnd"/>
      <w:r w:rsidRPr="00645F69">
        <w:rPr>
          <w:rFonts w:cs="Times New Roman"/>
        </w:rPr>
        <w:t xml:space="preserve"> in 0.15 ml/egg volumes via three daily injections into the air sac on </w:t>
      </w:r>
      <w:r w:rsidR="00AA3F2E">
        <w:rPr>
          <w:rFonts w:cs="Times New Roman"/>
        </w:rPr>
        <w:t xml:space="preserve">incubation </w:t>
      </w:r>
      <w:r w:rsidRPr="00645F69">
        <w:rPr>
          <w:rFonts w:cs="Times New Roman"/>
        </w:rPr>
        <w:t xml:space="preserve">days 9 through 11. </w:t>
      </w:r>
      <w:r w:rsidR="000230CC">
        <w:rPr>
          <w:rFonts w:cs="Times New Roman"/>
        </w:rPr>
        <w:t xml:space="preserve">For a </w:t>
      </w:r>
      <w:r w:rsidRPr="00645F69">
        <w:rPr>
          <w:rFonts w:cs="Times New Roman"/>
        </w:rPr>
        <w:t xml:space="preserve">study </w:t>
      </w:r>
      <w:r w:rsidR="004D74A5">
        <w:rPr>
          <w:rFonts w:cs="Times New Roman"/>
        </w:rPr>
        <w:t xml:space="preserve">assessing effects </w:t>
      </w:r>
      <w:r w:rsidR="000230CC">
        <w:rPr>
          <w:rFonts w:cs="Times New Roman"/>
        </w:rPr>
        <w:t>of</w:t>
      </w:r>
      <w:r w:rsidR="004D74A5">
        <w:rPr>
          <w:rFonts w:cs="Times New Roman"/>
        </w:rPr>
        <w:t xml:space="preserve"> glutathione depletion</w:t>
      </w:r>
      <w:r w:rsidR="00A76C7D">
        <w:rPr>
          <w:rFonts w:cs="Times New Roman"/>
        </w:rPr>
        <w:t>,</w:t>
      </w:r>
      <w:r w:rsidR="000230CC">
        <w:rPr>
          <w:rFonts w:cs="Times New Roman"/>
        </w:rPr>
        <w:t xml:space="preserve"> </w:t>
      </w:r>
      <w:r w:rsidRPr="00645F69">
        <w:rPr>
          <w:rFonts w:cs="Times New Roman"/>
        </w:rPr>
        <w:t xml:space="preserve">pre-treatment with N-acetyl cysteine (1mg/egg) </w:t>
      </w:r>
      <w:proofErr w:type="gramStart"/>
      <w:r w:rsidR="00A76C7D">
        <w:rPr>
          <w:rFonts w:cs="Times New Roman"/>
        </w:rPr>
        <w:t>was conducted</w:t>
      </w:r>
      <w:proofErr w:type="gramEnd"/>
      <w:r w:rsidR="00A76C7D">
        <w:rPr>
          <w:rFonts w:cs="Times New Roman"/>
        </w:rPr>
        <w:t xml:space="preserve"> </w:t>
      </w:r>
      <w:r w:rsidRPr="00645F69">
        <w:rPr>
          <w:rFonts w:cs="Times New Roman"/>
        </w:rPr>
        <w:t xml:space="preserve">1-hour prior to p-methoxy cinnamaldehyde </w:t>
      </w:r>
      <w:r w:rsidR="00A76C7D">
        <w:rPr>
          <w:rFonts w:cs="Times New Roman"/>
        </w:rPr>
        <w:t>dosing</w:t>
      </w:r>
      <w:r w:rsidR="00A76C7D" w:rsidRPr="00645F69">
        <w:rPr>
          <w:rFonts w:cs="Times New Roman"/>
        </w:rPr>
        <w:t xml:space="preserve"> </w:t>
      </w:r>
      <w:r w:rsidRPr="00645F69">
        <w:rPr>
          <w:rFonts w:cs="Times New Roman"/>
        </w:rPr>
        <w:t xml:space="preserve">on day 8 before the first dosing. Three hours </w:t>
      </w:r>
      <w:r w:rsidR="00AE6BB9">
        <w:rPr>
          <w:rFonts w:cs="Times New Roman"/>
        </w:rPr>
        <w:t>after</w:t>
      </w:r>
      <w:r w:rsidR="00AE6BB9" w:rsidRPr="00645F69">
        <w:rPr>
          <w:rFonts w:cs="Times New Roman"/>
        </w:rPr>
        <w:t xml:space="preserve"> </w:t>
      </w:r>
      <w:r w:rsidRPr="00645F69">
        <w:rPr>
          <w:rFonts w:cs="Times New Roman"/>
        </w:rPr>
        <w:t>the last injection</w:t>
      </w:r>
      <w:r w:rsidR="001C4F6A">
        <w:rPr>
          <w:rFonts w:cs="Times New Roman"/>
        </w:rPr>
        <w:t xml:space="preserve"> on incubation day 11</w:t>
      </w:r>
      <w:r w:rsidRPr="00645F69">
        <w:rPr>
          <w:rFonts w:cs="Times New Roman"/>
        </w:rPr>
        <w:t xml:space="preserve">, eggs </w:t>
      </w:r>
      <w:proofErr w:type="gramStart"/>
      <w:r w:rsidRPr="00645F69">
        <w:rPr>
          <w:rFonts w:cs="Times New Roman"/>
        </w:rPr>
        <w:t>were terminated</w:t>
      </w:r>
      <w:proofErr w:type="gramEnd"/>
      <w:r w:rsidRPr="00645F69">
        <w:rPr>
          <w:rFonts w:cs="Times New Roman"/>
        </w:rPr>
        <w:t>,</w:t>
      </w:r>
      <w:r w:rsidR="00AE6BB9">
        <w:rPr>
          <w:rFonts w:cs="Times New Roman"/>
        </w:rPr>
        <w:t xml:space="preserve"> </w:t>
      </w:r>
      <w:r w:rsidR="00C13966">
        <w:rPr>
          <w:rFonts w:cs="Times New Roman"/>
        </w:rPr>
        <w:t xml:space="preserve">and livers were collected for </w:t>
      </w:r>
      <w:r w:rsidR="002140FC">
        <w:rPr>
          <w:rFonts w:cs="Times New Roman"/>
        </w:rPr>
        <w:t>analy</w:t>
      </w:r>
      <w:r w:rsidR="000D6061">
        <w:rPr>
          <w:rFonts w:cs="Times New Roman"/>
        </w:rPr>
        <w:t>si</w:t>
      </w:r>
      <w:r w:rsidR="002140FC">
        <w:rPr>
          <w:rFonts w:cs="Times New Roman"/>
        </w:rPr>
        <w:t xml:space="preserve">s in either NPL or comet assay. Viability, </w:t>
      </w:r>
      <w:proofErr w:type="gramStart"/>
      <w:r w:rsidR="002140FC">
        <w:rPr>
          <w:rFonts w:cs="Times New Roman"/>
        </w:rPr>
        <w:t>body</w:t>
      </w:r>
      <w:proofErr w:type="gramEnd"/>
      <w:r w:rsidR="002140FC">
        <w:rPr>
          <w:rFonts w:cs="Times New Roman"/>
        </w:rPr>
        <w:t xml:space="preserve"> and liver weights were recorded.</w:t>
      </w:r>
      <w:r w:rsidR="0030657B">
        <w:rPr>
          <w:rFonts w:cs="Times New Roman"/>
        </w:rPr>
        <w:t xml:space="preserve"> </w:t>
      </w:r>
      <w:r w:rsidR="007F6838">
        <w:rPr>
          <w:rFonts w:cs="Times New Roman"/>
        </w:rPr>
        <w:t>Only g</w:t>
      </w:r>
      <w:r w:rsidR="0030657B" w:rsidRPr="0030657B">
        <w:rPr>
          <w:rFonts w:cs="Times New Roman"/>
        </w:rPr>
        <w:t>roups</w:t>
      </w:r>
      <w:r w:rsidR="007F6838">
        <w:rPr>
          <w:rFonts w:cs="Times New Roman"/>
        </w:rPr>
        <w:t xml:space="preserve"> with </w:t>
      </w:r>
      <w:r w:rsidR="009465D9">
        <w:rPr>
          <w:rFonts w:cs="Times New Roman"/>
        </w:rPr>
        <w:t xml:space="preserve">viability above 50% </w:t>
      </w:r>
      <w:r w:rsidR="009465D9" w:rsidRPr="0030657B">
        <w:rPr>
          <w:rFonts w:cs="Times New Roman"/>
        </w:rPr>
        <w:t>(at least half of the fetuses in the group</w:t>
      </w:r>
      <w:r w:rsidR="009465D9">
        <w:rPr>
          <w:rFonts w:cs="Times New Roman"/>
        </w:rPr>
        <w:t xml:space="preserve"> we</w:t>
      </w:r>
      <w:r w:rsidR="009465D9" w:rsidRPr="0030657B">
        <w:rPr>
          <w:rFonts w:cs="Times New Roman"/>
        </w:rPr>
        <w:t>re viable upon termination)</w:t>
      </w:r>
      <w:r w:rsidR="009465D9">
        <w:rPr>
          <w:rFonts w:cs="Times New Roman"/>
        </w:rPr>
        <w:t xml:space="preserve"> </w:t>
      </w:r>
      <w:proofErr w:type="gramStart"/>
      <w:r w:rsidR="009465D9">
        <w:rPr>
          <w:rFonts w:cs="Times New Roman"/>
        </w:rPr>
        <w:t>were selected</w:t>
      </w:r>
      <w:proofErr w:type="gramEnd"/>
      <w:r w:rsidR="009465D9">
        <w:rPr>
          <w:rFonts w:cs="Times New Roman"/>
        </w:rPr>
        <w:t xml:space="preserve"> for the </w:t>
      </w:r>
      <w:proofErr w:type="gramStart"/>
      <w:r w:rsidR="009465D9">
        <w:rPr>
          <w:rFonts w:cs="Times New Roman"/>
        </w:rPr>
        <w:t>analyses</w:t>
      </w:r>
      <w:proofErr w:type="gramEnd"/>
      <w:r w:rsidR="009465D9">
        <w:rPr>
          <w:rFonts w:cs="Times New Roman"/>
        </w:rPr>
        <w:t xml:space="preserve">. </w:t>
      </w:r>
      <w:r w:rsidR="0030657B" w:rsidRPr="0030657B">
        <w:rPr>
          <w:rFonts w:cs="Times New Roman"/>
        </w:rPr>
        <w:t xml:space="preserve">In each assay 3 liver samples per group </w:t>
      </w:r>
      <w:proofErr w:type="gramStart"/>
      <w:r w:rsidR="0030657B" w:rsidRPr="0030657B">
        <w:rPr>
          <w:rFonts w:cs="Times New Roman"/>
        </w:rPr>
        <w:t>were</w:t>
      </w:r>
      <w:r w:rsidR="009465D9">
        <w:rPr>
          <w:rFonts w:cs="Times New Roman"/>
        </w:rPr>
        <w:t xml:space="preserve"> </w:t>
      </w:r>
      <w:r w:rsidR="0030657B" w:rsidRPr="0030657B">
        <w:rPr>
          <w:rFonts w:cs="Times New Roman"/>
        </w:rPr>
        <w:t>analyzed</w:t>
      </w:r>
      <w:proofErr w:type="gramEnd"/>
      <w:r w:rsidR="0030657B" w:rsidRPr="0030657B">
        <w:rPr>
          <w:rFonts w:cs="Times New Roman"/>
        </w:rPr>
        <w:t>, owing to the limitation in the number of samples</w:t>
      </w:r>
      <w:r w:rsidR="009465D9">
        <w:rPr>
          <w:rFonts w:cs="Times New Roman"/>
        </w:rPr>
        <w:t xml:space="preserve"> </w:t>
      </w:r>
      <w:r w:rsidR="0030657B" w:rsidRPr="0030657B">
        <w:rPr>
          <w:rFonts w:cs="Times New Roman"/>
        </w:rPr>
        <w:t>which can be analyzed simultaneously.</w:t>
      </w:r>
      <w:r w:rsidRPr="00645F69">
        <w:rPr>
          <w:rFonts w:cs="Times New Roman"/>
        </w:rPr>
        <w:t xml:space="preserve"> </w:t>
      </w:r>
    </w:p>
    <w:p w14:paraId="0AAFC588" w14:textId="77777777" w:rsidR="00006232" w:rsidRPr="00645F69" w:rsidRDefault="00006232" w:rsidP="00006232">
      <w:pPr>
        <w:ind w:firstLine="0"/>
        <w:jc w:val="both"/>
        <w:rPr>
          <w:rFonts w:cs="Times New Roman"/>
        </w:rPr>
      </w:pPr>
      <w:r w:rsidRPr="00645F69">
        <w:rPr>
          <w:rFonts w:cs="Times New Roman"/>
          <w:u w:val="single"/>
        </w:rPr>
        <w:t>NPL</w:t>
      </w:r>
      <w:r w:rsidRPr="00645F69">
        <w:rPr>
          <w:rFonts w:cs="Times New Roman"/>
        </w:rPr>
        <w:br/>
        <w:t xml:space="preserve">In the Nucleotide </w:t>
      </w:r>
      <w:r w:rsidRPr="00645F69">
        <w:rPr>
          <w:rFonts w:cs="Times New Roman"/>
          <w:vertAlign w:val="superscript"/>
        </w:rPr>
        <w:t>32</w:t>
      </w:r>
      <w:r w:rsidRPr="00645F69">
        <w:rPr>
          <w:rFonts w:cs="Times New Roman"/>
        </w:rPr>
        <w:t xml:space="preserve">P-postlabeling (NPL) assay, only groups receiving the highest tested doses that did not reduce viability by more than 50% </w:t>
      </w:r>
      <w:proofErr w:type="gramStart"/>
      <w:r w:rsidRPr="00645F69">
        <w:rPr>
          <w:rFonts w:cs="Times New Roman"/>
        </w:rPr>
        <w:t>were analyzed</w:t>
      </w:r>
      <w:proofErr w:type="gramEnd"/>
      <w:r w:rsidRPr="00645F69">
        <w:rPr>
          <w:rFonts w:cs="Times New Roman"/>
        </w:rPr>
        <w:t xml:space="preserve">, following the approach recommended by Phillips and colleagues (Phillips et al., 2000). DNA isolation from liver samples utilized QIAGEN G100 columns, and the isolated DNA's purity </w:t>
      </w:r>
      <w:proofErr w:type="gramStart"/>
      <w:r w:rsidRPr="00645F69">
        <w:rPr>
          <w:rFonts w:cs="Times New Roman"/>
        </w:rPr>
        <w:t>was assessed</w:t>
      </w:r>
      <w:proofErr w:type="gramEnd"/>
      <w:r w:rsidRPr="00645F69">
        <w:rPr>
          <w:rFonts w:cs="Times New Roman"/>
        </w:rPr>
        <w:t xml:space="preserve">. A 10 μg portion of purified DNA </w:t>
      </w:r>
      <w:proofErr w:type="gramStart"/>
      <w:r w:rsidRPr="00645F69">
        <w:rPr>
          <w:rFonts w:cs="Times New Roman"/>
        </w:rPr>
        <w:t>was used</w:t>
      </w:r>
      <w:proofErr w:type="gramEnd"/>
      <w:r w:rsidRPr="00645F69">
        <w:rPr>
          <w:rFonts w:cs="Times New Roman"/>
        </w:rPr>
        <w:t xml:space="preserve"> for NPL assessment following the method of Randerath et al. (1981). The assay's high sensitivity allowed the detection of a single adduct in 10</w:t>
      </w:r>
      <w:r w:rsidRPr="00645F69">
        <w:rPr>
          <w:rFonts w:cs="Times New Roman"/>
          <w:vertAlign w:val="superscript"/>
        </w:rPr>
        <w:t>9</w:t>
      </w:r>
      <w:r w:rsidRPr="00645F69">
        <w:rPr>
          <w:rFonts w:cs="Times New Roman"/>
        </w:rPr>
        <w:t xml:space="preserve"> normal nucleotides. Enzymatic digestion and nuclease P1 enrichment were employed before labeling the adducts with [γ-32P]-adenosine-5'-triphosphate (32P-ATP). Two-directional thin-layer chromatography (TLC) was used for </w:t>
      </w:r>
      <w:proofErr w:type="gramStart"/>
      <w:r w:rsidRPr="00645F69">
        <w:rPr>
          <w:rFonts w:cs="Times New Roman"/>
        </w:rPr>
        <w:t>adduct</w:t>
      </w:r>
      <w:proofErr w:type="gramEnd"/>
      <w:r w:rsidRPr="00645F69">
        <w:rPr>
          <w:rFonts w:cs="Times New Roman"/>
        </w:rPr>
        <w:t xml:space="preserve"> resolution, and results were analyzed using a Molecular Dynamics Storm system. Positive outcomes were determined by visual comparison with controls, and quantitation </w:t>
      </w:r>
      <w:proofErr w:type="gramStart"/>
      <w:r w:rsidRPr="00645F69">
        <w:rPr>
          <w:rFonts w:cs="Times New Roman"/>
        </w:rPr>
        <w:t>was achieved</w:t>
      </w:r>
      <w:proofErr w:type="gramEnd"/>
      <w:r w:rsidRPr="00645F69">
        <w:rPr>
          <w:rFonts w:cs="Times New Roman"/>
        </w:rPr>
        <w:t xml:space="preserve"> using the Relative Abundance Level (RAL) formula. A positive result in the NPL assay strongly suggests direct DNA damage, providing robust evidence for genotoxic potential in CEGA.</w:t>
      </w:r>
    </w:p>
    <w:p w14:paraId="6318631D" w14:textId="77777777" w:rsidR="00645F69" w:rsidRPr="00645F69" w:rsidRDefault="00645F69" w:rsidP="00645F69">
      <w:pPr>
        <w:ind w:firstLine="0"/>
        <w:jc w:val="both"/>
        <w:rPr>
          <w:rFonts w:cs="Times New Roman"/>
          <w:u w:val="single"/>
        </w:rPr>
      </w:pPr>
      <w:r w:rsidRPr="00645F69">
        <w:rPr>
          <w:rFonts w:cs="Times New Roman"/>
          <w:u w:val="single"/>
        </w:rPr>
        <w:t xml:space="preserve">COMET </w:t>
      </w:r>
    </w:p>
    <w:p w14:paraId="0B43DAFB" w14:textId="36498BA3" w:rsidR="00645F69" w:rsidRPr="009C1C10" w:rsidRDefault="009465D9" w:rsidP="009C1C10">
      <w:pPr>
        <w:jc w:val="both"/>
        <w:rPr>
          <w:rFonts w:cs="Times New Roman"/>
        </w:rPr>
      </w:pPr>
      <w:r w:rsidRPr="00645F69">
        <w:rPr>
          <w:rFonts w:cs="Times New Roman"/>
        </w:rPr>
        <w:t xml:space="preserve">Comet analysis (Tice et al., 2000) </w:t>
      </w:r>
      <w:proofErr w:type="gramStart"/>
      <w:r w:rsidRPr="00645F69">
        <w:rPr>
          <w:rFonts w:cs="Times New Roman"/>
        </w:rPr>
        <w:t>was conducted</w:t>
      </w:r>
      <w:proofErr w:type="gramEnd"/>
      <w:r w:rsidRPr="00645F69">
        <w:rPr>
          <w:rFonts w:cs="Times New Roman"/>
        </w:rPr>
        <w:t xml:space="preserve"> according to OECD guidelines (OECD, 2016) following previously described protocol (Williams et al., 2014).</w:t>
      </w:r>
      <w:r w:rsidR="00645F69" w:rsidRPr="00645F69">
        <w:rPr>
          <w:rFonts w:cs="Times New Roman"/>
        </w:rPr>
        <w:t xml:space="preserve"> </w:t>
      </w:r>
      <w:r>
        <w:rPr>
          <w:rFonts w:cs="Times New Roman"/>
        </w:rPr>
        <w:t>Specifically</w:t>
      </w:r>
      <w:r w:rsidR="00645F69" w:rsidRPr="00645F69">
        <w:rPr>
          <w:rFonts w:cs="Times New Roman"/>
        </w:rPr>
        <w:t xml:space="preserve">, 200 mg of each liver sample (3 samples per group) </w:t>
      </w:r>
      <w:proofErr w:type="gramStart"/>
      <w:r w:rsidR="00645F69" w:rsidRPr="00645F69">
        <w:rPr>
          <w:rFonts w:cs="Times New Roman"/>
        </w:rPr>
        <w:t>were minced</w:t>
      </w:r>
      <w:proofErr w:type="gramEnd"/>
      <w:r w:rsidR="00645F69" w:rsidRPr="00645F69">
        <w:rPr>
          <w:rFonts w:cs="Times New Roman"/>
        </w:rPr>
        <w:t xml:space="preserve"> and suspended in ice-cold Hank’s balanced salt solution (HBSS) containing 20 mM EDTA and 10% dimethylsulfoxide (DMSO). Cell suspensions (10</w:t>
      </w:r>
      <w:r w:rsidR="00645F69" w:rsidRPr="00645F69">
        <w:rPr>
          <w:rFonts w:cs="Times New Roman"/>
          <w:vertAlign w:val="superscript"/>
        </w:rPr>
        <w:t>5</w:t>
      </w:r>
      <w:r w:rsidR="00645F69" w:rsidRPr="00645F69">
        <w:rPr>
          <w:rFonts w:cs="Times New Roman"/>
        </w:rPr>
        <w:t xml:space="preserve"> x 5 cells in 10 µl) underwent comet analysis following OECD guidelines. </w:t>
      </w:r>
      <w:r w:rsidR="00645F69" w:rsidRPr="00645F69">
        <w:rPr>
          <w:rFonts w:cs="Times New Roman"/>
        </w:rPr>
        <w:lastRenderedPageBreak/>
        <w:t xml:space="preserve">Aliquots </w:t>
      </w:r>
      <w:proofErr w:type="gramStart"/>
      <w:r w:rsidR="00645F69" w:rsidRPr="00645F69">
        <w:rPr>
          <w:rFonts w:cs="Times New Roman"/>
        </w:rPr>
        <w:t>were embedded</w:t>
      </w:r>
      <w:proofErr w:type="gramEnd"/>
      <w:r w:rsidR="00645F69" w:rsidRPr="00645F69">
        <w:rPr>
          <w:rFonts w:cs="Times New Roman"/>
        </w:rPr>
        <w:t xml:space="preserve"> in 1.0% low melting point agarose on slides, lysed, and electrophoresed at 20 V. DNA migration was visualized using ethidium bromide and analyzed with Comet Score software. Results, presented as mean + SD, underwent statistical analysis with one-way ANOVA and Tukey's method for multiple comparisons, and linear regression analysis </w:t>
      </w:r>
      <w:proofErr w:type="gramStart"/>
      <w:r w:rsidR="00645F69" w:rsidRPr="00645F69">
        <w:rPr>
          <w:rFonts w:cs="Times New Roman"/>
        </w:rPr>
        <w:t>was used</w:t>
      </w:r>
      <w:proofErr w:type="gramEnd"/>
      <w:r w:rsidR="00645F69" w:rsidRPr="00645F69">
        <w:rPr>
          <w:rFonts w:cs="Times New Roman"/>
        </w:rPr>
        <w:t xml:space="preserve"> to determine dose-related trends. Positive results were based on predefined criteria, including a statistically significant increase in DNA-in-tail, dose-related DNA damage, and values outside the historical control range. </w:t>
      </w:r>
      <w:r w:rsidR="00E713EA" w:rsidRPr="00E713EA">
        <w:rPr>
          <w:rFonts w:cs="Times New Roman"/>
        </w:rPr>
        <w:t xml:space="preserve">The evaluation criteria for determining positive comet results </w:t>
      </w:r>
      <w:proofErr w:type="gramStart"/>
      <w:r w:rsidR="00E713EA" w:rsidRPr="00E713EA">
        <w:rPr>
          <w:rFonts w:cs="Times New Roman"/>
        </w:rPr>
        <w:t>is</w:t>
      </w:r>
      <w:proofErr w:type="gramEnd"/>
      <w:r w:rsidR="00E713EA">
        <w:rPr>
          <w:rFonts w:cs="Times New Roman"/>
        </w:rPr>
        <w:t xml:space="preserve"> </w:t>
      </w:r>
      <w:r w:rsidR="00E713EA" w:rsidRPr="00E713EA">
        <w:rPr>
          <w:rFonts w:cs="Times New Roman"/>
        </w:rPr>
        <w:t>described in detail in Kobets et al.</w:t>
      </w:r>
      <w:r w:rsidR="00F92A31">
        <w:rPr>
          <w:rFonts w:cs="Times New Roman"/>
        </w:rPr>
        <w:t xml:space="preserve"> (2018a)</w:t>
      </w:r>
      <w:r w:rsidR="00E713EA" w:rsidRPr="00E713EA">
        <w:rPr>
          <w:rFonts w:cs="Times New Roman"/>
        </w:rPr>
        <w:t xml:space="preserve"> </w:t>
      </w:r>
      <w:r w:rsidR="00645F69" w:rsidRPr="00645F69">
        <w:rPr>
          <w:rFonts w:cs="Times New Roman"/>
        </w:rPr>
        <w:t>Compounds with positive comet outcomes were considered potentially genotoxic</w:t>
      </w:r>
      <w:r w:rsidR="00F92A31">
        <w:rPr>
          <w:rFonts w:cs="Times New Roman"/>
        </w:rPr>
        <w:t xml:space="preserve"> with either direct or indirect DNA reactivity</w:t>
      </w:r>
      <w:r w:rsidR="00645F69" w:rsidRPr="00645F69">
        <w:rPr>
          <w:rFonts w:cs="Times New Roman"/>
        </w:rPr>
        <w:t>.</w:t>
      </w:r>
    </w:p>
    <w:bookmarkEnd w:id="3"/>
    <w:p w14:paraId="42387640" w14:textId="77777777" w:rsidR="00AC7647" w:rsidRPr="000D6061" w:rsidRDefault="00AC7647" w:rsidP="000D6061">
      <w:pPr>
        <w:pStyle w:val="Heading1"/>
        <w:rPr>
          <w:szCs w:val="24"/>
          <w:u w:val="single"/>
        </w:rPr>
      </w:pPr>
      <w:r w:rsidRPr="000D6061">
        <w:rPr>
          <w:u w:val="single"/>
        </w:rPr>
        <w:t xml:space="preserve">HET-MN </w:t>
      </w:r>
      <w:r w:rsidRPr="000D6061">
        <w:rPr>
          <w:szCs w:val="24"/>
          <w:u w:val="single"/>
        </w:rPr>
        <w:t>assay</w:t>
      </w:r>
    </w:p>
    <w:p w14:paraId="10D78B4E" w14:textId="4543C976" w:rsidR="00645F69" w:rsidRPr="00645F69" w:rsidRDefault="00645F69" w:rsidP="00645F69">
      <w:pPr>
        <w:jc w:val="both"/>
        <w:rPr>
          <w:rFonts w:cs="Times New Roman"/>
        </w:rPr>
      </w:pPr>
      <w:r w:rsidRPr="00645F69">
        <w:rPr>
          <w:rFonts w:cs="Times New Roman"/>
        </w:rPr>
        <w:t xml:space="preserve">The </w:t>
      </w:r>
      <w:r w:rsidR="004128F2">
        <w:rPr>
          <w:rFonts w:cs="Times New Roman"/>
        </w:rPr>
        <w:t>assay</w:t>
      </w:r>
      <w:r w:rsidRPr="00645F69">
        <w:rPr>
          <w:rFonts w:cs="Times New Roman"/>
        </w:rPr>
        <w:t xml:space="preserve"> protocol, based on Reisinger et al. (2018), utilized fertilized eggs from VALO Biomedia GmbH</w:t>
      </w:r>
      <w:r w:rsidR="00CC3BBD">
        <w:rPr>
          <w:rFonts w:cs="Times New Roman"/>
        </w:rPr>
        <w:t>, Germany</w:t>
      </w:r>
      <w:r w:rsidRPr="00645F69">
        <w:rPr>
          <w:rFonts w:cs="Times New Roman"/>
        </w:rPr>
        <w:t xml:space="preserve">, implementing a thermal selection process followed by pre-warming and incubation. Eggs </w:t>
      </w:r>
      <w:proofErr w:type="gramStart"/>
      <w:r w:rsidRPr="00645F69">
        <w:rPr>
          <w:rFonts w:cs="Times New Roman"/>
        </w:rPr>
        <w:t>were turned</w:t>
      </w:r>
      <w:proofErr w:type="gramEnd"/>
      <w:r w:rsidRPr="00645F69">
        <w:rPr>
          <w:rFonts w:cs="Times New Roman"/>
        </w:rPr>
        <w:t xml:space="preserve"> automatically until day eight, and those meeting viability criteria were selected for further testing. A solubility experiment </w:t>
      </w:r>
      <w:proofErr w:type="gramStart"/>
      <w:r w:rsidRPr="00645F69">
        <w:rPr>
          <w:rFonts w:cs="Times New Roman"/>
        </w:rPr>
        <w:t>was conducted</w:t>
      </w:r>
      <w:proofErr w:type="gramEnd"/>
      <w:r w:rsidRPr="00645F69">
        <w:rPr>
          <w:rFonts w:cs="Times New Roman"/>
        </w:rPr>
        <w:t xml:space="preserve"> using different vehicles, and the maximum concentration for the main experiment was determined based on pre-screen toxicity data. Primitive erythrocytes </w:t>
      </w:r>
      <w:proofErr w:type="gramStart"/>
      <w:r w:rsidRPr="00645F69">
        <w:rPr>
          <w:rFonts w:cs="Times New Roman"/>
        </w:rPr>
        <w:t>were not considered</w:t>
      </w:r>
      <w:proofErr w:type="gramEnd"/>
      <w:r w:rsidRPr="00645F69">
        <w:rPr>
          <w:rFonts w:cs="Times New Roman"/>
        </w:rPr>
        <w:t xml:space="preserve"> relevant target cells, and a mutagenic treatment after day 7 was expected to have no impact on them. </w:t>
      </w:r>
      <w:r w:rsidR="00462CCF">
        <w:rPr>
          <w:rFonts w:cs="Times New Roman"/>
        </w:rPr>
        <w:t xml:space="preserve">A dingle dose treatment </w:t>
      </w:r>
      <w:proofErr w:type="gramStart"/>
      <w:r w:rsidR="00462CCF">
        <w:rPr>
          <w:rFonts w:cs="Times New Roman"/>
        </w:rPr>
        <w:t>was applied</w:t>
      </w:r>
      <w:proofErr w:type="gramEnd"/>
      <w:r w:rsidR="00462CCF">
        <w:rPr>
          <w:rFonts w:cs="Times New Roman"/>
        </w:rPr>
        <w:t xml:space="preserve"> on day 8</w:t>
      </w:r>
      <w:r w:rsidRPr="00645F69">
        <w:rPr>
          <w:rFonts w:cs="Times New Roman"/>
        </w:rPr>
        <w:t xml:space="preserve">, with termination on day 11. Viability calculations excluded doses with &lt;40% viability, and blood samples </w:t>
      </w:r>
      <w:proofErr w:type="gramStart"/>
      <w:r w:rsidRPr="00645F69">
        <w:rPr>
          <w:rFonts w:cs="Times New Roman"/>
        </w:rPr>
        <w:t>were collected</w:t>
      </w:r>
      <w:proofErr w:type="gramEnd"/>
      <w:r w:rsidRPr="00645F69">
        <w:rPr>
          <w:rFonts w:cs="Times New Roman"/>
        </w:rPr>
        <w:t xml:space="preserve"> for analysis. Blood smears </w:t>
      </w:r>
      <w:proofErr w:type="gramStart"/>
      <w:r w:rsidRPr="00645F69">
        <w:rPr>
          <w:rFonts w:cs="Times New Roman"/>
        </w:rPr>
        <w:t>were stained</w:t>
      </w:r>
      <w:proofErr w:type="gramEnd"/>
      <w:r w:rsidRPr="00645F69">
        <w:rPr>
          <w:rFonts w:cs="Times New Roman"/>
        </w:rPr>
        <w:t xml:space="preserve">, and at least 1000 erythrocytes were analyzed per egg for micronuclei occurrence. Cytotoxic effects </w:t>
      </w:r>
      <w:proofErr w:type="gramStart"/>
      <w:r w:rsidRPr="00645F69">
        <w:rPr>
          <w:rFonts w:cs="Times New Roman"/>
        </w:rPr>
        <w:t>were assessed</w:t>
      </w:r>
      <w:proofErr w:type="gramEnd"/>
      <w:r w:rsidRPr="00645F69">
        <w:rPr>
          <w:rFonts w:cs="Times New Roman"/>
        </w:rPr>
        <w:t xml:space="preserve"> through the ratio of polychromatic to normochromatic erythrocytes. To evaluate the results, criteria</w:t>
      </w:r>
      <w:r>
        <w:rPr>
          <w:rFonts w:cs="Times New Roman"/>
        </w:rPr>
        <w:t xml:space="preserve"> described in Reisinger et al., </w:t>
      </w:r>
      <w:proofErr w:type="gramStart"/>
      <w:r>
        <w:rPr>
          <w:rFonts w:cs="Times New Roman"/>
        </w:rPr>
        <w:t>were followed</w:t>
      </w:r>
      <w:proofErr w:type="gramEnd"/>
      <w:r>
        <w:rPr>
          <w:rFonts w:cs="Times New Roman"/>
        </w:rPr>
        <w:t>. S</w:t>
      </w:r>
      <w:r w:rsidRPr="00645F69">
        <w:rPr>
          <w:rFonts w:cs="Times New Roman"/>
        </w:rPr>
        <w:t xml:space="preserve">tatistical analyses </w:t>
      </w:r>
      <w:proofErr w:type="gramStart"/>
      <w:r>
        <w:rPr>
          <w:rFonts w:cs="Times New Roman"/>
        </w:rPr>
        <w:t>was</w:t>
      </w:r>
      <w:proofErr w:type="gramEnd"/>
      <w:r>
        <w:rPr>
          <w:rFonts w:cs="Times New Roman"/>
        </w:rPr>
        <w:t xml:space="preserve"> conducted </w:t>
      </w:r>
      <w:r w:rsidRPr="00645F69">
        <w:rPr>
          <w:rFonts w:cs="Times New Roman"/>
        </w:rPr>
        <w:t>which include</w:t>
      </w:r>
      <w:r>
        <w:rPr>
          <w:rFonts w:cs="Times New Roman"/>
        </w:rPr>
        <w:t>d</w:t>
      </w:r>
      <w:r w:rsidRPr="00645F69">
        <w:rPr>
          <w:rFonts w:cs="Times New Roman"/>
        </w:rPr>
        <w:t xml:space="preserve"> linear regression and Mann-Whitney tests, to assess micronucleus frequency and its statistical significance. Positive outcomes required a dose-related increase in micronuclei frequency above historical controls, while negative results indicated no significant or dose-related increase. The study design aimed to determine the potential genotoxic potential of the test material.</w:t>
      </w:r>
    </w:p>
    <w:p w14:paraId="11357D81" w14:textId="2FC8258C" w:rsidR="00CE5CFB" w:rsidRPr="000D6061" w:rsidRDefault="00A80032" w:rsidP="000D6061">
      <w:pPr>
        <w:pStyle w:val="Heading1"/>
        <w:rPr>
          <w:u w:val="single"/>
        </w:rPr>
      </w:pPr>
      <w:r w:rsidRPr="000D6061">
        <w:rPr>
          <w:u w:val="single"/>
        </w:rPr>
        <w:t>RESULTS</w:t>
      </w:r>
    </w:p>
    <w:p w14:paraId="505536E1" w14:textId="77777777" w:rsidR="00A80032" w:rsidRPr="00E33063" w:rsidRDefault="00A80032" w:rsidP="000D6061">
      <w:bookmarkStart w:id="4" w:name="_Toc533059258"/>
      <w:r w:rsidRPr="00E33063">
        <w:t>2-Phenyl-2-butenal</w:t>
      </w:r>
      <w:bookmarkEnd w:id="4"/>
    </w:p>
    <w:p w14:paraId="70274647" w14:textId="77777777" w:rsidR="00A80032" w:rsidRPr="00E33063" w:rsidRDefault="00A80032" w:rsidP="00A80032">
      <w:pPr>
        <w:pStyle w:val="Heading3"/>
        <w:rPr>
          <w:color w:val="auto"/>
        </w:rPr>
      </w:pPr>
      <w:bookmarkStart w:id="5" w:name="_Toc533059259"/>
      <w:r w:rsidRPr="00E33063">
        <w:rPr>
          <w:color w:val="auto"/>
        </w:rPr>
        <w:lastRenderedPageBreak/>
        <w:t>Effect on Viability</w:t>
      </w:r>
      <w:bookmarkEnd w:id="5"/>
    </w:p>
    <w:p w14:paraId="2DC00B41" w14:textId="4DD161AF" w:rsidR="00A80032" w:rsidRPr="00E33063" w:rsidRDefault="00A80032" w:rsidP="00A80032">
      <w:pPr>
        <w:rPr>
          <w:szCs w:val="24"/>
        </w:rPr>
      </w:pPr>
      <w:r w:rsidRPr="00E33063">
        <w:t xml:space="preserve">Viability in the groups dosed with </w:t>
      </w:r>
      <w:r w:rsidRPr="00E33063">
        <w:rPr>
          <w:szCs w:val="24"/>
        </w:rPr>
        <w:t xml:space="preserve">2-phenyl-2-butenal </w:t>
      </w:r>
      <w:r w:rsidR="00352A65">
        <w:rPr>
          <w:szCs w:val="24"/>
        </w:rPr>
        <w:t>were &gt;50%</w:t>
      </w:r>
      <w:r w:rsidRPr="00E33063">
        <w:rPr>
          <w:szCs w:val="24"/>
        </w:rPr>
        <w:t xml:space="preserve">. Groups that received a total dose of 1, 2, 2.5, 3 and 5 mg/egg of the compound had viability of at least 83%, thus, these groups </w:t>
      </w:r>
      <w:proofErr w:type="gramStart"/>
      <w:r w:rsidRPr="00E33063">
        <w:rPr>
          <w:szCs w:val="24"/>
        </w:rPr>
        <w:t>were used</w:t>
      </w:r>
      <w:proofErr w:type="gramEnd"/>
      <w:r w:rsidRPr="00E33063">
        <w:rPr>
          <w:szCs w:val="24"/>
        </w:rPr>
        <w:t xml:space="preserve"> for the comet and NPL assays. Groups that received a </w:t>
      </w:r>
      <w:r w:rsidR="00C44D89">
        <w:rPr>
          <w:szCs w:val="24"/>
        </w:rPr>
        <w:t>dosage</w:t>
      </w:r>
      <w:r w:rsidRPr="00E33063">
        <w:rPr>
          <w:szCs w:val="24"/>
        </w:rPr>
        <w:t xml:space="preserve"> of</w:t>
      </w:r>
      <w:r w:rsidR="00C44D89">
        <w:rPr>
          <w:szCs w:val="24"/>
        </w:rPr>
        <w:t xml:space="preserve"> and above</w:t>
      </w:r>
      <w:r w:rsidRPr="00E33063">
        <w:rPr>
          <w:szCs w:val="24"/>
        </w:rPr>
        <w:t xml:space="preserve"> 7.5 mg/egg had survival rate</w:t>
      </w:r>
      <w:r w:rsidR="00DE199D">
        <w:rPr>
          <w:szCs w:val="24"/>
        </w:rPr>
        <w:t xml:space="preserve"> of less than</w:t>
      </w:r>
      <w:r w:rsidRPr="00E33063">
        <w:rPr>
          <w:szCs w:val="24"/>
        </w:rPr>
        <w:t xml:space="preserve"> 8%, </w:t>
      </w:r>
      <w:r w:rsidR="00DE199D">
        <w:rPr>
          <w:szCs w:val="24"/>
        </w:rPr>
        <w:t>and t</w:t>
      </w:r>
      <w:r w:rsidRPr="00E33063">
        <w:rPr>
          <w:szCs w:val="24"/>
        </w:rPr>
        <w:t xml:space="preserve">hus, </w:t>
      </w:r>
      <w:proofErr w:type="gramStart"/>
      <w:r w:rsidRPr="00E33063">
        <w:rPr>
          <w:szCs w:val="24"/>
        </w:rPr>
        <w:t>were not utilized</w:t>
      </w:r>
      <w:proofErr w:type="gramEnd"/>
      <w:r w:rsidRPr="00E33063">
        <w:rPr>
          <w:szCs w:val="24"/>
        </w:rPr>
        <w:t xml:space="preserve"> for the analyses. </w:t>
      </w:r>
      <w:r w:rsidR="00CC4B9A" w:rsidRPr="00E33063">
        <w:rPr>
          <w:szCs w:val="24"/>
        </w:rPr>
        <w:t>The viability</w:t>
      </w:r>
      <w:r w:rsidRPr="00E33063">
        <w:rPr>
          <w:szCs w:val="24"/>
        </w:rPr>
        <w:t xml:space="preserve"> percentage in the groups that received either vehicle or positive control, was 100%.</w:t>
      </w:r>
    </w:p>
    <w:p w14:paraId="3B7C8106" w14:textId="77777777" w:rsidR="00A80032" w:rsidRPr="00E33063" w:rsidRDefault="00A80032" w:rsidP="00A80032">
      <w:pPr>
        <w:pStyle w:val="Heading3"/>
        <w:rPr>
          <w:color w:val="auto"/>
        </w:rPr>
      </w:pPr>
      <w:bookmarkStart w:id="6" w:name="_Toc533059260"/>
      <w:r w:rsidRPr="00E33063">
        <w:rPr>
          <w:color w:val="auto"/>
        </w:rPr>
        <w:t xml:space="preserve">DNA </w:t>
      </w:r>
      <w:proofErr w:type="gramStart"/>
      <w:r w:rsidRPr="00E33063">
        <w:rPr>
          <w:color w:val="auto"/>
        </w:rPr>
        <w:t>adducts</w:t>
      </w:r>
      <w:bookmarkEnd w:id="6"/>
      <w:proofErr w:type="gramEnd"/>
    </w:p>
    <w:p w14:paraId="326E96CD" w14:textId="44E6BE41" w:rsidR="00A80032" w:rsidRPr="00E33063" w:rsidRDefault="00A80032" w:rsidP="00A80032">
      <w:pPr>
        <w:rPr>
          <w:szCs w:val="24"/>
        </w:rPr>
      </w:pPr>
      <w:r w:rsidRPr="00E33063">
        <w:t xml:space="preserve">The results of </w:t>
      </w:r>
      <w:r w:rsidR="005069BA">
        <w:t xml:space="preserve">the </w:t>
      </w:r>
      <w:r w:rsidRPr="00E33063">
        <w:t xml:space="preserve">NPL </w:t>
      </w:r>
      <w:r w:rsidR="00012A7C">
        <w:t>test</w:t>
      </w:r>
      <w:r w:rsidRPr="00E33063">
        <w:t xml:space="preserve"> </w:t>
      </w:r>
      <w:proofErr w:type="gramStart"/>
      <w:r w:rsidRPr="00E33063">
        <w:t xml:space="preserve">are </w:t>
      </w:r>
      <w:r w:rsidR="00352A65">
        <w:t>demonstrated</w:t>
      </w:r>
      <w:proofErr w:type="gramEnd"/>
      <w:r w:rsidR="00352A65">
        <w:t xml:space="preserve"> in Figure 1</w:t>
      </w:r>
      <w:r w:rsidRPr="00E33063">
        <w:t xml:space="preserve">. No background adducts </w:t>
      </w:r>
      <w:proofErr w:type="gramStart"/>
      <w:r w:rsidRPr="00E33063">
        <w:t>were detected</w:t>
      </w:r>
      <w:proofErr w:type="gramEnd"/>
      <w:r w:rsidRPr="00E33063">
        <w:t xml:space="preserve"> in the vehicle control group (</w:t>
      </w:r>
      <w:r w:rsidRPr="00E33063">
        <w:rPr>
          <w:b/>
        </w:rPr>
        <w:t>Fig. 1</w:t>
      </w:r>
      <w:r w:rsidR="00A03BA2">
        <w:rPr>
          <w:b/>
        </w:rPr>
        <w:t xml:space="preserve"> (A)</w:t>
      </w:r>
      <w:r w:rsidRPr="00E33063">
        <w:t xml:space="preserve">). No adducts </w:t>
      </w:r>
      <w:proofErr w:type="gramStart"/>
      <w:r w:rsidRPr="00E33063">
        <w:t>were observed</w:t>
      </w:r>
      <w:proofErr w:type="gramEnd"/>
      <w:r w:rsidRPr="00E33063">
        <w:t xml:space="preserve"> in the group that received 5 mg/egg of </w:t>
      </w:r>
      <w:r w:rsidRPr="00E33063">
        <w:rPr>
          <w:szCs w:val="24"/>
        </w:rPr>
        <w:t>2-phenyl-2-butenal (the highest tested dose that did not reduce viability below 50%) (</w:t>
      </w:r>
      <w:r w:rsidRPr="00E33063">
        <w:rPr>
          <w:b/>
          <w:szCs w:val="24"/>
        </w:rPr>
        <w:t>Fig. 1</w:t>
      </w:r>
      <w:r w:rsidR="00A03BA2">
        <w:rPr>
          <w:b/>
          <w:szCs w:val="24"/>
        </w:rPr>
        <w:t xml:space="preserve"> (A)</w:t>
      </w:r>
      <w:r w:rsidRPr="00E33063">
        <w:rPr>
          <w:szCs w:val="24"/>
        </w:rPr>
        <w:t>). In contrast, 5 mg/egg of the positive control, quinolone produced approximately 6.07 DNA adducts in 10</w:t>
      </w:r>
      <w:r w:rsidRPr="00E33063">
        <w:rPr>
          <w:szCs w:val="24"/>
          <w:vertAlign w:val="superscript"/>
        </w:rPr>
        <w:t>8</w:t>
      </w:r>
      <w:r w:rsidRPr="00E33063">
        <w:rPr>
          <w:szCs w:val="24"/>
        </w:rPr>
        <w:t xml:space="preserve"> of normal nucleotides (</w:t>
      </w:r>
      <w:r w:rsidRPr="00E33063">
        <w:rPr>
          <w:b/>
          <w:szCs w:val="24"/>
        </w:rPr>
        <w:t>Fig. 1</w:t>
      </w:r>
      <w:r w:rsidR="00A03BA2">
        <w:rPr>
          <w:b/>
          <w:szCs w:val="24"/>
        </w:rPr>
        <w:t xml:space="preserve"> (A)</w:t>
      </w:r>
      <w:r w:rsidRPr="00E33063">
        <w:rPr>
          <w:szCs w:val="24"/>
        </w:rPr>
        <w:t>).</w:t>
      </w:r>
    </w:p>
    <w:p w14:paraId="579C0539" w14:textId="77777777" w:rsidR="00A80032" w:rsidRPr="00E33063" w:rsidRDefault="00A80032" w:rsidP="00A80032">
      <w:pPr>
        <w:pStyle w:val="Heading3"/>
        <w:rPr>
          <w:color w:val="auto"/>
        </w:rPr>
      </w:pPr>
      <w:bookmarkStart w:id="7" w:name="_Toc533059261"/>
      <w:r w:rsidRPr="00E33063">
        <w:rPr>
          <w:color w:val="auto"/>
        </w:rPr>
        <w:t>DNA strand breaks</w:t>
      </w:r>
      <w:bookmarkEnd w:id="7"/>
    </w:p>
    <w:p w14:paraId="178131E1" w14:textId="218FF595" w:rsidR="00A80032" w:rsidRDefault="00A80032" w:rsidP="00A80032">
      <w:r w:rsidRPr="00E33063">
        <w:t xml:space="preserve">The results of </w:t>
      </w:r>
      <w:r w:rsidR="005069BA">
        <w:t xml:space="preserve">the </w:t>
      </w:r>
      <w:r w:rsidRPr="00E33063">
        <w:t xml:space="preserve">comet </w:t>
      </w:r>
      <w:r w:rsidR="00012A7C">
        <w:t>test</w:t>
      </w:r>
      <w:r w:rsidRPr="00E33063">
        <w:t xml:space="preserve"> </w:t>
      </w:r>
      <w:proofErr w:type="gramStart"/>
      <w:r w:rsidRPr="00E33063">
        <w:t xml:space="preserve">are </w:t>
      </w:r>
      <w:r w:rsidR="000860F8">
        <w:t>represented</w:t>
      </w:r>
      <w:proofErr w:type="gramEnd"/>
      <w:r w:rsidR="000860F8">
        <w:t xml:space="preserve"> </w:t>
      </w:r>
      <w:r w:rsidRPr="00E33063">
        <w:t xml:space="preserve">in </w:t>
      </w:r>
      <w:r w:rsidR="000860F8">
        <w:rPr>
          <w:b/>
        </w:rPr>
        <w:t xml:space="preserve">Figure </w:t>
      </w:r>
      <w:r w:rsidR="00A03BA2">
        <w:rPr>
          <w:b/>
        </w:rPr>
        <w:t>1 (B)</w:t>
      </w:r>
      <w:r w:rsidRPr="00E33063">
        <w:t xml:space="preserve">. In the comet assay, </w:t>
      </w:r>
      <w:r w:rsidRPr="00E33063">
        <w:rPr>
          <w:szCs w:val="24"/>
        </w:rPr>
        <w:t xml:space="preserve">2-phenyl-2-butenal was </w:t>
      </w:r>
      <w:proofErr w:type="gramStart"/>
      <w:r w:rsidRPr="00E33063">
        <w:rPr>
          <w:szCs w:val="24"/>
        </w:rPr>
        <w:t>tested</w:t>
      </w:r>
      <w:proofErr w:type="gramEnd"/>
      <w:r w:rsidRPr="00E33063">
        <w:rPr>
          <w:szCs w:val="24"/>
        </w:rPr>
        <w:t xml:space="preserve"> at the total doses of 1, 2, 2.5, 3 and 5 mg/egg, which did not significantly affect viability levels. No statistically significant difference was observed in the percentage of DNA in tail between control and dosed groups</w:t>
      </w:r>
      <w:r w:rsidR="00786EFC">
        <w:rPr>
          <w:szCs w:val="24"/>
        </w:rPr>
        <w:t xml:space="preserve"> </w:t>
      </w:r>
      <w:proofErr w:type="gramStart"/>
      <w:r w:rsidR="00786EFC">
        <w:rPr>
          <w:szCs w:val="24"/>
        </w:rPr>
        <w:t xml:space="preserve">with </w:t>
      </w:r>
      <w:r w:rsidR="00CC4B9A">
        <w:rPr>
          <w:szCs w:val="24"/>
        </w:rPr>
        <w:t>the</w:t>
      </w:r>
      <w:r w:rsidR="00786EFC">
        <w:rPr>
          <w:szCs w:val="24"/>
        </w:rPr>
        <w:t xml:space="preserve"> exception of</w:t>
      </w:r>
      <w:proofErr w:type="gramEnd"/>
      <w:r w:rsidR="00786EFC">
        <w:rPr>
          <w:szCs w:val="24"/>
        </w:rPr>
        <w:t xml:space="preserve"> 2</w:t>
      </w:r>
      <w:r w:rsidR="00F342B4">
        <w:rPr>
          <w:szCs w:val="24"/>
        </w:rPr>
        <w:t xml:space="preserve"> </w:t>
      </w:r>
      <w:r w:rsidR="00786EFC">
        <w:rPr>
          <w:szCs w:val="24"/>
        </w:rPr>
        <w:t>mg/egg</w:t>
      </w:r>
      <w:r w:rsidRPr="00E33063">
        <w:rPr>
          <w:szCs w:val="24"/>
        </w:rPr>
        <w:t xml:space="preserve">, which is indicative of absence of DNA strand breaks. </w:t>
      </w:r>
      <w:r w:rsidR="00F342B4">
        <w:rPr>
          <w:szCs w:val="24"/>
        </w:rPr>
        <w:t xml:space="preserve">The group that received </w:t>
      </w:r>
      <w:r w:rsidR="00786EFC">
        <w:rPr>
          <w:szCs w:val="24"/>
        </w:rPr>
        <w:t xml:space="preserve">2 mg/egg </w:t>
      </w:r>
      <w:r w:rsidR="00F342B4">
        <w:rPr>
          <w:szCs w:val="24"/>
        </w:rPr>
        <w:t>showed</w:t>
      </w:r>
      <w:r w:rsidR="00786EFC">
        <w:rPr>
          <w:szCs w:val="24"/>
        </w:rPr>
        <w:t xml:space="preserve"> slight statistically significant increase</w:t>
      </w:r>
      <w:r w:rsidR="00F342B4">
        <w:rPr>
          <w:szCs w:val="24"/>
        </w:rPr>
        <w:t xml:space="preserve"> in the percent of DNA in tail</w:t>
      </w:r>
      <w:r w:rsidR="00786EFC">
        <w:rPr>
          <w:szCs w:val="24"/>
        </w:rPr>
        <w:t xml:space="preserve"> observed, however the higher doses did not show any dose dependent increases and there </w:t>
      </w:r>
      <w:r w:rsidR="00CC4B9A">
        <w:rPr>
          <w:szCs w:val="24"/>
        </w:rPr>
        <w:t>were</w:t>
      </w:r>
      <w:r w:rsidR="00786EFC">
        <w:rPr>
          <w:szCs w:val="24"/>
        </w:rPr>
        <w:t xml:space="preserve"> no dose-dependent increases observe, which suggest this increase may not be biologically relevant. </w:t>
      </w:r>
      <w:r w:rsidRPr="00E33063">
        <w:rPr>
          <w:szCs w:val="24"/>
        </w:rPr>
        <w:t>In contrast, the positive control, quinolone, produced</w:t>
      </w:r>
      <w:r w:rsidRPr="00E33063">
        <w:t xml:space="preserve"> statistically significant 2.6-fold increase in DNA strand breaks in the chicken fetal livers (</w:t>
      </w:r>
      <w:r w:rsidR="000860F8">
        <w:rPr>
          <w:b/>
        </w:rPr>
        <w:t xml:space="preserve">Figure </w:t>
      </w:r>
      <w:r w:rsidR="00A03BA2">
        <w:rPr>
          <w:b/>
        </w:rPr>
        <w:t>1 (B)</w:t>
      </w:r>
      <w:r w:rsidRPr="00E33063">
        <w:t>).</w:t>
      </w:r>
    </w:p>
    <w:p w14:paraId="6BE11145" w14:textId="5EA243C9" w:rsidR="00293204" w:rsidRPr="00E33063" w:rsidRDefault="00293204" w:rsidP="00293204">
      <w:pPr>
        <w:pStyle w:val="Heading3"/>
        <w:rPr>
          <w:color w:val="auto"/>
        </w:rPr>
      </w:pPr>
      <w:r>
        <w:rPr>
          <w:color w:val="auto"/>
        </w:rPr>
        <w:t>HET-MN</w:t>
      </w:r>
    </w:p>
    <w:p w14:paraId="1CD339FD" w14:textId="2AD61811" w:rsidR="00293204" w:rsidRPr="009C1C10" w:rsidRDefault="00293204" w:rsidP="009C1C10">
      <w:pPr>
        <w:jc w:val="both"/>
      </w:pPr>
      <w:r w:rsidRPr="00E33063">
        <w:t xml:space="preserve">The results of </w:t>
      </w:r>
      <w:r w:rsidR="005069BA">
        <w:t xml:space="preserve">the </w:t>
      </w:r>
      <w:r>
        <w:t xml:space="preserve">micronucleus </w:t>
      </w:r>
      <w:r w:rsidR="00012A7C">
        <w:t>test</w:t>
      </w:r>
      <w:r w:rsidRPr="00E33063">
        <w:t xml:space="preserve"> </w:t>
      </w:r>
      <w:proofErr w:type="gramStart"/>
      <w:r w:rsidRPr="00E33063">
        <w:t xml:space="preserve">are </w:t>
      </w:r>
      <w:r>
        <w:t>represented</w:t>
      </w:r>
      <w:proofErr w:type="gramEnd"/>
      <w:r>
        <w:t xml:space="preserve"> </w:t>
      </w:r>
      <w:r w:rsidRPr="00E33063">
        <w:t xml:space="preserve">in </w:t>
      </w:r>
      <w:r>
        <w:rPr>
          <w:b/>
        </w:rPr>
        <w:t xml:space="preserve">Figure </w:t>
      </w:r>
      <w:r w:rsidR="00A03BA2">
        <w:rPr>
          <w:b/>
        </w:rPr>
        <w:t>1 (C)</w:t>
      </w:r>
      <w:r w:rsidRPr="00E33063">
        <w:t xml:space="preserve">. In the </w:t>
      </w:r>
      <w:r>
        <w:t>micronucleus test</w:t>
      </w:r>
      <w:r w:rsidRPr="00E33063">
        <w:t xml:space="preserve">, </w:t>
      </w:r>
      <w:r w:rsidRPr="00E33063">
        <w:rPr>
          <w:szCs w:val="24"/>
        </w:rPr>
        <w:t xml:space="preserve">2-phenyl-2-butenal was </w:t>
      </w:r>
      <w:proofErr w:type="gramStart"/>
      <w:r w:rsidRPr="00E33063">
        <w:rPr>
          <w:szCs w:val="24"/>
        </w:rPr>
        <w:t>tested</w:t>
      </w:r>
      <w:proofErr w:type="gramEnd"/>
      <w:r w:rsidRPr="00E33063">
        <w:rPr>
          <w:szCs w:val="24"/>
        </w:rPr>
        <w:t xml:space="preserve"> at the total doses of </w:t>
      </w:r>
      <w:r w:rsidR="008472BE">
        <w:rPr>
          <w:szCs w:val="24"/>
        </w:rPr>
        <w:t>0.5</w:t>
      </w:r>
      <w:r w:rsidRPr="00E33063">
        <w:rPr>
          <w:szCs w:val="24"/>
        </w:rPr>
        <w:t xml:space="preserve">, </w:t>
      </w:r>
      <w:r w:rsidR="008472BE">
        <w:rPr>
          <w:szCs w:val="24"/>
        </w:rPr>
        <w:t>1</w:t>
      </w:r>
      <w:r w:rsidRPr="00E33063">
        <w:rPr>
          <w:szCs w:val="24"/>
        </w:rPr>
        <w:t xml:space="preserve">, </w:t>
      </w:r>
      <w:r w:rsidR="008472BE">
        <w:rPr>
          <w:szCs w:val="24"/>
        </w:rPr>
        <w:t>2</w:t>
      </w:r>
      <w:r w:rsidRPr="00E33063">
        <w:rPr>
          <w:szCs w:val="24"/>
        </w:rPr>
        <w:t xml:space="preserve">, and </w:t>
      </w:r>
      <w:r w:rsidR="008472BE">
        <w:rPr>
          <w:szCs w:val="24"/>
        </w:rPr>
        <w:t>2.5</w:t>
      </w:r>
      <w:r w:rsidRPr="00E33063">
        <w:rPr>
          <w:szCs w:val="24"/>
        </w:rPr>
        <w:t xml:space="preserve"> mg/egg</w:t>
      </w:r>
      <w:r>
        <w:rPr>
          <w:szCs w:val="24"/>
        </w:rPr>
        <w:t>. Since there was significant toxicity</w:t>
      </w:r>
      <w:r w:rsidR="008472BE">
        <w:rPr>
          <w:szCs w:val="24"/>
        </w:rPr>
        <w:t xml:space="preserve"> at 2.5 mg/egg</w:t>
      </w:r>
      <w:r>
        <w:rPr>
          <w:szCs w:val="24"/>
        </w:rPr>
        <w:t xml:space="preserve"> resulting in </w:t>
      </w:r>
      <w:r w:rsidR="008472BE">
        <w:rPr>
          <w:szCs w:val="24"/>
        </w:rPr>
        <w:t>33</w:t>
      </w:r>
      <w:r>
        <w:rPr>
          <w:szCs w:val="24"/>
        </w:rPr>
        <w:t xml:space="preserve"> and </w:t>
      </w:r>
      <w:r w:rsidR="008472BE">
        <w:rPr>
          <w:szCs w:val="24"/>
        </w:rPr>
        <w:t>27</w:t>
      </w:r>
      <w:r>
        <w:rPr>
          <w:szCs w:val="24"/>
        </w:rPr>
        <w:t>% viability</w:t>
      </w:r>
      <w:r w:rsidR="00F66307">
        <w:rPr>
          <w:szCs w:val="24"/>
        </w:rPr>
        <w:t>, respectively,</w:t>
      </w:r>
      <w:r>
        <w:rPr>
          <w:szCs w:val="24"/>
        </w:rPr>
        <w:t xml:space="preserve"> in two experiments it </w:t>
      </w:r>
      <w:proofErr w:type="gramStart"/>
      <w:r>
        <w:rPr>
          <w:szCs w:val="24"/>
        </w:rPr>
        <w:t>was not included</w:t>
      </w:r>
      <w:proofErr w:type="gramEnd"/>
      <w:r>
        <w:rPr>
          <w:szCs w:val="24"/>
        </w:rPr>
        <w:t xml:space="preserve"> in MN analysis. Doses of </w:t>
      </w:r>
      <w:r w:rsidR="008472BE">
        <w:rPr>
          <w:szCs w:val="24"/>
        </w:rPr>
        <w:t>0.5</w:t>
      </w:r>
      <w:r>
        <w:rPr>
          <w:szCs w:val="24"/>
        </w:rPr>
        <w:t>,</w:t>
      </w:r>
      <w:r w:rsidR="008472BE">
        <w:rPr>
          <w:szCs w:val="24"/>
        </w:rPr>
        <w:t>1</w:t>
      </w:r>
      <w:r>
        <w:rPr>
          <w:szCs w:val="24"/>
        </w:rPr>
        <w:t xml:space="preserve"> and </w:t>
      </w:r>
      <w:r w:rsidR="008472BE">
        <w:rPr>
          <w:szCs w:val="24"/>
        </w:rPr>
        <w:t>2</w:t>
      </w:r>
      <w:r>
        <w:rPr>
          <w:szCs w:val="24"/>
        </w:rPr>
        <w:t xml:space="preserve"> </w:t>
      </w:r>
      <w:proofErr w:type="gramStart"/>
      <w:r>
        <w:rPr>
          <w:szCs w:val="24"/>
        </w:rPr>
        <w:t>were analyzed</w:t>
      </w:r>
      <w:proofErr w:type="gramEnd"/>
      <w:r>
        <w:rPr>
          <w:szCs w:val="24"/>
        </w:rPr>
        <w:t xml:space="preserve"> for MN,</w:t>
      </w:r>
      <w:r w:rsidRPr="00E33063">
        <w:rPr>
          <w:szCs w:val="24"/>
        </w:rPr>
        <w:t xml:space="preserve"> which did not significantly affect viability levels. No statistically significant difference </w:t>
      </w:r>
      <w:proofErr w:type="gramStart"/>
      <w:r w:rsidRPr="00E33063">
        <w:rPr>
          <w:szCs w:val="24"/>
        </w:rPr>
        <w:t>was observed</w:t>
      </w:r>
      <w:proofErr w:type="gramEnd"/>
      <w:r w:rsidRPr="00E33063">
        <w:rPr>
          <w:szCs w:val="24"/>
        </w:rPr>
        <w:t xml:space="preserve"> in the percentage </w:t>
      </w:r>
      <w:r>
        <w:rPr>
          <w:szCs w:val="24"/>
        </w:rPr>
        <w:t>micronuclei</w:t>
      </w:r>
      <w:r w:rsidRPr="00E33063">
        <w:rPr>
          <w:szCs w:val="24"/>
        </w:rPr>
        <w:t xml:space="preserve"> between control and dosed groups, which is indicative of </w:t>
      </w:r>
      <w:r w:rsidRPr="00E33063">
        <w:rPr>
          <w:szCs w:val="24"/>
        </w:rPr>
        <w:lastRenderedPageBreak/>
        <w:t xml:space="preserve">absence of </w:t>
      </w:r>
      <w:r>
        <w:rPr>
          <w:szCs w:val="24"/>
        </w:rPr>
        <w:t>clastogenic potential</w:t>
      </w:r>
      <w:r w:rsidRPr="00E33063">
        <w:rPr>
          <w:szCs w:val="24"/>
        </w:rPr>
        <w:t xml:space="preserve">. In contrast, the positive control, </w:t>
      </w:r>
      <w:r>
        <w:rPr>
          <w:szCs w:val="24"/>
        </w:rPr>
        <w:t>cyclophosphamide</w:t>
      </w:r>
      <w:r w:rsidRPr="00E33063">
        <w:rPr>
          <w:szCs w:val="24"/>
        </w:rPr>
        <w:t>, produced</w:t>
      </w:r>
      <w:r w:rsidRPr="00E33063">
        <w:t xml:space="preserve"> </w:t>
      </w:r>
      <w:r w:rsidR="00CC4B9A" w:rsidRPr="00E33063">
        <w:t>a statistically</w:t>
      </w:r>
      <w:r w:rsidRPr="00E33063">
        <w:t xml:space="preserve"> significant increase in </w:t>
      </w:r>
      <w:r>
        <w:t>MN frequency</w:t>
      </w:r>
      <w:r w:rsidRPr="00E33063">
        <w:t xml:space="preserve"> (</w:t>
      </w:r>
      <w:r>
        <w:rPr>
          <w:b/>
        </w:rPr>
        <w:t xml:space="preserve">Figure </w:t>
      </w:r>
      <w:r w:rsidR="00A03BA2">
        <w:rPr>
          <w:b/>
        </w:rPr>
        <w:t>1 (C</w:t>
      </w:r>
      <w:r w:rsidRPr="00E33063">
        <w:t>).</w:t>
      </w:r>
    </w:p>
    <w:p w14:paraId="475FA3FE" w14:textId="77777777" w:rsidR="00A80032" w:rsidRPr="00E33063" w:rsidRDefault="00A80032" w:rsidP="00884F9C">
      <w:pPr>
        <w:pStyle w:val="Heading1"/>
      </w:pPr>
      <w:bookmarkStart w:id="8" w:name="_Toc533059262"/>
      <w:r w:rsidRPr="00E33063">
        <w:t>Nona-2 trans- 6-cis-dienal</w:t>
      </w:r>
      <w:bookmarkEnd w:id="8"/>
      <w:r w:rsidRPr="00E33063">
        <w:t xml:space="preserve"> </w:t>
      </w:r>
    </w:p>
    <w:p w14:paraId="3B23216A" w14:textId="77777777" w:rsidR="00A80032" w:rsidRPr="00E33063" w:rsidRDefault="00A80032" w:rsidP="00A80032">
      <w:pPr>
        <w:pStyle w:val="Heading3"/>
        <w:rPr>
          <w:color w:val="auto"/>
        </w:rPr>
      </w:pPr>
      <w:bookmarkStart w:id="9" w:name="_Toc533059263"/>
      <w:r w:rsidRPr="00E33063">
        <w:rPr>
          <w:color w:val="auto"/>
        </w:rPr>
        <w:t>Effect on Viability</w:t>
      </w:r>
      <w:bookmarkEnd w:id="9"/>
    </w:p>
    <w:p w14:paraId="4DC5A6B0" w14:textId="4F1A82C2" w:rsidR="00A80032" w:rsidRPr="00E33063" w:rsidRDefault="00A80032" w:rsidP="00A80032">
      <w:pPr>
        <w:rPr>
          <w:szCs w:val="24"/>
        </w:rPr>
      </w:pPr>
      <w:r w:rsidRPr="00E33063">
        <w:t xml:space="preserve">Viability in the groups dosed with </w:t>
      </w:r>
      <w:r w:rsidRPr="00E33063">
        <w:rPr>
          <w:szCs w:val="24"/>
        </w:rPr>
        <w:t xml:space="preserve">nona-2 trans-6-cis-dienal </w:t>
      </w:r>
      <w:r w:rsidR="00352A65">
        <w:rPr>
          <w:szCs w:val="24"/>
        </w:rPr>
        <w:t>was &gt;50%</w:t>
      </w:r>
      <w:r w:rsidRPr="00E33063">
        <w:rPr>
          <w:szCs w:val="24"/>
        </w:rPr>
        <w:t xml:space="preserve">. Groups that received a total dose of 0.05, 0.1, 0.25 and 0.5 mg/egg had viability of at least 89%. Due to the limitation in the number of samples which can </w:t>
      </w:r>
      <w:proofErr w:type="gramStart"/>
      <w:r w:rsidRPr="00E33063">
        <w:rPr>
          <w:szCs w:val="24"/>
        </w:rPr>
        <w:t>be analyzed</w:t>
      </w:r>
      <w:proofErr w:type="gramEnd"/>
      <w:r w:rsidRPr="00E33063">
        <w:rPr>
          <w:szCs w:val="24"/>
        </w:rPr>
        <w:t xml:space="preserve"> simultaneously, only groups dosed with the total dose of 0.25 and 0.5 mg/egg were analyzed in the assay. Groups that received a total dose of 0.75 and 0.9 mg/egg had low survival rate, 25 and 33%, respectively. Thus, these groups </w:t>
      </w:r>
      <w:proofErr w:type="gramStart"/>
      <w:r w:rsidRPr="00E33063">
        <w:rPr>
          <w:szCs w:val="24"/>
        </w:rPr>
        <w:t>were not utilized</w:t>
      </w:r>
      <w:proofErr w:type="gramEnd"/>
      <w:r w:rsidRPr="00E33063">
        <w:rPr>
          <w:szCs w:val="24"/>
        </w:rPr>
        <w:t xml:space="preserve"> for the analyses. </w:t>
      </w:r>
      <w:r w:rsidR="00CC4B9A" w:rsidRPr="00E33063">
        <w:rPr>
          <w:szCs w:val="24"/>
        </w:rPr>
        <w:t>The viability</w:t>
      </w:r>
      <w:r w:rsidRPr="00E33063">
        <w:rPr>
          <w:szCs w:val="24"/>
        </w:rPr>
        <w:t xml:space="preserve"> percentage in the groups that received either vehicle or positive control, was 100%.</w:t>
      </w:r>
    </w:p>
    <w:p w14:paraId="32989D35" w14:textId="77777777" w:rsidR="00A80032" w:rsidRPr="00E33063" w:rsidRDefault="00A80032" w:rsidP="00A80032">
      <w:pPr>
        <w:pStyle w:val="Heading3"/>
        <w:rPr>
          <w:color w:val="auto"/>
        </w:rPr>
      </w:pPr>
      <w:bookmarkStart w:id="10" w:name="_Toc533059264"/>
      <w:r w:rsidRPr="00E33063">
        <w:rPr>
          <w:color w:val="auto"/>
        </w:rPr>
        <w:t xml:space="preserve">DNA </w:t>
      </w:r>
      <w:proofErr w:type="gramStart"/>
      <w:r w:rsidRPr="00E33063">
        <w:rPr>
          <w:color w:val="auto"/>
        </w:rPr>
        <w:t>adducts</w:t>
      </w:r>
      <w:bookmarkEnd w:id="10"/>
      <w:proofErr w:type="gramEnd"/>
    </w:p>
    <w:p w14:paraId="23D3C9FB" w14:textId="2F6BBFB2" w:rsidR="00A80032" w:rsidRPr="00E33063" w:rsidRDefault="00A80032" w:rsidP="00A80032">
      <w:pPr>
        <w:rPr>
          <w:szCs w:val="24"/>
        </w:rPr>
      </w:pPr>
      <w:r w:rsidRPr="00E33063">
        <w:t xml:space="preserve">The results of </w:t>
      </w:r>
      <w:r w:rsidR="0041328A">
        <w:t xml:space="preserve">the </w:t>
      </w:r>
      <w:r w:rsidRPr="00E33063">
        <w:t xml:space="preserve">NPL </w:t>
      </w:r>
      <w:r w:rsidR="00012A7C">
        <w:t>test</w:t>
      </w:r>
      <w:r w:rsidRPr="00E33063">
        <w:t xml:space="preserve"> </w:t>
      </w:r>
      <w:proofErr w:type="gramStart"/>
      <w:r w:rsidRPr="00E33063">
        <w:t>are summarized</w:t>
      </w:r>
      <w:proofErr w:type="gramEnd"/>
      <w:r w:rsidRPr="00E33063">
        <w:t xml:space="preserve"> </w:t>
      </w:r>
      <w:r w:rsidR="00352A65">
        <w:t xml:space="preserve">are demonstrated in Figure </w:t>
      </w:r>
      <w:r w:rsidR="00012A7C">
        <w:t>2</w:t>
      </w:r>
      <w:r w:rsidRPr="00E33063">
        <w:t xml:space="preserve">. No background adducts </w:t>
      </w:r>
      <w:proofErr w:type="gramStart"/>
      <w:r w:rsidRPr="00E33063">
        <w:t>were detected</w:t>
      </w:r>
      <w:proofErr w:type="gramEnd"/>
      <w:r w:rsidRPr="00E33063">
        <w:t xml:space="preserve"> in the vehicle control group (</w:t>
      </w:r>
      <w:r w:rsidRPr="00E33063">
        <w:rPr>
          <w:b/>
        </w:rPr>
        <w:t xml:space="preserve">Fig. </w:t>
      </w:r>
      <w:r w:rsidR="00A03BA2">
        <w:rPr>
          <w:b/>
        </w:rPr>
        <w:t>2 (A)</w:t>
      </w:r>
      <w:r w:rsidRPr="00E33063">
        <w:t xml:space="preserve">). No adducts </w:t>
      </w:r>
      <w:proofErr w:type="gramStart"/>
      <w:r w:rsidRPr="00E33063">
        <w:t>were observed</w:t>
      </w:r>
      <w:proofErr w:type="gramEnd"/>
      <w:r w:rsidRPr="00E33063">
        <w:t xml:space="preserve"> in the group that received 0.5 mg/egg of </w:t>
      </w:r>
      <w:r w:rsidRPr="00E33063">
        <w:rPr>
          <w:szCs w:val="24"/>
        </w:rPr>
        <w:t>nona-2 trans-6-cis-dienal (the highest tested dose that did not reduce viability below 50%). In contrast, 5 mg/egg of the positive control, quinolone produced approximately 7.3 DNA adducts in 10</w:t>
      </w:r>
      <w:r w:rsidRPr="00E33063">
        <w:rPr>
          <w:szCs w:val="24"/>
          <w:vertAlign w:val="superscript"/>
        </w:rPr>
        <w:t>8</w:t>
      </w:r>
      <w:r w:rsidRPr="00E33063">
        <w:rPr>
          <w:szCs w:val="24"/>
        </w:rPr>
        <w:t xml:space="preserve"> of normal nucleotides (</w:t>
      </w:r>
      <w:r w:rsidRPr="00E33063">
        <w:rPr>
          <w:b/>
          <w:szCs w:val="24"/>
        </w:rPr>
        <w:t xml:space="preserve">Fig. </w:t>
      </w:r>
      <w:r w:rsidR="00A03BA2">
        <w:rPr>
          <w:b/>
          <w:szCs w:val="24"/>
        </w:rPr>
        <w:t>2 (A)</w:t>
      </w:r>
      <w:r w:rsidRPr="00E33063">
        <w:rPr>
          <w:szCs w:val="24"/>
        </w:rPr>
        <w:t>).</w:t>
      </w:r>
    </w:p>
    <w:p w14:paraId="0EF85FDA" w14:textId="77777777" w:rsidR="00A80032" w:rsidRPr="00E33063" w:rsidRDefault="00A80032" w:rsidP="00A80032">
      <w:pPr>
        <w:pStyle w:val="Heading3"/>
        <w:rPr>
          <w:color w:val="auto"/>
        </w:rPr>
      </w:pPr>
      <w:bookmarkStart w:id="11" w:name="_Toc533059265"/>
      <w:r w:rsidRPr="00E33063">
        <w:rPr>
          <w:color w:val="auto"/>
        </w:rPr>
        <w:t>DNA strand breaks</w:t>
      </w:r>
      <w:bookmarkEnd w:id="11"/>
    </w:p>
    <w:p w14:paraId="6981F47A" w14:textId="5C7FA0DD" w:rsidR="00A80032" w:rsidRDefault="00A80032" w:rsidP="00A80032">
      <w:r w:rsidRPr="00E33063">
        <w:t xml:space="preserve">The results of </w:t>
      </w:r>
      <w:r w:rsidR="0041328A">
        <w:t xml:space="preserve">the </w:t>
      </w:r>
      <w:r w:rsidRPr="00E33063">
        <w:t xml:space="preserve">comet </w:t>
      </w:r>
      <w:r w:rsidR="00012A7C">
        <w:t>test</w:t>
      </w:r>
      <w:r w:rsidRPr="00E33063">
        <w:t xml:space="preserve"> </w:t>
      </w:r>
      <w:proofErr w:type="gramStart"/>
      <w:r w:rsidRPr="00E33063">
        <w:t>are summarized</w:t>
      </w:r>
      <w:proofErr w:type="gramEnd"/>
      <w:r w:rsidRPr="00E33063">
        <w:t xml:space="preserve"> in </w:t>
      </w:r>
      <w:r w:rsidR="00410AB8">
        <w:rPr>
          <w:b/>
        </w:rPr>
        <w:t xml:space="preserve">Figure </w:t>
      </w:r>
      <w:r w:rsidR="00A03BA2">
        <w:rPr>
          <w:b/>
        </w:rPr>
        <w:t>2 (B)</w:t>
      </w:r>
      <w:r w:rsidRPr="00E33063">
        <w:t xml:space="preserve">. In the comet assay, </w:t>
      </w:r>
      <w:r w:rsidRPr="00E33063">
        <w:rPr>
          <w:szCs w:val="24"/>
        </w:rPr>
        <w:t xml:space="preserve">nona-2 trans-6-cis-dienal was </w:t>
      </w:r>
      <w:proofErr w:type="gramStart"/>
      <w:r w:rsidRPr="00E33063">
        <w:rPr>
          <w:szCs w:val="24"/>
        </w:rPr>
        <w:t>tested</w:t>
      </w:r>
      <w:proofErr w:type="gramEnd"/>
      <w:r w:rsidRPr="00E33063">
        <w:rPr>
          <w:szCs w:val="24"/>
        </w:rPr>
        <w:t xml:space="preserve"> at the total doses of 0.25 and 0.5 mg/egg, which did not significantly affect viability levels. No statistically significant difference </w:t>
      </w:r>
      <w:proofErr w:type="gramStart"/>
      <w:r w:rsidRPr="00E33063">
        <w:rPr>
          <w:szCs w:val="24"/>
        </w:rPr>
        <w:t>was observed</w:t>
      </w:r>
      <w:proofErr w:type="gramEnd"/>
      <w:r w:rsidRPr="00E33063">
        <w:rPr>
          <w:szCs w:val="24"/>
        </w:rPr>
        <w:t xml:space="preserve"> for the percentage of DNA in tail between control and dosed groups, which is indicative of absence of DNA strand breaks. In contrast, the positive control, quinolone, produced</w:t>
      </w:r>
      <w:r w:rsidRPr="00E33063">
        <w:t xml:space="preserve"> </w:t>
      </w:r>
      <w:proofErr w:type="gramStart"/>
      <w:r w:rsidRPr="00E33063">
        <w:t>statistically</w:t>
      </w:r>
      <w:proofErr w:type="gramEnd"/>
      <w:r w:rsidRPr="00E33063">
        <w:t xml:space="preserve"> significant 2.9-fold increase in DNA strand breaks in the chicken fetal livers (</w:t>
      </w:r>
      <w:r w:rsidR="00410AB8">
        <w:rPr>
          <w:b/>
        </w:rPr>
        <w:t xml:space="preserve">Figure </w:t>
      </w:r>
      <w:r w:rsidR="00A03BA2">
        <w:rPr>
          <w:b/>
        </w:rPr>
        <w:t>2 (B)</w:t>
      </w:r>
      <w:r w:rsidRPr="00E33063">
        <w:t>).</w:t>
      </w:r>
    </w:p>
    <w:p w14:paraId="4A1DED88" w14:textId="77777777" w:rsidR="00410AB8" w:rsidRPr="00E33063" w:rsidRDefault="00410AB8" w:rsidP="00410AB8">
      <w:pPr>
        <w:pStyle w:val="Heading3"/>
        <w:rPr>
          <w:color w:val="auto"/>
        </w:rPr>
      </w:pPr>
      <w:r>
        <w:rPr>
          <w:color w:val="auto"/>
        </w:rPr>
        <w:t>HET-MN</w:t>
      </w:r>
    </w:p>
    <w:p w14:paraId="3294C27A" w14:textId="02BAD0B4" w:rsidR="00093F5B" w:rsidRPr="009C1C10" w:rsidRDefault="00410AB8" w:rsidP="009C1C10">
      <w:pPr>
        <w:jc w:val="both"/>
        <w:rPr>
          <w:szCs w:val="24"/>
        </w:rPr>
      </w:pPr>
      <w:r w:rsidRPr="00E33063">
        <w:t>The results of</w:t>
      </w:r>
      <w:r w:rsidR="001822BF">
        <w:t xml:space="preserve"> the</w:t>
      </w:r>
      <w:r w:rsidRPr="00E33063">
        <w:t xml:space="preserve"> </w:t>
      </w:r>
      <w:r>
        <w:t xml:space="preserve">micronucleus </w:t>
      </w:r>
      <w:r w:rsidRPr="00E33063">
        <w:t xml:space="preserve">assay </w:t>
      </w:r>
      <w:proofErr w:type="gramStart"/>
      <w:r w:rsidRPr="00E33063">
        <w:t xml:space="preserve">are </w:t>
      </w:r>
      <w:r>
        <w:t>represented</w:t>
      </w:r>
      <w:proofErr w:type="gramEnd"/>
      <w:r>
        <w:t xml:space="preserve"> </w:t>
      </w:r>
      <w:r w:rsidRPr="00E33063">
        <w:t xml:space="preserve">in </w:t>
      </w:r>
      <w:r>
        <w:rPr>
          <w:b/>
        </w:rPr>
        <w:t xml:space="preserve">Figure </w:t>
      </w:r>
      <w:r w:rsidR="00A03BA2">
        <w:rPr>
          <w:b/>
        </w:rPr>
        <w:t>2 (C)</w:t>
      </w:r>
      <w:r w:rsidRPr="00E33063">
        <w:t xml:space="preserve">. In the </w:t>
      </w:r>
      <w:r>
        <w:t xml:space="preserve">micronucleus </w:t>
      </w:r>
      <w:r w:rsidR="00012A7C">
        <w:t>assay</w:t>
      </w:r>
      <w:r w:rsidRPr="00E33063">
        <w:t xml:space="preserve">, </w:t>
      </w:r>
      <w:r w:rsidR="00C712C0" w:rsidRPr="00E33063">
        <w:rPr>
          <w:szCs w:val="24"/>
        </w:rPr>
        <w:t xml:space="preserve">nona-2 trans-6-cis-dienal </w:t>
      </w:r>
      <w:r w:rsidRPr="00E33063">
        <w:rPr>
          <w:szCs w:val="24"/>
        </w:rPr>
        <w:t xml:space="preserve">was </w:t>
      </w:r>
      <w:proofErr w:type="gramStart"/>
      <w:r w:rsidRPr="00E33063">
        <w:rPr>
          <w:szCs w:val="24"/>
        </w:rPr>
        <w:t>tested</w:t>
      </w:r>
      <w:proofErr w:type="gramEnd"/>
      <w:r w:rsidRPr="00E33063">
        <w:rPr>
          <w:szCs w:val="24"/>
        </w:rPr>
        <w:t xml:space="preserve"> at the total doses of </w:t>
      </w:r>
      <w:r>
        <w:rPr>
          <w:szCs w:val="24"/>
        </w:rPr>
        <w:t>0.</w:t>
      </w:r>
      <w:r w:rsidR="00C712C0">
        <w:rPr>
          <w:szCs w:val="24"/>
        </w:rPr>
        <w:t>0</w:t>
      </w:r>
      <w:r>
        <w:rPr>
          <w:szCs w:val="24"/>
        </w:rPr>
        <w:t>5</w:t>
      </w:r>
      <w:r w:rsidRPr="00E33063">
        <w:rPr>
          <w:szCs w:val="24"/>
        </w:rPr>
        <w:t xml:space="preserve">, </w:t>
      </w:r>
      <w:r w:rsidR="00C712C0">
        <w:rPr>
          <w:szCs w:val="24"/>
        </w:rPr>
        <w:t>0.</w:t>
      </w:r>
      <w:r>
        <w:rPr>
          <w:szCs w:val="24"/>
        </w:rPr>
        <w:t>1</w:t>
      </w:r>
      <w:r w:rsidRPr="00E33063">
        <w:rPr>
          <w:szCs w:val="24"/>
        </w:rPr>
        <w:t xml:space="preserve">, </w:t>
      </w:r>
      <w:r w:rsidR="00C712C0">
        <w:rPr>
          <w:szCs w:val="24"/>
        </w:rPr>
        <w:t>0.</w:t>
      </w:r>
      <w:r>
        <w:rPr>
          <w:szCs w:val="24"/>
        </w:rPr>
        <w:t>2</w:t>
      </w:r>
      <w:r w:rsidR="00C712C0">
        <w:rPr>
          <w:szCs w:val="24"/>
        </w:rPr>
        <w:t>5</w:t>
      </w:r>
      <w:r w:rsidRPr="00E33063">
        <w:rPr>
          <w:szCs w:val="24"/>
        </w:rPr>
        <w:t xml:space="preserve">, and </w:t>
      </w:r>
      <w:r w:rsidR="00C712C0">
        <w:rPr>
          <w:szCs w:val="24"/>
        </w:rPr>
        <w:t>0</w:t>
      </w:r>
      <w:r>
        <w:rPr>
          <w:szCs w:val="24"/>
        </w:rPr>
        <w:t>.5</w:t>
      </w:r>
      <w:r w:rsidRPr="00E33063">
        <w:rPr>
          <w:szCs w:val="24"/>
        </w:rPr>
        <w:t xml:space="preserve"> mg/egg</w:t>
      </w:r>
      <w:r>
        <w:rPr>
          <w:szCs w:val="24"/>
        </w:rPr>
        <w:t xml:space="preserve">. Since there was toxicity at </w:t>
      </w:r>
      <w:r w:rsidR="00C712C0">
        <w:rPr>
          <w:szCs w:val="24"/>
        </w:rPr>
        <w:t>0</w:t>
      </w:r>
      <w:r>
        <w:rPr>
          <w:szCs w:val="24"/>
        </w:rPr>
        <w:t xml:space="preserve">.5 mg/egg resulting in </w:t>
      </w:r>
      <w:r w:rsidR="00C712C0">
        <w:rPr>
          <w:szCs w:val="24"/>
        </w:rPr>
        <w:t>40</w:t>
      </w:r>
      <w:r>
        <w:rPr>
          <w:szCs w:val="24"/>
        </w:rPr>
        <w:t xml:space="preserve"> and </w:t>
      </w:r>
      <w:r w:rsidR="00C712C0">
        <w:rPr>
          <w:szCs w:val="24"/>
        </w:rPr>
        <w:t>60</w:t>
      </w:r>
      <w:r>
        <w:rPr>
          <w:szCs w:val="24"/>
        </w:rPr>
        <w:t xml:space="preserve">% viability, respectively, in two experiments it </w:t>
      </w:r>
      <w:proofErr w:type="gramStart"/>
      <w:r>
        <w:rPr>
          <w:szCs w:val="24"/>
        </w:rPr>
        <w:t>was included</w:t>
      </w:r>
      <w:proofErr w:type="gramEnd"/>
      <w:r>
        <w:rPr>
          <w:szCs w:val="24"/>
        </w:rPr>
        <w:t xml:space="preserve"> in MN analysis</w:t>
      </w:r>
      <w:r w:rsidR="00C712C0">
        <w:rPr>
          <w:szCs w:val="24"/>
        </w:rPr>
        <w:t xml:space="preserve"> considering it was in the acceptable toxicity range</w:t>
      </w:r>
      <w:r>
        <w:rPr>
          <w:szCs w:val="24"/>
        </w:rPr>
        <w:t xml:space="preserve">. </w:t>
      </w:r>
      <w:r>
        <w:rPr>
          <w:szCs w:val="24"/>
        </w:rPr>
        <w:lastRenderedPageBreak/>
        <w:t>Doses of 0.</w:t>
      </w:r>
      <w:r w:rsidR="00C712C0">
        <w:rPr>
          <w:szCs w:val="24"/>
        </w:rPr>
        <w:t>1</w:t>
      </w:r>
      <w:r>
        <w:rPr>
          <w:szCs w:val="24"/>
        </w:rPr>
        <w:t>,</w:t>
      </w:r>
      <w:r w:rsidR="00C712C0">
        <w:rPr>
          <w:szCs w:val="24"/>
        </w:rPr>
        <w:t>0.25</w:t>
      </w:r>
      <w:r>
        <w:rPr>
          <w:szCs w:val="24"/>
        </w:rPr>
        <w:t xml:space="preserve"> and </w:t>
      </w:r>
      <w:r w:rsidR="00C712C0">
        <w:rPr>
          <w:szCs w:val="24"/>
        </w:rPr>
        <w:t>0.5</w:t>
      </w:r>
      <w:r>
        <w:rPr>
          <w:szCs w:val="24"/>
        </w:rPr>
        <w:t xml:space="preserve"> </w:t>
      </w:r>
      <w:proofErr w:type="gramStart"/>
      <w:r>
        <w:rPr>
          <w:szCs w:val="24"/>
        </w:rPr>
        <w:t>were analyzed</w:t>
      </w:r>
      <w:proofErr w:type="gramEnd"/>
      <w:r>
        <w:rPr>
          <w:szCs w:val="24"/>
        </w:rPr>
        <w:t xml:space="preserve"> for MN,</w:t>
      </w:r>
      <w:r w:rsidRPr="00E33063">
        <w:rPr>
          <w:szCs w:val="24"/>
        </w:rPr>
        <w:t xml:space="preserve"> which did not significantly affect viability levels. No statistically significant difference </w:t>
      </w:r>
      <w:proofErr w:type="gramStart"/>
      <w:r w:rsidRPr="00E33063">
        <w:rPr>
          <w:szCs w:val="24"/>
        </w:rPr>
        <w:t>was observed</w:t>
      </w:r>
      <w:proofErr w:type="gramEnd"/>
      <w:r w:rsidRPr="00E33063">
        <w:rPr>
          <w:szCs w:val="24"/>
        </w:rPr>
        <w:t xml:space="preserve"> in the percentage </w:t>
      </w:r>
      <w:r>
        <w:rPr>
          <w:szCs w:val="24"/>
        </w:rPr>
        <w:t>micronuclei</w:t>
      </w:r>
      <w:r w:rsidRPr="00E33063">
        <w:rPr>
          <w:szCs w:val="24"/>
        </w:rPr>
        <w:t xml:space="preserve"> between control and dosed groups, which is indicative of absence of </w:t>
      </w:r>
      <w:r>
        <w:rPr>
          <w:szCs w:val="24"/>
        </w:rPr>
        <w:t>clastogenic potential</w:t>
      </w:r>
      <w:r w:rsidRPr="00E33063">
        <w:rPr>
          <w:szCs w:val="24"/>
        </w:rPr>
        <w:t xml:space="preserve">. In contrast, the positive control, </w:t>
      </w:r>
      <w:r>
        <w:rPr>
          <w:szCs w:val="24"/>
        </w:rPr>
        <w:t>cyclophosphamide</w:t>
      </w:r>
      <w:r w:rsidRPr="00E33063">
        <w:rPr>
          <w:szCs w:val="24"/>
        </w:rPr>
        <w:t>, produced</w:t>
      </w:r>
      <w:r w:rsidRPr="00E33063">
        <w:t xml:space="preserve"> statistically significant increase in </w:t>
      </w:r>
      <w:r>
        <w:t>MN frequency</w:t>
      </w:r>
      <w:r w:rsidRPr="00E33063">
        <w:t xml:space="preserve"> (</w:t>
      </w:r>
      <w:r>
        <w:rPr>
          <w:b/>
        </w:rPr>
        <w:t xml:space="preserve">Figure </w:t>
      </w:r>
      <w:r w:rsidR="00A03BA2">
        <w:rPr>
          <w:b/>
        </w:rPr>
        <w:t>2 (C)</w:t>
      </w:r>
      <w:r w:rsidRPr="00E33063">
        <w:t>).</w:t>
      </w:r>
    </w:p>
    <w:p w14:paraId="7742A9C8" w14:textId="77777777" w:rsidR="00A80032" w:rsidRPr="00E33063" w:rsidRDefault="00A80032" w:rsidP="00884F9C">
      <w:pPr>
        <w:pStyle w:val="Heading1"/>
      </w:pPr>
      <w:bookmarkStart w:id="12" w:name="_Toc533059266"/>
      <w:r w:rsidRPr="00E33063">
        <w:t>2-Methyl-2-pentenal</w:t>
      </w:r>
      <w:bookmarkEnd w:id="12"/>
      <w:r w:rsidRPr="00E33063">
        <w:t xml:space="preserve">  </w:t>
      </w:r>
    </w:p>
    <w:p w14:paraId="5378558A" w14:textId="77777777" w:rsidR="00A80032" w:rsidRPr="00E33063" w:rsidRDefault="00A80032" w:rsidP="00A80032">
      <w:pPr>
        <w:pStyle w:val="Heading3"/>
        <w:rPr>
          <w:color w:val="auto"/>
        </w:rPr>
      </w:pPr>
      <w:bookmarkStart w:id="13" w:name="_Toc533059267"/>
      <w:r w:rsidRPr="00E33063">
        <w:rPr>
          <w:color w:val="auto"/>
        </w:rPr>
        <w:t>Effect on Viability</w:t>
      </w:r>
      <w:bookmarkEnd w:id="13"/>
    </w:p>
    <w:p w14:paraId="4A7680F3" w14:textId="62379964" w:rsidR="00A80032" w:rsidRPr="00E33063" w:rsidRDefault="00A80032" w:rsidP="00A80032">
      <w:pPr>
        <w:rPr>
          <w:szCs w:val="24"/>
        </w:rPr>
      </w:pPr>
      <w:r w:rsidRPr="00E33063">
        <w:t xml:space="preserve">Viability in the groups dosed with </w:t>
      </w:r>
      <w:r w:rsidRPr="00E33063">
        <w:rPr>
          <w:szCs w:val="24"/>
        </w:rPr>
        <w:t xml:space="preserve">2-methyl-2-pentenal </w:t>
      </w:r>
      <w:r w:rsidR="00352A65">
        <w:rPr>
          <w:szCs w:val="24"/>
        </w:rPr>
        <w:t>was &gt;50%</w:t>
      </w:r>
      <w:r w:rsidRPr="00E33063">
        <w:rPr>
          <w:szCs w:val="24"/>
        </w:rPr>
        <w:t xml:space="preserve">. Groups that received a total dose of 5, 6, 7, and 8 mg/egg had viability of at least 90%. Due to the limitation in the number of samples which can </w:t>
      </w:r>
      <w:proofErr w:type="gramStart"/>
      <w:r w:rsidRPr="00E33063">
        <w:rPr>
          <w:szCs w:val="24"/>
        </w:rPr>
        <w:t>be analyzed</w:t>
      </w:r>
      <w:proofErr w:type="gramEnd"/>
      <w:r w:rsidRPr="00E33063">
        <w:rPr>
          <w:szCs w:val="24"/>
        </w:rPr>
        <w:t xml:space="preserve"> simultaneously, only groups dosed with the total dose of 7 and 8 mg/egg of 2-methyl-2-pentenal were analyzed in the assay. Group that received a total dose of 10 mg/egg had 45% viability rate and </w:t>
      </w:r>
      <w:proofErr w:type="gramStart"/>
      <w:r w:rsidRPr="00E33063">
        <w:rPr>
          <w:szCs w:val="24"/>
        </w:rPr>
        <w:t>was still analyzed</w:t>
      </w:r>
      <w:proofErr w:type="gramEnd"/>
      <w:r w:rsidRPr="00E33063">
        <w:rPr>
          <w:szCs w:val="24"/>
        </w:rPr>
        <w:t xml:space="preserve"> in the comet assay. Groups that were dosed with 15 and 20 mg/egg had </w:t>
      </w:r>
      <w:proofErr w:type="gramStart"/>
      <w:r w:rsidRPr="00E33063">
        <w:rPr>
          <w:szCs w:val="24"/>
        </w:rPr>
        <w:t>very low</w:t>
      </w:r>
      <w:proofErr w:type="gramEnd"/>
      <w:r w:rsidRPr="00E33063">
        <w:rPr>
          <w:szCs w:val="24"/>
        </w:rPr>
        <w:t xml:space="preserve"> survival rate, 18 and 0%, respectively. Thus, these groups </w:t>
      </w:r>
      <w:proofErr w:type="gramStart"/>
      <w:r w:rsidRPr="00E33063">
        <w:rPr>
          <w:szCs w:val="24"/>
        </w:rPr>
        <w:t>were not utilized</w:t>
      </w:r>
      <w:proofErr w:type="gramEnd"/>
      <w:r w:rsidRPr="00E33063">
        <w:rPr>
          <w:szCs w:val="24"/>
        </w:rPr>
        <w:t xml:space="preserve"> for the analyses. </w:t>
      </w:r>
      <w:r w:rsidR="00CC4B9A" w:rsidRPr="00E33063">
        <w:rPr>
          <w:szCs w:val="24"/>
        </w:rPr>
        <w:t>The viability</w:t>
      </w:r>
      <w:r w:rsidRPr="00E33063">
        <w:rPr>
          <w:szCs w:val="24"/>
        </w:rPr>
        <w:t xml:space="preserve"> percentage in the groups that received either vehicle or positive control, was 100%.</w:t>
      </w:r>
    </w:p>
    <w:p w14:paraId="3F3DC0BF" w14:textId="77777777" w:rsidR="00A80032" w:rsidRPr="00E33063" w:rsidRDefault="00A80032" w:rsidP="00A80032">
      <w:pPr>
        <w:pStyle w:val="Heading3"/>
        <w:rPr>
          <w:color w:val="auto"/>
        </w:rPr>
      </w:pPr>
      <w:bookmarkStart w:id="14" w:name="_Toc533059268"/>
      <w:r w:rsidRPr="00E33063">
        <w:rPr>
          <w:color w:val="auto"/>
        </w:rPr>
        <w:t xml:space="preserve">DNA </w:t>
      </w:r>
      <w:proofErr w:type="gramStart"/>
      <w:r w:rsidRPr="00E33063">
        <w:rPr>
          <w:color w:val="auto"/>
        </w:rPr>
        <w:t>adducts</w:t>
      </w:r>
      <w:bookmarkEnd w:id="14"/>
      <w:proofErr w:type="gramEnd"/>
    </w:p>
    <w:p w14:paraId="3F182A64" w14:textId="58E3CCB9" w:rsidR="00A80032" w:rsidRPr="00E33063" w:rsidRDefault="00A80032" w:rsidP="00A80032">
      <w:pPr>
        <w:rPr>
          <w:szCs w:val="24"/>
        </w:rPr>
      </w:pPr>
      <w:r w:rsidRPr="00E33063">
        <w:t xml:space="preserve">The results of </w:t>
      </w:r>
      <w:r w:rsidR="001822BF">
        <w:t xml:space="preserve">the </w:t>
      </w:r>
      <w:r w:rsidRPr="00E33063">
        <w:t xml:space="preserve">NPL </w:t>
      </w:r>
      <w:r w:rsidR="00012A7C">
        <w:t>test</w:t>
      </w:r>
      <w:r w:rsidRPr="00E33063">
        <w:t xml:space="preserve"> </w:t>
      </w:r>
      <w:proofErr w:type="gramStart"/>
      <w:r w:rsidRPr="00E33063">
        <w:t xml:space="preserve">are </w:t>
      </w:r>
      <w:r w:rsidR="006938E1">
        <w:t>depicted</w:t>
      </w:r>
      <w:proofErr w:type="gramEnd"/>
      <w:r w:rsidR="006938E1">
        <w:t xml:space="preserve"> in Figure </w:t>
      </w:r>
      <w:r w:rsidR="00012A7C">
        <w:t>3</w:t>
      </w:r>
      <w:r w:rsidRPr="00E33063">
        <w:t xml:space="preserve">. No background adducts </w:t>
      </w:r>
      <w:proofErr w:type="gramStart"/>
      <w:r w:rsidRPr="00E33063">
        <w:t>were detected</w:t>
      </w:r>
      <w:proofErr w:type="gramEnd"/>
      <w:r w:rsidRPr="00E33063">
        <w:t xml:space="preserve"> in the vehicle control group (</w:t>
      </w:r>
      <w:r w:rsidRPr="00E33063">
        <w:rPr>
          <w:b/>
        </w:rPr>
        <w:t xml:space="preserve">Fig. </w:t>
      </w:r>
      <w:r w:rsidR="00177B21">
        <w:rPr>
          <w:b/>
        </w:rPr>
        <w:t>3 (A)</w:t>
      </w:r>
      <w:r w:rsidRPr="00E33063">
        <w:t xml:space="preserve">). No adducts </w:t>
      </w:r>
      <w:proofErr w:type="gramStart"/>
      <w:r w:rsidRPr="00E33063">
        <w:t>were observed</w:t>
      </w:r>
      <w:proofErr w:type="gramEnd"/>
      <w:r w:rsidRPr="00E33063">
        <w:t xml:space="preserve"> in the group that received 8 mg/egg of </w:t>
      </w:r>
      <w:r w:rsidRPr="00E33063">
        <w:rPr>
          <w:szCs w:val="24"/>
        </w:rPr>
        <w:t>2-methyl-2-pentenal (the highest tested dose that did not reduce viability below 50%) (</w:t>
      </w:r>
      <w:r w:rsidRPr="00E33063">
        <w:rPr>
          <w:b/>
          <w:szCs w:val="24"/>
        </w:rPr>
        <w:t xml:space="preserve">Fig. </w:t>
      </w:r>
      <w:r w:rsidR="00177B21">
        <w:rPr>
          <w:b/>
          <w:szCs w:val="24"/>
        </w:rPr>
        <w:t>3 (A)</w:t>
      </w:r>
      <w:r w:rsidRPr="00E33063">
        <w:rPr>
          <w:szCs w:val="24"/>
        </w:rPr>
        <w:t>). In contrast, 5 mg/egg of the positive control, quinolone produced approximately 7.33 DNA adducts in 10</w:t>
      </w:r>
      <w:r w:rsidRPr="00E33063">
        <w:rPr>
          <w:szCs w:val="24"/>
          <w:vertAlign w:val="superscript"/>
        </w:rPr>
        <w:t>8</w:t>
      </w:r>
      <w:r w:rsidRPr="00E33063">
        <w:rPr>
          <w:szCs w:val="24"/>
        </w:rPr>
        <w:t xml:space="preserve"> of normal nucleotides (</w:t>
      </w:r>
      <w:r w:rsidRPr="00E33063">
        <w:rPr>
          <w:b/>
          <w:szCs w:val="24"/>
        </w:rPr>
        <w:t xml:space="preserve">Fig. </w:t>
      </w:r>
      <w:r w:rsidR="00177B21">
        <w:rPr>
          <w:b/>
          <w:szCs w:val="24"/>
        </w:rPr>
        <w:t>3 (A)</w:t>
      </w:r>
      <w:r w:rsidRPr="00E33063">
        <w:rPr>
          <w:szCs w:val="24"/>
        </w:rPr>
        <w:t>).</w:t>
      </w:r>
    </w:p>
    <w:p w14:paraId="1D1F115A" w14:textId="77777777" w:rsidR="00A80032" w:rsidRPr="00E33063" w:rsidRDefault="00A80032" w:rsidP="00A80032">
      <w:pPr>
        <w:pStyle w:val="Heading3"/>
        <w:rPr>
          <w:color w:val="auto"/>
        </w:rPr>
      </w:pPr>
      <w:bookmarkStart w:id="15" w:name="_Toc533059269"/>
      <w:r w:rsidRPr="00E33063">
        <w:rPr>
          <w:color w:val="auto"/>
        </w:rPr>
        <w:t>DNA strand breaks</w:t>
      </w:r>
      <w:bookmarkEnd w:id="15"/>
    </w:p>
    <w:p w14:paraId="4BE96710" w14:textId="684ED734" w:rsidR="00A80032" w:rsidRPr="00E33063" w:rsidRDefault="00A80032" w:rsidP="00A80032">
      <w:pPr>
        <w:rPr>
          <w:szCs w:val="24"/>
        </w:rPr>
      </w:pPr>
      <w:r w:rsidRPr="00E33063">
        <w:t xml:space="preserve">The results of </w:t>
      </w:r>
      <w:r w:rsidR="001822BF">
        <w:t xml:space="preserve">the </w:t>
      </w:r>
      <w:r w:rsidRPr="00E33063">
        <w:t xml:space="preserve">comet </w:t>
      </w:r>
      <w:r w:rsidR="00012A7C">
        <w:t>test</w:t>
      </w:r>
      <w:r w:rsidRPr="00E33063">
        <w:t xml:space="preserve"> </w:t>
      </w:r>
      <w:proofErr w:type="gramStart"/>
      <w:r w:rsidRPr="00E33063">
        <w:t>are summarized</w:t>
      </w:r>
      <w:proofErr w:type="gramEnd"/>
      <w:r w:rsidRPr="00E33063">
        <w:t xml:space="preserve"> in </w:t>
      </w:r>
      <w:r w:rsidR="00CA380B">
        <w:rPr>
          <w:b/>
        </w:rPr>
        <w:t>Figure</w:t>
      </w:r>
      <w:r w:rsidRPr="00E33063">
        <w:rPr>
          <w:b/>
        </w:rPr>
        <w:t xml:space="preserve"> </w:t>
      </w:r>
      <w:r w:rsidR="00177B21">
        <w:rPr>
          <w:b/>
        </w:rPr>
        <w:t>3 (B)</w:t>
      </w:r>
      <w:r w:rsidRPr="00E33063">
        <w:t xml:space="preserve">. In the comet assay, </w:t>
      </w:r>
      <w:r w:rsidRPr="00E33063">
        <w:rPr>
          <w:szCs w:val="24"/>
        </w:rPr>
        <w:t xml:space="preserve">2-methyl-2-pentenal was </w:t>
      </w:r>
      <w:proofErr w:type="gramStart"/>
      <w:r w:rsidRPr="00E33063">
        <w:rPr>
          <w:szCs w:val="24"/>
        </w:rPr>
        <w:t>tested</w:t>
      </w:r>
      <w:proofErr w:type="gramEnd"/>
      <w:r w:rsidRPr="00E33063">
        <w:rPr>
          <w:szCs w:val="24"/>
        </w:rPr>
        <w:t xml:space="preserve"> at the total doses of 7 and 8 mg/egg, which did not significantly affect viability levels, as well as at 10 mg/egg, which decreased survival rate just below 50%. No statistically significant difference </w:t>
      </w:r>
      <w:proofErr w:type="gramStart"/>
      <w:r w:rsidRPr="00E33063">
        <w:rPr>
          <w:szCs w:val="24"/>
        </w:rPr>
        <w:t>was observed</w:t>
      </w:r>
      <w:proofErr w:type="gramEnd"/>
      <w:r w:rsidRPr="00E33063">
        <w:rPr>
          <w:szCs w:val="24"/>
        </w:rPr>
        <w:t xml:space="preserve"> for the percentage of DNA in tail between control and dosed groups, even at 10 mg/egg, which is indicative of absence of DNA strand breaks. In contrast, the positive control, quinolone, produced</w:t>
      </w:r>
      <w:r w:rsidRPr="00E33063">
        <w:t xml:space="preserve"> </w:t>
      </w:r>
      <w:r w:rsidR="00CC4B9A" w:rsidRPr="00E33063">
        <w:t>a statistically</w:t>
      </w:r>
      <w:r w:rsidRPr="00E33063">
        <w:t xml:space="preserve"> significant 2.9-fold increase in DNA strand breaks in the chicken fetal livers (</w:t>
      </w:r>
      <w:r w:rsidR="00CA380B">
        <w:rPr>
          <w:b/>
        </w:rPr>
        <w:t>Figure</w:t>
      </w:r>
      <w:r w:rsidR="00CA380B" w:rsidRPr="00E33063">
        <w:rPr>
          <w:b/>
        </w:rPr>
        <w:t xml:space="preserve"> </w:t>
      </w:r>
      <w:r w:rsidR="00177B21">
        <w:rPr>
          <w:b/>
        </w:rPr>
        <w:t>3 (B)</w:t>
      </w:r>
      <w:r w:rsidRPr="00E33063">
        <w:t>).</w:t>
      </w:r>
    </w:p>
    <w:p w14:paraId="74E02F03" w14:textId="77777777" w:rsidR="00CA380B" w:rsidRPr="00E33063" w:rsidRDefault="00CA380B" w:rsidP="00CA380B">
      <w:pPr>
        <w:pStyle w:val="Heading3"/>
        <w:rPr>
          <w:color w:val="auto"/>
        </w:rPr>
      </w:pPr>
      <w:bookmarkStart w:id="16" w:name="OLE_LINK4"/>
      <w:r>
        <w:rPr>
          <w:color w:val="auto"/>
        </w:rPr>
        <w:lastRenderedPageBreak/>
        <w:t>HET-MN</w:t>
      </w:r>
    </w:p>
    <w:p w14:paraId="5D26DB85" w14:textId="0D46BBA6" w:rsidR="00510994" w:rsidRPr="00E33063" w:rsidRDefault="00CA380B" w:rsidP="009C1C10">
      <w:pPr>
        <w:jc w:val="both"/>
        <w:rPr>
          <w:szCs w:val="24"/>
        </w:rPr>
      </w:pPr>
      <w:r w:rsidRPr="00E33063">
        <w:t xml:space="preserve">The results of </w:t>
      </w:r>
      <w:r w:rsidR="001822BF">
        <w:t xml:space="preserve">the </w:t>
      </w:r>
      <w:r>
        <w:t xml:space="preserve">micronucleus </w:t>
      </w:r>
      <w:r w:rsidRPr="00E33063">
        <w:t xml:space="preserve">assay </w:t>
      </w:r>
      <w:proofErr w:type="gramStart"/>
      <w:r w:rsidRPr="00E33063">
        <w:t xml:space="preserve">are </w:t>
      </w:r>
      <w:r>
        <w:t>represented</w:t>
      </w:r>
      <w:proofErr w:type="gramEnd"/>
      <w:r>
        <w:t xml:space="preserve"> </w:t>
      </w:r>
      <w:r w:rsidRPr="00E33063">
        <w:t xml:space="preserve">in </w:t>
      </w:r>
      <w:r>
        <w:rPr>
          <w:b/>
        </w:rPr>
        <w:t xml:space="preserve">Figure </w:t>
      </w:r>
      <w:r w:rsidR="00177B21">
        <w:rPr>
          <w:b/>
        </w:rPr>
        <w:t>3 (C)</w:t>
      </w:r>
      <w:r w:rsidRPr="00E33063">
        <w:t xml:space="preserve">. In the </w:t>
      </w:r>
      <w:r>
        <w:t>micronucleus test</w:t>
      </w:r>
      <w:r w:rsidRPr="00E33063">
        <w:t xml:space="preserve">, </w:t>
      </w:r>
      <w:r w:rsidRPr="00E33063">
        <w:rPr>
          <w:szCs w:val="24"/>
        </w:rPr>
        <w:t xml:space="preserve">2-methyl-2-pentenal was </w:t>
      </w:r>
      <w:proofErr w:type="gramStart"/>
      <w:r w:rsidRPr="00E33063">
        <w:rPr>
          <w:szCs w:val="24"/>
        </w:rPr>
        <w:t>tested</w:t>
      </w:r>
      <w:proofErr w:type="gramEnd"/>
      <w:r w:rsidRPr="00E33063">
        <w:rPr>
          <w:szCs w:val="24"/>
        </w:rPr>
        <w:t xml:space="preserve"> at the total doses of </w:t>
      </w:r>
      <w:r>
        <w:rPr>
          <w:szCs w:val="24"/>
        </w:rPr>
        <w:t>1</w:t>
      </w:r>
      <w:r w:rsidRPr="00E33063">
        <w:rPr>
          <w:szCs w:val="24"/>
        </w:rPr>
        <w:t xml:space="preserve">, </w:t>
      </w:r>
      <w:r>
        <w:rPr>
          <w:szCs w:val="24"/>
        </w:rPr>
        <w:t>3</w:t>
      </w:r>
      <w:r w:rsidRPr="00E33063">
        <w:rPr>
          <w:szCs w:val="24"/>
        </w:rPr>
        <w:t xml:space="preserve">, </w:t>
      </w:r>
      <w:r>
        <w:rPr>
          <w:szCs w:val="24"/>
        </w:rPr>
        <w:t>5</w:t>
      </w:r>
      <w:r w:rsidRPr="00E33063">
        <w:rPr>
          <w:szCs w:val="24"/>
        </w:rPr>
        <w:t xml:space="preserve">, and </w:t>
      </w:r>
      <w:r>
        <w:rPr>
          <w:szCs w:val="24"/>
        </w:rPr>
        <w:t>7</w:t>
      </w:r>
      <w:r w:rsidRPr="00E33063">
        <w:rPr>
          <w:szCs w:val="24"/>
        </w:rPr>
        <w:t xml:space="preserve"> mg/egg</w:t>
      </w:r>
      <w:r>
        <w:rPr>
          <w:szCs w:val="24"/>
        </w:rPr>
        <w:t xml:space="preserve">. Since there was significant toxicity at 7 mg/egg resulting in 20 and 13% viability, respectively, in two experiments it </w:t>
      </w:r>
      <w:proofErr w:type="gramStart"/>
      <w:r>
        <w:rPr>
          <w:szCs w:val="24"/>
        </w:rPr>
        <w:t>was not included</w:t>
      </w:r>
      <w:proofErr w:type="gramEnd"/>
      <w:r>
        <w:rPr>
          <w:szCs w:val="24"/>
        </w:rPr>
        <w:t xml:space="preserve"> in MN analysis. Doses of 1,3 and 5 </w:t>
      </w:r>
      <w:proofErr w:type="gramStart"/>
      <w:r>
        <w:rPr>
          <w:szCs w:val="24"/>
        </w:rPr>
        <w:t>were analyzed</w:t>
      </w:r>
      <w:proofErr w:type="gramEnd"/>
      <w:r>
        <w:rPr>
          <w:szCs w:val="24"/>
        </w:rPr>
        <w:t xml:space="preserve"> for MN,</w:t>
      </w:r>
      <w:r w:rsidRPr="00E33063">
        <w:rPr>
          <w:szCs w:val="24"/>
        </w:rPr>
        <w:t xml:space="preserve"> which did not significantly affect viability levels. No statistically significant difference </w:t>
      </w:r>
      <w:proofErr w:type="gramStart"/>
      <w:r w:rsidRPr="00E33063">
        <w:rPr>
          <w:szCs w:val="24"/>
        </w:rPr>
        <w:t>was observed</w:t>
      </w:r>
      <w:proofErr w:type="gramEnd"/>
      <w:r w:rsidRPr="00E33063">
        <w:rPr>
          <w:szCs w:val="24"/>
        </w:rPr>
        <w:t xml:space="preserve"> in the percentage </w:t>
      </w:r>
      <w:r>
        <w:rPr>
          <w:szCs w:val="24"/>
        </w:rPr>
        <w:t>micronuclei</w:t>
      </w:r>
      <w:r w:rsidRPr="00E33063">
        <w:rPr>
          <w:szCs w:val="24"/>
        </w:rPr>
        <w:t xml:space="preserve"> between control and dosed groups, which is indicative of absence of </w:t>
      </w:r>
      <w:r>
        <w:rPr>
          <w:szCs w:val="24"/>
        </w:rPr>
        <w:t>clastogenic potential</w:t>
      </w:r>
      <w:r w:rsidRPr="00E33063">
        <w:rPr>
          <w:szCs w:val="24"/>
        </w:rPr>
        <w:t xml:space="preserve">. In contrast, the positive control, </w:t>
      </w:r>
      <w:r>
        <w:rPr>
          <w:szCs w:val="24"/>
        </w:rPr>
        <w:t>cyclophosphamide</w:t>
      </w:r>
      <w:r w:rsidRPr="00E33063">
        <w:rPr>
          <w:szCs w:val="24"/>
        </w:rPr>
        <w:t>, produced</w:t>
      </w:r>
      <w:r w:rsidRPr="00E33063">
        <w:t xml:space="preserve"> statistically significant increase in </w:t>
      </w:r>
      <w:r>
        <w:t>MN frequency</w:t>
      </w:r>
      <w:r w:rsidRPr="00E33063">
        <w:t xml:space="preserve"> (</w:t>
      </w:r>
      <w:r>
        <w:rPr>
          <w:b/>
        </w:rPr>
        <w:t xml:space="preserve">Figure </w:t>
      </w:r>
      <w:r w:rsidR="00177B21">
        <w:rPr>
          <w:b/>
        </w:rPr>
        <w:t>3 (C)</w:t>
      </w:r>
      <w:r w:rsidRPr="00E33063">
        <w:t>).</w:t>
      </w:r>
      <w:bookmarkEnd w:id="16"/>
    </w:p>
    <w:p w14:paraId="191DB4C8" w14:textId="77777777" w:rsidR="00A80032" w:rsidRPr="00E33063" w:rsidRDefault="00A80032" w:rsidP="00884F9C">
      <w:pPr>
        <w:pStyle w:val="Heading1"/>
      </w:pPr>
      <w:bookmarkStart w:id="17" w:name="_Toc533059270"/>
      <w:r w:rsidRPr="00E33063">
        <w:t>p-Methoxy cinnamaldehyde</w:t>
      </w:r>
      <w:bookmarkEnd w:id="17"/>
      <w:r w:rsidRPr="00E33063">
        <w:t xml:space="preserve">   </w:t>
      </w:r>
    </w:p>
    <w:p w14:paraId="23AD2A49" w14:textId="77777777" w:rsidR="00A80032" w:rsidRPr="00E33063" w:rsidRDefault="00A80032" w:rsidP="00A80032">
      <w:pPr>
        <w:pStyle w:val="Heading3"/>
        <w:rPr>
          <w:color w:val="auto"/>
        </w:rPr>
      </w:pPr>
      <w:bookmarkStart w:id="18" w:name="_Toc533059271"/>
      <w:r w:rsidRPr="00E33063">
        <w:rPr>
          <w:color w:val="auto"/>
        </w:rPr>
        <w:t>Effect on Viability</w:t>
      </w:r>
      <w:bookmarkEnd w:id="18"/>
    </w:p>
    <w:p w14:paraId="453BECE4" w14:textId="34A9D773" w:rsidR="00A80032" w:rsidRPr="00E33063" w:rsidRDefault="00A80032" w:rsidP="00A80032">
      <w:pPr>
        <w:rPr>
          <w:szCs w:val="24"/>
        </w:rPr>
      </w:pPr>
      <w:r w:rsidRPr="00E33063">
        <w:t xml:space="preserve">Viability in the groups dosed with </w:t>
      </w:r>
      <w:r w:rsidRPr="00E33063">
        <w:rPr>
          <w:szCs w:val="24"/>
        </w:rPr>
        <w:t xml:space="preserve">p-methoxy cinnamaldehyde </w:t>
      </w:r>
      <w:r w:rsidR="006938E1">
        <w:rPr>
          <w:szCs w:val="24"/>
        </w:rPr>
        <w:t>was &gt;50%</w:t>
      </w:r>
      <w:r w:rsidRPr="00E33063">
        <w:rPr>
          <w:szCs w:val="24"/>
        </w:rPr>
        <w:t xml:space="preserve">. Groups that received a total dose of 1.5, 2 and 2.5 mg/egg had viability of at least 83%. Thus, all groups </w:t>
      </w:r>
      <w:proofErr w:type="gramStart"/>
      <w:r w:rsidRPr="00E33063">
        <w:rPr>
          <w:szCs w:val="24"/>
        </w:rPr>
        <w:t>were analyzed</w:t>
      </w:r>
      <w:proofErr w:type="gramEnd"/>
      <w:r w:rsidRPr="00E33063">
        <w:rPr>
          <w:szCs w:val="24"/>
        </w:rPr>
        <w:t xml:space="preserve"> in the assay. </w:t>
      </w:r>
      <w:r w:rsidR="00CC4B9A" w:rsidRPr="00E33063">
        <w:rPr>
          <w:szCs w:val="24"/>
        </w:rPr>
        <w:t>The viability</w:t>
      </w:r>
      <w:r w:rsidRPr="00E33063">
        <w:rPr>
          <w:szCs w:val="24"/>
        </w:rPr>
        <w:t xml:space="preserve"> percentage in the groups that received either vehicle or positive </w:t>
      </w:r>
      <w:proofErr w:type="gramStart"/>
      <w:r w:rsidRPr="00E33063">
        <w:rPr>
          <w:szCs w:val="24"/>
        </w:rPr>
        <w:t>control,</w:t>
      </w:r>
      <w:proofErr w:type="gramEnd"/>
      <w:r w:rsidRPr="00E33063">
        <w:rPr>
          <w:szCs w:val="24"/>
        </w:rPr>
        <w:t xml:space="preserve"> was 88%.</w:t>
      </w:r>
    </w:p>
    <w:p w14:paraId="26FBAD6A" w14:textId="77777777" w:rsidR="00A80032" w:rsidRPr="00E33063" w:rsidRDefault="00A80032" w:rsidP="00A80032">
      <w:pPr>
        <w:pStyle w:val="Heading3"/>
        <w:rPr>
          <w:color w:val="auto"/>
        </w:rPr>
      </w:pPr>
      <w:bookmarkStart w:id="19" w:name="_Toc533059272"/>
      <w:r w:rsidRPr="00E33063">
        <w:rPr>
          <w:color w:val="auto"/>
        </w:rPr>
        <w:t xml:space="preserve">DNA </w:t>
      </w:r>
      <w:proofErr w:type="gramStart"/>
      <w:r w:rsidRPr="00E33063">
        <w:rPr>
          <w:color w:val="auto"/>
        </w:rPr>
        <w:t>adducts</w:t>
      </w:r>
      <w:bookmarkEnd w:id="19"/>
      <w:proofErr w:type="gramEnd"/>
    </w:p>
    <w:p w14:paraId="20387308" w14:textId="4BEC9816" w:rsidR="00A80032" w:rsidRPr="00E33063" w:rsidRDefault="00A80032" w:rsidP="00A80032">
      <w:pPr>
        <w:rPr>
          <w:szCs w:val="24"/>
        </w:rPr>
      </w:pPr>
      <w:r w:rsidRPr="00E33063">
        <w:t xml:space="preserve">The results of </w:t>
      </w:r>
      <w:r w:rsidR="000C7206">
        <w:t xml:space="preserve">the </w:t>
      </w:r>
      <w:r w:rsidRPr="00E33063">
        <w:t xml:space="preserve">NPL </w:t>
      </w:r>
      <w:r w:rsidR="00012A7C">
        <w:t>test</w:t>
      </w:r>
      <w:r w:rsidRPr="00E33063">
        <w:t xml:space="preserve"> </w:t>
      </w:r>
      <w:proofErr w:type="gramStart"/>
      <w:r w:rsidRPr="00E33063">
        <w:t xml:space="preserve">are </w:t>
      </w:r>
      <w:r w:rsidR="006938E1">
        <w:t>depicted</w:t>
      </w:r>
      <w:proofErr w:type="gramEnd"/>
      <w:r w:rsidR="006938E1">
        <w:t xml:space="preserve"> in Figure </w:t>
      </w:r>
      <w:r w:rsidR="00012A7C">
        <w:t>4</w:t>
      </w:r>
      <w:r w:rsidRPr="00E33063">
        <w:t xml:space="preserve">. No background adducts </w:t>
      </w:r>
      <w:proofErr w:type="gramStart"/>
      <w:r w:rsidRPr="00E33063">
        <w:t>were detected</w:t>
      </w:r>
      <w:proofErr w:type="gramEnd"/>
      <w:r w:rsidRPr="00E33063">
        <w:t xml:space="preserve"> in the vehicle control group (</w:t>
      </w:r>
      <w:r w:rsidRPr="00E33063">
        <w:rPr>
          <w:b/>
        </w:rPr>
        <w:t xml:space="preserve">Fig. </w:t>
      </w:r>
      <w:r w:rsidR="00177B21">
        <w:rPr>
          <w:b/>
        </w:rPr>
        <w:t>4 (A)</w:t>
      </w:r>
      <w:r w:rsidRPr="00E33063">
        <w:t xml:space="preserve">). The NPL assay detected </w:t>
      </w:r>
      <w:proofErr w:type="gramStart"/>
      <w:r w:rsidRPr="00E33063">
        <w:t>and</w:t>
      </w:r>
      <w:proofErr w:type="gramEnd"/>
      <w:r w:rsidRPr="00E33063">
        <w:t xml:space="preserve"> average of </w:t>
      </w:r>
      <w:r w:rsidRPr="00E33063">
        <w:rPr>
          <w:szCs w:val="24"/>
        </w:rPr>
        <w:t>17 DNA adducts in 10</w:t>
      </w:r>
      <w:r w:rsidRPr="00E33063">
        <w:rPr>
          <w:szCs w:val="24"/>
          <w:vertAlign w:val="superscript"/>
        </w:rPr>
        <w:t>8</w:t>
      </w:r>
      <w:r w:rsidRPr="00E33063">
        <w:rPr>
          <w:szCs w:val="24"/>
        </w:rPr>
        <w:t xml:space="preserve"> of normal nucleotides produced by 2.5 mg/egg of</w:t>
      </w:r>
      <w:r w:rsidRPr="00E33063">
        <w:t xml:space="preserve"> p-methoxy cinnamaldehyde </w:t>
      </w:r>
      <w:r w:rsidRPr="00E33063">
        <w:rPr>
          <w:szCs w:val="24"/>
        </w:rPr>
        <w:t>(the highest tested dose that did not reduce viability below 50%) (</w:t>
      </w:r>
      <w:r w:rsidRPr="00E33063">
        <w:rPr>
          <w:b/>
          <w:szCs w:val="24"/>
        </w:rPr>
        <w:t>Fig.</w:t>
      </w:r>
      <w:r w:rsidR="00177B21">
        <w:rPr>
          <w:b/>
          <w:szCs w:val="24"/>
        </w:rPr>
        <w:t>4 (A)</w:t>
      </w:r>
      <w:r w:rsidRPr="00E33063">
        <w:rPr>
          <w:szCs w:val="24"/>
        </w:rPr>
        <w:t>). The positive control, quinolone, at the total dose of 5 mg/egg, also produced DNA adducts, approximately 6.54 in 10</w:t>
      </w:r>
      <w:r w:rsidRPr="00E33063">
        <w:rPr>
          <w:szCs w:val="24"/>
          <w:vertAlign w:val="superscript"/>
        </w:rPr>
        <w:t>8</w:t>
      </w:r>
      <w:r w:rsidRPr="00E33063">
        <w:rPr>
          <w:szCs w:val="24"/>
        </w:rPr>
        <w:t xml:space="preserve"> of normal nucleotides (</w:t>
      </w:r>
      <w:r w:rsidRPr="00E33063">
        <w:rPr>
          <w:b/>
          <w:szCs w:val="24"/>
        </w:rPr>
        <w:t>Fig.</w:t>
      </w:r>
      <w:r w:rsidR="00177B21">
        <w:rPr>
          <w:b/>
          <w:szCs w:val="24"/>
        </w:rPr>
        <w:t>4 (A)</w:t>
      </w:r>
      <w:r w:rsidRPr="00E33063">
        <w:rPr>
          <w:szCs w:val="24"/>
        </w:rPr>
        <w:t>).</w:t>
      </w:r>
    </w:p>
    <w:p w14:paraId="30A1C43D" w14:textId="77777777" w:rsidR="00A80032" w:rsidRPr="00E33063" w:rsidRDefault="00A80032" w:rsidP="00A80032">
      <w:pPr>
        <w:pStyle w:val="Heading3"/>
        <w:rPr>
          <w:color w:val="auto"/>
        </w:rPr>
      </w:pPr>
      <w:bookmarkStart w:id="20" w:name="_Toc533059273"/>
      <w:r w:rsidRPr="00E33063">
        <w:rPr>
          <w:color w:val="auto"/>
        </w:rPr>
        <w:t>DNA strand breaks</w:t>
      </w:r>
      <w:bookmarkEnd w:id="20"/>
    </w:p>
    <w:p w14:paraId="48F212D4" w14:textId="03ACD5CB" w:rsidR="00A80032" w:rsidRDefault="00A80032" w:rsidP="00A80032">
      <w:r w:rsidRPr="00E33063">
        <w:t xml:space="preserve">The results of </w:t>
      </w:r>
      <w:r w:rsidR="000C7206">
        <w:t xml:space="preserve">the </w:t>
      </w:r>
      <w:r w:rsidRPr="00E33063">
        <w:t xml:space="preserve">comet </w:t>
      </w:r>
      <w:r w:rsidR="00012A7C">
        <w:t>test</w:t>
      </w:r>
      <w:r w:rsidRPr="00E33063">
        <w:t xml:space="preserve"> </w:t>
      </w:r>
      <w:proofErr w:type="gramStart"/>
      <w:r w:rsidRPr="00E33063">
        <w:t>are summarized</w:t>
      </w:r>
      <w:proofErr w:type="gramEnd"/>
      <w:r w:rsidRPr="00E33063">
        <w:t xml:space="preserve"> in </w:t>
      </w:r>
      <w:r w:rsidR="001E53E7">
        <w:rPr>
          <w:b/>
        </w:rPr>
        <w:t xml:space="preserve">Figure </w:t>
      </w:r>
      <w:r w:rsidR="00177B21">
        <w:rPr>
          <w:b/>
        </w:rPr>
        <w:t>4 (B)</w:t>
      </w:r>
      <w:r w:rsidRPr="00E33063">
        <w:t xml:space="preserve">. In the comet </w:t>
      </w:r>
      <w:r w:rsidR="00012A7C">
        <w:t>test</w:t>
      </w:r>
      <w:r w:rsidRPr="00E33063">
        <w:t>, p-methoxy cinnamaldehyde</w:t>
      </w:r>
      <w:r w:rsidRPr="00E33063">
        <w:rPr>
          <w:szCs w:val="24"/>
        </w:rPr>
        <w:t xml:space="preserve"> was </w:t>
      </w:r>
      <w:proofErr w:type="gramStart"/>
      <w:r w:rsidRPr="00E33063">
        <w:rPr>
          <w:szCs w:val="24"/>
        </w:rPr>
        <w:t>tested</w:t>
      </w:r>
      <w:proofErr w:type="gramEnd"/>
      <w:r w:rsidRPr="00E33063">
        <w:rPr>
          <w:szCs w:val="24"/>
        </w:rPr>
        <w:t xml:space="preserve"> at </w:t>
      </w:r>
      <w:proofErr w:type="gramStart"/>
      <w:r w:rsidRPr="00E33063">
        <w:rPr>
          <w:szCs w:val="24"/>
        </w:rPr>
        <w:t>the total</w:t>
      </w:r>
      <w:proofErr w:type="gramEnd"/>
      <w:r w:rsidRPr="00E33063">
        <w:rPr>
          <w:szCs w:val="24"/>
        </w:rPr>
        <w:t xml:space="preserve"> doses of 1.5, 2 and 2.5 mg/egg, which did not significantly affect viability levels. Comet assay results confirmed findings in NPL assay, in all dosed groups, </w:t>
      </w:r>
      <w:r w:rsidRPr="00E33063">
        <w:t xml:space="preserve">p-methoxy cinnamaldehyde produced dose-related significant 3- to 3.8-fold increase in the </w:t>
      </w:r>
      <w:r w:rsidRPr="00E33063">
        <w:rPr>
          <w:szCs w:val="24"/>
        </w:rPr>
        <w:t xml:space="preserve">percentage of DNA in tail compared to control group. Positive control, quinolone, </w:t>
      </w:r>
      <w:r w:rsidRPr="00E33063">
        <w:rPr>
          <w:szCs w:val="24"/>
        </w:rPr>
        <w:lastRenderedPageBreak/>
        <w:t>also produced</w:t>
      </w:r>
      <w:r w:rsidRPr="00E33063">
        <w:t xml:space="preserve"> statistically significant 3.3-fold increase in DNA strand breaks in the chicken fetal livers (</w:t>
      </w:r>
      <w:r w:rsidR="001E53E7">
        <w:rPr>
          <w:b/>
        </w:rPr>
        <w:t>Figure</w:t>
      </w:r>
      <w:r w:rsidR="00177B21">
        <w:rPr>
          <w:b/>
        </w:rPr>
        <w:t>4 (B)</w:t>
      </w:r>
      <w:r w:rsidRPr="00E33063">
        <w:t>).</w:t>
      </w:r>
    </w:p>
    <w:p w14:paraId="5B6E784D" w14:textId="77777777" w:rsidR="007562D5" w:rsidRPr="00E33063" w:rsidRDefault="007562D5" w:rsidP="007562D5">
      <w:pPr>
        <w:pStyle w:val="Heading3"/>
        <w:rPr>
          <w:color w:val="auto"/>
        </w:rPr>
      </w:pPr>
      <w:r>
        <w:rPr>
          <w:color w:val="auto"/>
        </w:rPr>
        <w:t>HET-MN</w:t>
      </w:r>
    </w:p>
    <w:p w14:paraId="42A94483" w14:textId="50EE9E13" w:rsidR="00686FD1" w:rsidRPr="009C1C10" w:rsidRDefault="007562D5" w:rsidP="009C1C10">
      <w:pPr>
        <w:jc w:val="both"/>
        <w:rPr>
          <w:szCs w:val="24"/>
        </w:rPr>
      </w:pPr>
      <w:r w:rsidRPr="00E33063">
        <w:t>The results of</w:t>
      </w:r>
      <w:r w:rsidR="000C7206">
        <w:t xml:space="preserve"> the</w:t>
      </w:r>
      <w:r w:rsidRPr="00E33063">
        <w:t xml:space="preserve"> </w:t>
      </w:r>
      <w:r>
        <w:t>micronucleus (MN)</w:t>
      </w:r>
      <w:r w:rsidRPr="00E33063">
        <w:t xml:space="preserve"> assay </w:t>
      </w:r>
      <w:proofErr w:type="gramStart"/>
      <w:r w:rsidRPr="00E33063">
        <w:t xml:space="preserve">are </w:t>
      </w:r>
      <w:r>
        <w:t>represented</w:t>
      </w:r>
      <w:proofErr w:type="gramEnd"/>
      <w:r>
        <w:t xml:space="preserve"> </w:t>
      </w:r>
      <w:r w:rsidRPr="00E33063">
        <w:t xml:space="preserve">in </w:t>
      </w:r>
      <w:r>
        <w:rPr>
          <w:b/>
        </w:rPr>
        <w:t xml:space="preserve">Figure </w:t>
      </w:r>
      <w:r w:rsidR="00177B21">
        <w:rPr>
          <w:b/>
        </w:rPr>
        <w:t>4 (C)</w:t>
      </w:r>
      <w:r w:rsidRPr="00E33063">
        <w:t xml:space="preserve">. In the </w:t>
      </w:r>
      <w:r>
        <w:t>micronucleus test</w:t>
      </w:r>
      <w:r w:rsidRPr="00E33063">
        <w:t xml:space="preserve">, </w:t>
      </w:r>
      <w:r w:rsidRPr="00E33063">
        <w:rPr>
          <w:szCs w:val="24"/>
        </w:rPr>
        <w:t xml:space="preserve">2-methyl-2-pentenal was </w:t>
      </w:r>
      <w:proofErr w:type="gramStart"/>
      <w:r w:rsidRPr="00E33063">
        <w:rPr>
          <w:szCs w:val="24"/>
        </w:rPr>
        <w:t>tested</w:t>
      </w:r>
      <w:proofErr w:type="gramEnd"/>
      <w:r w:rsidRPr="00E33063">
        <w:rPr>
          <w:szCs w:val="24"/>
        </w:rPr>
        <w:t xml:space="preserve"> at the total doses of </w:t>
      </w:r>
      <w:r>
        <w:rPr>
          <w:szCs w:val="24"/>
        </w:rPr>
        <w:t>0.75</w:t>
      </w:r>
      <w:r w:rsidRPr="00E33063">
        <w:rPr>
          <w:szCs w:val="24"/>
        </w:rPr>
        <w:t xml:space="preserve">, </w:t>
      </w:r>
      <w:r>
        <w:rPr>
          <w:szCs w:val="24"/>
        </w:rPr>
        <w:t>1</w:t>
      </w:r>
      <w:r w:rsidRPr="00E33063">
        <w:rPr>
          <w:szCs w:val="24"/>
        </w:rPr>
        <w:t xml:space="preserve">, </w:t>
      </w:r>
      <w:r>
        <w:rPr>
          <w:szCs w:val="24"/>
        </w:rPr>
        <w:t>1.25</w:t>
      </w:r>
      <w:r w:rsidRPr="00E33063">
        <w:rPr>
          <w:szCs w:val="24"/>
        </w:rPr>
        <w:t xml:space="preserve">, and </w:t>
      </w:r>
      <w:r>
        <w:rPr>
          <w:szCs w:val="24"/>
        </w:rPr>
        <w:t>1.5</w:t>
      </w:r>
      <w:r w:rsidRPr="00E33063">
        <w:rPr>
          <w:szCs w:val="24"/>
        </w:rPr>
        <w:t xml:space="preserve"> mg/egg</w:t>
      </w:r>
      <w:r>
        <w:rPr>
          <w:szCs w:val="24"/>
        </w:rPr>
        <w:t xml:space="preserve">. Since there was </w:t>
      </w:r>
      <w:r w:rsidR="004F09A2">
        <w:rPr>
          <w:szCs w:val="24"/>
        </w:rPr>
        <w:t xml:space="preserve">no </w:t>
      </w:r>
      <w:r>
        <w:rPr>
          <w:szCs w:val="24"/>
        </w:rPr>
        <w:t xml:space="preserve">significant toxicity at </w:t>
      </w:r>
      <w:r w:rsidR="004F09A2">
        <w:rPr>
          <w:szCs w:val="24"/>
        </w:rPr>
        <w:t>1.5</w:t>
      </w:r>
      <w:r>
        <w:rPr>
          <w:szCs w:val="24"/>
        </w:rPr>
        <w:t xml:space="preserve"> mg/egg, in two experiments it </w:t>
      </w:r>
      <w:proofErr w:type="gramStart"/>
      <w:r>
        <w:rPr>
          <w:szCs w:val="24"/>
        </w:rPr>
        <w:t>was included</w:t>
      </w:r>
      <w:proofErr w:type="gramEnd"/>
      <w:r>
        <w:rPr>
          <w:szCs w:val="24"/>
        </w:rPr>
        <w:t xml:space="preserve"> in MN analysis. Doses of 1,</w:t>
      </w:r>
      <w:r w:rsidR="004F09A2">
        <w:rPr>
          <w:szCs w:val="24"/>
        </w:rPr>
        <w:t>1.25</w:t>
      </w:r>
      <w:r>
        <w:rPr>
          <w:szCs w:val="24"/>
        </w:rPr>
        <w:t xml:space="preserve"> and </w:t>
      </w:r>
      <w:r w:rsidR="004F09A2">
        <w:rPr>
          <w:szCs w:val="24"/>
        </w:rPr>
        <w:t>1.</w:t>
      </w:r>
      <w:r>
        <w:rPr>
          <w:szCs w:val="24"/>
        </w:rPr>
        <w:t xml:space="preserve">5 </w:t>
      </w:r>
      <w:proofErr w:type="gramStart"/>
      <w:r>
        <w:rPr>
          <w:szCs w:val="24"/>
        </w:rPr>
        <w:t>were analyzed</w:t>
      </w:r>
      <w:proofErr w:type="gramEnd"/>
      <w:r>
        <w:rPr>
          <w:szCs w:val="24"/>
        </w:rPr>
        <w:t xml:space="preserve"> for MN,</w:t>
      </w:r>
      <w:r w:rsidRPr="00E33063">
        <w:rPr>
          <w:szCs w:val="24"/>
        </w:rPr>
        <w:t xml:space="preserve"> which did not significantly affect viability levels. No statistically significant difference </w:t>
      </w:r>
      <w:proofErr w:type="gramStart"/>
      <w:r w:rsidRPr="00E33063">
        <w:rPr>
          <w:szCs w:val="24"/>
        </w:rPr>
        <w:t>was observed</w:t>
      </w:r>
      <w:proofErr w:type="gramEnd"/>
      <w:r w:rsidRPr="00E33063">
        <w:rPr>
          <w:szCs w:val="24"/>
        </w:rPr>
        <w:t xml:space="preserve"> in the percentage </w:t>
      </w:r>
      <w:r>
        <w:rPr>
          <w:szCs w:val="24"/>
        </w:rPr>
        <w:t>micronuclei</w:t>
      </w:r>
      <w:r w:rsidRPr="00E33063">
        <w:rPr>
          <w:szCs w:val="24"/>
        </w:rPr>
        <w:t xml:space="preserve"> between control and dosed groups, which is indicative of absence of </w:t>
      </w:r>
      <w:r>
        <w:rPr>
          <w:szCs w:val="24"/>
        </w:rPr>
        <w:t>clastogenic potential</w:t>
      </w:r>
      <w:r w:rsidRPr="00E33063">
        <w:rPr>
          <w:szCs w:val="24"/>
        </w:rPr>
        <w:t xml:space="preserve">. In contrast, the positive control, </w:t>
      </w:r>
      <w:r>
        <w:rPr>
          <w:szCs w:val="24"/>
        </w:rPr>
        <w:t>cyclophosphamide</w:t>
      </w:r>
      <w:r w:rsidRPr="00E33063">
        <w:rPr>
          <w:szCs w:val="24"/>
        </w:rPr>
        <w:t>, produced</w:t>
      </w:r>
      <w:r w:rsidRPr="00E33063">
        <w:t xml:space="preserve"> statistically significant increase in </w:t>
      </w:r>
      <w:r>
        <w:t>MN frequency</w:t>
      </w:r>
      <w:r w:rsidRPr="00E33063">
        <w:t xml:space="preserve"> (</w:t>
      </w:r>
      <w:r>
        <w:rPr>
          <w:b/>
        </w:rPr>
        <w:t>Figure</w:t>
      </w:r>
      <w:r w:rsidR="00177B21">
        <w:rPr>
          <w:b/>
        </w:rPr>
        <w:t>4 (C)</w:t>
      </w:r>
      <w:r w:rsidRPr="00E33063">
        <w:t>).</w:t>
      </w:r>
    </w:p>
    <w:p w14:paraId="1F9FCA90" w14:textId="66A700F6" w:rsidR="00794EE7" w:rsidRPr="00E33063" w:rsidRDefault="00794EE7" w:rsidP="00794EE7">
      <w:pPr>
        <w:pStyle w:val="Heading1"/>
      </w:pPr>
      <w:r w:rsidRPr="00E33063">
        <w:t xml:space="preserve">p-Methoxy cinnamaldehyde   </w:t>
      </w:r>
      <w:r>
        <w:t>follow-up Study with N-acetyl cysteine pretreatment</w:t>
      </w:r>
    </w:p>
    <w:p w14:paraId="4A4313A4" w14:textId="77777777" w:rsidR="00794EE7" w:rsidRPr="00E33063" w:rsidRDefault="00794EE7" w:rsidP="004F19D6">
      <w:pPr>
        <w:pStyle w:val="Heading3"/>
        <w:jc w:val="both"/>
        <w:rPr>
          <w:color w:val="auto"/>
        </w:rPr>
      </w:pPr>
      <w:r w:rsidRPr="00E33063">
        <w:rPr>
          <w:color w:val="auto"/>
        </w:rPr>
        <w:t>Effect on Viability</w:t>
      </w:r>
    </w:p>
    <w:p w14:paraId="0A55535F" w14:textId="12DCA2C6" w:rsidR="00794EE7" w:rsidRPr="00E33063" w:rsidRDefault="00DC3847" w:rsidP="004F19D6">
      <w:pPr>
        <w:jc w:val="both"/>
        <w:rPr>
          <w:szCs w:val="24"/>
        </w:rPr>
      </w:pPr>
      <w:r>
        <w:t xml:space="preserve">Groups </w:t>
      </w:r>
      <w:proofErr w:type="gramStart"/>
      <w:r>
        <w:t>were</w:t>
      </w:r>
      <w:r w:rsidR="00794EE7" w:rsidRPr="00E33063">
        <w:t xml:space="preserve"> dosed</w:t>
      </w:r>
      <w:proofErr w:type="gramEnd"/>
      <w:r w:rsidR="00794EE7" w:rsidRPr="00E33063">
        <w:t xml:space="preserve"> with </w:t>
      </w:r>
      <w:r w:rsidR="00794EE7" w:rsidRPr="00E33063">
        <w:rPr>
          <w:szCs w:val="24"/>
        </w:rPr>
        <w:t>p-methoxy cinnamaldehyde</w:t>
      </w:r>
      <w:r>
        <w:rPr>
          <w:szCs w:val="24"/>
        </w:rPr>
        <w:t xml:space="preserve"> (2.5 mg/egg)</w:t>
      </w:r>
      <w:r w:rsidR="00794EE7" w:rsidRPr="00E33063">
        <w:rPr>
          <w:szCs w:val="24"/>
        </w:rPr>
        <w:t xml:space="preserve"> </w:t>
      </w:r>
      <w:r>
        <w:rPr>
          <w:szCs w:val="24"/>
        </w:rPr>
        <w:t>and single injection pre-treatment of N-acetyl cysteine (1.25mg/egg) followed by p-methoxy cinnamaldehyde treatment (2.5 mg/egg)</w:t>
      </w:r>
      <w:r w:rsidR="00794EE7" w:rsidRPr="00E33063">
        <w:rPr>
          <w:szCs w:val="24"/>
        </w:rPr>
        <w:t xml:space="preserve">. Groups that received a total dose of 2.5 mg/egg had viability of at least </w:t>
      </w:r>
      <w:r w:rsidR="00794EE7">
        <w:rPr>
          <w:szCs w:val="24"/>
        </w:rPr>
        <w:t>100</w:t>
      </w:r>
      <w:r w:rsidR="00794EE7" w:rsidRPr="00E33063">
        <w:rPr>
          <w:szCs w:val="24"/>
        </w:rPr>
        <w:t xml:space="preserve">%. Thus, all groups </w:t>
      </w:r>
      <w:proofErr w:type="gramStart"/>
      <w:r w:rsidR="00794EE7" w:rsidRPr="00E33063">
        <w:rPr>
          <w:szCs w:val="24"/>
        </w:rPr>
        <w:t>were analyzed</w:t>
      </w:r>
      <w:proofErr w:type="gramEnd"/>
      <w:r w:rsidR="00794EE7" w:rsidRPr="00E33063">
        <w:rPr>
          <w:szCs w:val="24"/>
        </w:rPr>
        <w:t xml:space="preserve"> in the assay. </w:t>
      </w:r>
      <w:r w:rsidR="00E6170E" w:rsidRPr="00E33063">
        <w:rPr>
          <w:szCs w:val="24"/>
        </w:rPr>
        <w:t>The viability</w:t>
      </w:r>
      <w:r w:rsidR="00794EE7" w:rsidRPr="00E33063">
        <w:rPr>
          <w:szCs w:val="24"/>
        </w:rPr>
        <w:t xml:space="preserve"> percentage in the groups that received either vehicle or </w:t>
      </w:r>
      <w:r>
        <w:rPr>
          <w:szCs w:val="24"/>
        </w:rPr>
        <w:t>treatment or positive control</w:t>
      </w:r>
      <w:r w:rsidR="00794EE7" w:rsidRPr="00E33063">
        <w:rPr>
          <w:szCs w:val="24"/>
        </w:rPr>
        <w:t xml:space="preserve">, was </w:t>
      </w:r>
      <w:r w:rsidR="00794EE7">
        <w:rPr>
          <w:szCs w:val="24"/>
        </w:rPr>
        <w:t>100</w:t>
      </w:r>
      <w:r w:rsidR="00794EE7" w:rsidRPr="00E33063">
        <w:rPr>
          <w:szCs w:val="24"/>
        </w:rPr>
        <w:t>%.</w:t>
      </w:r>
    </w:p>
    <w:p w14:paraId="1DD016DB" w14:textId="77777777" w:rsidR="00794EE7" w:rsidRPr="00E33063" w:rsidRDefault="00794EE7" w:rsidP="004F19D6">
      <w:pPr>
        <w:pStyle w:val="Heading3"/>
        <w:jc w:val="both"/>
        <w:rPr>
          <w:color w:val="auto"/>
        </w:rPr>
      </w:pPr>
      <w:r w:rsidRPr="00E33063">
        <w:rPr>
          <w:color w:val="auto"/>
        </w:rPr>
        <w:t>DNA strand breaks</w:t>
      </w:r>
    </w:p>
    <w:p w14:paraId="53098009" w14:textId="70E6CD4E" w:rsidR="00794EE7" w:rsidRDefault="00794EE7" w:rsidP="004F19D6">
      <w:pPr>
        <w:jc w:val="both"/>
      </w:pPr>
      <w:r w:rsidRPr="00E33063">
        <w:t xml:space="preserve">The results of </w:t>
      </w:r>
      <w:r>
        <w:t xml:space="preserve">the </w:t>
      </w:r>
      <w:r w:rsidRPr="00E33063">
        <w:t xml:space="preserve">comet </w:t>
      </w:r>
      <w:r w:rsidR="00012A7C">
        <w:t>test</w:t>
      </w:r>
      <w:r w:rsidRPr="00E33063">
        <w:t xml:space="preserve"> </w:t>
      </w:r>
      <w:proofErr w:type="gramStart"/>
      <w:r w:rsidRPr="00E33063">
        <w:t>are summarized</w:t>
      </w:r>
      <w:proofErr w:type="gramEnd"/>
      <w:r w:rsidRPr="00E33063">
        <w:t xml:space="preserve"> in </w:t>
      </w:r>
      <w:r>
        <w:rPr>
          <w:b/>
        </w:rPr>
        <w:t xml:space="preserve">Figure </w:t>
      </w:r>
      <w:r w:rsidR="00177B21">
        <w:rPr>
          <w:b/>
        </w:rPr>
        <w:t>5</w:t>
      </w:r>
      <w:r w:rsidRPr="00E33063">
        <w:t xml:space="preserve">. In the comet </w:t>
      </w:r>
      <w:r w:rsidR="00012A7C">
        <w:t>test</w:t>
      </w:r>
      <w:r w:rsidRPr="00E33063">
        <w:t>, p-methoxy cinnamaldehyde</w:t>
      </w:r>
      <w:r w:rsidRPr="00E33063">
        <w:rPr>
          <w:szCs w:val="24"/>
        </w:rPr>
        <w:t xml:space="preserve"> was </w:t>
      </w:r>
      <w:proofErr w:type="gramStart"/>
      <w:r w:rsidRPr="00E33063">
        <w:rPr>
          <w:szCs w:val="24"/>
        </w:rPr>
        <w:t>tested</w:t>
      </w:r>
      <w:proofErr w:type="gramEnd"/>
      <w:r w:rsidRPr="00E33063">
        <w:rPr>
          <w:szCs w:val="24"/>
        </w:rPr>
        <w:t xml:space="preserve"> at </w:t>
      </w:r>
      <w:r w:rsidR="00DC3847" w:rsidRPr="00E33063">
        <w:rPr>
          <w:szCs w:val="24"/>
        </w:rPr>
        <w:t>total</w:t>
      </w:r>
      <w:r w:rsidRPr="00E33063">
        <w:rPr>
          <w:szCs w:val="24"/>
        </w:rPr>
        <w:t xml:space="preserve"> doses of 2.5 mg/egg, which did not significantly affect viability levels. Comet assay results, in dosed group, </w:t>
      </w:r>
      <w:r w:rsidRPr="00E33063">
        <w:t xml:space="preserve">p-methoxy cinnamaldehyde produced significant 3- </w:t>
      </w:r>
      <w:r w:rsidR="00DC3847">
        <w:t xml:space="preserve">fold </w:t>
      </w:r>
      <w:r w:rsidRPr="00E33063">
        <w:t xml:space="preserve">increase in the </w:t>
      </w:r>
      <w:r w:rsidRPr="00E33063">
        <w:rPr>
          <w:szCs w:val="24"/>
        </w:rPr>
        <w:t xml:space="preserve">percentage of DNA in tail compared to control group. </w:t>
      </w:r>
      <w:r w:rsidR="007D646C">
        <w:rPr>
          <w:szCs w:val="24"/>
        </w:rPr>
        <w:t xml:space="preserve">To validate if this was a true DNA damage event due to chemical treatment or depletion of glutathione at higher doses of treated chemical, we repeated the study by pre-treatment with N-acetyl cysteine. </w:t>
      </w:r>
      <w:r w:rsidR="00DC3847">
        <w:rPr>
          <w:szCs w:val="24"/>
        </w:rPr>
        <w:t xml:space="preserve">However, when single injection of N-acetyl cysteine followed by </w:t>
      </w:r>
      <w:r w:rsidR="00DC3847" w:rsidRPr="00E33063">
        <w:t>p-methoxy cinnamaldehyde</w:t>
      </w:r>
      <w:r w:rsidR="00DC3847" w:rsidRPr="00E33063">
        <w:rPr>
          <w:szCs w:val="24"/>
        </w:rPr>
        <w:t xml:space="preserve"> </w:t>
      </w:r>
      <w:r w:rsidR="00DC3847">
        <w:rPr>
          <w:szCs w:val="24"/>
        </w:rPr>
        <w:t xml:space="preserve">injections </w:t>
      </w:r>
      <w:r w:rsidR="00DC3847" w:rsidRPr="00E33063">
        <w:rPr>
          <w:szCs w:val="24"/>
        </w:rPr>
        <w:t>at total doses of 2.5 mg/egg</w:t>
      </w:r>
      <w:r w:rsidR="00DC3847">
        <w:rPr>
          <w:szCs w:val="24"/>
        </w:rPr>
        <w:t xml:space="preserve"> had no significant increases in percentage DNA in tail compared to control group.</w:t>
      </w:r>
      <w:r w:rsidR="00DC3847" w:rsidRPr="00E33063">
        <w:rPr>
          <w:szCs w:val="24"/>
        </w:rPr>
        <w:t xml:space="preserve"> </w:t>
      </w:r>
      <w:r w:rsidRPr="00E33063">
        <w:rPr>
          <w:szCs w:val="24"/>
        </w:rPr>
        <w:t>Positive control, quinolone, also produced</w:t>
      </w:r>
      <w:r w:rsidRPr="00E33063">
        <w:t xml:space="preserve"> statistically significant </w:t>
      </w:r>
      <w:r w:rsidR="00DC3847">
        <w:t>4</w:t>
      </w:r>
      <w:r w:rsidRPr="00E33063">
        <w:t>-fold increase in DNA strand breaks in the chicken fetal livers (</w:t>
      </w:r>
      <w:r>
        <w:rPr>
          <w:b/>
        </w:rPr>
        <w:t xml:space="preserve">Figure </w:t>
      </w:r>
      <w:r w:rsidR="00177B21">
        <w:rPr>
          <w:b/>
        </w:rPr>
        <w:t>5</w:t>
      </w:r>
      <w:r w:rsidRPr="00E33063">
        <w:t>).</w:t>
      </w:r>
    </w:p>
    <w:p w14:paraId="7143D69C" w14:textId="3D09F92E" w:rsidR="00794EE7" w:rsidRDefault="00794EE7" w:rsidP="00DC3847">
      <w:pPr>
        <w:jc w:val="both"/>
      </w:pPr>
      <w:r>
        <w:lastRenderedPageBreak/>
        <w:t xml:space="preserve">DNA adduct formation and HET-MN studies </w:t>
      </w:r>
      <w:proofErr w:type="gramStart"/>
      <w:r>
        <w:t>were not conducted</w:t>
      </w:r>
      <w:proofErr w:type="gramEnd"/>
      <w:r>
        <w:t xml:space="preserve"> using N-acetyl cysteine pre-treatment protocol.</w:t>
      </w:r>
    </w:p>
    <w:p w14:paraId="2CB87CF7" w14:textId="77777777" w:rsidR="00DC3847" w:rsidRDefault="00DC3847" w:rsidP="00DC3847">
      <w:pPr>
        <w:jc w:val="both"/>
      </w:pPr>
    </w:p>
    <w:p w14:paraId="01A2334C" w14:textId="77777777" w:rsidR="006D2583" w:rsidRPr="00E33063" w:rsidRDefault="006D2583" w:rsidP="00FA0527">
      <w:pPr>
        <w:spacing w:before="120"/>
        <w:jc w:val="center"/>
        <w:rPr>
          <w:szCs w:val="24"/>
        </w:rPr>
      </w:pPr>
    </w:p>
    <w:p w14:paraId="719E29BB" w14:textId="31CD3727" w:rsidR="00A80032" w:rsidRPr="00E33063" w:rsidRDefault="00A80032" w:rsidP="00A80032">
      <w:pPr>
        <w:pStyle w:val="Heading1"/>
      </w:pPr>
      <w:bookmarkStart w:id="21" w:name="_Toc533059274"/>
      <w:r w:rsidRPr="00E33063">
        <w:t>CONCLUSIONS AND DISCUSSION</w:t>
      </w:r>
      <w:bookmarkEnd w:id="21"/>
    </w:p>
    <w:p w14:paraId="1CC9D813" w14:textId="188D9C90" w:rsidR="00A80032" w:rsidRPr="00E33063" w:rsidRDefault="00A80032" w:rsidP="00031A7A">
      <w:pPr>
        <w:spacing w:before="120"/>
        <w:jc w:val="both"/>
        <w:rPr>
          <w:szCs w:val="24"/>
        </w:rPr>
      </w:pPr>
      <w:r w:rsidRPr="00E33063">
        <w:rPr>
          <w:szCs w:val="24"/>
        </w:rPr>
        <w:t xml:space="preserve">Three out of four tested materials, 2-phenyl-2-butenal, nona-2 trans-6-cis-dienal, 2-methyl-2-pentenal produced negative results in both, the NPL and comet assays, indicating lack of DNA damaging potential. These findings correlate with the lack of genotoxicity for these chemicals in the comet and micronucleus assays </w:t>
      </w:r>
      <w:r w:rsidRPr="000D6061">
        <w:rPr>
          <w:szCs w:val="24"/>
        </w:rPr>
        <w:t>in vivo</w:t>
      </w:r>
      <w:r w:rsidRPr="00E33063">
        <w:rPr>
          <w:szCs w:val="24"/>
        </w:rPr>
        <w:t xml:space="preserve"> (</w:t>
      </w:r>
      <w:r w:rsidRPr="00E33063">
        <w:rPr>
          <w:b/>
          <w:szCs w:val="24"/>
        </w:rPr>
        <w:t xml:space="preserve">Table </w:t>
      </w:r>
      <w:r w:rsidR="00AB3643">
        <w:rPr>
          <w:b/>
          <w:szCs w:val="24"/>
        </w:rPr>
        <w:t>2</w:t>
      </w:r>
      <w:r w:rsidRPr="00E33063">
        <w:rPr>
          <w:szCs w:val="24"/>
        </w:rPr>
        <w:t xml:space="preserve">). </w:t>
      </w:r>
      <w:r w:rsidRPr="009B49BF">
        <w:rPr>
          <w:i/>
          <w:iCs/>
          <w:szCs w:val="24"/>
        </w:rPr>
        <w:t>In vitro</w:t>
      </w:r>
      <w:r w:rsidRPr="00E33063">
        <w:rPr>
          <w:szCs w:val="24"/>
        </w:rPr>
        <w:t xml:space="preserve">, nona-2 trans-6-cis-dienal and 2-methyl-2-pentenal produced positive results, which </w:t>
      </w:r>
      <w:proofErr w:type="gramStart"/>
      <w:r w:rsidRPr="00E33063">
        <w:rPr>
          <w:szCs w:val="24"/>
        </w:rPr>
        <w:t>were not confirmed</w:t>
      </w:r>
      <w:proofErr w:type="gramEnd"/>
      <w:r w:rsidRPr="00E33063">
        <w:rPr>
          <w:szCs w:val="24"/>
        </w:rPr>
        <w:t xml:space="preserve"> </w:t>
      </w:r>
      <w:r w:rsidRPr="000D6061">
        <w:rPr>
          <w:szCs w:val="24"/>
        </w:rPr>
        <w:t>in vivo</w:t>
      </w:r>
      <w:r w:rsidRPr="00E33063">
        <w:rPr>
          <w:szCs w:val="24"/>
        </w:rPr>
        <w:t>.</w:t>
      </w:r>
    </w:p>
    <w:p w14:paraId="06730090" w14:textId="33722A76" w:rsidR="00A80032" w:rsidRDefault="00A80032" w:rsidP="00031A7A">
      <w:pPr>
        <w:spacing w:before="120"/>
        <w:jc w:val="both"/>
        <w:rPr>
          <w:szCs w:val="24"/>
        </w:rPr>
      </w:pPr>
      <w:r w:rsidRPr="00E33063">
        <w:rPr>
          <w:szCs w:val="24"/>
        </w:rPr>
        <w:t xml:space="preserve">One chemical, p-methoxy cinnamaldehyde, produced DNA adducts and strand breaks in CEGA, indicating DNA damaging potential. These results are different from the outcomes of the </w:t>
      </w:r>
      <w:r w:rsidRPr="000D6061">
        <w:rPr>
          <w:szCs w:val="24"/>
        </w:rPr>
        <w:t>in vivo</w:t>
      </w:r>
      <w:r w:rsidRPr="00E33063">
        <w:rPr>
          <w:szCs w:val="24"/>
        </w:rPr>
        <w:t xml:space="preserve"> comet and micronucleus assays, which were negative for p-methoxy cinnamaldehyde (</w:t>
      </w:r>
      <w:r w:rsidRPr="00E33063">
        <w:rPr>
          <w:b/>
          <w:szCs w:val="24"/>
        </w:rPr>
        <w:t xml:space="preserve">Table </w:t>
      </w:r>
      <w:r w:rsidR="00AB3643">
        <w:rPr>
          <w:b/>
          <w:szCs w:val="24"/>
        </w:rPr>
        <w:t>2</w:t>
      </w:r>
      <w:r w:rsidRPr="00E33063">
        <w:rPr>
          <w:szCs w:val="24"/>
        </w:rPr>
        <w:t xml:space="preserve">). The findings in CEGA might indicate </w:t>
      </w:r>
      <w:r w:rsidR="00CC4B9A" w:rsidRPr="00E33063">
        <w:rPr>
          <w:szCs w:val="24"/>
        </w:rPr>
        <w:t>the</w:t>
      </w:r>
      <w:r w:rsidRPr="00E33063">
        <w:rPr>
          <w:szCs w:val="24"/>
        </w:rPr>
        <w:t xml:space="preserve"> ability of chicken fetal liver to bioactivate the compound. These findings indicate the importance of more detailed investigation of the metabolic activities of chicken fetus and comparison of the metabolic enzyme activities between chicken, rodent and human hepatocytes.</w:t>
      </w:r>
      <w:r w:rsidR="00AB6BD9" w:rsidRPr="00E33063">
        <w:rPr>
          <w:szCs w:val="24"/>
        </w:rPr>
        <w:t xml:space="preserve"> Additionally, as per prediction model</w:t>
      </w:r>
      <w:r w:rsidR="004C5D43">
        <w:rPr>
          <w:szCs w:val="24"/>
        </w:rPr>
        <w:t xml:space="preserve"> (OASIS TIMES v2.28.1.6)</w:t>
      </w:r>
      <w:r w:rsidR="00AB6BD9" w:rsidRPr="00E33063">
        <w:rPr>
          <w:szCs w:val="24"/>
        </w:rPr>
        <w:t xml:space="preserve"> the primary detoxification pathway for p-Methoxycinnamaldehyde </w:t>
      </w:r>
      <w:proofErr w:type="gramStart"/>
      <w:r w:rsidR="00AB6BD9" w:rsidRPr="00E33063">
        <w:rPr>
          <w:szCs w:val="24"/>
        </w:rPr>
        <w:t>is considered to be</w:t>
      </w:r>
      <w:proofErr w:type="gramEnd"/>
      <w:r w:rsidR="00AB6BD9" w:rsidRPr="00E33063">
        <w:rPr>
          <w:szCs w:val="24"/>
        </w:rPr>
        <w:t xml:space="preserve"> </w:t>
      </w:r>
      <w:r w:rsidR="0044632B" w:rsidRPr="00E33063">
        <w:rPr>
          <w:szCs w:val="24"/>
        </w:rPr>
        <w:t>via glutathione conjugation</w:t>
      </w:r>
      <w:r w:rsidR="003739F9">
        <w:rPr>
          <w:szCs w:val="24"/>
        </w:rPr>
        <w:t xml:space="preserve"> (</w:t>
      </w:r>
      <w:r w:rsidR="003739F9" w:rsidRPr="003739F9">
        <w:rPr>
          <w:b/>
          <w:bCs w:val="0"/>
          <w:szCs w:val="24"/>
        </w:rPr>
        <w:t xml:space="preserve">Figure </w:t>
      </w:r>
      <w:r w:rsidR="00177B21">
        <w:rPr>
          <w:b/>
          <w:bCs w:val="0"/>
          <w:szCs w:val="24"/>
        </w:rPr>
        <w:t>5</w:t>
      </w:r>
      <w:r w:rsidR="003739F9">
        <w:rPr>
          <w:szCs w:val="24"/>
        </w:rPr>
        <w:t>)</w:t>
      </w:r>
      <w:r w:rsidR="0044632B" w:rsidRPr="00E33063">
        <w:rPr>
          <w:szCs w:val="24"/>
        </w:rPr>
        <w:t xml:space="preserve"> hence the variability in the results </w:t>
      </w:r>
      <w:r w:rsidR="00031A7A" w:rsidRPr="00E33063">
        <w:rPr>
          <w:szCs w:val="24"/>
        </w:rPr>
        <w:t xml:space="preserve">could </w:t>
      </w:r>
      <w:r w:rsidR="000F002F" w:rsidRPr="00E33063">
        <w:rPr>
          <w:szCs w:val="24"/>
        </w:rPr>
        <w:t>possibly be</w:t>
      </w:r>
      <w:r w:rsidR="00031A7A" w:rsidRPr="00E33063">
        <w:rPr>
          <w:szCs w:val="24"/>
        </w:rPr>
        <w:t xml:space="preserve"> due to glutathione depletion </w:t>
      </w:r>
      <w:r w:rsidR="004C5D43">
        <w:rPr>
          <w:szCs w:val="24"/>
        </w:rPr>
        <w:t>in chicken egg assay. A</w:t>
      </w:r>
      <w:r w:rsidR="00031A7A" w:rsidRPr="00E33063">
        <w:rPr>
          <w:szCs w:val="24"/>
        </w:rPr>
        <w:t xml:space="preserve">dditional </w:t>
      </w:r>
      <w:r w:rsidR="004C5D43">
        <w:rPr>
          <w:szCs w:val="24"/>
        </w:rPr>
        <w:t xml:space="preserve">follow-up </w:t>
      </w:r>
      <w:r w:rsidR="00031A7A" w:rsidRPr="00E33063">
        <w:rPr>
          <w:szCs w:val="24"/>
        </w:rPr>
        <w:t xml:space="preserve">studies </w:t>
      </w:r>
      <w:proofErr w:type="gramStart"/>
      <w:r w:rsidR="000F002F">
        <w:rPr>
          <w:szCs w:val="24"/>
        </w:rPr>
        <w:t>were</w:t>
      </w:r>
      <w:r w:rsidR="00031A7A" w:rsidRPr="00E33063">
        <w:rPr>
          <w:szCs w:val="24"/>
        </w:rPr>
        <w:t xml:space="preserve"> conducted</w:t>
      </w:r>
      <w:proofErr w:type="gramEnd"/>
      <w:r w:rsidR="00031A7A" w:rsidRPr="00E33063">
        <w:rPr>
          <w:szCs w:val="24"/>
        </w:rPr>
        <w:t xml:space="preserve"> to verify this by pretreatment </w:t>
      </w:r>
      <w:r w:rsidR="004C5D43">
        <w:rPr>
          <w:szCs w:val="24"/>
        </w:rPr>
        <w:t xml:space="preserve">of the eggs </w:t>
      </w:r>
      <w:r w:rsidR="00031A7A" w:rsidRPr="00E33063">
        <w:rPr>
          <w:szCs w:val="24"/>
        </w:rPr>
        <w:t>with N-acetyl cysteine</w:t>
      </w:r>
      <w:r w:rsidR="003739F9">
        <w:rPr>
          <w:szCs w:val="24"/>
        </w:rPr>
        <w:t xml:space="preserve"> </w:t>
      </w:r>
      <w:r w:rsidR="000F002F">
        <w:rPr>
          <w:szCs w:val="24"/>
        </w:rPr>
        <w:t>(Kumar et al., 2021)</w:t>
      </w:r>
      <w:r w:rsidR="00031A7A" w:rsidRPr="00E33063">
        <w:rPr>
          <w:szCs w:val="24"/>
        </w:rPr>
        <w:t xml:space="preserve"> to </w:t>
      </w:r>
      <w:r w:rsidR="005B74EE">
        <w:rPr>
          <w:szCs w:val="24"/>
        </w:rPr>
        <w:t>determine whether the response was affected</w:t>
      </w:r>
      <w:r w:rsidR="00031A7A" w:rsidRPr="00E33063">
        <w:rPr>
          <w:szCs w:val="24"/>
        </w:rPr>
        <w:t>.</w:t>
      </w:r>
      <w:r w:rsidR="000F002F">
        <w:rPr>
          <w:szCs w:val="24"/>
        </w:rPr>
        <w:t xml:space="preserve"> The results for eggs pretreated with N-acetyl cysteine were negative for statistically significant increases in % DNA tail intensity in the COMET assay</w:t>
      </w:r>
      <w:r w:rsidR="003739F9">
        <w:rPr>
          <w:szCs w:val="24"/>
        </w:rPr>
        <w:t xml:space="preserve"> (</w:t>
      </w:r>
      <w:r w:rsidR="003739F9" w:rsidRPr="003739F9">
        <w:rPr>
          <w:b/>
          <w:bCs w:val="0"/>
          <w:szCs w:val="24"/>
        </w:rPr>
        <w:t xml:space="preserve">Figure </w:t>
      </w:r>
      <w:r w:rsidR="00177B21">
        <w:rPr>
          <w:b/>
          <w:bCs w:val="0"/>
          <w:szCs w:val="24"/>
        </w:rPr>
        <w:t>6</w:t>
      </w:r>
      <w:r w:rsidR="003739F9">
        <w:rPr>
          <w:szCs w:val="24"/>
        </w:rPr>
        <w:t>)</w:t>
      </w:r>
      <w:r w:rsidR="000F002F">
        <w:rPr>
          <w:szCs w:val="24"/>
        </w:rPr>
        <w:t xml:space="preserve">, this further </w:t>
      </w:r>
      <w:r w:rsidR="002D353B">
        <w:rPr>
          <w:szCs w:val="24"/>
        </w:rPr>
        <w:t xml:space="preserve">supports the conclusion </w:t>
      </w:r>
      <w:r w:rsidR="000F002F">
        <w:rPr>
          <w:szCs w:val="24"/>
        </w:rPr>
        <w:t xml:space="preserve">that </w:t>
      </w:r>
      <w:r w:rsidR="002D353B">
        <w:rPr>
          <w:szCs w:val="24"/>
        </w:rPr>
        <w:t xml:space="preserve">the </w:t>
      </w:r>
      <w:r w:rsidR="000F002F">
        <w:rPr>
          <w:szCs w:val="24"/>
        </w:rPr>
        <w:t>initial positive response in the CEGA-COMET was due to glutathione depletion.</w:t>
      </w:r>
    </w:p>
    <w:p w14:paraId="08F58F2A" w14:textId="1AF977DC" w:rsidR="008467F7" w:rsidRDefault="008467F7">
      <w:pPr>
        <w:spacing w:after="160" w:line="259" w:lineRule="auto"/>
        <w:ind w:firstLine="0"/>
        <w:rPr>
          <w:szCs w:val="24"/>
        </w:rPr>
      </w:pPr>
      <w:r>
        <w:rPr>
          <w:szCs w:val="24"/>
        </w:rPr>
        <w:br w:type="page"/>
      </w:r>
    </w:p>
    <w:p w14:paraId="6F780112" w14:textId="77777777" w:rsidR="003739F9" w:rsidRDefault="003739F9" w:rsidP="00031A7A">
      <w:pPr>
        <w:spacing w:before="120"/>
        <w:jc w:val="both"/>
        <w:rPr>
          <w:szCs w:val="24"/>
        </w:rPr>
      </w:pPr>
    </w:p>
    <w:p w14:paraId="42B977F2" w14:textId="3345A312" w:rsidR="003739F9" w:rsidRPr="004C5D43" w:rsidRDefault="003739F9" w:rsidP="00800978">
      <w:pPr>
        <w:ind w:firstLine="0"/>
        <w:jc w:val="center"/>
        <w:rPr>
          <w:b/>
          <w:bCs w:val="0"/>
          <w:szCs w:val="24"/>
        </w:rPr>
      </w:pPr>
    </w:p>
    <w:p w14:paraId="04E93582" w14:textId="433AE3FA" w:rsidR="00A80032" w:rsidRDefault="00A80032" w:rsidP="00031A7A">
      <w:pPr>
        <w:jc w:val="both"/>
        <w:rPr>
          <w:szCs w:val="24"/>
        </w:rPr>
      </w:pPr>
      <w:r w:rsidRPr="00E33063">
        <w:rPr>
          <w:szCs w:val="24"/>
        </w:rPr>
        <w:t xml:space="preserve">No DNA damage </w:t>
      </w:r>
      <w:proofErr w:type="gramStart"/>
      <w:r w:rsidRPr="00E33063">
        <w:rPr>
          <w:szCs w:val="24"/>
        </w:rPr>
        <w:t>was detected</w:t>
      </w:r>
      <w:proofErr w:type="gramEnd"/>
      <w:r w:rsidRPr="00E33063">
        <w:rPr>
          <w:szCs w:val="24"/>
        </w:rPr>
        <w:t xml:space="preserve"> in control groups that received </w:t>
      </w:r>
      <w:r w:rsidR="00CC4B9A" w:rsidRPr="00E33063">
        <w:rPr>
          <w:szCs w:val="24"/>
        </w:rPr>
        <w:t>vehicles</w:t>
      </w:r>
      <w:r w:rsidRPr="00E33063">
        <w:rPr>
          <w:szCs w:val="24"/>
        </w:rPr>
        <w:t>. The absence of background adducts in the vehicle control group is consistent with the</w:t>
      </w:r>
      <w:r w:rsidRPr="00E33063">
        <w:t xml:space="preserve"> previous findings in the egg models (Kobets et al., 2016; 2018a; Williams et al., 2014). This may reflect the age of the organism or absence of environmental exposures, </w:t>
      </w:r>
      <w:proofErr w:type="gramStart"/>
      <w:r w:rsidRPr="00E33063">
        <w:t>e.g.</w:t>
      </w:r>
      <w:proofErr w:type="gramEnd"/>
      <w:r w:rsidRPr="00E33063">
        <w:t xml:space="preserve"> diet. </w:t>
      </w:r>
      <w:r w:rsidRPr="00E33063">
        <w:rPr>
          <w:szCs w:val="24"/>
        </w:rPr>
        <w:t xml:space="preserve">The positive control, quinolone, consistently yielded positive results in </w:t>
      </w:r>
      <w:r w:rsidR="00CC4B9A" w:rsidRPr="00E33063">
        <w:rPr>
          <w:szCs w:val="24"/>
        </w:rPr>
        <w:t>both</w:t>
      </w:r>
      <w:r w:rsidRPr="00E33063">
        <w:rPr>
          <w:szCs w:val="24"/>
        </w:rPr>
        <w:t xml:space="preserve"> NPL and comet assay, confirming reliability of the assays. In the NPL assay chromatographically similar spots were obtained in all liver samples </w:t>
      </w:r>
      <w:proofErr w:type="gramStart"/>
      <w:r w:rsidRPr="00E33063">
        <w:rPr>
          <w:szCs w:val="24"/>
        </w:rPr>
        <w:t>tested</w:t>
      </w:r>
      <w:proofErr w:type="gramEnd"/>
      <w:r w:rsidRPr="00E33063">
        <w:rPr>
          <w:szCs w:val="24"/>
        </w:rPr>
        <w:t xml:space="preserve"> with quinoline. Average levels of DNA </w:t>
      </w:r>
      <w:r w:rsidR="00CC4B9A" w:rsidRPr="00E33063">
        <w:rPr>
          <w:szCs w:val="24"/>
        </w:rPr>
        <w:t>adduct</w:t>
      </w:r>
      <w:r w:rsidR="003739F9" w:rsidRPr="00E33063">
        <w:rPr>
          <w:szCs w:val="24"/>
        </w:rPr>
        <w:t>,</w:t>
      </w:r>
      <w:r w:rsidRPr="00E33063">
        <w:rPr>
          <w:szCs w:val="24"/>
        </w:rPr>
        <w:t xml:space="preserve"> and DNA strand breaks were also similar between the positive control groups from different experiments. </w:t>
      </w:r>
    </w:p>
    <w:p w14:paraId="5F1BBFC2" w14:textId="416AFBF9" w:rsidR="000F002F" w:rsidRDefault="00140044" w:rsidP="00B40999">
      <w:pPr>
        <w:jc w:val="both"/>
      </w:pPr>
      <w:r w:rsidRPr="00E33063">
        <w:t xml:space="preserve">Overall, outcomes in CEGA with one exception </w:t>
      </w:r>
      <w:r w:rsidR="00CC4B9A" w:rsidRPr="00E33063">
        <w:t>correlated</w:t>
      </w:r>
      <w:r w:rsidRPr="00E33063">
        <w:t xml:space="preserve"> better with the </w:t>
      </w:r>
      <w:r w:rsidRPr="000D6061">
        <w:t>in vivo</w:t>
      </w:r>
      <w:r w:rsidRPr="00E33063">
        <w:t xml:space="preserve"> data than with </w:t>
      </w:r>
      <w:r w:rsidRPr="000D6061">
        <w:t xml:space="preserve">in vitro </w:t>
      </w:r>
      <w:r w:rsidRPr="00E33063">
        <w:t xml:space="preserve">genotoxicity findings. </w:t>
      </w:r>
      <w:r w:rsidR="000F002F">
        <w:t xml:space="preserve">Even one which </w:t>
      </w:r>
      <w:proofErr w:type="gramStart"/>
      <w:r w:rsidR="000F002F">
        <w:t>was found</w:t>
      </w:r>
      <w:proofErr w:type="gramEnd"/>
      <w:r w:rsidR="000F002F">
        <w:t xml:space="preserve"> positive in the CEGA COMET/NPL study, was concluded to be negative when eggs were pretreated with N-acetyl cysteine. Hence </w:t>
      </w:r>
      <w:proofErr w:type="gramStart"/>
      <w:r w:rsidR="000F002F">
        <w:t>in order to</w:t>
      </w:r>
      <w:proofErr w:type="gramEnd"/>
      <w:r w:rsidR="000F002F">
        <w:t xml:space="preserve"> verify if the response is biologically relevant or not one can potentially use in silico tools and repeat the study with appropriate cofactors</w:t>
      </w:r>
      <w:r w:rsidR="00C66AEC">
        <w:t xml:space="preserve"> based on the outcome from </w:t>
      </w:r>
      <w:r w:rsidR="00C66AEC" w:rsidRPr="00C66AEC">
        <w:rPr>
          <w:i/>
          <w:iCs/>
        </w:rPr>
        <w:t>in silico</w:t>
      </w:r>
      <w:r w:rsidR="00C66AEC">
        <w:t xml:space="preserve"> prediction models</w:t>
      </w:r>
      <w:r w:rsidR="000F002F">
        <w:t xml:space="preserve"> to verify the response.</w:t>
      </w:r>
    </w:p>
    <w:p w14:paraId="134FD708" w14:textId="58392472" w:rsidR="00F36CAF" w:rsidRDefault="00F36CAF" w:rsidP="00F36CAF">
      <w:pPr>
        <w:jc w:val="both"/>
      </w:pPr>
      <w:r>
        <w:t xml:space="preserve">For HET-MN all four fragrance materials of </w:t>
      </w:r>
      <w:r w:rsidR="00CC4B9A">
        <w:t>alpha, beta</w:t>
      </w:r>
      <w:r>
        <w:t xml:space="preserve"> unsaturated class of aldehydes were negative which had 100% concordance with the </w:t>
      </w:r>
      <w:r w:rsidRPr="000D6061">
        <w:t>in vivo</w:t>
      </w:r>
      <w:r>
        <w:t xml:space="preserve"> study results. The HET-MN data </w:t>
      </w:r>
      <w:proofErr w:type="gramStart"/>
      <w:r>
        <w:t>was produced</w:t>
      </w:r>
      <w:proofErr w:type="gramEnd"/>
      <w:r>
        <w:t xml:space="preserve"> with </w:t>
      </w:r>
      <w:r w:rsidR="00CC4B9A">
        <w:t>a slightly</w:t>
      </w:r>
      <w:r>
        <w:t xml:space="preserve"> different study design than CEGA-COMET/NPL study. The dosing regimen for CEGA-COMET/NPL is 3 doses starting from day 9-11, the doses </w:t>
      </w:r>
      <w:proofErr w:type="gramStart"/>
      <w:r>
        <w:t>were distributed</w:t>
      </w:r>
      <w:proofErr w:type="gramEnd"/>
      <w:r>
        <w:t xml:space="preserve"> in three different injections of 50</w:t>
      </w:r>
      <w:r>
        <w:rPr>
          <w:rFonts w:cs="Times New Roman"/>
        </w:rPr>
        <w:t>µ</w:t>
      </w:r>
      <w:r>
        <w:t xml:space="preserve">l/egg (total volume of 150 </w:t>
      </w:r>
      <w:r>
        <w:rPr>
          <w:rFonts w:cs="Times New Roman"/>
        </w:rPr>
        <w:t>µ</w:t>
      </w:r>
      <w:r>
        <w:t>l) on three days to make total concentration/egg shown in the results. However, the dosing for HET-MN was a single dos</w:t>
      </w:r>
      <w:r w:rsidR="001A5B60">
        <w:t>e</w:t>
      </w:r>
      <w:r>
        <w:t xml:space="preserve"> of 50</w:t>
      </w:r>
      <w:r>
        <w:rPr>
          <w:rFonts w:cs="Times New Roman"/>
        </w:rPr>
        <w:t>µ</w:t>
      </w:r>
      <w:r>
        <w:t xml:space="preserve">l/egg on day-8 with 72-hour incubation period and MN analysis. </w:t>
      </w:r>
      <w:r w:rsidR="00817A0D">
        <w:t xml:space="preserve">This also helps </w:t>
      </w:r>
      <w:r w:rsidR="001918C4">
        <w:t xml:space="preserve">explain </w:t>
      </w:r>
      <w:r w:rsidR="00817A0D">
        <w:t xml:space="preserve">the difference of doses </w:t>
      </w:r>
      <w:proofErr w:type="gramStart"/>
      <w:r w:rsidR="00817A0D">
        <w:t>tested</w:t>
      </w:r>
      <w:proofErr w:type="gramEnd"/>
      <w:r w:rsidR="00817A0D">
        <w:t xml:space="preserve"> in the two models, the doses tested in the HET-MN study were slightly lower than the ones tested in the CEGA-COMET/NPL studies. The DRF studies conducted in the HET-MN studies had one concentrated dose of final concentration in the test model, but in CEGA studies this dose </w:t>
      </w:r>
      <w:proofErr w:type="gramStart"/>
      <w:r w:rsidR="00CC4B9A">
        <w:t>was</w:t>
      </w:r>
      <w:r w:rsidR="00817A0D">
        <w:t xml:space="preserve"> divided</w:t>
      </w:r>
      <w:proofErr w:type="gramEnd"/>
      <w:r w:rsidR="00817A0D">
        <w:t xml:space="preserve"> into three different dosing intervals which can help test doses at higher concentrations. Additionally, for p-Methoxycinnamaldehyde the glutathione depletion issue as discussed before may be more prominent in CEGA-COMET with different dosing for 3 days and evaluation of tissue 3-hour post final injection, when compared to a single injection then </w:t>
      </w:r>
      <w:r w:rsidR="00817A0D">
        <w:lastRenderedPageBreak/>
        <w:t>72-hour before sample collection in HET-MN studies. The longer post treatment time before sample collection in HET-MN studies may lead to sufficient glutathione generation to detoxify alpha-c-oxidation product formed by p-methoxycinnamldehyde.</w:t>
      </w:r>
    </w:p>
    <w:p w14:paraId="65D765B5" w14:textId="77777777" w:rsidR="00817A0D" w:rsidRDefault="00817A0D" w:rsidP="00F36CAF">
      <w:pPr>
        <w:jc w:val="both"/>
      </w:pPr>
    </w:p>
    <w:p w14:paraId="6E5A66F1" w14:textId="4D408C77" w:rsidR="00F44DBF" w:rsidRPr="00E33063" w:rsidRDefault="00F36CAF" w:rsidP="00817A0D">
      <w:pPr>
        <w:jc w:val="both"/>
      </w:pPr>
      <w:r>
        <w:t>Even with different dosing and incubation period</w:t>
      </w:r>
      <w:r w:rsidR="006A7C69">
        <w:t>s</w:t>
      </w:r>
      <w:r>
        <w:t xml:space="preserve"> post dosing the results were quite like the </w:t>
      </w:r>
      <w:r w:rsidRPr="000D6061">
        <w:t>in vivo</w:t>
      </w:r>
      <w:r>
        <w:t xml:space="preserve"> studies and more biologically relevant compared to the outcomes observed in the current regulator</w:t>
      </w:r>
      <w:r w:rsidR="006A7C69">
        <w:t>y</w:t>
      </w:r>
      <w:r>
        <w:t xml:space="preserve"> approved </w:t>
      </w:r>
      <w:r w:rsidRPr="000D6061">
        <w:t>in vitro</w:t>
      </w:r>
      <w:r w:rsidRPr="002C6E57">
        <w:t xml:space="preserve"> </w:t>
      </w:r>
      <w:r>
        <w:t>test battery.</w:t>
      </w:r>
      <w:r w:rsidR="00817A0D">
        <w:t xml:space="preserve"> </w:t>
      </w:r>
      <w:r w:rsidR="00F44DBF">
        <w:rPr>
          <w:szCs w:val="24"/>
        </w:rPr>
        <w:t>Hence, Chicken egg COMET</w:t>
      </w:r>
      <w:r w:rsidR="00140044">
        <w:rPr>
          <w:szCs w:val="24"/>
        </w:rPr>
        <w:t>/NPL</w:t>
      </w:r>
      <w:r w:rsidR="00F44DBF">
        <w:rPr>
          <w:szCs w:val="24"/>
        </w:rPr>
        <w:t xml:space="preserve"> assay could potentially </w:t>
      </w:r>
      <w:proofErr w:type="gramStart"/>
      <w:r w:rsidR="00F44DBF">
        <w:rPr>
          <w:szCs w:val="24"/>
        </w:rPr>
        <w:t>be considered</w:t>
      </w:r>
      <w:proofErr w:type="gramEnd"/>
      <w:r w:rsidR="00F44DBF">
        <w:rPr>
          <w:szCs w:val="24"/>
        </w:rPr>
        <w:t xml:space="preserve"> as a</w:t>
      </w:r>
      <w:r w:rsidR="00140044">
        <w:rPr>
          <w:szCs w:val="24"/>
        </w:rPr>
        <w:t xml:space="preserve">n animal alternative and more biologically relevant follow-up assay to address misleading </w:t>
      </w:r>
      <w:r w:rsidR="00140044" w:rsidRPr="000D6061">
        <w:rPr>
          <w:szCs w:val="24"/>
        </w:rPr>
        <w:t>in vitro</w:t>
      </w:r>
      <w:r w:rsidR="00140044" w:rsidRPr="002C6E57">
        <w:rPr>
          <w:szCs w:val="24"/>
        </w:rPr>
        <w:t xml:space="preserve"> </w:t>
      </w:r>
      <w:r w:rsidR="00140044">
        <w:rPr>
          <w:szCs w:val="24"/>
        </w:rPr>
        <w:t>Ames studies.</w:t>
      </w:r>
    </w:p>
    <w:p w14:paraId="01B6819D" w14:textId="77777777" w:rsidR="00A80032" w:rsidRPr="00E33063" w:rsidRDefault="00A80032" w:rsidP="00A80032">
      <w:pPr>
        <w:spacing w:before="120"/>
      </w:pPr>
    </w:p>
    <w:p w14:paraId="51971F27" w14:textId="77777777" w:rsidR="00A80032" w:rsidRPr="00E33063" w:rsidRDefault="00A80032" w:rsidP="00A80032"/>
    <w:p w14:paraId="2D930113" w14:textId="77777777" w:rsidR="00A80032" w:rsidRPr="00E33063" w:rsidRDefault="00A80032" w:rsidP="00A80032">
      <w:pPr>
        <w:spacing w:after="160" w:line="259" w:lineRule="auto"/>
        <w:ind w:firstLine="0"/>
        <w:rPr>
          <w:rFonts w:eastAsiaTheme="majorEastAsia" w:cstheme="majorBidi"/>
          <w:b/>
          <w:szCs w:val="32"/>
        </w:rPr>
      </w:pPr>
      <w:r w:rsidRPr="00E33063">
        <w:br w:type="page"/>
      </w:r>
    </w:p>
    <w:p w14:paraId="29A91DB8" w14:textId="77777777" w:rsidR="007555EF" w:rsidRPr="00E33063" w:rsidRDefault="007555EF" w:rsidP="007555EF">
      <w:pPr>
        <w:pStyle w:val="Heading1"/>
      </w:pPr>
      <w:bookmarkStart w:id="22" w:name="_Toc533059275"/>
      <w:r w:rsidRPr="00E33063">
        <w:lastRenderedPageBreak/>
        <w:t>REFERENCES</w:t>
      </w:r>
      <w:bookmarkEnd w:id="22"/>
    </w:p>
    <w:p w14:paraId="57E5DB4F" w14:textId="5588F97D" w:rsidR="007555EF" w:rsidRDefault="007555EF" w:rsidP="007555EF">
      <w:pPr>
        <w:ind w:left="432" w:hanging="432"/>
        <w:jc w:val="both"/>
        <w:rPr>
          <w:rFonts w:cs="Arial"/>
        </w:rPr>
      </w:pPr>
      <w:r w:rsidRPr="00E33063">
        <w:rPr>
          <w:rFonts w:cs="Arial"/>
        </w:rPr>
        <w:t>Animals (Scientific Procedures) Act 1986 Amendment Regulations. updated 2012.</w:t>
      </w:r>
    </w:p>
    <w:p w14:paraId="02D80515" w14:textId="6357E669" w:rsidR="00F413DE" w:rsidRDefault="00F413DE" w:rsidP="00F413DE">
      <w:pPr>
        <w:pStyle w:val="EndNoteBibliography"/>
        <w:spacing w:after="0" w:line="360" w:lineRule="auto"/>
        <w:ind w:left="720" w:hanging="720"/>
        <w:rPr>
          <w:rFonts w:ascii="Times New Roman" w:hAnsi="Times New Roman" w:cs="Times New Roman"/>
          <w:sz w:val="24"/>
          <w:szCs w:val="24"/>
        </w:rPr>
      </w:pPr>
      <w:r w:rsidRPr="00F413DE">
        <w:rPr>
          <w:rFonts w:ascii="Times New Roman" w:hAnsi="Times New Roman" w:cs="Times New Roman"/>
          <w:sz w:val="24"/>
          <w:szCs w:val="24"/>
        </w:rPr>
        <w:t xml:space="preserve">Ates, G., Doktorova, T.Y., Pauwels, M., and Rogiers, V. (2014) Retrospective analysis of the mutagenicity/genotoxicity data of the cosmetic ingredients present on the Annexes of the Cosmetic EU legislation (2000–12). </w:t>
      </w:r>
      <w:r w:rsidRPr="00F413DE">
        <w:rPr>
          <w:rFonts w:ascii="Times New Roman" w:hAnsi="Times New Roman" w:cs="Times New Roman"/>
          <w:i/>
          <w:sz w:val="24"/>
          <w:szCs w:val="24"/>
        </w:rPr>
        <w:t>Mutagenesis</w:t>
      </w:r>
      <w:r w:rsidRPr="00F413DE">
        <w:rPr>
          <w:rFonts w:ascii="Times New Roman" w:hAnsi="Times New Roman" w:cs="Times New Roman"/>
          <w:sz w:val="24"/>
          <w:szCs w:val="24"/>
        </w:rPr>
        <w:t xml:space="preserve">, </w:t>
      </w:r>
      <w:r w:rsidRPr="00F413DE">
        <w:rPr>
          <w:rFonts w:ascii="Times New Roman" w:hAnsi="Times New Roman" w:cs="Times New Roman"/>
          <w:b/>
          <w:sz w:val="24"/>
          <w:szCs w:val="24"/>
        </w:rPr>
        <w:t>29</w:t>
      </w:r>
      <w:r w:rsidRPr="00F413DE">
        <w:rPr>
          <w:rFonts w:ascii="Times New Roman" w:hAnsi="Times New Roman" w:cs="Times New Roman"/>
          <w:sz w:val="24"/>
          <w:szCs w:val="24"/>
        </w:rPr>
        <w:t>, 115-121.</w:t>
      </w:r>
    </w:p>
    <w:p w14:paraId="3E2F258F" w14:textId="77777777" w:rsidR="00F413DE" w:rsidRPr="00F413DE" w:rsidRDefault="00F413DE" w:rsidP="00F413DE">
      <w:pPr>
        <w:pStyle w:val="EndNoteBibliography"/>
        <w:spacing w:after="0"/>
        <w:ind w:left="720" w:hanging="720"/>
        <w:rPr>
          <w:rFonts w:ascii="Times New Roman" w:hAnsi="Times New Roman" w:cs="Times New Roman"/>
          <w:sz w:val="24"/>
          <w:szCs w:val="24"/>
        </w:rPr>
      </w:pPr>
    </w:p>
    <w:p w14:paraId="281B39C5" w14:textId="77777777" w:rsidR="007555EF" w:rsidRDefault="007555EF" w:rsidP="007555EF">
      <w:pPr>
        <w:ind w:left="432" w:hanging="432"/>
        <w:jc w:val="both"/>
        <w:rPr>
          <w:rFonts w:cs="Times New Roman"/>
          <w:noProof/>
          <w:szCs w:val="24"/>
        </w:rPr>
      </w:pPr>
      <w:r w:rsidRPr="00E33063">
        <w:rPr>
          <w:rFonts w:cs="Times New Roman"/>
          <w:noProof/>
          <w:szCs w:val="24"/>
        </w:rPr>
        <w:t xml:space="preserve">Brendler-Schwaab S, Hartmann A, Pfuhler S, Speit G. 2005. The </w:t>
      </w:r>
      <w:r w:rsidRPr="000D6061">
        <w:rPr>
          <w:rFonts w:cs="Times New Roman"/>
          <w:noProof/>
          <w:szCs w:val="24"/>
        </w:rPr>
        <w:t>in vivo</w:t>
      </w:r>
      <w:r w:rsidRPr="00E33063">
        <w:rPr>
          <w:rFonts w:cs="Times New Roman"/>
          <w:noProof/>
          <w:szCs w:val="24"/>
        </w:rPr>
        <w:t xml:space="preserve"> comet assay: use and status in genotoxicity testing. Mutagenesis. 20, 245-254. </w:t>
      </w:r>
    </w:p>
    <w:p w14:paraId="076A102A" w14:textId="77777777" w:rsidR="00F27021" w:rsidRPr="000D6061" w:rsidRDefault="00F27021" w:rsidP="00F27021">
      <w:pPr>
        <w:pStyle w:val="EndNoteBibliography"/>
        <w:spacing w:after="0"/>
        <w:ind w:left="720" w:hanging="720"/>
        <w:rPr>
          <w:rFonts w:ascii="Times New Roman" w:hAnsi="Times New Roman" w:cs="Times New Roman"/>
          <w:sz w:val="24"/>
          <w:szCs w:val="24"/>
        </w:rPr>
      </w:pPr>
      <w:r w:rsidRPr="000D6061">
        <w:rPr>
          <w:rFonts w:ascii="Times New Roman" w:hAnsi="Times New Roman" w:cs="Times New Roman"/>
          <w:sz w:val="24"/>
          <w:szCs w:val="24"/>
        </w:rPr>
        <w:t>EU E. 2003. Directive 2003/15/EC of the European Parliament and of the Council of 27 February 2003 amending Council Directive 76/768/EEC on the approximation of the laws of the Member States relating to cosmetic products. Official Journal of the European Union 66:26-35.</w:t>
      </w:r>
    </w:p>
    <w:p w14:paraId="6F90C8BC" w14:textId="77777777" w:rsidR="00F27021" w:rsidRPr="00E33063" w:rsidRDefault="00F27021" w:rsidP="000D6061">
      <w:pPr>
        <w:ind w:firstLine="0"/>
        <w:jc w:val="both"/>
        <w:rPr>
          <w:rFonts w:cs="Times New Roman"/>
          <w:noProof/>
          <w:szCs w:val="24"/>
        </w:rPr>
      </w:pPr>
    </w:p>
    <w:p w14:paraId="37840CC3" w14:textId="77777777" w:rsidR="007555EF" w:rsidRPr="00E33063" w:rsidRDefault="007555EF" w:rsidP="007555EF">
      <w:pPr>
        <w:ind w:left="432" w:hanging="432"/>
        <w:jc w:val="both"/>
        <w:rPr>
          <w:rFonts w:cs="Times New Roman"/>
          <w:noProof/>
          <w:szCs w:val="24"/>
        </w:rPr>
      </w:pPr>
      <w:r w:rsidRPr="00E33063">
        <w:rPr>
          <w:rFonts w:cs="Times New Roman"/>
          <w:noProof/>
          <w:szCs w:val="24"/>
        </w:rPr>
        <w:t>Himmelstein MW, Boogaard PJ, Cadet J, Farmer PB, Kim JH, Martin EA, Persaud R, Shuker DE. 2009. Creating context for the use of DNA adduct data in cancer risk assessment: II. Overview of methods of identification and quantitation of DNA damage. Crit Rev Toxicol. 39, 679-694.</w:t>
      </w:r>
    </w:p>
    <w:p w14:paraId="5FEA78A5" w14:textId="77777777" w:rsidR="007555EF" w:rsidRPr="00E33063" w:rsidRDefault="007555EF" w:rsidP="007555EF">
      <w:pPr>
        <w:ind w:left="432" w:hanging="432"/>
        <w:jc w:val="both"/>
        <w:rPr>
          <w:rFonts w:cs="Arial"/>
        </w:rPr>
      </w:pPr>
      <w:r w:rsidRPr="00E33063">
        <w:rPr>
          <w:rFonts w:cs="Arial"/>
        </w:rPr>
        <w:t>Hughes AFW. 1953.The growth of embryonic neurites. A study of cultures of chick neural tissues. J Anat (Lond). 87, 150-162.</w:t>
      </w:r>
    </w:p>
    <w:p w14:paraId="412329AF" w14:textId="77777777" w:rsidR="007555EF" w:rsidRPr="00E33063" w:rsidRDefault="007555EF" w:rsidP="007555EF">
      <w:pPr>
        <w:ind w:left="432" w:hanging="432"/>
        <w:jc w:val="both"/>
        <w:rPr>
          <w:rFonts w:cs="Times New Roman"/>
          <w:noProof/>
          <w:szCs w:val="24"/>
        </w:rPr>
      </w:pPr>
      <w:r w:rsidRPr="00E33063">
        <w:rPr>
          <w:rFonts w:cs="Times New Roman"/>
          <w:noProof/>
          <w:szCs w:val="24"/>
        </w:rPr>
        <w:t>Iatropoulos MJ, Kobets T, Duan JD, Brunnemann KD, Vock E, Deschl U, Williams GM. 2017. Chicken egg fetal liver DNA and histopathologic effects of structurally diverse carcinogens and non-carcinogens.</w:t>
      </w:r>
      <w:r w:rsidRPr="00E33063">
        <w:rPr>
          <w:rFonts w:cs="Times New Roman"/>
        </w:rPr>
        <w:t xml:space="preserve"> </w:t>
      </w:r>
      <w:r w:rsidRPr="00E33063">
        <w:rPr>
          <w:rFonts w:cs="Times New Roman"/>
          <w:noProof/>
          <w:szCs w:val="24"/>
        </w:rPr>
        <w:t>Exp Toxicol Pathol. pii: S0940-2993(17)30250-30256.</w:t>
      </w:r>
    </w:p>
    <w:p w14:paraId="7D02ECF2" w14:textId="77777777" w:rsidR="007555EF" w:rsidRPr="004128F2" w:rsidRDefault="007555EF" w:rsidP="007555EF">
      <w:pPr>
        <w:ind w:left="432" w:hanging="432"/>
        <w:jc w:val="both"/>
        <w:rPr>
          <w:lang w:val="nl-NL"/>
        </w:rPr>
      </w:pPr>
      <w:r w:rsidRPr="00E33063">
        <w:t xml:space="preserve">Jeffrey AM, Luo FQ, Amin S, Krzeminski J, Zech K, Williams GM. 2002. Lack of DNA binding in the rat nasal mucosa and other tissues of the nasal toxicants roflumilast, a phosphodiesterase 4 inhibitor, and a metabolite, 4-amino-3,5-dichloropyridine, in contrast to the nasal carcinogen 2,6-dimethylaniline. </w:t>
      </w:r>
      <w:r w:rsidRPr="004128F2">
        <w:rPr>
          <w:lang w:val="nl-NL"/>
        </w:rPr>
        <w:t xml:space="preserve">Drug Chem Toxicol. 25, 93-107. </w:t>
      </w:r>
    </w:p>
    <w:p w14:paraId="21F38459" w14:textId="7223C428" w:rsidR="00F27021" w:rsidRPr="000D6061" w:rsidRDefault="00F27021" w:rsidP="00F27021">
      <w:pPr>
        <w:pStyle w:val="EndNoteBibliography"/>
        <w:spacing w:after="0"/>
        <w:ind w:left="720" w:hanging="720"/>
        <w:rPr>
          <w:rFonts w:ascii="Times New Roman" w:hAnsi="Times New Roman" w:cs="Times New Roman"/>
          <w:sz w:val="24"/>
          <w:szCs w:val="24"/>
        </w:rPr>
      </w:pPr>
      <w:r w:rsidRPr="000D6061">
        <w:rPr>
          <w:rFonts w:ascii="Times New Roman" w:hAnsi="Times New Roman" w:cs="Times New Roman"/>
          <w:sz w:val="24"/>
          <w:szCs w:val="24"/>
          <w:lang w:val="nl-NL"/>
        </w:rPr>
        <w:t xml:space="preserve">Kirkland D, Aardema M, Banduhn N, Carmichael P, Fautz R, Meunier J, Pfuhler S. 2007. </w:t>
      </w:r>
      <w:r w:rsidRPr="000D6061">
        <w:rPr>
          <w:rFonts w:ascii="Times New Roman" w:hAnsi="Times New Roman" w:cs="Times New Roman"/>
          <w:sz w:val="24"/>
          <w:szCs w:val="24"/>
        </w:rPr>
        <w:t>In vitro approaches to develop weight of evidence (WoE) and mode of action (MoA) discussions with positive in vitro genotoxicity results. Mutagenesis 22(3):161-175.</w:t>
      </w:r>
    </w:p>
    <w:p w14:paraId="39785E94" w14:textId="77777777" w:rsidR="00F27021" w:rsidRPr="00E33063" w:rsidRDefault="00F27021" w:rsidP="000D6061">
      <w:pPr>
        <w:pStyle w:val="EndNoteBibliography"/>
        <w:spacing w:after="0"/>
        <w:ind w:left="720" w:hanging="720"/>
      </w:pPr>
    </w:p>
    <w:p w14:paraId="7448FFF7" w14:textId="77777777" w:rsidR="007555EF" w:rsidRPr="00E33063" w:rsidRDefault="007555EF" w:rsidP="007555EF">
      <w:pPr>
        <w:ind w:left="432" w:hanging="432"/>
        <w:jc w:val="both"/>
      </w:pPr>
      <w:r w:rsidRPr="00E33063">
        <w:t xml:space="preserve">Kobets T, Duan JD, Brunnemann KD, Etter S, Smith B, Williams GM. 2016. Structure-Activity Relationships for DNA Damage by Alkenylbenzenes in </w:t>
      </w:r>
      <w:proofErr w:type="gramStart"/>
      <w:r w:rsidRPr="00E33063">
        <w:t>Turkey</w:t>
      </w:r>
      <w:proofErr w:type="gramEnd"/>
      <w:r w:rsidRPr="00E33063">
        <w:t xml:space="preserve"> Egg Fetal Liver. Toxicol Sci. 150, 301-311. </w:t>
      </w:r>
    </w:p>
    <w:p w14:paraId="2F9090E8" w14:textId="77777777" w:rsidR="007555EF" w:rsidRPr="00E33063" w:rsidRDefault="007555EF" w:rsidP="007555EF">
      <w:pPr>
        <w:ind w:left="432" w:hanging="432"/>
        <w:jc w:val="both"/>
      </w:pPr>
      <w:r w:rsidRPr="00E33063">
        <w:lastRenderedPageBreak/>
        <w:t xml:space="preserve">Kobets T, Duan JD, Brunnemann KD, Iatropoulos MJ, Etter S, Hickey C, Smith B, Williams GM. 2018a. </w:t>
      </w:r>
      <w:r w:rsidRPr="00E33063">
        <w:rPr>
          <w:i/>
        </w:rPr>
        <w:t>In ovo</w:t>
      </w:r>
      <w:r w:rsidRPr="00E33063">
        <w:t xml:space="preserve"> testing of flavor and fragrance materials in </w:t>
      </w:r>
      <w:proofErr w:type="gramStart"/>
      <w:r w:rsidRPr="00E33063">
        <w:t>Turkey</w:t>
      </w:r>
      <w:proofErr w:type="gramEnd"/>
      <w:r w:rsidRPr="00E33063">
        <w:t xml:space="preserve"> Egg Genotoxicity Assay (TEGA), comparison of results to </w:t>
      </w:r>
      <w:r w:rsidRPr="000D6061">
        <w:t>in vitro</w:t>
      </w:r>
      <w:r w:rsidRPr="002C6E57">
        <w:t xml:space="preserve"> </w:t>
      </w:r>
      <w:r w:rsidRPr="00E33063">
        <w:t xml:space="preserve">and </w:t>
      </w:r>
      <w:r w:rsidRPr="000D6061">
        <w:t>in vivo</w:t>
      </w:r>
      <w:r w:rsidRPr="00E33063">
        <w:t xml:space="preserve"> data. Food Chem Toxicol. 115, 228-243.</w:t>
      </w:r>
    </w:p>
    <w:p w14:paraId="5813D697" w14:textId="40209D42" w:rsidR="007555EF" w:rsidRDefault="007555EF" w:rsidP="007555EF">
      <w:pPr>
        <w:ind w:left="432" w:hanging="432"/>
        <w:jc w:val="both"/>
        <w:rPr>
          <w:rFonts w:cs="Times New Roman"/>
          <w:noProof/>
          <w:szCs w:val="24"/>
        </w:rPr>
      </w:pPr>
      <w:r w:rsidRPr="00E33063">
        <w:rPr>
          <w:rFonts w:cs="Times New Roman"/>
          <w:noProof/>
          <w:szCs w:val="24"/>
        </w:rPr>
        <w:t>Kobets T, Iatropoulos MJ, Duan JD, Brunnemann KD, Iacobas DA, Iacobas S, Vock E, Deschl U, Williams GM.</w:t>
      </w:r>
      <w:r w:rsidRPr="00E33063">
        <w:t xml:space="preserve"> 2018b. </w:t>
      </w:r>
      <w:r w:rsidRPr="00E33063">
        <w:rPr>
          <w:rFonts w:cs="Times New Roman"/>
          <w:noProof/>
          <w:szCs w:val="24"/>
        </w:rPr>
        <w:t>Expression of Genes Encoding for Xenobiotic Metabolism After Exposure to Dialkylnitrosamines in the Chicken Egg Genotoxicity Alternative Model.</w:t>
      </w:r>
      <w:r w:rsidRPr="00E33063">
        <w:t xml:space="preserve"> </w:t>
      </w:r>
      <w:r w:rsidRPr="00E33063">
        <w:rPr>
          <w:rFonts w:cs="Times New Roman"/>
          <w:noProof/>
          <w:szCs w:val="24"/>
        </w:rPr>
        <w:t>Toxicol Sci. 166, 82-96.</w:t>
      </w:r>
    </w:p>
    <w:p w14:paraId="3E3DD3B4" w14:textId="5B57388D" w:rsidR="00F413DE" w:rsidRPr="00E33063" w:rsidRDefault="00F413DE" w:rsidP="007555EF">
      <w:pPr>
        <w:ind w:left="432" w:hanging="432"/>
        <w:jc w:val="both"/>
        <w:rPr>
          <w:rFonts w:cs="Times New Roman"/>
          <w:noProof/>
          <w:szCs w:val="24"/>
        </w:rPr>
      </w:pPr>
      <w:r>
        <w:rPr>
          <w:rFonts w:cs="Times New Roman"/>
          <w:noProof/>
          <w:szCs w:val="24"/>
        </w:rPr>
        <w:t xml:space="preserve">Kumar P, Liu C, Hsu J,Chacko S, Minard C, Jahoor F, Sekhar R.V. 2021. </w:t>
      </w:r>
      <w:r w:rsidRPr="00F413DE">
        <w:rPr>
          <w:rFonts w:cs="Times New Roman"/>
          <w:noProof/>
          <w:szCs w:val="24"/>
        </w:rPr>
        <w:t>Glycine and N-acetylcysteine (GlyNAC) supplementation in older adults improves glutathione deficiency, oxidative stress, mitochondrial dysfunction, inflammation, insulin resistance, endothelial dysfunction, genotoxicity, muscle strength, and cognition: Results of a pilot clinical trial</w:t>
      </w:r>
      <w:r>
        <w:rPr>
          <w:rFonts w:cs="Times New Roman"/>
          <w:noProof/>
          <w:szCs w:val="24"/>
        </w:rPr>
        <w:t xml:space="preserve">. Clinical and Translational Medicine. </w:t>
      </w:r>
      <w:r w:rsidR="008A66B8">
        <w:rPr>
          <w:rFonts w:cs="Times New Roman"/>
          <w:noProof/>
          <w:szCs w:val="24"/>
        </w:rPr>
        <w:t>11(3), 372.</w:t>
      </w:r>
    </w:p>
    <w:p w14:paraId="0C1C558C" w14:textId="0BC79DC6" w:rsidR="007555EF" w:rsidRDefault="007555EF" w:rsidP="007555EF">
      <w:pPr>
        <w:ind w:left="432" w:hanging="432"/>
        <w:jc w:val="both"/>
      </w:pPr>
      <w:r w:rsidRPr="00E33063">
        <w:t>Leong CO, Gaskell M, Martin EA, Heydon RT, Farmer PB, Bibby MC, Cooper PA, Double JA, Bradshaw TD, Stevens MF. 2003. Antitumour 2-(4-</w:t>
      </w:r>
      <w:r w:rsidR="00CC4B9A" w:rsidRPr="00E33063">
        <w:t>aniophenyl) benzothiazoles</w:t>
      </w:r>
      <w:r w:rsidRPr="00E33063">
        <w:t xml:space="preserve"> generate DNA adducts in sensitive tumor cells </w:t>
      </w:r>
      <w:r w:rsidRPr="000D6061">
        <w:t>in vitro</w:t>
      </w:r>
      <w:r w:rsidRPr="002C6E57">
        <w:t xml:space="preserve"> </w:t>
      </w:r>
      <w:r w:rsidRPr="00E33063">
        <w:t xml:space="preserve">and </w:t>
      </w:r>
      <w:r w:rsidRPr="000D6061">
        <w:t>in vivo</w:t>
      </w:r>
      <w:r w:rsidRPr="00E33063">
        <w:t>. Br J Cancer. 88, 470-477.</w:t>
      </w:r>
    </w:p>
    <w:p w14:paraId="18676D95" w14:textId="77777777" w:rsidR="00A64628" w:rsidRDefault="00A64628" w:rsidP="000D6061">
      <w:pPr>
        <w:ind w:left="450" w:hanging="360"/>
      </w:pPr>
      <w:r>
        <w:t xml:space="preserve">Li A.J., Pal V.K., Kannan K. 2021. </w:t>
      </w:r>
      <w:r w:rsidRPr="00461936">
        <w:t xml:space="preserve">A review of environmental occurrence, toxicity, </w:t>
      </w:r>
      <w:proofErr w:type="gramStart"/>
      <w:r w:rsidRPr="00461936">
        <w:t>biotransformation</w:t>
      </w:r>
      <w:proofErr w:type="gramEnd"/>
      <w:r w:rsidRPr="00461936">
        <w:t xml:space="preserve"> and biomonitoring of volatile organic compounds</w:t>
      </w:r>
      <w:r>
        <w:t>. Environmental chemistry and Ecotoxicology (3):91-116</w:t>
      </w:r>
    </w:p>
    <w:p w14:paraId="3C77E3C2" w14:textId="0068DC54" w:rsidR="00A64628" w:rsidRPr="00EA6955" w:rsidRDefault="00EA6955" w:rsidP="000D6061">
      <w:pPr>
        <w:ind w:left="450" w:hanging="450"/>
        <w:jc w:val="both"/>
        <w:rPr>
          <w:rFonts w:cs="Times New Roman"/>
        </w:rPr>
      </w:pPr>
      <w:r w:rsidRPr="000D6061">
        <w:rPr>
          <w:rFonts w:cs="Times New Roman"/>
          <w:color w:val="212121"/>
          <w:shd w:val="clear" w:color="auto" w:fill="FFFFFF"/>
        </w:rPr>
        <w:t>el-Mekawi S, Yagil R, Meyerstein N. Effect of oxidative stress on avian erythrocytes. J Basic Clin Physiol Pharmacol. 1993 Jul-Sep;4(3):199-211. doi: 10.1515/jbcpp.1993.4.3.199. PMID: 8679516.</w:t>
      </w:r>
    </w:p>
    <w:p w14:paraId="360A848C" w14:textId="77777777" w:rsidR="007555EF" w:rsidRPr="00E33063" w:rsidRDefault="007555EF" w:rsidP="007555EF">
      <w:pPr>
        <w:ind w:left="432" w:hanging="432"/>
        <w:jc w:val="both"/>
      </w:pPr>
      <w:r w:rsidRPr="00E33063">
        <w:t xml:space="preserve">Organization for Economic Co-operation and Development (OECD). 2016. OECD Guidelines for the Testing of Chemicals Section 4, Test No. 489. </w:t>
      </w:r>
      <w:r w:rsidRPr="000D6061">
        <w:t>In Vivo</w:t>
      </w:r>
      <w:r w:rsidRPr="00E33063">
        <w:t xml:space="preserve"> Mammalian Alkaline Comet Assay. OECD Publishing. Paris.</w:t>
      </w:r>
    </w:p>
    <w:p w14:paraId="4C8BBA89" w14:textId="77777777" w:rsidR="007555EF" w:rsidRPr="000F002F" w:rsidRDefault="007555EF" w:rsidP="007555EF">
      <w:pPr>
        <w:ind w:left="432" w:hanging="432"/>
        <w:jc w:val="both"/>
      </w:pPr>
      <w:r w:rsidRPr="00E33063">
        <w:t xml:space="preserve">Perrone CE, Ahr HJ, Duan JD, Jeffrey AM, Schmidt U, Williams GM, Enzmann HG. 2004. Embryonic turkey liver: activities of biotransformation enzymes and activation of DNA-reactive carcinogens. </w:t>
      </w:r>
      <w:r w:rsidRPr="000F002F">
        <w:rPr>
          <w:iCs/>
        </w:rPr>
        <w:t>Arch Toxicol</w:t>
      </w:r>
      <w:r w:rsidRPr="000F002F">
        <w:t>. 78, 589-598.</w:t>
      </w:r>
    </w:p>
    <w:p w14:paraId="27800525" w14:textId="77777777" w:rsidR="007555EF" w:rsidRPr="00E33063" w:rsidRDefault="007555EF" w:rsidP="007555EF">
      <w:pPr>
        <w:ind w:left="432" w:hanging="432"/>
        <w:jc w:val="both"/>
      </w:pPr>
      <w:r w:rsidRPr="00E33063">
        <w:lastRenderedPageBreak/>
        <w:t xml:space="preserve">Phillips DH, Arlt VM. 2014. </w:t>
      </w:r>
      <w:r w:rsidRPr="00E33063">
        <w:rPr>
          <w:vertAlign w:val="superscript"/>
        </w:rPr>
        <w:t>32</w:t>
      </w:r>
      <w:r w:rsidRPr="00E33063">
        <w:t>P-postlabeling analysis of DNA adducts. Meth Mol Biol. 1105, 127–138.</w:t>
      </w:r>
    </w:p>
    <w:p w14:paraId="75521B14" w14:textId="77777777" w:rsidR="007555EF" w:rsidRPr="00E33063" w:rsidRDefault="007555EF" w:rsidP="007555EF">
      <w:pPr>
        <w:ind w:left="432" w:hanging="432"/>
        <w:jc w:val="both"/>
      </w:pPr>
      <w:bookmarkStart w:id="23" w:name="_ENREF_24"/>
      <w:r w:rsidRPr="00E33063">
        <w:rPr>
          <w:rFonts w:cs="Times New Roman"/>
          <w:noProof/>
          <w:szCs w:val="24"/>
        </w:rPr>
        <w:t>Phillips DH, Farmer PB, Beland FA, Nath RG, Poirier MC, Reddy MV, Turteltaub KW. 2000. Methods of DNA adduct determination and their application to testing compounds for genotoxicity. Environ Mol Mutagen. 35, 222-233.</w:t>
      </w:r>
      <w:bookmarkEnd w:id="23"/>
    </w:p>
    <w:p w14:paraId="69E5C8C5" w14:textId="77777777" w:rsidR="007555EF" w:rsidRPr="00E33063" w:rsidRDefault="007555EF" w:rsidP="007555EF">
      <w:pPr>
        <w:ind w:left="432" w:hanging="432"/>
        <w:jc w:val="both"/>
      </w:pPr>
      <w:r w:rsidRPr="00E33063">
        <w:t xml:space="preserve">Randerath K, Reddy MV, Gupta RC. 1981. </w:t>
      </w:r>
      <w:r w:rsidRPr="00E33063">
        <w:rPr>
          <w:vertAlign w:val="superscript"/>
        </w:rPr>
        <w:t>32</w:t>
      </w:r>
      <w:r w:rsidRPr="00E33063">
        <w:t>P-labeling test for DNA damage. Proc Natl</w:t>
      </w:r>
      <w:r w:rsidRPr="00E33063">
        <w:rPr>
          <w:i/>
        </w:rPr>
        <w:t xml:space="preserve"> </w:t>
      </w:r>
      <w:r w:rsidRPr="00E33063">
        <w:t xml:space="preserve">Acad Sci USA. 78, 6126–6129. </w:t>
      </w:r>
    </w:p>
    <w:p w14:paraId="2F542D2C" w14:textId="5E2582F2" w:rsidR="007555EF" w:rsidRDefault="007555EF" w:rsidP="007555EF">
      <w:pPr>
        <w:ind w:left="432" w:hanging="432"/>
        <w:jc w:val="both"/>
      </w:pPr>
      <w:r w:rsidRPr="00E33063">
        <w:t xml:space="preserve">Reddy MV, Randerath K. 1986. Nuclease P1-mediated enhancement of sensitivity of </w:t>
      </w:r>
      <w:r w:rsidRPr="00E33063">
        <w:rPr>
          <w:vertAlign w:val="superscript"/>
        </w:rPr>
        <w:t>32</w:t>
      </w:r>
      <w:r w:rsidRPr="00E33063">
        <w:t xml:space="preserve">P-postlabeling test for structurally diverse DNA adducts. Carcinogenesis. 7: 1543-1551. </w:t>
      </w:r>
    </w:p>
    <w:p w14:paraId="601D616B" w14:textId="4EB73E05" w:rsidR="0061134E" w:rsidRPr="0061134E" w:rsidRDefault="0061134E" w:rsidP="007555EF">
      <w:pPr>
        <w:ind w:left="432" w:hanging="432"/>
        <w:jc w:val="both"/>
        <w:rPr>
          <w:rFonts w:cs="Times New Roman"/>
          <w:szCs w:val="24"/>
        </w:rPr>
      </w:pPr>
      <w:r w:rsidRPr="0061134E">
        <w:rPr>
          <w:rFonts w:cs="Times New Roman"/>
          <w:color w:val="212121"/>
          <w:szCs w:val="24"/>
          <w:shd w:val="clear" w:color="auto" w:fill="FFFFFF"/>
        </w:rPr>
        <w:t>Reisinger, K., Dony, E., Wolf, T. and Maul, K. (2018) </w:t>
      </w:r>
      <w:r w:rsidRPr="0061134E">
        <w:rPr>
          <w:rStyle w:val="ref-title"/>
          <w:rFonts w:cs="Times New Roman"/>
          <w:color w:val="212121"/>
          <w:szCs w:val="24"/>
          <w:shd w:val="clear" w:color="auto" w:fill="FFFFFF"/>
        </w:rPr>
        <w:t>HET-MN – hen’s egg test for micronucleus induction.</w:t>
      </w:r>
      <w:r w:rsidRPr="0061134E">
        <w:rPr>
          <w:rFonts w:cs="Times New Roman"/>
          <w:color w:val="212121"/>
          <w:szCs w:val="24"/>
          <w:shd w:val="clear" w:color="auto" w:fill="FFFFFF"/>
        </w:rPr>
        <w:t> In Dhawan A. B. M. (ed.), </w:t>
      </w:r>
      <w:r w:rsidRPr="0061134E">
        <w:rPr>
          <w:rStyle w:val="ref-journal"/>
          <w:rFonts w:cs="Times New Roman"/>
          <w:i/>
          <w:iCs/>
          <w:color w:val="212121"/>
          <w:szCs w:val="24"/>
          <w:shd w:val="clear" w:color="auto" w:fill="FFFFFF"/>
        </w:rPr>
        <w:t>Genotoxicity Assessment: Methods and Protocols</w:t>
      </w:r>
      <w:r w:rsidRPr="0061134E">
        <w:rPr>
          <w:rFonts w:cs="Times New Roman"/>
          <w:color w:val="212121"/>
          <w:szCs w:val="24"/>
          <w:shd w:val="clear" w:color="auto" w:fill="FFFFFF"/>
        </w:rPr>
        <w:t>. Springer, New York, NY.</w:t>
      </w:r>
    </w:p>
    <w:p w14:paraId="4B55B146" w14:textId="77777777" w:rsidR="007555EF" w:rsidRPr="004128F2" w:rsidRDefault="007555EF" w:rsidP="007555EF">
      <w:pPr>
        <w:ind w:left="432" w:hanging="432"/>
        <w:jc w:val="both"/>
        <w:rPr>
          <w:lang w:val="nl-NL"/>
        </w:rPr>
      </w:pPr>
      <w:r w:rsidRPr="00E33063">
        <w:t xml:space="preserve">Tice RR, Agurell E, Anderson D, Burlinson B, Hartmann A, Kobayahsi H, Miyamae Y, Rojas E, Ryu JC, Sasaki YF. 2000. Single cell gel/comet assay: guidelines for in vitro and </w:t>
      </w:r>
      <w:r w:rsidRPr="000D6061">
        <w:t>in vivo</w:t>
      </w:r>
      <w:r w:rsidRPr="00E33063">
        <w:t xml:space="preserve"> genetic toxicology testing. </w:t>
      </w:r>
      <w:r w:rsidRPr="004128F2">
        <w:rPr>
          <w:lang w:val="nl-NL"/>
        </w:rPr>
        <w:t>Environ Mol Mutagen. 35, 206-221.</w:t>
      </w:r>
    </w:p>
    <w:p w14:paraId="317E9E6D" w14:textId="77777777" w:rsidR="007555EF" w:rsidRPr="00E33063" w:rsidRDefault="007555EF" w:rsidP="007555EF">
      <w:pPr>
        <w:ind w:left="432" w:hanging="432"/>
        <w:jc w:val="both"/>
      </w:pPr>
      <w:r w:rsidRPr="004128F2">
        <w:rPr>
          <w:lang w:val="nl-NL"/>
        </w:rPr>
        <w:t xml:space="preserve">van der Leede BJ, Doherty A, Guerard M, Howe J, O'Donovan M, Plappert-Helbig U, Thybaud V. 2014. </w:t>
      </w:r>
      <w:r w:rsidRPr="00E33063">
        <w:t xml:space="preserve">Performance and data interpretation of the </w:t>
      </w:r>
      <w:r w:rsidRPr="000D6061">
        <w:t>in vivo</w:t>
      </w:r>
      <w:r w:rsidRPr="00E33063">
        <w:t xml:space="preserve"> comet assay in pharmaceutical industry: EFPIA survey results. Mut Res. 776, 81-88.</w:t>
      </w:r>
    </w:p>
    <w:p w14:paraId="619086D3" w14:textId="62A44318" w:rsidR="007555EF" w:rsidRDefault="007555EF" w:rsidP="007555EF">
      <w:pPr>
        <w:ind w:left="432" w:hanging="432"/>
        <w:jc w:val="both"/>
      </w:pPr>
      <w:r w:rsidRPr="00E33063">
        <w:t xml:space="preserve">Williams GM, Duan JD, Brunnemann KD, Iatropoulos MJ, Vock E, Deschl U. 2014. Chicken fetal liver DNA damage and adduct formation by activation-dependent DNA-reactive carcinogens and related compounds of </w:t>
      </w:r>
      <w:proofErr w:type="gramStart"/>
      <w:r w:rsidRPr="00E33063">
        <w:t>several</w:t>
      </w:r>
      <w:proofErr w:type="gramEnd"/>
      <w:r w:rsidRPr="00E33063">
        <w:t xml:space="preserve"> structural classes. Toxicol Sci. 141(1), 18-28.</w:t>
      </w:r>
      <w:r w:rsidR="00B40999">
        <w:t>’</w:t>
      </w:r>
    </w:p>
    <w:p w14:paraId="1223C1BC" w14:textId="1DF0D4F9" w:rsidR="00B40999" w:rsidRDefault="006668AA" w:rsidP="006668AA">
      <w:pPr>
        <w:spacing w:after="160" w:line="259" w:lineRule="auto"/>
        <w:ind w:left="450" w:hanging="450"/>
      </w:pPr>
      <w:r w:rsidRPr="006668AA">
        <w:t>Wolf, T. and Luepke, N. P. (1997) Formation of micronuclei in incubated hen’s eggs as a measure of genotoxicity. Mutat. Res., 394, 163–175.</w:t>
      </w:r>
    </w:p>
    <w:p w14:paraId="3B271D83" w14:textId="6FFA55AA" w:rsidR="006668AA" w:rsidRDefault="006668AA">
      <w:pPr>
        <w:spacing w:after="160" w:line="259" w:lineRule="auto"/>
        <w:ind w:firstLine="0"/>
      </w:pPr>
      <w:r>
        <w:br w:type="page"/>
      </w:r>
    </w:p>
    <w:p w14:paraId="71B53C16" w14:textId="4ED87B7A" w:rsidR="006668AA" w:rsidRPr="008474C8" w:rsidRDefault="008474C8" w:rsidP="006668AA">
      <w:pPr>
        <w:spacing w:after="160" w:line="259" w:lineRule="auto"/>
        <w:ind w:left="450" w:hanging="450"/>
        <w:rPr>
          <w:b/>
          <w:bCs w:val="0"/>
          <w:sz w:val="32"/>
          <w:szCs w:val="32"/>
          <w:u w:val="single"/>
        </w:rPr>
      </w:pPr>
      <w:r w:rsidRPr="008474C8">
        <w:rPr>
          <w:b/>
          <w:bCs w:val="0"/>
          <w:sz w:val="32"/>
          <w:szCs w:val="32"/>
          <w:u w:val="single"/>
        </w:rPr>
        <w:lastRenderedPageBreak/>
        <w:t>Figures and Legends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06"/>
        <w:gridCol w:w="3006"/>
        <w:gridCol w:w="3006"/>
      </w:tblGrid>
      <w:tr w:rsidR="00B81C3A" w:rsidRPr="00E33063" w14:paraId="2B129AF8" w14:textId="77777777" w:rsidTr="004D0741">
        <w:trPr>
          <w:trHeight w:val="3420"/>
        </w:trPr>
        <w:tc>
          <w:tcPr>
            <w:tcW w:w="3006" w:type="dxa"/>
          </w:tcPr>
          <w:p w14:paraId="09BA4ECE" w14:textId="77777777" w:rsidR="00B81C3A" w:rsidRPr="00E33063" w:rsidRDefault="00B81C3A" w:rsidP="004D0741">
            <w:pPr>
              <w:pStyle w:val="BodyTextIndent1"/>
            </w:pPr>
            <w:r w:rsidRPr="00E33063">
              <w:drawing>
                <wp:inline distT="0" distB="0" distL="0" distR="0" wp14:anchorId="0755B561" wp14:editId="7E1BFBFD">
                  <wp:extent cx="1737360" cy="2103120"/>
                  <wp:effectExtent l="19050" t="19050" r="15240" b="11430"/>
                  <wp:docPr id="15" name="Picture 15" descr="A close-up of a black and white photo of a pip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Picture 15" descr="A close-up of a black and white photo of a pipe&#10;&#10;Description automatically generated"/>
                          <pic:cNvPicPr preferRelativeResize="0">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006" w:type="dxa"/>
          </w:tcPr>
          <w:p w14:paraId="4B6DE610" w14:textId="77777777" w:rsidR="00B81C3A" w:rsidRPr="00E33063" w:rsidRDefault="00B81C3A" w:rsidP="004D0741">
            <w:pPr>
              <w:pStyle w:val="BodyTextIndent1"/>
            </w:pPr>
            <w:r w:rsidRPr="00E33063">
              <w:drawing>
                <wp:inline distT="0" distB="0" distL="0" distR="0" wp14:anchorId="129F0A21" wp14:editId="7A545925">
                  <wp:extent cx="1737360" cy="2103120"/>
                  <wp:effectExtent l="19050" t="19050" r="15240" b="11430"/>
                  <wp:docPr id="16" name="Picture 16" descr="A blurry black and white photo of a hammer&#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Picture 16" descr="A blurry black and white photo of a hammer&#10;&#10;Description automatically generated"/>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006" w:type="dxa"/>
          </w:tcPr>
          <w:p w14:paraId="521FDA9D" w14:textId="77777777" w:rsidR="00B81C3A" w:rsidRPr="00E33063" w:rsidRDefault="00B81C3A" w:rsidP="004D0741">
            <w:pPr>
              <w:pStyle w:val="BodyTextIndent1"/>
            </w:pPr>
            <w:r>
              <mc:AlternateContent>
                <mc:Choice Requires="wps">
                  <w:drawing>
                    <wp:anchor distT="0" distB="0" distL="114300" distR="114300" simplePos="0" relativeHeight="251680768" behindDoc="0" locked="0" layoutInCell="1" allowOverlap="1" wp14:anchorId="10ECD362" wp14:editId="687622A7">
                      <wp:simplePos x="0" y="0"/>
                      <wp:positionH relativeFrom="column">
                        <wp:posOffset>387350</wp:posOffset>
                      </wp:positionH>
                      <wp:positionV relativeFrom="paragraph">
                        <wp:posOffset>1041400</wp:posOffset>
                      </wp:positionV>
                      <wp:extent cx="1054100" cy="304800"/>
                      <wp:effectExtent l="0" t="0" r="0" b="0"/>
                      <wp:wrapNone/>
                      <wp:docPr id="2085607710" name="Text Box 1"/>
                      <wp:cNvGraphicFramePr/>
                      <a:graphic xmlns:a="http://schemas.openxmlformats.org/drawingml/2006/main">
                        <a:graphicData uri="http://schemas.microsoft.com/office/word/2010/wordprocessingShape">
                          <wps:wsp>
                            <wps:cNvSpPr txBox="1"/>
                            <wps:spPr>
                              <a:xfrm>
                                <a:off x="0" y="0"/>
                                <a:ext cx="1054100" cy="304800"/>
                              </a:xfrm>
                              <a:prstGeom prst="rect">
                                <a:avLst/>
                              </a:prstGeom>
                              <a:noFill/>
                              <a:ln>
                                <a:noFill/>
                              </a:ln>
                            </wps:spPr>
                            <wps:txbx>
                              <w:txbxContent>
                                <w:p w14:paraId="1220A72E" w14:textId="77777777" w:rsidR="00B81C3A" w:rsidRPr="000F2D71" w:rsidRDefault="00B81C3A" w:rsidP="00B81C3A">
                                  <w:pPr>
                                    <w:pStyle w:val="BodyTextIndent1"/>
                                  </w:pPr>
                                  <w:r>
                                    <w:rPr>
                                      <w:sz w:val="22"/>
                                    </w:rPr>
                                    <w:t>6.07±1.99*10</w:t>
                                  </w:r>
                                  <w:r w:rsidRPr="004F19D6">
                                    <w:rPr>
                                      <w:sz w:val="22"/>
                                      <w:vertAlign w:val="superscript"/>
                                    </w:rPr>
                                    <w:t>8</w:t>
                                  </w:r>
                                  <w:r>
                                    <w:rPr>
                                      <w:sz w:val="22"/>
                                    </w:rPr>
                                    <w:t xml:space="preserve"> nucleotides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ECD362" id="_x0000_t202" coordsize="21600,21600" o:spt="202" path="m,l,21600r21600,l21600,xe">
                      <v:stroke joinstyle="miter"/>
                      <v:path gradientshapeok="t" o:connecttype="rect"/>
                    </v:shapetype>
                    <v:shape id="Text Box 1" o:spid="_x0000_s1026" type="#_x0000_t202" style="position:absolute;left:0;text-align:left;margin-left:30.5pt;margin-top:82pt;width:83pt;height:2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CwDDgIAACMEAAAOAAAAZHJzL2Uyb0RvYy54bWysU01v2zAMvQ/YfxB0X+xk6dYacYqsRYYB&#10;QVsgHXpWZCk2IImapMTOfv0o2flY11Oxi0yR9CP5+DS77bQie+F8A6ak41FOiTAcqsZsS/rzefnp&#10;mhIfmKmYAiNKehCe3s4/fpi1thATqEFVwhEEMb5obUnrEGyRZZ7XQjM/AisMBiU4zQJe3TarHGsR&#10;XatskudfshZcZR1w4T167/sgnSd8KQUPj1J6EYgqKfYW0unSuYlnNp+xYuuYrRs+tMHe0YVmjcGi&#10;J6h7FhjZueYfKN1wBx5kGHHQGUjZcJFmwGnG+atp1jWzIs2C5Hh7osn/P1j+sF/bJ0dC9w06XGAk&#10;pLW+8OiM83TS6fjFTgnGkcLDiTbRBcLjT/nVdJxjiGPscz69RhthsvPf1vnwXYAm0Sipw7Uktth+&#10;5UOfekyJxQwsG6XSapT5y4GY0ZOdW4xW6Dbd0PcGqgOO46DftLd82WDNFfPhiTlcLbaJcg2PeEgF&#10;bUlhsCipwf1+yx/zkXGMUtKiVErqf+2YE5SoHwZ3cTOeTqO20mV69XWCF3cZ2VxGzE7fAapxjA/D&#10;8mTG/KCOpnSgX1DVi1gVQ8xwrF3ScDTvQi9gfBVcLBYpCdVkWViZteUROpIWGX3uXpizA+0BF/YA&#10;R1Gx4hX7fW5P92IXQDZpNZHgntWBd1RiWu7waqLUL+8p6/y2538AAAD//wMAUEsDBBQABgAIAAAA&#10;IQDYEGrE3AAAAAoBAAAPAAAAZHJzL2Rvd25yZXYueG1sTI/NTsQwDITvSLxDZCRubNJqKVCarhCI&#10;K4jlR+LmbbxtReNUTXZb3h5zgtvYHo2/qTaLH9SRptgHtpCtDCjiJrieWwtvr48X16BiQnY4BCYL&#10;3xRhU5+eVFi6MPMLHbepVRLCsUQLXUpjqXVsOvIYV2Eklts+TB6TjFOr3YSzhPtB58YU2mPP8qHD&#10;ke47ar62B2/h/Wn/+bE2z+2DvxznsBjN/kZbe3623N2CSrSkPzP84gs61MK0Cwd2UQ0WikyqJNkX&#10;axFiyPMrETsRWW5A15X+X6H+AQAA//8DAFBLAQItABQABgAIAAAAIQC2gziS/gAAAOEBAAATAAAA&#10;AAAAAAAAAAAAAAAAAABbQ29udGVudF9UeXBlc10ueG1sUEsBAi0AFAAGAAgAAAAhADj9If/WAAAA&#10;lAEAAAsAAAAAAAAAAAAAAAAALwEAAF9yZWxzLy5yZWxzUEsBAi0AFAAGAAgAAAAhACpcLAMOAgAA&#10;IwQAAA4AAAAAAAAAAAAAAAAALgIAAGRycy9lMm9Eb2MueG1sUEsBAi0AFAAGAAgAAAAhANgQasTc&#10;AAAACgEAAA8AAAAAAAAAAAAAAAAAaAQAAGRycy9kb3ducmV2LnhtbFBLBQYAAAAABAAEAPMAAABx&#10;BQAAAAA=&#10;" filled="f" stroked="f">
                      <v:textbox>
                        <w:txbxContent>
                          <w:p w14:paraId="1220A72E" w14:textId="77777777" w:rsidR="00B81C3A" w:rsidRPr="000F2D71" w:rsidRDefault="00B81C3A" w:rsidP="00B81C3A">
                            <w:pPr>
                              <w:pStyle w:val="BodyTextIndent1"/>
                            </w:pPr>
                            <w:r>
                              <w:rPr>
                                <w:sz w:val="22"/>
                              </w:rPr>
                              <w:t>6.07±1.99*10</w:t>
                            </w:r>
                            <w:r w:rsidRPr="004F19D6">
                              <w:rPr>
                                <w:sz w:val="22"/>
                                <w:vertAlign w:val="superscript"/>
                              </w:rPr>
                              <w:t>8</w:t>
                            </w:r>
                            <w:r>
                              <w:rPr>
                                <w:sz w:val="22"/>
                              </w:rPr>
                              <w:t xml:space="preserve"> nucleotides</w:t>
                            </w:r>
                          </w:p>
                        </w:txbxContent>
                      </v:textbox>
                    </v:shape>
                  </w:pict>
                </mc:Fallback>
              </mc:AlternateContent>
            </w:r>
            <w:r w:rsidRPr="00E33063">
              <w:drawing>
                <wp:anchor distT="0" distB="0" distL="114300" distR="114300" simplePos="0" relativeHeight="251679744" behindDoc="0" locked="0" layoutInCell="1" allowOverlap="1" wp14:anchorId="171C4885" wp14:editId="3316E6B7">
                  <wp:simplePos x="0" y="0"/>
                  <wp:positionH relativeFrom="column">
                    <wp:posOffset>19050</wp:posOffset>
                  </wp:positionH>
                  <wp:positionV relativeFrom="paragraph">
                    <wp:posOffset>19050</wp:posOffset>
                  </wp:positionV>
                  <wp:extent cx="1737360" cy="2103120"/>
                  <wp:effectExtent l="19050" t="19050" r="15240" b="11430"/>
                  <wp:wrapNone/>
                  <wp:docPr id="17" name="Picture 17" descr="A black arrow in the air&#10;&#10;Description automatically generated">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Picture 17" descr="A black arrow in the air&#10;&#10;Description automatically generated">
                            <a:extLst>
                              <a:ext uri="{C183D7F6-B498-43B3-948B-1728B52AA6E4}">
                                <adec:decorative xmlns:adec="http://schemas.microsoft.com/office/drawing/2017/decorative" val="0"/>
                              </a:ext>
                            </a:extLst>
                          </pic:cNvPr>
                          <pic:cNvPicPr preferRelativeResize="0">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tc>
      </w:tr>
      <w:tr w:rsidR="00B81C3A" w:rsidRPr="00E33063" w14:paraId="5B71336C" w14:textId="77777777" w:rsidTr="004D074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9"/>
        </w:trPr>
        <w:tc>
          <w:tcPr>
            <w:tcW w:w="3006" w:type="dxa"/>
            <w:tcBorders>
              <w:top w:val="nil"/>
              <w:left w:val="nil"/>
              <w:bottom w:val="nil"/>
              <w:right w:val="nil"/>
            </w:tcBorders>
          </w:tcPr>
          <w:p w14:paraId="03CFDF15" w14:textId="77777777" w:rsidR="00B81C3A" w:rsidRPr="00E33063" w:rsidRDefault="00B81C3A" w:rsidP="004D0741">
            <w:pPr>
              <w:pStyle w:val="BodyTextIndent1"/>
            </w:pPr>
            <w:r w:rsidRPr="00E33063">
              <w:t>Vehicle, 20% HS 15</w:t>
            </w:r>
          </w:p>
        </w:tc>
        <w:tc>
          <w:tcPr>
            <w:tcW w:w="3006" w:type="dxa"/>
            <w:tcBorders>
              <w:top w:val="nil"/>
              <w:left w:val="nil"/>
              <w:bottom w:val="nil"/>
              <w:right w:val="nil"/>
            </w:tcBorders>
          </w:tcPr>
          <w:p w14:paraId="58ADEAF0" w14:textId="77777777" w:rsidR="00B81C3A" w:rsidRPr="00E33063" w:rsidRDefault="00B81C3A" w:rsidP="004D0741">
            <w:pPr>
              <w:pStyle w:val="BodyTextIndent1"/>
              <w:jc w:val="left"/>
            </w:pPr>
            <w:r w:rsidRPr="00E33063">
              <w:t>2-Phenyl-2-butenal,</w:t>
            </w:r>
            <w:r>
              <w:t>5</w:t>
            </w:r>
            <w:r w:rsidRPr="00E33063">
              <w:t>mg/egg</w:t>
            </w:r>
          </w:p>
        </w:tc>
        <w:tc>
          <w:tcPr>
            <w:tcW w:w="3006" w:type="dxa"/>
            <w:tcBorders>
              <w:top w:val="nil"/>
              <w:left w:val="nil"/>
              <w:bottom w:val="nil"/>
              <w:right w:val="nil"/>
            </w:tcBorders>
          </w:tcPr>
          <w:p w14:paraId="231AEFE0" w14:textId="77777777" w:rsidR="00B81C3A" w:rsidRPr="00E33063" w:rsidRDefault="00B81C3A" w:rsidP="004D0741">
            <w:pPr>
              <w:pStyle w:val="BodyTextIndent1"/>
            </w:pPr>
            <w:r w:rsidRPr="00E33063">
              <w:t>Quinoline, 5 mg/egg</w:t>
            </w:r>
          </w:p>
        </w:tc>
      </w:tr>
    </w:tbl>
    <w:p w14:paraId="20CEA847" w14:textId="77777777" w:rsidR="00B81C3A" w:rsidRDefault="00B81C3A" w:rsidP="00B81C3A">
      <w:pPr>
        <w:ind w:firstLine="90"/>
      </w:pPr>
      <w:r>
        <w:t xml:space="preserve">                                                                     (A)</w:t>
      </w:r>
    </w:p>
    <w:p w14:paraId="331A70CE" w14:textId="77777777" w:rsidR="00B81C3A" w:rsidRDefault="00B81C3A" w:rsidP="00B81C3A">
      <w:pPr>
        <w:ind w:firstLine="90"/>
      </w:pPr>
      <w:r>
        <w:object w:dxaOrig="6000" w:dyaOrig="7656" w14:anchorId="3796B7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206.5pt;height:195pt" o:ole="">
            <v:imagedata r:id="rId12" o:title=""/>
          </v:shape>
          <o:OLEObject Type="Embed" ProgID="Prism10.Document" ShapeID="_x0000_i1036" DrawAspect="Content" ObjectID="_1773428597" r:id="rId13"/>
        </w:object>
      </w:r>
      <w:r>
        <w:t xml:space="preserve">     </w:t>
      </w:r>
      <w:r>
        <w:object w:dxaOrig="5640" w:dyaOrig="6984" w14:anchorId="2C0D37C1">
          <v:shape id="_x0000_i1037" type="#_x0000_t75" style="width:213.5pt;height:193pt" o:ole="">
            <v:imagedata r:id="rId14" o:title=""/>
          </v:shape>
          <o:OLEObject Type="Embed" ProgID="Prism10.Document" ShapeID="_x0000_i1037" DrawAspect="Content" ObjectID="_1773428598" r:id="rId15"/>
        </w:object>
      </w:r>
    </w:p>
    <w:p w14:paraId="18664D7B" w14:textId="77777777" w:rsidR="00B81C3A" w:rsidRDefault="00B81C3A" w:rsidP="00B81C3A">
      <w:pPr>
        <w:ind w:firstLine="90"/>
      </w:pPr>
      <w:r>
        <w:t xml:space="preserve">                                (B)                                                              </w:t>
      </w:r>
      <w:proofErr w:type="gramStart"/>
      <w:r>
        <w:t xml:space="preserve">   (</w:t>
      </w:r>
      <w:proofErr w:type="gramEnd"/>
      <w:r>
        <w:t>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B81C3A" w:rsidRPr="00E33063" w14:paraId="35BF4F65" w14:textId="77777777" w:rsidTr="004D0741">
        <w:tc>
          <w:tcPr>
            <w:tcW w:w="9360" w:type="dxa"/>
          </w:tcPr>
          <w:p w14:paraId="27B71577" w14:textId="77777777" w:rsidR="00B81C3A" w:rsidRPr="00E33063" w:rsidRDefault="00B81C3A" w:rsidP="004D0741">
            <w:pPr>
              <w:pStyle w:val="NoSpacing"/>
              <w:jc w:val="both"/>
              <w:rPr>
                <w:sz w:val="22"/>
              </w:rPr>
            </w:pPr>
            <w:r w:rsidRPr="00E33063">
              <w:rPr>
                <w:b/>
                <w:sz w:val="22"/>
              </w:rPr>
              <w:t>Figure 1</w:t>
            </w:r>
            <w:proofErr w:type="gramStart"/>
            <w:r w:rsidRPr="00E33063">
              <w:rPr>
                <w:b/>
                <w:sz w:val="22"/>
              </w:rPr>
              <w:t>.</w:t>
            </w:r>
            <w:r w:rsidRPr="00E33063">
              <w:rPr>
                <w:sz w:val="22"/>
              </w:rPr>
              <w:t xml:space="preserve"> </w:t>
            </w:r>
            <w:r>
              <w:rPr>
                <w:sz w:val="22"/>
              </w:rPr>
              <w:t xml:space="preserve"> </w:t>
            </w:r>
            <w:proofErr w:type="gramEnd"/>
            <w:r>
              <w:rPr>
                <w:sz w:val="22"/>
              </w:rPr>
              <w:t xml:space="preserve">(A) </w:t>
            </w:r>
            <w:r w:rsidRPr="00E33063">
              <w:rPr>
                <w:sz w:val="22"/>
              </w:rPr>
              <w:t xml:space="preserve">Representative nucleotide ³²P-postlabeling (NPL) chromatograms from the chicken fetal liver samples after exposure to the vehicle, 2-phenyl-2-butenal, or positive control. Analysis of DNA adducts from the livers (3 samples (eggs) per group) </w:t>
            </w:r>
            <w:proofErr w:type="gramStart"/>
            <w:r w:rsidRPr="00E33063">
              <w:rPr>
                <w:sz w:val="22"/>
              </w:rPr>
              <w:t>was obtained</w:t>
            </w:r>
            <w:proofErr w:type="gramEnd"/>
            <w:r w:rsidRPr="00E33063">
              <w:rPr>
                <w:sz w:val="22"/>
              </w:rPr>
              <w:t xml:space="preserve"> using NP</w:t>
            </w:r>
            <w:r w:rsidRPr="00E33063">
              <w:rPr>
                <w:sz w:val="22"/>
                <w:vertAlign w:val="subscript"/>
              </w:rPr>
              <w:t>1</w:t>
            </w:r>
            <w:r w:rsidRPr="00E33063">
              <w:rPr>
                <w:sz w:val="22"/>
              </w:rPr>
              <w:t xml:space="preserve"> enrichment. Adducts </w:t>
            </w:r>
            <w:proofErr w:type="gramStart"/>
            <w:r w:rsidRPr="00E33063">
              <w:rPr>
                <w:sz w:val="22"/>
              </w:rPr>
              <w:t>were resolved</w:t>
            </w:r>
            <w:proofErr w:type="gramEnd"/>
            <w:r w:rsidRPr="00E33063">
              <w:rPr>
                <w:sz w:val="22"/>
              </w:rPr>
              <w:t xml:space="preserve"> in the second and third directions of chromatography and are indicated by arrows. Dose represents cumulative dose, administered in </w:t>
            </w:r>
            <w:proofErr w:type="gramStart"/>
            <w:r w:rsidRPr="00E33063">
              <w:rPr>
                <w:sz w:val="22"/>
              </w:rPr>
              <w:t>3</w:t>
            </w:r>
            <w:proofErr w:type="gramEnd"/>
            <w:r w:rsidRPr="00E33063">
              <w:rPr>
                <w:sz w:val="22"/>
              </w:rPr>
              <w:t xml:space="preserve"> daily injections.</w:t>
            </w:r>
            <w:r>
              <w:rPr>
                <w:sz w:val="22"/>
              </w:rPr>
              <w:t xml:space="preserve"> (B) </w:t>
            </w:r>
            <w:r w:rsidRPr="00E33063">
              <w:rPr>
                <w:sz w:val="22"/>
              </w:rPr>
              <w:t>DNA-in-tail percentage in the livers of chicken fetuses exposed to the vehicle, 2-phenyl-2-butenal, or positive control.</w:t>
            </w:r>
            <w:r>
              <w:rPr>
                <w:sz w:val="22"/>
              </w:rPr>
              <w:t xml:space="preserve"> (C) Micronucleus</w:t>
            </w:r>
            <w:r w:rsidRPr="00E33063">
              <w:rPr>
                <w:sz w:val="22"/>
              </w:rPr>
              <w:t xml:space="preserve"> percentage in the </w:t>
            </w:r>
            <w:r>
              <w:rPr>
                <w:sz w:val="22"/>
              </w:rPr>
              <w:t>blood</w:t>
            </w:r>
            <w:r w:rsidRPr="00E33063">
              <w:rPr>
                <w:sz w:val="22"/>
              </w:rPr>
              <w:t xml:space="preserve"> of chicken fetuses exposed to the vehicle, 2-phenyl-2-butenal, or positive control.</w:t>
            </w:r>
          </w:p>
        </w:tc>
      </w:tr>
    </w:tbl>
    <w:p w14:paraId="634A52D2" w14:textId="4C097402" w:rsidR="007555EF" w:rsidRPr="00E33063" w:rsidRDefault="007555EF" w:rsidP="007555EF">
      <w:pPr>
        <w:rPr>
          <w:rFonts w:cs="Times New Roman"/>
          <w:noProof/>
          <w:szCs w:val="24"/>
        </w:rPr>
      </w:pPr>
    </w:p>
    <w:tbl>
      <w:tblPr>
        <w:tblStyle w:val="TableGrid"/>
        <w:tblW w:w="96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7"/>
        <w:gridCol w:w="3057"/>
        <w:gridCol w:w="3556"/>
      </w:tblGrid>
      <w:tr w:rsidR="00B81C3A" w:rsidRPr="00E33063" w14:paraId="6D2D62C2" w14:textId="77777777" w:rsidTr="004D0741">
        <w:tc>
          <w:tcPr>
            <w:tcW w:w="3006" w:type="dxa"/>
          </w:tcPr>
          <w:p w14:paraId="28CD971E" w14:textId="77777777" w:rsidR="00B81C3A" w:rsidRPr="00E33063" w:rsidRDefault="00B81C3A" w:rsidP="004D0741">
            <w:pPr>
              <w:pStyle w:val="BodyTextIndent1"/>
            </w:pPr>
            <w:r w:rsidRPr="00E33063">
              <w:lastRenderedPageBreak/>
              <w:drawing>
                <wp:inline distT="0" distB="0" distL="0" distR="0" wp14:anchorId="201D0E34" wp14:editId="15B6B6FC">
                  <wp:extent cx="1737360" cy="2103120"/>
                  <wp:effectExtent l="19050" t="19050" r="15240" b="11430"/>
                  <wp:docPr id="2143009049" name="Picture 2143009049" descr="A blurry image of a person's hand&#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2" descr="A blurry image of a person's hand&#10;&#10;Description automatically generated"/>
                          <pic:cNvPicPr preferRelativeResize="0">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006" w:type="dxa"/>
          </w:tcPr>
          <w:p w14:paraId="722B292B" w14:textId="77777777" w:rsidR="00B81C3A" w:rsidRPr="00E33063" w:rsidRDefault="00B81C3A" w:rsidP="004D0741">
            <w:pPr>
              <w:pStyle w:val="BodyTextIndent1"/>
            </w:pPr>
            <w:r w:rsidRPr="00E33063">
              <w:drawing>
                <wp:inline distT="0" distB="0" distL="0" distR="0" wp14:anchorId="1D96B013" wp14:editId="38ED8A2A">
                  <wp:extent cx="1737360" cy="2103120"/>
                  <wp:effectExtent l="19050" t="19050" r="15240" b="11430"/>
                  <wp:docPr id="1287209024" name="Picture 1287209024" descr="A blurry black and white photo of a person's head&#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13" descr="A blurry black and white photo of a person's head&#10;&#10;Description automatically generated"/>
                          <pic:cNvPicPr preferRelativeResize="0">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497" w:type="dxa"/>
          </w:tcPr>
          <w:p w14:paraId="7CD75D90" w14:textId="77777777" w:rsidR="00B81C3A" w:rsidRPr="00E33063" w:rsidRDefault="00B81C3A" w:rsidP="004D0741">
            <w:pPr>
              <w:pStyle w:val="BodyTextIndent1"/>
            </w:pPr>
            <w:r>
              <mc:AlternateContent>
                <mc:Choice Requires="wps">
                  <w:drawing>
                    <wp:anchor distT="0" distB="0" distL="114300" distR="114300" simplePos="0" relativeHeight="251682816" behindDoc="0" locked="0" layoutInCell="1" allowOverlap="1" wp14:anchorId="0BDA4F1E" wp14:editId="5119EDEA">
                      <wp:simplePos x="0" y="0"/>
                      <wp:positionH relativeFrom="column">
                        <wp:posOffset>709930</wp:posOffset>
                      </wp:positionH>
                      <wp:positionV relativeFrom="paragraph">
                        <wp:posOffset>1111250</wp:posOffset>
                      </wp:positionV>
                      <wp:extent cx="1070610" cy="222250"/>
                      <wp:effectExtent l="0" t="0" r="0" b="6350"/>
                      <wp:wrapNone/>
                      <wp:docPr id="1878979780" name="Text Box 1"/>
                      <wp:cNvGraphicFramePr/>
                      <a:graphic xmlns:a="http://schemas.openxmlformats.org/drawingml/2006/main">
                        <a:graphicData uri="http://schemas.microsoft.com/office/word/2010/wordprocessingShape">
                          <wps:wsp>
                            <wps:cNvSpPr txBox="1"/>
                            <wps:spPr>
                              <a:xfrm>
                                <a:off x="0" y="0"/>
                                <a:ext cx="1070610" cy="222250"/>
                              </a:xfrm>
                              <a:prstGeom prst="rect">
                                <a:avLst/>
                              </a:prstGeom>
                              <a:noFill/>
                              <a:ln>
                                <a:noFill/>
                              </a:ln>
                            </wps:spPr>
                            <wps:txbx>
                              <w:txbxContent>
                                <w:p w14:paraId="08045215" w14:textId="77777777" w:rsidR="00B81C3A" w:rsidRPr="00B06A5B"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7.33</w:t>
                                  </w:r>
                                  <w:r>
                                    <w:rPr>
                                      <w:rFonts w:cs="Times New Roman"/>
                                      <w:sz w:val="22"/>
                                    </w:rPr>
                                    <w:t>±0.55*10</w:t>
                                  </w:r>
                                  <w:r w:rsidRPr="0010018C">
                                    <w:rPr>
                                      <w:rFonts w:cs="Times New Roman"/>
                                      <w:sz w:val="22"/>
                                      <w:vertAlign w:val="superscript"/>
                                    </w:rPr>
                                    <w:t>8</w:t>
                                  </w:r>
                                  <w:r>
                                    <w:rPr>
                                      <w:rFonts w:cs="Times New Roman"/>
                                      <w:sz w:val="22"/>
                                    </w:rPr>
                                    <w:t xml:space="preserve"> nucleotides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A4F1E" id="_x0000_s1027" type="#_x0000_t202" style="position:absolute;left:0;text-align:left;margin-left:55.9pt;margin-top:87.5pt;width:84.3pt;height:1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cP6EAIAACoEAAAOAAAAZHJzL2Uyb0RvYy54bWysU01vGyEQvVfqf0Dc611bTtKsvI7cRK4q&#10;RUkkp8oZs+BFAoYC9q776zuw/mraU1Uf8DAzOx/vPWZ3vdFkJ3xQYGs6HpWUCMuhUXZT0++vy0+f&#10;KQmR2YZpsKKmexHo3fzjh1nnKjGBFnQjPMEiNlSdq2kbo6uKIvBWGBZG4ITFoARvWMSr3xSNZx1W&#10;N7qYlOV10YFvnAcuQkDvwxCk81xfSsHjs5RBRKJrirPFfPp8rtNZzGes2njmWsUPY7B/mMIwZbHp&#10;qdQDi4xsvfqjlFHcQwAZRxxMAVIqLvIOuM24fLfNqmVO5F0QnOBOMIX/V5Y/7VbuxZPYf4EeCUyA&#10;dC5UAZ1pn156k/5xUoJxhHB/gk30kfD0UXlTXo8xxDE2wd9VxrU4f+18iF8FGJKMmnqkJaPFdo8h&#10;YkdMPaakZhaWSutMjba/OTAxeYrziMmK/bonqrkYfw3NHrfyMBAeHF8qbP3IQnxhHhnGaVG18RkP&#10;qaGrKRwsSlrwP//mT/kIPEYp6VAxNQ0/tswLSvQ3i5TcjqfTJLF8mV7dTPDiLyPry4jdmntAUY7x&#10;fTiezZQf9dGUHswbinuRumKIWY69axqP5n0cdIyPg4vFIiehqByLj3bleCqdsEvAvvZvzLsD+hF5&#10;e4Kjtlj1joQhd0B9sY0gVWYo4TygeoAfBZmJOzyepPjLe846P/H5LwAAAP//AwBQSwMEFAAGAAgA&#10;AAAhAMvQObfdAAAACwEAAA8AAABkcnMvZG93bnJldi54bWxMj8FOwzAQRO9I/IO1SNzoOlULJcSp&#10;EIgriAKVenPjbRIRr6PYbcLfs5zobUY7mn1TrCffqRMNsQ1sIJtpUMRVcC3XBj4/Xm5WoGKy7GwX&#10;mAz8UIR1eXlR2NyFkd/ptEm1khKOuTXQpNTniLFqyNs4Cz2x3A5h8DaJHWp0gx2l3Hc41/oWvW1Z&#10;PjS2p6eGqu/N0Rv4ej3stgv9Vj/7ZT+GSSP7ezTm+mp6fACVaEr/YfjDF3QohWkfjuyi6sRnmaAn&#10;EXdLGSWJ+UovQO1FZFoDlgWebyh/AQAA//8DAFBLAQItABQABgAIAAAAIQC2gziS/gAAAOEBAAAT&#10;AAAAAAAAAAAAAAAAAAAAAABbQ29udGVudF9UeXBlc10ueG1sUEsBAi0AFAAGAAgAAAAhADj9If/W&#10;AAAAlAEAAAsAAAAAAAAAAAAAAAAALwEAAF9yZWxzLy5yZWxzUEsBAi0AFAAGAAgAAAAhAHRZw/oQ&#10;AgAAKgQAAA4AAAAAAAAAAAAAAAAALgIAAGRycy9lMm9Eb2MueG1sUEsBAi0AFAAGAAgAAAAhAMvQ&#10;ObfdAAAACwEAAA8AAAAAAAAAAAAAAAAAagQAAGRycy9kb3ducmV2LnhtbFBLBQYAAAAABAAEAPMA&#10;AAB0BQAAAAA=&#10;" filled="f" stroked="f">
                      <v:textbox>
                        <w:txbxContent>
                          <w:p w14:paraId="08045215" w14:textId="77777777" w:rsidR="00B81C3A" w:rsidRPr="00B06A5B"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7.33</w:t>
                            </w:r>
                            <w:r>
                              <w:rPr>
                                <w:rFonts w:cs="Times New Roman"/>
                                <w:sz w:val="22"/>
                              </w:rPr>
                              <w:t>±0.55*10</w:t>
                            </w:r>
                            <w:r w:rsidRPr="0010018C">
                              <w:rPr>
                                <w:rFonts w:cs="Times New Roman"/>
                                <w:sz w:val="22"/>
                                <w:vertAlign w:val="superscript"/>
                              </w:rPr>
                              <w:t>8</w:t>
                            </w:r>
                            <w:r>
                              <w:rPr>
                                <w:rFonts w:cs="Times New Roman"/>
                                <w:sz w:val="22"/>
                              </w:rPr>
                              <w:t xml:space="preserve"> nucleotides</w:t>
                            </w:r>
                          </w:p>
                        </w:txbxContent>
                      </v:textbox>
                    </v:shape>
                  </w:pict>
                </mc:Fallback>
              </mc:AlternateContent>
            </w:r>
            <w:r w:rsidRPr="00E33063">
              <w:drawing>
                <wp:inline distT="0" distB="0" distL="0" distR="0" wp14:anchorId="6AC916CD" wp14:editId="3F7CACC9">
                  <wp:extent cx="1737360" cy="2103120"/>
                  <wp:effectExtent l="19050" t="19050" r="15240" b="11430"/>
                  <wp:docPr id="1559656733" name="Picture 1559656733" descr="A black arrow pointing towards a black circ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Picture 14" descr="A black arrow pointing towards a black circle&#10;&#10;Description automatically generated"/>
                          <pic:cNvPicPr preferRelativeResize="0">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r>
      <w:tr w:rsidR="00B81C3A" w:rsidRPr="00E33063" w14:paraId="3BFD7056" w14:textId="77777777" w:rsidTr="004D0741">
        <w:tc>
          <w:tcPr>
            <w:tcW w:w="3006" w:type="dxa"/>
          </w:tcPr>
          <w:p w14:paraId="013299A7" w14:textId="77777777" w:rsidR="00B81C3A" w:rsidRPr="00E33063" w:rsidRDefault="00B81C3A" w:rsidP="004D0741">
            <w:pPr>
              <w:pStyle w:val="NoSpacing"/>
              <w:jc w:val="center"/>
              <w:rPr>
                <w:sz w:val="22"/>
              </w:rPr>
            </w:pPr>
            <w:r w:rsidRPr="00E33063">
              <w:rPr>
                <w:sz w:val="22"/>
              </w:rPr>
              <w:t>Vehicle, 20% HS 15</w:t>
            </w:r>
          </w:p>
        </w:tc>
        <w:tc>
          <w:tcPr>
            <w:tcW w:w="3006" w:type="dxa"/>
          </w:tcPr>
          <w:p w14:paraId="0D3D41CF" w14:textId="77777777" w:rsidR="00B81C3A" w:rsidRPr="000F002F" w:rsidRDefault="00B81C3A" w:rsidP="004D0741">
            <w:pPr>
              <w:pStyle w:val="NoSpacing"/>
              <w:jc w:val="center"/>
              <w:rPr>
                <w:sz w:val="22"/>
                <w:lang w:val="fr-FR"/>
              </w:rPr>
            </w:pPr>
            <w:r w:rsidRPr="000F002F">
              <w:rPr>
                <w:sz w:val="22"/>
                <w:lang w:val="fr-FR"/>
              </w:rPr>
              <w:t>Nona-2 trans-6-cis-dienal, 0.5 mg/egg</w:t>
            </w:r>
          </w:p>
          <w:p w14:paraId="02126723" w14:textId="77777777" w:rsidR="00B81C3A" w:rsidRPr="000F002F" w:rsidRDefault="00B81C3A" w:rsidP="004D0741">
            <w:pPr>
              <w:pStyle w:val="NoSpacing"/>
              <w:rPr>
                <w:sz w:val="22"/>
                <w:lang w:val="fr-FR"/>
              </w:rPr>
            </w:pPr>
          </w:p>
        </w:tc>
        <w:tc>
          <w:tcPr>
            <w:tcW w:w="3497" w:type="dxa"/>
          </w:tcPr>
          <w:p w14:paraId="170B6CE4" w14:textId="77777777" w:rsidR="00B81C3A" w:rsidRDefault="00B81C3A" w:rsidP="004D0741">
            <w:pPr>
              <w:pStyle w:val="NoSpacing"/>
              <w:jc w:val="center"/>
              <w:rPr>
                <w:sz w:val="22"/>
              </w:rPr>
            </w:pPr>
            <w:r w:rsidRPr="00E33063">
              <w:rPr>
                <w:sz w:val="22"/>
              </w:rPr>
              <w:t>Quinoline, 5 mg/egg</w:t>
            </w:r>
          </w:p>
          <w:p w14:paraId="2C5D2762" w14:textId="77777777" w:rsidR="00B81C3A" w:rsidRPr="00E33063" w:rsidRDefault="00B81C3A" w:rsidP="004D0741">
            <w:pPr>
              <w:pStyle w:val="NoSpacing"/>
              <w:jc w:val="center"/>
              <w:rPr>
                <w:sz w:val="22"/>
              </w:rPr>
            </w:pPr>
          </w:p>
          <w:p w14:paraId="0CBCA472" w14:textId="77777777" w:rsidR="00B81C3A" w:rsidRPr="00E33063" w:rsidRDefault="00B81C3A" w:rsidP="004D0741">
            <w:pPr>
              <w:pStyle w:val="NoSpacing"/>
              <w:rPr>
                <w:sz w:val="22"/>
              </w:rPr>
            </w:pPr>
          </w:p>
        </w:tc>
      </w:tr>
    </w:tbl>
    <w:p w14:paraId="04CB56F2" w14:textId="77777777" w:rsidR="00B81C3A" w:rsidRDefault="00B81C3A" w:rsidP="00B81C3A">
      <w:pPr>
        <w:ind w:firstLine="90"/>
      </w:pPr>
      <w:r>
        <w:t xml:space="preserve">                                                                       (A)</w:t>
      </w:r>
    </w:p>
    <w:p w14:paraId="07D3267C" w14:textId="77777777" w:rsidR="00B81C3A" w:rsidRDefault="00B81C3A" w:rsidP="00B81C3A">
      <w:pPr>
        <w:ind w:firstLine="90"/>
      </w:pPr>
      <w:r>
        <w:object w:dxaOrig="5796" w:dyaOrig="6912" w14:anchorId="3BB66245">
          <v:shape id="_x0000_i1040" type="#_x0000_t75" style="width:216.5pt;height:213.5pt" o:ole="">
            <v:imagedata r:id="rId19" o:title=""/>
          </v:shape>
          <o:OLEObject Type="Embed" ProgID="Prism10.Document" ShapeID="_x0000_i1040" DrawAspect="Content" ObjectID="_1773428599" r:id="rId20"/>
        </w:object>
      </w:r>
      <w:r>
        <w:t xml:space="preserve">        </w:t>
      </w:r>
      <w:r>
        <w:object w:dxaOrig="5580" w:dyaOrig="6840" w14:anchorId="5EE4BBC5">
          <v:shape id="_x0000_i1041" type="#_x0000_t75" style="width:212.5pt;height:214pt" o:ole="">
            <v:imagedata r:id="rId21" o:title=""/>
          </v:shape>
          <o:OLEObject Type="Embed" ProgID="Prism10.Document" ShapeID="_x0000_i1041" DrawAspect="Content" ObjectID="_1773428600" r:id="rId22"/>
        </w:object>
      </w:r>
    </w:p>
    <w:p w14:paraId="4A7808BC" w14:textId="77777777" w:rsidR="00B81C3A" w:rsidRDefault="00B81C3A" w:rsidP="00B81C3A">
      <w:pPr>
        <w:ind w:firstLine="90"/>
      </w:pPr>
      <w:r>
        <w:t xml:space="preserve">                                   (B)                                                                   </w:t>
      </w:r>
      <w:proofErr w:type="gramStart"/>
      <w:r>
        <w:t xml:space="preserve">   (</w:t>
      </w:r>
      <w:proofErr w:type="gramEnd"/>
      <w:r>
        <w:t>C)</w:t>
      </w:r>
    </w:p>
    <w:p w14:paraId="79F3FC25" w14:textId="77777777" w:rsidR="00B81C3A" w:rsidRDefault="00B81C3A" w:rsidP="00B81C3A">
      <w:pPr>
        <w:pStyle w:val="NoSpacing"/>
        <w:jc w:val="both"/>
        <w:rPr>
          <w:sz w:val="22"/>
        </w:rPr>
      </w:pPr>
      <w:r w:rsidRPr="00E33063">
        <w:rPr>
          <w:b/>
          <w:sz w:val="22"/>
        </w:rPr>
        <w:t xml:space="preserve">Figure </w:t>
      </w:r>
      <w:r>
        <w:rPr>
          <w:b/>
          <w:sz w:val="22"/>
        </w:rPr>
        <w:t>2</w:t>
      </w:r>
      <w:r w:rsidRPr="00E33063">
        <w:rPr>
          <w:b/>
          <w:sz w:val="22"/>
        </w:rPr>
        <w:t>.</w:t>
      </w:r>
      <w:r>
        <w:rPr>
          <w:b/>
          <w:sz w:val="22"/>
        </w:rPr>
        <w:t xml:space="preserve"> </w:t>
      </w:r>
      <w:r w:rsidRPr="00B06A5B">
        <w:rPr>
          <w:bCs w:val="0"/>
          <w:sz w:val="22"/>
        </w:rPr>
        <w:t>(A)</w:t>
      </w:r>
      <w:r w:rsidRPr="00E33063">
        <w:rPr>
          <w:sz w:val="22"/>
        </w:rPr>
        <w:t xml:space="preserve"> Representative nucleotide ³²P-postlabeling (NPL) chromatograms from the chicken fetal liver samples after exposure to the vehicle, nona-2 trans-6-cis-dienal, or positive control. Analysis of DNA adducts from the livers (3 samples (eggs) per group) </w:t>
      </w:r>
      <w:proofErr w:type="gramStart"/>
      <w:r w:rsidRPr="00E33063">
        <w:rPr>
          <w:sz w:val="22"/>
        </w:rPr>
        <w:t>was obtained</w:t>
      </w:r>
      <w:proofErr w:type="gramEnd"/>
      <w:r w:rsidRPr="00E33063">
        <w:rPr>
          <w:sz w:val="22"/>
        </w:rPr>
        <w:t xml:space="preserve"> using NP</w:t>
      </w:r>
      <w:r w:rsidRPr="00E33063">
        <w:rPr>
          <w:sz w:val="22"/>
          <w:vertAlign w:val="subscript"/>
        </w:rPr>
        <w:t>1</w:t>
      </w:r>
      <w:r w:rsidRPr="00E33063">
        <w:rPr>
          <w:sz w:val="22"/>
        </w:rPr>
        <w:t xml:space="preserve"> enrichment. Adducts </w:t>
      </w:r>
      <w:proofErr w:type="gramStart"/>
      <w:r w:rsidRPr="00E33063">
        <w:rPr>
          <w:sz w:val="22"/>
        </w:rPr>
        <w:t>were resolved</w:t>
      </w:r>
      <w:proofErr w:type="gramEnd"/>
      <w:r w:rsidRPr="00E33063">
        <w:rPr>
          <w:sz w:val="22"/>
        </w:rPr>
        <w:t xml:space="preserve"> in the second and third directions of chromatography and are indicated by arrows. Dose represents cumulative dose, administered in </w:t>
      </w:r>
      <w:proofErr w:type="gramStart"/>
      <w:r w:rsidRPr="00E33063">
        <w:rPr>
          <w:sz w:val="22"/>
        </w:rPr>
        <w:t>3</w:t>
      </w:r>
      <w:proofErr w:type="gramEnd"/>
      <w:r w:rsidRPr="00E33063">
        <w:rPr>
          <w:sz w:val="22"/>
        </w:rPr>
        <w:t xml:space="preserve"> daily injections.</w:t>
      </w:r>
      <w:r>
        <w:rPr>
          <w:sz w:val="22"/>
        </w:rPr>
        <w:t xml:space="preserve"> (B) </w:t>
      </w:r>
      <w:r w:rsidRPr="00E33063">
        <w:rPr>
          <w:sz w:val="22"/>
        </w:rPr>
        <w:t>DNA-in-tail percentage in the livers of chicken fetuses exposed to the vehicle, nona-2 trans-6-cis-dienal, or positive control.</w:t>
      </w:r>
      <w:r>
        <w:rPr>
          <w:sz w:val="22"/>
        </w:rPr>
        <w:t xml:space="preserve"> (C) Micronucleus</w:t>
      </w:r>
      <w:r w:rsidRPr="00E33063">
        <w:rPr>
          <w:sz w:val="22"/>
        </w:rPr>
        <w:t xml:space="preserve"> percentage in the </w:t>
      </w:r>
      <w:r>
        <w:rPr>
          <w:sz w:val="22"/>
        </w:rPr>
        <w:t>blood</w:t>
      </w:r>
      <w:r w:rsidRPr="00E33063">
        <w:rPr>
          <w:sz w:val="22"/>
        </w:rPr>
        <w:t xml:space="preserve"> of chicken fetuses exposed to the vehicle, nona-2 trans-6-cis-dienal, or positive control.</w:t>
      </w:r>
    </w:p>
    <w:p w14:paraId="35583980" w14:textId="77777777" w:rsidR="007555EF" w:rsidRPr="00E33063" w:rsidRDefault="007555EF" w:rsidP="007555EF">
      <w:pPr>
        <w:rPr>
          <w:rFonts w:cs="Times New Roman"/>
          <w:noProof/>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0"/>
        <w:gridCol w:w="3120"/>
        <w:gridCol w:w="3120"/>
      </w:tblGrid>
      <w:tr w:rsidR="00B81C3A" w:rsidRPr="00E33063" w14:paraId="51C9F95D" w14:textId="77777777" w:rsidTr="004D0741">
        <w:tc>
          <w:tcPr>
            <w:tcW w:w="3192" w:type="dxa"/>
          </w:tcPr>
          <w:p w14:paraId="6C894905" w14:textId="77777777" w:rsidR="00B81C3A" w:rsidRPr="00E33063" w:rsidRDefault="00B81C3A" w:rsidP="004D0741">
            <w:pPr>
              <w:pStyle w:val="BodyTextIndent1"/>
            </w:pPr>
            <w:r w:rsidRPr="00E33063">
              <w:lastRenderedPageBreak/>
              <w:drawing>
                <wp:inline distT="0" distB="0" distL="0" distR="0" wp14:anchorId="7127A293" wp14:editId="1894DF0F">
                  <wp:extent cx="1737360" cy="2103120"/>
                  <wp:effectExtent l="19050" t="19050" r="15240" b="11430"/>
                  <wp:docPr id="994156630" name="Picture 994156630" descr="A blurry black and white photo of a tall po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A blurry black and white photo of a tall pole&#10;&#10;Description automatically generated"/>
                          <pic:cNvPicPr preferRelativeResize="0">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192" w:type="dxa"/>
          </w:tcPr>
          <w:p w14:paraId="69C32938" w14:textId="77777777" w:rsidR="00B81C3A" w:rsidRPr="00E33063" w:rsidRDefault="00B81C3A" w:rsidP="004D0741">
            <w:pPr>
              <w:pStyle w:val="BodyTextIndent1"/>
            </w:pPr>
            <w:r w:rsidRPr="00E33063">
              <w:drawing>
                <wp:inline distT="0" distB="0" distL="0" distR="0" wp14:anchorId="223E0D74" wp14:editId="4196EE29">
                  <wp:extent cx="1737360" cy="2103120"/>
                  <wp:effectExtent l="19050" t="19050" r="15240" b="11430"/>
                  <wp:docPr id="800181998" name="Picture 800181998" descr="A blurry black and white photo of a person's head&#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1" descr="A blurry black and white photo of a person's head&#10;&#10;Description automatically generated"/>
                          <pic:cNvPicPr preferRelativeResize="0">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192" w:type="dxa"/>
          </w:tcPr>
          <w:p w14:paraId="7F113277" w14:textId="77777777" w:rsidR="00B81C3A" w:rsidRPr="00E33063" w:rsidRDefault="00B81C3A" w:rsidP="004D0741">
            <w:pPr>
              <w:pStyle w:val="BodyTextIndent1"/>
            </w:pPr>
            <w:r>
              <mc:AlternateContent>
                <mc:Choice Requires="wps">
                  <w:drawing>
                    <wp:anchor distT="0" distB="0" distL="114300" distR="114300" simplePos="0" relativeHeight="251684864" behindDoc="0" locked="0" layoutInCell="1" allowOverlap="1" wp14:anchorId="563B7EA0" wp14:editId="437590E6">
                      <wp:simplePos x="0" y="0"/>
                      <wp:positionH relativeFrom="column">
                        <wp:posOffset>439420</wp:posOffset>
                      </wp:positionH>
                      <wp:positionV relativeFrom="paragraph">
                        <wp:posOffset>1225550</wp:posOffset>
                      </wp:positionV>
                      <wp:extent cx="1111250" cy="222250"/>
                      <wp:effectExtent l="0" t="0" r="0" b="6350"/>
                      <wp:wrapNone/>
                      <wp:docPr id="245231070" name="Text Box 1"/>
                      <wp:cNvGraphicFramePr/>
                      <a:graphic xmlns:a="http://schemas.openxmlformats.org/drawingml/2006/main">
                        <a:graphicData uri="http://schemas.microsoft.com/office/word/2010/wordprocessingShape">
                          <wps:wsp>
                            <wps:cNvSpPr txBox="1"/>
                            <wps:spPr>
                              <a:xfrm>
                                <a:off x="0" y="0"/>
                                <a:ext cx="1111250" cy="222250"/>
                              </a:xfrm>
                              <a:prstGeom prst="rect">
                                <a:avLst/>
                              </a:prstGeom>
                              <a:noFill/>
                              <a:ln>
                                <a:noFill/>
                              </a:ln>
                            </wps:spPr>
                            <wps:txbx>
                              <w:txbxContent>
                                <w:p w14:paraId="60746666" w14:textId="77777777" w:rsidR="00B81C3A" w:rsidRPr="00B06A5B"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7.33</w:t>
                                  </w:r>
                                  <w:r>
                                    <w:rPr>
                                      <w:rFonts w:cs="Times New Roman"/>
                                      <w:sz w:val="22"/>
                                    </w:rPr>
                                    <w:t>±0.55*10</w:t>
                                  </w:r>
                                  <w:r w:rsidRPr="0010018C">
                                    <w:rPr>
                                      <w:rFonts w:cs="Times New Roman"/>
                                      <w:sz w:val="22"/>
                                      <w:vertAlign w:val="superscript"/>
                                    </w:rPr>
                                    <w:t>8</w:t>
                                  </w:r>
                                  <w:r>
                                    <w:rPr>
                                      <w:rFonts w:cs="Times New Roman"/>
                                      <w:sz w:val="22"/>
                                    </w:rPr>
                                    <w:t xml:space="preserve"> nucleotides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3B7EA0" id="_x0000_s1028" type="#_x0000_t202" style="position:absolute;left:0;text-align:left;margin-left:34.6pt;margin-top:96.5pt;width:87.5pt;height:1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uVBDgIAACoEAAAOAAAAZHJzL2Uyb0RvYy54bWysU02P2yAQvVfqf0DcGydWtu1acVbprlJV&#10;inZXylZ7JhhiJGAokNjpr++A89VtT1V9wAMzzMd7j9ldbzTZCx8U2JpORmNKhOXQKLut6feX5YfP&#10;lITIbMM0WFHTgwj0bv7+3axzlSihBd0ITzCJDVXnatrG6KqiCLwVhoUROGHRKcEbFnHrt0XjWYfZ&#10;jS7K8fhj0YFvnAcuQsDTh8FJ5zm/lILHJymDiETXFHuLefV53aS1mM9YtfXMtYof22D/0IVhymLR&#10;c6oHFhnZefVHKqO4hwAyjjiYAqRUXOQZcJrJ+M0065Y5kWdBcII7wxT+X1r+uF+7Z09i/wV6JDAB&#10;0rlQBTxM8/TSm/THTgn6EcLDGTbRR8LTJfzKG3Rx9JX4oY1pistt50P8KsCQZNTUIy0ZLbZfhTiE&#10;nkJSMQtLpXWmRtvfDjBnOikuLSYr9pueqAaLn9rfQHPAqTwMhAfHlwpLr1iIz8wjw9gtqjY+4SI1&#10;dDWFo0VJC/7n385TPAKPXko6VExNw48d84IS/c0iJbeT6TRJLG+mN59K3Phrz+baY3fmHlCUE3wf&#10;jmczxUd9MqUH84riXqSq6GKWY+2axpN5Hwcd4+PgYrHIQSgqx+LKrh1PqRN2CdiX/pV5d0Q/Im+P&#10;cNIWq96QMMQOqC92EaTKDCWcB1SP8KMgM8fHx5MUf73PUZcnPv8FAAD//wMAUEsDBBQABgAIAAAA&#10;IQBWF7T43gAAAAoBAAAPAAAAZHJzL2Rvd25yZXYueG1sTI/NTsMwEITvSH0HaytxozYhVE0ap6qK&#10;uIIoP1JvbrxNIuJ1FLtNeHuWE73tzo5mvyk2k+vEBYfQetJwv1AgkCpvW6o1fLw/361AhGjIms4T&#10;avjBAJtydlOY3PqR3vCyj7XgEAq50dDE2OdShqpBZ8LC90h8O/nBmcjrUEs7mJHDXScTpZbSmZb4&#10;Q2N63DVYfe/PTsPny+nwlarX+sk99qOflCSXSa1v59N2DSLiFP/N8IfP6FAy09GfyQbRaVhmCTtZ&#10;zx64ExuSNGXlyEOyUiDLQl5XKH8BAAD//wMAUEsBAi0AFAAGAAgAAAAhALaDOJL+AAAA4QEAABMA&#10;AAAAAAAAAAAAAAAAAAAAAFtDb250ZW50X1R5cGVzXS54bWxQSwECLQAUAAYACAAAACEAOP0h/9YA&#10;AACUAQAACwAAAAAAAAAAAAAAAAAvAQAAX3JlbHMvLnJlbHNQSwECLQAUAAYACAAAACEAs9rlQQ4C&#10;AAAqBAAADgAAAAAAAAAAAAAAAAAuAgAAZHJzL2Uyb0RvYy54bWxQSwECLQAUAAYACAAAACEAVhe0&#10;+N4AAAAKAQAADwAAAAAAAAAAAAAAAABoBAAAZHJzL2Rvd25yZXYueG1sUEsFBgAAAAAEAAQA8wAA&#10;AHMFAAAAAA==&#10;" filled="f" stroked="f">
                      <v:textbox>
                        <w:txbxContent>
                          <w:p w14:paraId="60746666" w14:textId="77777777" w:rsidR="00B81C3A" w:rsidRPr="00B06A5B"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7.33</w:t>
                            </w:r>
                            <w:r>
                              <w:rPr>
                                <w:rFonts w:cs="Times New Roman"/>
                                <w:sz w:val="22"/>
                              </w:rPr>
                              <w:t>±0.55*10</w:t>
                            </w:r>
                            <w:r w:rsidRPr="0010018C">
                              <w:rPr>
                                <w:rFonts w:cs="Times New Roman"/>
                                <w:sz w:val="22"/>
                                <w:vertAlign w:val="superscript"/>
                              </w:rPr>
                              <w:t>8</w:t>
                            </w:r>
                            <w:r>
                              <w:rPr>
                                <w:rFonts w:cs="Times New Roman"/>
                                <w:sz w:val="22"/>
                              </w:rPr>
                              <w:t xml:space="preserve"> nucleotides</w:t>
                            </w:r>
                          </w:p>
                        </w:txbxContent>
                      </v:textbox>
                    </v:shape>
                  </w:pict>
                </mc:Fallback>
              </mc:AlternateContent>
            </w:r>
            <w:r w:rsidRPr="00E33063">
              <w:drawing>
                <wp:inline distT="0" distB="0" distL="0" distR="0" wp14:anchorId="10449A0E" wp14:editId="32D6BE0A">
                  <wp:extent cx="1737360" cy="2103120"/>
                  <wp:effectExtent l="19050" t="19050" r="15240" b="11430"/>
                  <wp:docPr id="2095610182" name="Picture 2095610182" descr="A black arrow pointing to the sky&#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descr="A black arrow pointing to the sky&#10;&#10;Description automatically generated with medium confidence"/>
                          <pic:cNvPicPr preferRelativeResize="0">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r>
      <w:tr w:rsidR="00B81C3A" w:rsidRPr="00E33063" w14:paraId="0FFDE364" w14:textId="77777777" w:rsidTr="004D0741">
        <w:tc>
          <w:tcPr>
            <w:tcW w:w="3192" w:type="dxa"/>
          </w:tcPr>
          <w:p w14:paraId="4C70419F" w14:textId="77777777" w:rsidR="00B81C3A" w:rsidRPr="00E33063" w:rsidRDefault="00B81C3A" w:rsidP="004D0741">
            <w:pPr>
              <w:pStyle w:val="NoSpacing"/>
              <w:jc w:val="center"/>
              <w:rPr>
                <w:sz w:val="22"/>
              </w:rPr>
            </w:pPr>
            <w:r w:rsidRPr="00E33063">
              <w:rPr>
                <w:sz w:val="22"/>
              </w:rPr>
              <w:t>Vehicle, 20% HS 15</w:t>
            </w:r>
          </w:p>
        </w:tc>
        <w:tc>
          <w:tcPr>
            <w:tcW w:w="3192" w:type="dxa"/>
          </w:tcPr>
          <w:p w14:paraId="09924CA1" w14:textId="77777777" w:rsidR="00B81C3A" w:rsidRPr="00E33063" w:rsidRDefault="00B81C3A" w:rsidP="004D0741">
            <w:pPr>
              <w:pStyle w:val="NoSpacing"/>
              <w:jc w:val="center"/>
              <w:rPr>
                <w:sz w:val="22"/>
              </w:rPr>
            </w:pPr>
            <w:r w:rsidRPr="00E33063">
              <w:rPr>
                <w:sz w:val="22"/>
              </w:rPr>
              <w:t>2-Methyl-2-pentenal, 8 mg/egg</w:t>
            </w:r>
          </w:p>
          <w:p w14:paraId="4C926420" w14:textId="77777777" w:rsidR="00B81C3A" w:rsidRPr="00E33063" w:rsidRDefault="00B81C3A" w:rsidP="004D0741">
            <w:pPr>
              <w:pStyle w:val="NoSpacing"/>
              <w:rPr>
                <w:sz w:val="22"/>
              </w:rPr>
            </w:pPr>
          </w:p>
        </w:tc>
        <w:tc>
          <w:tcPr>
            <w:tcW w:w="3192" w:type="dxa"/>
          </w:tcPr>
          <w:p w14:paraId="2717FCD6" w14:textId="77777777" w:rsidR="00B81C3A" w:rsidRDefault="00B81C3A" w:rsidP="004D0741">
            <w:pPr>
              <w:pStyle w:val="NoSpacing"/>
              <w:jc w:val="center"/>
              <w:rPr>
                <w:sz w:val="22"/>
              </w:rPr>
            </w:pPr>
            <w:r w:rsidRPr="00E33063">
              <w:rPr>
                <w:sz w:val="22"/>
              </w:rPr>
              <w:t>Quinoline, 5 mg/egg</w:t>
            </w:r>
          </w:p>
          <w:p w14:paraId="5E4B7615" w14:textId="77777777" w:rsidR="00B81C3A" w:rsidRPr="00E33063" w:rsidRDefault="00B81C3A" w:rsidP="004D0741">
            <w:pPr>
              <w:pStyle w:val="NoSpacing"/>
              <w:jc w:val="center"/>
              <w:rPr>
                <w:sz w:val="22"/>
              </w:rPr>
            </w:pPr>
          </w:p>
        </w:tc>
      </w:tr>
    </w:tbl>
    <w:p w14:paraId="1A092C0D" w14:textId="77777777" w:rsidR="00B81C3A" w:rsidRDefault="00B81C3A" w:rsidP="00B81C3A">
      <w:pPr>
        <w:ind w:firstLine="90"/>
      </w:pPr>
      <w:r>
        <w:t xml:space="preserve">                                                                  (A)</w:t>
      </w:r>
    </w:p>
    <w:p w14:paraId="6CEBB574" w14:textId="77777777" w:rsidR="00B81C3A" w:rsidRDefault="00B81C3A" w:rsidP="00B81C3A">
      <w:pPr>
        <w:ind w:firstLine="90"/>
      </w:pPr>
      <w:r>
        <w:object w:dxaOrig="6372" w:dyaOrig="7032" w14:anchorId="152FEDA5">
          <v:shape id="_x0000_i1044" type="#_x0000_t75" style="width:218pt;height:211.5pt" o:ole="">
            <v:imagedata r:id="rId26" o:title=""/>
          </v:shape>
          <o:OLEObject Type="Embed" ProgID="Prism10.Document" ShapeID="_x0000_i1044" DrawAspect="Content" ObjectID="_1773428601" r:id="rId27"/>
        </w:object>
      </w:r>
      <w:r>
        <w:t xml:space="preserve">         </w:t>
      </w:r>
      <w:r>
        <w:object w:dxaOrig="5256" w:dyaOrig="6768" w14:anchorId="6ABC9A32">
          <v:shape id="_x0000_i1045" type="#_x0000_t75" style="width:212.5pt;height:210.5pt" o:ole="">
            <v:imagedata r:id="rId28" o:title=""/>
          </v:shape>
          <o:OLEObject Type="Embed" ProgID="Prism10.Document" ShapeID="_x0000_i1045" DrawAspect="Content" ObjectID="_1773428602" r:id="rId29"/>
        </w:object>
      </w:r>
    </w:p>
    <w:p w14:paraId="299D0EF7" w14:textId="77777777" w:rsidR="00B81C3A" w:rsidRDefault="00B81C3A" w:rsidP="00B81C3A">
      <w:pPr>
        <w:ind w:firstLine="90"/>
      </w:pPr>
      <w:r>
        <w:t xml:space="preserve">                                   (B)                                                                         </w:t>
      </w:r>
      <w:proofErr w:type="gramStart"/>
      <w:r>
        <w:t xml:space="preserve">   (</w:t>
      </w:r>
      <w:proofErr w:type="gramEnd"/>
      <w:r>
        <w:t>C)</w:t>
      </w:r>
    </w:p>
    <w:p w14:paraId="0953DBE5" w14:textId="77777777" w:rsidR="00B81C3A" w:rsidRDefault="00B81C3A" w:rsidP="00B81C3A">
      <w:pPr>
        <w:ind w:firstLine="90"/>
        <w:jc w:val="both"/>
        <w:rPr>
          <w:sz w:val="22"/>
        </w:rPr>
      </w:pPr>
      <w:r w:rsidRPr="00E33063">
        <w:rPr>
          <w:b/>
          <w:sz w:val="22"/>
        </w:rPr>
        <w:t xml:space="preserve">Figure </w:t>
      </w:r>
      <w:r>
        <w:rPr>
          <w:b/>
          <w:sz w:val="22"/>
        </w:rPr>
        <w:t>3</w:t>
      </w:r>
      <w:r w:rsidRPr="00E33063">
        <w:rPr>
          <w:b/>
          <w:sz w:val="22"/>
        </w:rPr>
        <w:t>.</w:t>
      </w:r>
      <w:r w:rsidRPr="00E33063">
        <w:rPr>
          <w:sz w:val="22"/>
        </w:rPr>
        <w:t xml:space="preserve"> </w:t>
      </w:r>
      <w:r>
        <w:rPr>
          <w:sz w:val="22"/>
        </w:rPr>
        <w:t xml:space="preserve">(A) </w:t>
      </w:r>
      <w:r w:rsidRPr="00E33063">
        <w:rPr>
          <w:sz w:val="22"/>
        </w:rPr>
        <w:t xml:space="preserve">Representative nucleotide ³²P-postlabeling (NPL) chromatograms from the chicken fetal liver samples after exposure to the vehicle, 2-methyl-2-pentenal, or positive control. Analysis of DNA adducts from the livers (3 samples (eggs) per group) </w:t>
      </w:r>
      <w:proofErr w:type="gramStart"/>
      <w:r w:rsidRPr="00E33063">
        <w:rPr>
          <w:sz w:val="22"/>
        </w:rPr>
        <w:t>was obtained</w:t>
      </w:r>
      <w:proofErr w:type="gramEnd"/>
      <w:r w:rsidRPr="00E33063">
        <w:rPr>
          <w:sz w:val="22"/>
        </w:rPr>
        <w:t xml:space="preserve"> using NP</w:t>
      </w:r>
      <w:r w:rsidRPr="00E33063">
        <w:rPr>
          <w:sz w:val="22"/>
          <w:vertAlign w:val="subscript"/>
        </w:rPr>
        <w:t>1</w:t>
      </w:r>
      <w:r w:rsidRPr="00E33063">
        <w:rPr>
          <w:sz w:val="22"/>
        </w:rPr>
        <w:t xml:space="preserve"> enrichment. Adducts </w:t>
      </w:r>
      <w:proofErr w:type="gramStart"/>
      <w:r w:rsidRPr="00E33063">
        <w:rPr>
          <w:sz w:val="22"/>
        </w:rPr>
        <w:t>were resolved</w:t>
      </w:r>
      <w:proofErr w:type="gramEnd"/>
      <w:r w:rsidRPr="00E33063">
        <w:rPr>
          <w:sz w:val="22"/>
        </w:rPr>
        <w:t xml:space="preserve"> in the second and third directions of chromatography and are indicated by arrows. Dose represents cumulative dose, administered in </w:t>
      </w:r>
      <w:proofErr w:type="gramStart"/>
      <w:r w:rsidRPr="00E33063">
        <w:rPr>
          <w:sz w:val="22"/>
        </w:rPr>
        <w:t>3</w:t>
      </w:r>
      <w:proofErr w:type="gramEnd"/>
      <w:r w:rsidRPr="00E33063">
        <w:rPr>
          <w:sz w:val="22"/>
        </w:rPr>
        <w:t xml:space="preserve"> daily injections.</w:t>
      </w:r>
      <w:r>
        <w:rPr>
          <w:sz w:val="22"/>
        </w:rPr>
        <w:t xml:space="preserve"> (B) </w:t>
      </w:r>
      <w:r w:rsidRPr="00E33063">
        <w:rPr>
          <w:sz w:val="22"/>
        </w:rPr>
        <w:t>DNA-in-tail percentage in the livers of chicken fetuses exposed to the vehicle, 2-methyl-2-pentenal, or positive control.</w:t>
      </w:r>
      <w:r>
        <w:rPr>
          <w:sz w:val="22"/>
        </w:rPr>
        <w:t xml:space="preserve"> (C) Micronucleus</w:t>
      </w:r>
      <w:r w:rsidRPr="00E33063">
        <w:rPr>
          <w:sz w:val="22"/>
        </w:rPr>
        <w:t xml:space="preserve"> percentage in the </w:t>
      </w:r>
      <w:r>
        <w:rPr>
          <w:sz w:val="22"/>
        </w:rPr>
        <w:t>blood</w:t>
      </w:r>
      <w:r w:rsidRPr="00E33063">
        <w:rPr>
          <w:sz w:val="22"/>
        </w:rPr>
        <w:t xml:space="preserve"> of chicken fetuses exposed to the vehicle, 2-methyl-2-pentenal, or positive control.</w:t>
      </w:r>
    </w:p>
    <w:p w14:paraId="14A2BCF8" w14:textId="77777777" w:rsidR="007555EF" w:rsidRPr="00E33063" w:rsidRDefault="007555EF" w:rsidP="007555EF">
      <w:pPr>
        <w:rPr>
          <w:rFonts w:cs="Times New Roman"/>
          <w:noProof/>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0"/>
        <w:gridCol w:w="3120"/>
        <w:gridCol w:w="3120"/>
      </w:tblGrid>
      <w:tr w:rsidR="00B81C3A" w:rsidRPr="00E33063" w14:paraId="110ADE85" w14:textId="77777777" w:rsidTr="004D0741">
        <w:tc>
          <w:tcPr>
            <w:tcW w:w="3120" w:type="dxa"/>
          </w:tcPr>
          <w:p w14:paraId="6D49DFAF" w14:textId="77777777" w:rsidR="00B81C3A" w:rsidRPr="00E33063" w:rsidRDefault="00B81C3A" w:rsidP="004D0741">
            <w:pPr>
              <w:pStyle w:val="BodyTextIndent1"/>
            </w:pPr>
            <w:r w:rsidRPr="00E33063">
              <w:lastRenderedPageBreak/>
              <w:drawing>
                <wp:inline distT="0" distB="0" distL="0" distR="0" wp14:anchorId="04E5D48A" wp14:editId="00176D08">
                  <wp:extent cx="1737360" cy="2103120"/>
                  <wp:effectExtent l="19050" t="19050" r="15240" b="11430"/>
                  <wp:docPr id="1098663906" name="Picture 1098663906" descr="A blurry black and white photo of a ligh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Picture 29" descr="A blurry black and white photo of a light&#10;&#10;Description automatically generated"/>
                          <pic:cNvPicPr preferRelativeResize="0">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120" w:type="dxa"/>
          </w:tcPr>
          <w:p w14:paraId="46171B6F" w14:textId="77777777" w:rsidR="00B81C3A" w:rsidRPr="00E33063" w:rsidRDefault="00B81C3A" w:rsidP="004D0741">
            <w:pPr>
              <w:pStyle w:val="BodyTextIndent1"/>
            </w:pPr>
            <w:r>
              <mc:AlternateContent>
                <mc:Choice Requires="wps">
                  <w:drawing>
                    <wp:anchor distT="0" distB="0" distL="114300" distR="114300" simplePos="0" relativeHeight="251686912" behindDoc="0" locked="0" layoutInCell="1" allowOverlap="1" wp14:anchorId="1DBE768B" wp14:editId="2ED67389">
                      <wp:simplePos x="0" y="0"/>
                      <wp:positionH relativeFrom="column">
                        <wp:posOffset>414020</wp:posOffset>
                      </wp:positionH>
                      <wp:positionV relativeFrom="paragraph">
                        <wp:posOffset>527050</wp:posOffset>
                      </wp:positionV>
                      <wp:extent cx="1079500" cy="273050"/>
                      <wp:effectExtent l="0" t="0" r="0" b="0"/>
                      <wp:wrapNone/>
                      <wp:docPr id="1904224985" name="Text Box 1"/>
                      <wp:cNvGraphicFramePr/>
                      <a:graphic xmlns:a="http://schemas.openxmlformats.org/drawingml/2006/main">
                        <a:graphicData uri="http://schemas.microsoft.com/office/word/2010/wordprocessingShape">
                          <wps:wsp>
                            <wps:cNvSpPr txBox="1"/>
                            <wps:spPr>
                              <a:xfrm>
                                <a:off x="0" y="0"/>
                                <a:ext cx="1079500" cy="273050"/>
                              </a:xfrm>
                              <a:prstGeom prst="rect">
                                <a:avLst/>
                              </a:prstGeom>
                              <a:noFill/>
                              <a:ln>
                                <a:noFill/>
                              </a:ln>
                            </wps:spPr>
                            <wps:txbx>
                              <w:txbxContent>
                                <w:p w14:paraId="70D1C281" w14:textId="77777777" w:rsidR="00B81C3A" w:rsidRPr="004771AF"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17.04</w:t>
                                  </w:r>
                                  <w:r>
                                    <w:rPr>
                                      <w:rFonts w:cs="Times New Roman"/>
                                      <w:sz w:val="22"/>
                                    </w:rPr>
                                    <w:t>±4.39*10</w:t>
                                  </w:r>
                                  <w:r w:rsidRPr="0010018C">
                                    <w:rPr>
                                      <w:rFonts w:cs="Times New Roman"/>
                                      <w:sz w:val="22"/>
                                      <w:vertAlign w:val="superscript"/>
                                    </w:rPr>
                                    <w:t>8</w:t>
                                  </w:r>
                                  <w:r>
                                    <w:rPr>
                                      <w:rFonts w:cs="Times New Roman"/>
                                      <w:sz w:val="22"/>
                                    </w:rPr>
                                    <w:t xml:space="preserve"> nucleotides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BE768B" id="_x0000_s1029" type="#_x0000_t202" style="position:absolute;left:0;text-align:left;margin-left:32.6pt;margin-top:41.5pt;width:85pt;height:2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EaHEwIAACoEAAAOAAAAZHJzL2Uyb0RvYy54bWysU8tu2zAQvBfoPxC815Idu04Ey4GbwEUB&#10;IwngFDnTFGkRoLgsSVtyv75Lyq+mPRW9UMvd1T5mhrP7rtFkL5xXYEo6HOSUCMOhUmZb0u+vy0+3&#10;lPjATMU0GFHSg/D0fv7xw6y1hRhBDboSjmAR44vWlrQOwRZZ5nktGuYHYIXBoATXsIBXt80qx1qs&#10;3uhslOefsxZcZR1w4T16H/sgnaf6UgoenqX0IhBdUpwtpNOlcxPPbD5jxdYxWyt+HIP9wxQNUwab&#10;nks9ssDIzqk/SjWKO/Agw4BDk4GUiou0A24zzN9ts66ZFWkXBMfbM0z+/5XlT/u1fXEkdF+gQwIj&#10;IK31hUdn3KeTrolfnJRgHCE8nGETXSA8/pRP7yY5hjjGRtObfJJwzS5/W+fDVwENiUZJHdKS0GL7&#10;lQ/YEVNPKbGZgaXSOlGjzW8OTIye7DJitEK36YiqSnpzGn8D1QG3ctAT7i1fKmy9Yj68MIcM47So&#10;2vCMh9TQlhSOFiU1uJ9/88d8BB6jlLSomJL6HzvmBCX6m0FK7objcZRYuown0xFe3HVkcx0xu+YB&#10;UJRDfB+WJzPmB30ypYPmDcW9iF0xxAzH3iUNJ/Mh9DrGx8HFYpGSUFSWhZVZWx5LR+wisK/dG3P2&#10;iH5A3p7gpC1WvCOhz+1RX+wCSJUYijj3qB7hR0Em4o6PJyr++p6yLk98/gsAAP//AwBQSwMEFAAG&#10;AAgAAAAhAD8w3DPcAAAACQEAAA8AAABkcnMvZG93bnJldi54bWxMj81OwzAQhO9IvIO1SNzompRG&#10;JcSpEIgriPIjcXPjbRIRr6PYbcLbsz3BcWc+zc6Um9n36khj7AIbuF5oUMR1cB03Bt7fnq7WoGKy&#10;7GwfmAz8UIRNdX5W2sKFiV/puE2NkhCOhTXQpjQUiLFuydu4CAOxePswepvkHBt0o50k3PeYaZ2j&#10;tx3Lh9YO9NBS/b09eAMfz/uvzxv90jz61TCFWSP7WzTm8mK+vwOVaE5/MJzqS3WopNMuHNhF1RvI&#10;V5mQBtZLmSR+tjwJOwGzXANWJf5fUP0CAAD//wMAUEsBAi0AFAAGAAgAAAAhALaDOJL+AAAA4QEA&#10;ABMAAAAAAAAAAAAAAAAAAAAAAFtDb250ZW50X1R5cGVzXS54bWxQSwECLQAUAAYACAAAACEAOP0h&#10;/9YAAACUAQAACwAAAAAAAAAAAAAAAAAvAQAAX3JlbHMvLnJlbHNQSwECLQAUAAYACAAAACEArGhG&#10;hxMCAAAqBAAADgAAAAAAAAAAAAAAAAAuAgAAZHJzL2Uyb0RvYy54bWxQSwECLQAUAAYACAAAACEA&#10;PzDcM9wAAAAJAQAADwAAAAAAAAAAAAAAAABtBAAAZHJzL2Rvd25yZXYueG1sUEsFBgAAAAAEAAQA&#10;8wAAAHYFAAAAAA==&#10;" filled="f" stroked="f">
                      <v:textbox>
                        <w:txbxContent>
                          <w:p w14:paraId="70D1C281" w14:textId="77777777" w:rsidR="00B81C3A" w:rsidRPr="004771AF"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17.04</w:t>
                            </w:r>
                            <w:r>
                              <w:rPr>
                                <w:rFonts w:cs="Times New Roman"/>
                                <w:sz w:val="22"/>
                              </w:rPr>
                              <w:t>±4.39*10</w:t>
                            </w:r>
                            <w:r w:rsidRPr="0010018C">
                              <w:rPr>
                                <w:rFonts w:cs="Times New Roman"/>
                                <w:sz w:val="22"/>
                                <w:vertAlign w:val="superscript"/>
                              </w:rPr>
                              <w:t>8</w:t>
                            </w:r>
                            <w:r>
                              <w:rPr>
                                <w:rFonts w:cs="Times New Roman"/>
                                <w:sz w:val="22"/>
                              </w:rPr>
                              <w:t xml:space="preserve"> nucleotides</w:t>
                            </w:r>
                          </w:p>
                        </w:txbxContent>
                      </v:textbox>
                    </v:shape>
                  </w:pict>
                </mc:Fallback>
              </mc:AlternateContent>
            </w:r>
            <w:r w:rsidRPr="00E33063">
              <w:drawing>
                <wp:inline distT="0" distB="0" distL="0" distR="0" wp14:anchorId="741B295B" wp14:editId="510E790D">
                  <wp:extent cx="1737360" cy="2103120"/>
                  <wp:effectExtent l="19050" t="19050" r="15240" b="11430"/>
                  <wp:docPr id="1152076176" name="Picture 1152076176" descr="A blurry image of a black arrow&#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Picture 30" descr="A blurry image of a black arrow&#10;&#10;Description automatically generated"/>
                          <pic:cNvPicPr preferRelativeResize="0">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c>
          <w:tcPr>
            <w:tcW w:w="3120" w:type="dxa"/>
          </w:tcPr>
          <w:p w14:paraId="7F8449A9" w14:textId="77777777" w:rsidR="00B81C3A" w:rsidRPr="00E33063" w:rsidRDefault="00B81C3A" w:rsidP="004D0741">
            <w:pPr>
              <w:pStyle w:val="BodyTextIndent1"/>
            </w:pPr>
            <w:r>
              <mc:AlternateContent>
                <mc:Choice Requires="wps">
                  <w:drawing>
                    <wp:anchor distT="0" distB="0" distL="114300" distR="114300" simplePos="0" relativeHeight="251687936" behindDoc="0" locked="0" layoutInCell="1" allowOverlap="1" wp14:anchorId="3346BE44" wp14:editId="3BFE08AD">
                      <wp:simplePos x="0" y="0"/>
                      <wp:positionH relativeFrom="column">
                        <wp:posOffset>356870</wp:posOffset>
                      </wp:positionH>
                      <wp:positionV relativeFrom="paragraph">
                        <wp:posOffset>1200150</wp:posOffset>
                      </wp:positionV>
                      <wp:extent cx="1203960" cy="222250"/>
                      <wp:effectExtent l="0" t="0" r="0" b="6350"/>
                      <wp:wrapNone/>
                      <wp:docPr id="1033429355" name="Text Box 1"/>
                      <wp:cNvGraphicFramePr/>
                      <a:graphic xmlns:a="http://schemas.openxmlformats.org/drawingml/2006/main">
                        <a:graphicData uri="http://schemas.microsoft.com/office/word/2010/wordprocessingShape">
                          <wps:wsp>
                            <wps:cNvSpPr txBox="1"/>
                            <wps:spPr>
                              <a:xfrm>
                                <a:off x="0" y="0"/>
                                <a:ext cx="1203960" cy="222250"/>
                              </a:xfrm>
                              <a:prstGeom prst="rect">
                                <a:avLst/>
                              </a:prstGeom>
                              <a:noFill/>
                              <a:ln>
                                <a:noFill/>
                              </a:ln>
                            </wps:spPr>
                            <wps:txbx>
                              <w:txbxContent>
                                <w:p w14:paraId="3A1FB404" w14:textId="77777777" w:rsidR="00B81C3A" w:rsidRPr="004771AF"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6.54</w:t>
                                  </w:r>
                                  <w:r>
                                    <w:rPr>
                                      <w:rFonts w:cs="Times New Roman"/>
                                      <w:sz w:val="22"/>
                                    </w:rPr>
                                    <w:t>±0.38*10</w:t>
                                  </w:r>
                                  <w:r w:rsidRPr="0010018C">
                                    <w:rPr>
                                      <w:rFonts w:cs="Times New Roman"/>
                                      <w:sz w:val="22"/>
                                      <w:vertAlign w:val="superscript"/>
                                    </w:rPr>
                                    <w:t>8</w:t>
                                  </w:r>
                                  <w:r>
                                    <w:rPr>
                                      <w:rFonts w:cs="Times New Roman"/>
                                      <w:sz w:val="22"/>
                                    </w:rPr>
                                    <w:t xml:space="preserve"> nucleotides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46BE44" id="_x0000_s1030" type="#_x0000_t202" style="position:absolute;left:0;text-align:left;margin-left:28.1pt;margin-top:94.5pt;width:94.8pt;height:1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CrEgIAACoEAAAOAAAAZHJzL2Uyb0RvYy54bWysU01vGjEQvVfqf7B8LwuUpM2KJaKJqCqh&#10;JBKpcjZem7Vke1zbsEt/fcdevprkVJWDGc/Mzsd7z9PbzmiyEz4osBUdDYaUCMuhVnZT0Z/Pi09f&#10;KQmR2ZppsKKiexHo7ezjh2nrSjGGBnQtPMEiNpStq2gToyuLIvBGGBYG4ITFoARvWMSr3xS1Zy1W&#10;N7oYD4fXRQu+dh64CAG9932QznJ9KQWPj1IGEYmuKM4W8+nzuU5nMZuycuOZaxQ/jMH+YQrDlMWm&#10;p1L3LDKy9epNKaO4hwAyDjiYAqRUXOQdcJvR8NU2q4Y5kXdBcII7wRT+X1n+sFu5J09i9w06JDAB&#10;0rpQBnSmfTrpTfrHSQnGEcL9CTbRRcLTR+Ph55trDHGMjfF3lXEtzl87H+J3AYYko6Ieaclosd0y&#10;ROyIqceU1MzCQmmdqdH2LwcmJk9xHjFZsVt3RNUVnRzHX0O9x6089IQHxxcKWy9ZiE/MI8M4Lao2&#10;PuIhNbQVhYNFSQP+93v+lI/AY5SSFhVT0fBry7ygRP+wSMnNaDJJEsuXydWXMV78ZWR9GbFbcwco&#10;yhG+D8ezmfKjPprSg3lBcc9TVwwxy7F3RePRvIu9jvFxcDGf5yQUlWNxaVeOp9IJuwTsc/fCvDug&#10;H5G3Bzhqi5WvSOhze9Tn2whSZYYSzj2qB/hRkJm4w+NJir+856zzE5/9AQAA//8DAFBLAwQUAAYA&#10;CAAAACEARbkvAd4AAAAKAQAADwAAAGRycy9kb3ducmV2LnhtbEyPQU/DMAyF70j8h8hIu7GEqp22&#10;rumEQLsOsQESt6zx2mqNUzXZ2v17zAlutt/T8/eKzeQ6ccUhtJ40PM0VCKTK25ZqDR+H7eMSRIiG&#10;rOk8oYYbBtiU93eFya0f6R2v+1gLDqGQGw1NjH0uZagadCbMfY/E2skPzkReh1rawYwc7jqZKLWQ&#10;zrTEHxrT40uD1Xl/cRo+d6fvr1S91a8u60c/KUluJbWePUzPaxARp/hnhl98RoeSmY7+QjaITkO2&#10;SNjJ9+WKO7EhSTPucuQhSRXIspD/K5Q/AAAA//8DAFBLAQItABQABgAIAAAAIQC2gziS/gAAAOEB&#10;AAATAAAAAAAAAAAAAAAAAAAAAABbQ29udGVudF9UeXBlc10ueG1sUEsBAi0AFAAGAAgAAAAhADj9&#10;If/WAAAAlAEAAAsAAAAAAAAAAAAAAAAALwEAAF9yZWxzLy5yZWxzUEsBAi0AFAAGAAgAAAAhAK2Q&#10;gKsSAgAAKgQAAA4AAAAAAAAAAAAAAAAALgIAAGRycy9lMm9Eb2MueG1sUEsBAi0AFAAGAAgAAAAh&#10;AEW5LwHeAAAACgEAAA8AAAAAAAAAAAAAAAAAbAQAAGRycy9kb3ducmV2LnhtbFBLBQYAAAAABAAE&#10;APMAAAB3BQAAAAA=&#10;" filled="f" stroked="f">
                      <v:textbox>
                        <w:txbxContent>
                          <w:p w14:paraId="3A1FB404" w14:textId="77777777" w:rsidR="00B81C3A" w:rsidRPr="004771AF" w:rsidRDefault="00B81C3A" w:rsidP="00B81C3A">
                            <w:pPr>
                              <w:pStyle w:val="NoSpacing"/>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sz w:val="22"/>
                              </w:rPr>
                              <w:t>6.54</w:t>
                            </w:r>
                            <w:r>
                              <w:rPr>
                                <w:rFonts w:cs="Times New Roman"/>
                                <w:sz w:val="22"/>
                              </w:rPr>
                              <w:t>±0.38*10</w:t>
                            </w:r>
                            <w:r w:rsidRPr="0010018C">
                              <w:rPr>
                                <w:rFonts w:cs="Times New Roman"/>
                                <w:sz w:val="22"/>
                                <w:vertAlign w:val="superscript"/>
                              </w:rPr>
                              <w:t>8</w:t>
                            </w:r>
                            <w:r>
                              <w:rPr>
                                <w:rFonts w:cs="Times New Roman"/>
                                <w:sz w:val="22"/>
                              </w:rPr>
                              <w:t xml:space="preserve"> nucleotides</w:t>
                            </w:r>
                          </w:p>
                        </w:txbxContent>
                      </v:textbox>
                    </v:shape>
                  </w:pict>
                </mc:Fallback>
              </mc:AlternateContent>
            </w:r>
            <w:r w:rsidRPr="00E33063">
              <w:drawing>
                <wp:inline distT="0" distB="0" distL="0" distR="0" wp14:anchorId="1B9FA3C0" wp14:editId="5659BA7D">
                  <wp:extent cx="1737360" cy="2103120"/>
                  <wp:effectExtent l="19050" t="19050" r="15240" b="11430"/>
                  <wp:docPr id="449771720" name="Picture 449771720" descr="A black arrow in the air&#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80" name="Picture 2080" descr="A black arrow in the air&#10;&#10;Description automatically generated"/>
                          <pic:cNvPicPr preferRelativeResize="0">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37360" cy="2103120"/>
                          </a:xfrm>
                          <a:prstGeom prst="rect">
                            <a:avLst/>
                          </a:prstGeom>
                          <a:noFill/>
                          <a:ln>
                            <a:solidFill>
                              <a:schemeClr val="tx1"/>
                            </a:solidFill>
                          </a:ln>
                        </pic:spPr>
                      </pic:pic>
                    </a:graphicData>
                  </a:graphic>
                </wp:inline>
              </w:drawing>
            </w:r>
          </w:p>
        </w:tc>
      </w:tr>
      <w:tr w:rsidR="00B81C3A" w:rsidRPr="00E33063" w14:paraId="312FC92A" w14:textId="77777777" w:rsidTr="004D0741">
        <w:trPr>
          <w:trHeight w:val="639"/>
        </w:trPr>
        <w:tc>
          <w:tcPr>
            <w:tcW w:w="3120" w:type="dxa"/>
          </w:tcPr>
          <w:p w14:paraId="69074D2F" w14:textId="77777777" w:rsidR="00B81C3A" w:rsidRPr="00E33063" w:rsidRDefault="00B81C3A" w:rsidP="004D0741">
            <w:pPr>
              <w:pStyle w:val="NoSpacing"/>
              <w:jc w:val="center"/>
              <w:rPr>
                <w:sz w:val="22"/>
              </w:rPr>
            </w:pPr>
            <w:r w:rsidRPr="00E33063">
              <w:rPr>
                <w:sz w:val="22"/>
              </w:rPr>
              <w:t>Vehicle, 20% HS 15</w:t>
            </w:r>
          </w:p>
        </w:tc>
        <w:tc>
          <w:tcPr>
            <w:tcW w:w="3120" w:type="dxa"/>
          </w:tcPr>
          <w:p w14:paraId="5828FF1B" w14:textId="77777777" w:rsidR="00B81C3A" w:rsidRPr="004128F2" w:rsidRDefault="00B81C3A" w:rsidP="004D0741">
            <w:pPr>
              <w:pStyle w:val="NoSpacing"/>
              <w:jc w:val="center"/>
              <w:rPr>
                <w:sz w:val="22"/>
                <w:lang w:val="nl-NL"/>
              </w:rPr>
            </w:pPr>
            <w:r w:rsidRPr="004128F2">
              <w:rPr>
                <w:sz w:val="22"/>
                <w:lang w:val="nl-NL"/>
              </w:rPr>
              <w:t>p-Methoxy cinnamaldehyde, 2.5 mg/egg</w:t>
            </w:r>
          </w:p>
        </w:tc>
        <w:tc>
          <w:tcPr>
            <w:tcW w:w="3120" w:type="dxa"/>
          </w:tcPr>
          <w:p w14:paraId="37CF9264" w14:textId="77777777" w:rsidR="00B81C3A" w:rsidRPr="00E33063" w:rsidRDefault="00B81C3A" w:rsidP="004D0741">
            <w:pPr>
              <w:pStyle w:val="NoSpacing"/>
              <w:jc w:val="center"/>
              <w:rPr>
                <w:sz w:val="22"/>
              </w:rPr>
            </w:pPr>
            <w:r w:rsidRPr="00E33063">
              <w:rPr>
                <w:sz w:val="22"/>
              </w:rPr>
              <w:t>Quinoline, 5 mg/egg</w:t>
            </w:r>
          </w:p>
        </w:tc>
      </w:tr>
    </w:tbl>
    <w:p w14:paraId="11452B00" w14:textId="77777777" w:rsidR="00B81C3A" w:rsidRDefault="00B81C3A" w:rsidP="00B81C3A">
      <w:pPr>
        <w:ind w:firstLine="0"/>
        <w:jc w:val="both"/>
      </w:pPr>
      <w:r>
        <w:t xml:space="preserve">                                                                            (A)</w:t>
      </w:r>
    </w:p>
    <w:p w14:paraId="258F5134" w14:textId="77777777" w:rsidR="00B81C3A" w:rsidRDefault="00B81C3A" w:rsidP="00B81C3A">
      <w:pPr>
        <w:ind w:firstLine="0"/>
        <w:jc w:val="both"/>
      </w:pPr>
      <w:r>
        <w:object w:dxaOrig="5664" w:dyaOrig="7925" w14:anchorId="6F77DC6C">
          <v:shape id="_x0000_i1048" type="#_x0000_t75" style="width:191pt;height:201.5pt" o:ole="">
            <v:imagedata r:id="rId33" o:title=""/>
          </v:shape>
          <o:OLEObject Type="Embed" ProgID="Prism10.Document" ShapeID="_x0000_i1048" DrawAspect="Content" ObjectID="_1773428603" r:id="rId34"/>
        </w:object>
      </w:r>
      <w:r>
        <w:t xml:space="preserve">                         </w:t>
      </w:r>
      <w:r>
        <w:object w:dxaOrig="5256" w:dyaOrig="6888" w14:anchorId="64501F68">
          <v:shape id="_x0000_i1049" type="#_x0000_t75" style="width:195pt;height:201pt" o:ole="">
            <v:imagedata r:id="rId35" o:title=""/>
          </v:shape>
          <o:OLEObject Type="Embed" ProgID="Prism10.Document" ShapeID="_x0000_i1049" DrawAspect="Content" ObjectID="_1773428604" r:id="rId36"/>
        </w:object>
      </w:r>
    </w:p>
    <w:p w14:paraId="062B0632" w14:textId="77777777" w:rsidR="00B81C3A" w:rsidRDefault="00B81C3A" w:rsidP="00B81C3A">
      <w:pPr>
        <w:ind w:firstLine="0"/>
        <w:jc w:val="both"/>
      </w:pPr>
      <w:r>
        <w:t xml:space="preserve">                              (B)                                                                              </w:t>
      </w:r>
      <w:proofErr w:type="gramStart"/>
      <w:r>
        <w:t xml:space="preserve">   (</w:t>
      </w:r>
      <w:proofErr w:type="gramEnd"/>
      <w:r>
        <w:t>C)</w:t>
      </w:r>
    </w:p>
    <w:p w14:paraId="3B995886" w14:textId="77777777" w:rsidR="00B81C3A" w:rsidRPr="007562D5" w:rsidRDefault="00B81C3A" w:rsidP="00B81C3A">
      <w:pPr>
        <w:spacing w:after="160" w:line="259" w:lineRule="auto"/>
        <w:ind w:firstLine="0"/>
        <w:jc w:val="both"/>
        <w:rPr>
          <w:sz w:val="22"/>
        </w:rPr>
      </w:pPr>
      <w:r w:rsidRPr="00E33063">
        <w:rPr>
          <w:b/>
          <w:sz w:val="22"/>
        </w:rPr>
        <w:t xml:space="preserve">Figure </w:t>
      </w:r>
      <w:r>
        <w:rPr>
          <w:b/>
          <w:sz w:val="22"/>
        </w:rPr>
        <w:t>4</w:t>
      </w:r>
      <w:r w:rsidRPr="00E33063">
        <w:rPr>
          <w:b/>
          <w:sz w:val="22"/>
        </w:rPr>
        <w:t>.</w:t>
      </w:r>
      <w:r>
        <w:rPr>
          <w:b/>
          <w:sz w:val="22"/>
        </w:rPr>
        <w:t xml:space="preserve"> </w:t>
      </w:r>
      <w:r w:rsidRPr="00DE1375">
        <w:rPr>
          <w:bCs w:val="0"/>
          <w:sz w:val="22"/>
        </w:rPr>
        <w:t>(A)</w:t>
      </w:r>
      <w:r w:rsidRPr="00E33063">
        <w:rPr>
          <w:sz w:val="22"/>
        </w:rPr>
        <w:t xml:space="preserve"> Representative nucleotide ³²P-postlabeling (NPL) chromatograms from the chicken fetal liver samples after exposure to the vehicle, p-methoxy cinnamaldehyde, or positive control. Analysis of DNA adducts from the livers (3 samples (eggs) per group) </w:t>
      </w:r>
      <w:proofErr w:type="gramStart"/>
      <w:r w:rsidRPr="00E33063">
        <w:rPr>
          <w:sz w:val="22"/>
        </w:rPr>
        <w:t>was obtained</w:t>
      </w:r>
      <w:proofErr w:type="gramEnd"/>
      <w:r w:rsidRPr="00E33063">
        <w:rPr>
          <w:sz w:val="22"/>
        </w:rPr>
        <w:t xml:space="preserve"> using NP</w:t>
      </w:r>
      <w:r w:rsidRPr="00E33063">
        <w:rPr>
          <w:sz w:val="22"/>
          <w:vertAlign w:val="subscript"/>
        </w:rPr>
        <w:t>1</w:t>
      </w:r>
      <w:r w:rsidRPr="00E33063">
        <w:rPr>
          <w:sz w:val="22"/>
        </w:rPr>
        <w:t xml:space="preserve"> enrichment. Adducts </w:t>
      </w:r>
      <w:proofErr w:type="gramStart"/>
      <w:r w:rsidRPr="00E33063">
        <w:rPr>
          <w:sz w:val="22"/>
        </w:rPr>
        <w:t>were resolved</w:t>
      </w:r>
      <w:proofErr w:type="gramEnd"/>
      <w:r w:rsidRPr="00E33063">
        <w:rPr>
          <w:sz w:val="22"/>
        </w:rPr>
        <w:t xml:space="preserve"> in the second and third directions of chromatography and are indicated by arrows. Dose represents cumulative dose, administered in </w:t>
      </w:r>
      <w:proofErr w:type="gramStart"/>
      <w:r w:rsidRPr="00E33063">
        <w:rPr>
          <w:sz w:val="22"/>
        </w:rPr>
        <w:t>3</w:t>
      </w:r>
      <w:proofErr w:type="gramEnd"/>
      <w:r w:rsidRPr="00E33063">
        <w:rPr>
          <w:sz w:val="22"/>
        </w:rPr>
        <w:t xml:space="preserve"> daily injections.</w:t>
      </w:r>
      <w:r>
        <w:rPr>
          <w:sz w:val="22"/>
        </w:rPr>
        <w:t xml:space="preserve"> (B) </w:t>
      </w:r>
      <w:r w:rsidRPr="00E33063">
        <w:rPr>
          <w:sz w:val="22"/>
        </w:rPr>
        <w:t>DNA-in-tail percentage in the livers of chicken fetuses exposed to the vehicle, p-methoxy cinnamaldehyde, or positive control.</w:t>
      </w:r>
      <w:r>
        <w:rPr>
          <w:sz w:val="22"/>
        </w:rPr>
        <w:t xml:space="preserve"> (C) Micronucleus</w:t>
      </w:r>
      <w:r w:rsidRPr="00E33063">
        <w:rPr>
          <w:sz w:val="22"/>
        </w:rPr>
        <w:t xml:space="preserve"> percentage in the </w:t>
      </w:r>
      <w:r>
        <w:rPr>
          <w:sz w:val="22"/>
        </w:rPr>
        <w:t>blood</w:t>
      </w:r>
      <w:r w:rsidRPr="00E33063">
        <w:rPr>
          <w:sz w:val="22"/>
        </w:rPr>
        <w:t xml:space="preserve"> of chicken fetuses exposed to the vehicle, p-methoxy cinnamaldehyde, or positive control.</w:t>
      </w:r>
    </w:p>
    <w:p w14:paraId="423824ED" w14:textId="77777777" w:rsidR="007555EF" w:rsidRPr="00E33063" w:rsidRDefault="007555EF" w:rsidP="007555EF">
      <w:pPr>
        <w:rPr>
          <w:rFonts w:cs="Times New Roman"/>
          <w:noProof/>
          <w:szCs w:val="24"/>
        </w:rPr>
      </w:pPr>
    </w:p>
    <w:p w14:paraId="1892F3F0" w14:textId="77777777" w:rsidR="00B81C3A" w:rsidRDefault="00B81C3A" w:rsidP="00B81C3A">
      <w:pPr>
        <w:jc w:val="center"/>
      </w:pPr>
      <w:r>
        <w:object w:dxaOrig="8493" w:dyaOrig="9508" w14:anchorId="45458F30">
          <v:shape id="_x0000_i1051" type="#_x0000_t75" style="width:252pt;height:230.5pt" o:ole="">
            <v:imagedata r:id="rId37" o:title=""/>
          </v:shape>
          <o:OLEObject Type="Embed" ProgID="Prism9.Document" ShapeID="_x0000_i1051" DrawAspect="Content" ObjectID="_1773428605" r:id="rId38"/>
        </w:object>
      </w:r>
    </w:p>
    <w:p w14:paraId="58A50D50" w14:textId="77777777" w:rsidR="00B81C3A" w:rsidRDefault="00B81C3A" w:rsidP="00B81C3A">
      <w:pPr>
        <w:spacing w:before="120"/>
        <w:ind w:firstLine="0"/>
        <w:rPr>
          <w:sz w:val="22"/>
        </w:rPr>
      </w:pPr>
      <w:r w:rsidRPr="00443642">
        <w:rPr>
          <w:b/>
          <w:bCs w:val="0"/>
          <w:sz w:val="22"/>
        </w:rPr>
        <w:t xml:space="preserve">Figure </w:t>
      </w:r>
      <w:r>
        <w:rPr>
          <w:b/>
          <w:bCs w:val="0"/>
          <w:sz w:val="22"/>
        </w:rPr>
        <w:t>5</w:t>
      </w:r>
      <w:r w:rsidRPr="00443642">
        <w:rPr>
          <w:b/>
          <w:bCs w:val="0"/>
          <w:sz w:val="22"/>
        </w:rPr>
        <w:t>:</w:t>
      </w:r>
      <w:r>
        <w:rPr>
          <w:sz w:val="22"/>
        </w:rPr>
        <w:t xml:space="preserve"> </w:t>
      </w:r>
      <w:r w:rsidRPr="00E33063">
        <w:rPr>
          <w:sz w:val="22"/>
        </w:rPr>
        <w:t xml:space="preserve">DNA-in-tail percentage in the livers of chicken fetuses exposed to the vehicle, p-methoxy cinnamaldehyde, </w:t>
      </w:r>
      <w:r>
        <w:rPr>
          <w:sz w:val="22"/>
        </w:rPr>
        <w:t xml:space="preserve">N-acetyl cysteine with </w:t>
      </w:r>
      <w:r w:rsidRPr="00E33063">
        <w:rPr>
          <w:sz w:val="22"/>
        </w:rPr>
        <w:t>p-methoxy cinnamaldehyde or positive control.</w:t>
      </w:r>
    </w:p>
    <w:p w14:paraId="4EFC88B5" w14:textId="77777777" w:rsidR="00B81C3A" w:rsidRDefault="00B81C3A" w:rsidP="00B81C3A">
      <w:pPr>
        <w:spacing w:before="120"/>
        <w:jc w:val="center"/>
      </w:pPr>
    </w:p>
    <w:p w14:paraId="7EED5FBA" w14:textId="77777777" w:rsidR="007555EF" w:rsidRPr="00E33063" w:rsidRDefault="007555EF" w:rsidP="007555EF">
      <w:pPr>
        <w:rPr>
          <w:rFonts w:cs="Times New Roman"/>
          <w:noProof/>
          <w:szCs w:val="24"/>
        </w:rPr>
      </w:pPr>
    </w:p>
    <w:p w14:paraId="60071C12" w14:textId="77777777" w:rsidR="00AB3643" w:rsidRDefault="00AB3643" w:rsidP="00AB3643">
      <w:pPr>
        <w:spacing w:before="120"/>
        <w:jc w:val="center"/>
        <w:rPr>
          <w:szCs w:val="24"/>
        </w:rPr>
      </w:pPr>
      <w:r>
        <w:rPr>
          <w:noProof/>
        </w:rPr>
        <mc:AlternateContent>
          <mc:Choice Requires="wps">
            <w:drawing>
              <wp:anchor distT="0" distB="0" distL="114300" distR="114300" simplePos="0" relativeHeight="251691008" behindDoc="0" locked="0" layoutInCell="1" allowOverlap="1" wp14:anchorId="10746E3F" wp14:editId="5DB632B6">
                <wp:simplePos x="0" y="0"/>
                <wp:positionH relativeFrom="column">
                  <wp:posOffset>1767840</wp:posOffset>
                </wp:positionH>
                <wp:positionV relativeFrom="paragraph">
                  <wp:posOffset>1790700</wp:posOffset>
                </wp:positionV>
                <wp:extent cx="2461260" cy="350520"/>
                <wp:effectExtent l="0" t="0" r="0" b="0"/>
                <wp:wrapNone/>
                <wp:docPr id="204832946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61260" cy="350520"/>
                        </a:xfrm>
                        <a:prstGeom prst="rect">
                          <a:avLst/>
                        </a:prstGeom>
                        <a:solidFill>
                          <a:schemeClr val="lt1"/>
                        </a:solidFill>
                        <a:ln w="6350">
                          <a:noFill/>
                        </a:ln>
                      </wps:spPr>
                      <wps:txbx>
                        <w:txbxContent>
                          <w:p w14:paraId="6ED048CA" w14:textId="77777777" w:rsidR="00AB3643" w:rsidRDefault="00AB3643" w:rsidP="00AB3643">
                            <w:r>
                              <w:t>p-Methoxycinnamaldehyde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746E3F" id="Text Box 6" o:spid="_x0000_s1031" type="#_x0000_t202" style="position:absolute;left:0;text-align:left;margin-left:139.2pt;margin-top:141pt;width:193.8pt;height:27.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By5PQIAAHQEAAAOAAAAZHJzL2Uyb0RvYy54bWysVE2P2yAQvVfqf0DcG8dpkrZWnFWaVapK&#10;0e5K2WrPBEOCihkKJHb66ztg56PbnqpeMDDDzLz3Zjy7a2tNjsJ5Baak+WBIiTAcKmV2Jf32vHr3&#10;kRIfmKmYBiNKehKe3s3fvpk1thAj2IOuhCMYxPiisSXdh2CLLPN8L2rmB2CFQaMEV7OAR7fLKsca&#10;jF7rbDQcTrMGXGUdcOE93t53RjpP8aUUPDxK6UUguqRYW0irS+s2rtl8xoqdY3aveF8G+4cqaqYM&#10;Jr2EumeBkYNTf4SqFXfgQYYBhzoDKRUXCQOiyYev0Gz2zIqEBcnx9kKT/39h+cNxY58cCe1naFHA&#10;BMLbNfDvHrnJGuuL3idy6guP3hFoK10dvwiB4EPk9nThU7SBcLwcjaf5aIomjrb3k+FklAjPrq+t&#10;8+GLgJrETUkd6pUqYMe1DzE/K84uMZkHraqV0jodYo+IpXbkyFBdHfKoJr74zUsb0pR0itlTYAPx&#10;eeenTQ+wwxTRhXbbElWVdBJjxZstVCfkx0HXOt7ylcJa18yHJ+awVxAe9n94xEVqwFzQ7yjZg/v5&#10;t/vojxKilZIGe6+k/seBOUGJ/mpQ3E/5eBybNR3Gkw9IG3G3lu2txRzqJSABOU6a5Wkb/YM+b6WD&#10;+gXHZBGzookZjrlLGs7bZegmAseMi8UiOWF7WhbWZmP5uS2iEs/tC3O2lyug0A9w7lJWvFKt841S&#10;GVgcAkiVJL2y2tOPrZ1068cwzs7tOXldfxbzXwAAAP//AwBQSwMEFAAGAAgAAAAhAIQJmbnhAAAA&#10;CwEAAA8AAABkcnMvZG93bnJldi54bWxMj0tPhEAQhO8m/odJm3gx7iAoEGTYGOMj8ebiI95mmRaI&#10;TA9hZgH/ve1Jb1XpL9VV5Xa1g5hx8r0jBRebCARS40xPrYKX+v48B+GDJqMHR6jgGz1sq+OjUhfG&#10;LfSM8y60gkPIF1pBF8JYSOmbDq32Gzci8e3TTVYHtlMrzaQXDreDjKMolVb3xB86PeJth83X7mAV&#10;fJy1709+fXhdkqtkvHuc6+zN1Eqdnqw31yACruEPht/6XB0q7rR3BzJeDAriLL9klEUe8ygm0jRl&#10;sVeQJFkMsirl/w3VDwAAAP//AwBQSwECLQAUAAYACAAAACEAtoM4kv4AAADhAQAAEwAAAAAAAAAA&#10;AAAAAAAAAAAAW0NvbnRlbnRfVHlwZXNdLnhtbFBLAQItABQABgAIAAAAIQA4/SH/1gAAAJQBAAAL&#10;AAAAAAAAAAAAAAAAAC8BAABfcmVscy8ucmVsc1BLAQItABQABgAIAAAAIQAX0By5PQIAAHQEAAAO&#10;AAAAAAAAAAAAAAAAAC4CAABkcnMvZTJvRG9jLnhtbFBLAQItABQABgAIAAAAIQCECZm54QAAAAsB&#10;AAAPAAAAAAAAAAAAAAAAAJcEAABkcnMvZG93bnJldi54bWxQSwUGAAAAAAQABADzAAAApQUAAAAA&#10;" fillcolor="white [3201]" stroked="f" strokeweight=".5pt">
                <v:textbox>
                  <w:txbxContent>
                    <w:p w14:paraId="6ED048CA" w14:textId="77777777" w:rsidR="00AB3643" w:rsidRDefault="00AB3643" w:rsidP="00AB3643">
                      <w:r>
                        <w:t>p-Methoxycinnamaldehyde</w:t>
                      </w:r>
                    </w:p>
                  </w:txbxContent>
                </v:textbox>
              </v:shape>
            </w:pict>
          </mc:Fallback>
        </mc:AlternateContent>
      </w:r>
      <w:r>
        <w:rPr>
          <w:noProof/>
        </w:rPr>
        <w:drawing>
          <wp:inline distT="0" distB="0" distL="0" distR="0" wp14:anchorId="31C4696D" wp14:editId="570D575C">
            <wp:extent cx="1478280" cy="1638300"/>
            <wp:effectExtent l="76200" t="76200" r="140970" b="133350"/>
            <wp:docPr id="1" name="Picture 1" descr="A black and white drawing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and white drawing of a molecule&#10;&#10;Description automatically generated"/>
                    <pic:cNvPicPr/>
                  </pic:nvPicPr>
                  <pic:blipFill>
                    <a:blip r:embed="rId39"/>
                    <a:stretch>
                      <a:fillRect/>
                    </a:stretch>
                  </pic:blipFill>
                  <pic:spPr>
                    <a:xfrm>
                      <a:off x="0" y="0"/>
                      <a:ext cx="1478280" cy="16383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BCCD3E1" w14:textId="77777777" w:rsidR="00AB3643" w:rsidRDefault="00AB3643" w:rsidP="00AB3643">
      <w:pPr>
        <w:spacing w:before="120"/>
        <w:jc w:val="center"/>
        <w:rPr>
          <w:szCs w:val="24"/>
        </w:rPr>
      </w:pPr>
      <w:r>
        <w:rPr>
          <w:noProof/>
        </w:rPr>
        <mc:AlternateContent>
          <mc:Choice Requires="wps">
            <w:drawing>
              <wp:anchor distT="0" distB="0" distL="114300" distR="114300" simplePos="0" relativeHeight="251692032" behindDoc="0" locked="0" layoutInCell="1" allowOverlap="1" wp14:anchorId="35DD3951" wp14:editId="02ECAA8D">
                <wp:simplePos x="0" y="0"/>
                <wp:positionH relativeFrom="column">
                  <wp:posOffset>2842260</wp:posOffset>
                </wp:positionH>
                <wp:positionV relativeFrom="paragraph">
                  <wp:posOffset>167640</wp:posOffset>
                </wp:positionV>
                <wp:extent cx="1729740" cy="571500"/>
                <wp:effectExtent l="0" t="0" r="60960" b="57150"/>
                <wp:wrapNone/>
                <wp:docPr id="973088844"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29740" cy="5715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17D48DA" id="_x0000_t32" coordsize="21600,21600" o:spt="32" o:oned="t" path="m,l21600,21600e" filled="f">
                <v:path arrowok="t" fillok="f" o:connecttype="none"/>
                <o:lock v:ext="edit" shapetype="t"/>
              </v:shapetype>
              <v:shape id="Straight Arrow Connector 5" o:spid="_x0000_s1026" type="#_x0000_t32" style="position:absolute;margin-left:223.8pt;margin-top:13.2pt;width:136.2pt;height: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hBzAEAAOwDAAAOAAAAZHJzL2Uyb0RvYy54bWysU01v1DAQvSPxH6zc2SQrykK02R62wKWC&#10;ipYfMHXGiYW/ZA+b7L/HdjYBARJqxWUUe+a9efM82V9PWrET+iCtaYt6UxUMDbedNH1bfH348Opt&#10;wQKB6UBZg21xxlBcH16+2I+uwa0drOrQs0hiQjO6thiIXFOWgQ+oIWysQxOTwnoNFI++LzsPY2TX&#10;qtxW1ZtytL5z3nIMId7ezMnikPmFQE6fhQhITLVF1EY5+hwfUywPe2h6D26Q/CIDnqFCgzSx6Up1&#10;AwTsu5d/UGnJvQ1W0IZbXVohJMc8Q5ymrn6b5n4Ah3mWaE5wq03h/9HyT6ejufNJOp/Mvbu1/FuI&#10;ppSjC82aTIfg5rJJeJ3Ko3Y2ZSPPq5E4EePxst5t3+1eR795zF3t6qsqO11Cs6CdD/QRrWbpoy0C&#10;eZD9QEdrTHwz6+vsJpxuAyU10CyA1FqZFAmkem86RmcXF4u8BNMrTC8ay1NJnmGWnQegs8IZ/gUF&#10;k10SmtvkbcOj8uwEcU+AczRUr0yxOsGEVGoFVv8GXuoTFPMmPgW8InJna2gFa2ms/1t3mhbJYq5f&#10;HJjnThY82u5855fnjSuVvbqsf9rZX88Z/vMnPfwAAAD//wMAUEsDBBQABgAIAAAAIQCltxCu3QAA&#10;AAoBAAAPAAAAZHJzL2Rvd25yZXYueG1sTI/BTsMwDIbvSLxDZCRuLF1VdVCaTgiJHUEMDnDLGi+p&#10;1jhVk7WFp8ec4Gj70/9/rreL78WEY+wCKVivMhBIbTAdWQXvb083tyBi0mR0HwgVfGGEbXN5UevK&#10;hJlecdonKziEYqUVuJSGSsrYOvQ6rsKAxLdjGL1OPI5WmlHPHO57mWdZKb3uiBucHvDRYXvan72C&#10;F/sx+Zx2nTzefX7v7LM5uTkpdX21PNyDSLikPxh+9VkdGnY6hDOZKHoFRbEpGVWQlwUIBjbcB+LA&#10;5Jo3sqnl/xeaHwAAAP//AwBQSwECLQAUAAYACAAAACEAtoM4kv4AAADhAQAAEwAAAAAAAAAAAAAA&#10;AAAAAAAAW0NvbnRlbnRfVHlwZXNdLnhtbFBLAQItABQABgAIAAAAIQA4/SH/1gAAAJQBAAALAAAA&#10;AAAAAAAAAAAAAC8BAABfcmVscy8ucmVsc1BLAQItABQABgAIAAAAIQCmf+hBzAEAAOwDAAAOAAAA&#10;AAAAAAAAAAAAAC4CAABkcnMvZTJvRG9jLnhtbFBLAQItABQABgAIAAAAIQCltxCu3QAAAAoBAAAP&#10;AAAAAAAAAAAAAAAAACYEAABkcnMvZG93bnJldi54bWxQSwUGAAAAAAQABADzAAAAMAUAAAAA&#10;" strokecolor="#4472c4 [3204]" strokeweight=".5pt">
                <v:stroke endarrow="block" joinstyle="miter"/>
                <o:lock v:ext="edit" shapetype="f"/>
              </v:shape>
            </w:pict>
          </mc:Fallback>
        </mc:AlternateContent>
      </w:r>
      <w:r>
        <w:rPr>
          <w:noProof/>
        </w:rPr>
        <mc:AlternateContent>
          <mc:Choice Requires="wps">
            <w:drawing>
              <wp:anchor distT="0" distB="0" distL="114300" distR="114300" simplePos="0" relativeHeight="251693056" behindDoc="0" locked="0" layoutInCell="1" allowOverlap="1" wp14:anchorId="4C5799B2" wp14:editId="57B01D87">
                <wp:simplePos x="0" y="0"/>
                <wp:positionH relativeFrom="column">
                  <wp:posOffset>2796540</wp:posOffset>
                </wp:positionH>
                <wp:positionV relativeFrom="paragraph">
                  <wp:posOffset>167640</wp:posOffset>
                </wp:positionV>
                <wp:extent cx="45720" cy="830580"/>
                <wp:effectExtent l="76200" t="0" r="30480" b="45720"/>
                <wp:wrapNone/>
                <wp:docPr id="430426282"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5720" cy="8305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800ECD" id="Straight Arrow Connector 4" o:spid="_x0000_s1026" type="#_x0000_t32" style="position:absolute;margin-left:220.2pt;margin-top:13.2pt;width:3.6pt;height:65.4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TD0wEAAPQDAAAOAAAAZHJzL2Uyb0RvYy54bWysU9uO0zAQfUfiHyy/06SFhSpqug9dLg8r&#10;WO3CB3idcWLhm+yhSf+esdNmESAkEC+j2DPnzJzjye56soYdISbtXcvXq5ozcNJ32vUt//L53Yst&#10;ZwmF64TxDlp+gsSv98+f7cbQwMYP3nQQGZG41Iyh5QNiaKoqyQGsSCsfwFFS+WgF0jH2VRfFSOzW&#10;VJu6fl2NPnYhegkp0e3NnOT7wq8USPykVAJkpuU0G5YYS3zMsdrvRNNHEQYtz2OIf5jCCu2o6UJ1&#10;I1Cwb1H/QmW1jD55hSvpbeWV0hKKBlKzrn9S8zCIAEULmZPCYlP6f7Ty4/Hg7mIeXU7uIdx6+TWR&#10;KdUYUrMk8yGFuWxS0TJldPhA7100kwo2FUtPi6UwIZN0+erqzYZ8l5TZvqyvtsXxSjSZJTcNMeF7&#10;8Jblj5YnjEL3Ax68c/R2Ps4dxPE2YZ7qCZDBxuWIQpu3rmN4CrRgGLVwvYH8slSeS4qWefwiBE8G&#10;Zvg9KKY7GnNuU7YODiayo6B9EVKCw/XCRNUZprQxC7AuDvwReK7PUCgb+TfgBVE6e4cL2Grn4++6&#10;43QZWc31Fwdm3dmCR9+d7uLlmWm1ilfn3yDv7o/nAn/6WfffAQAA//8DAFBLAwQUAAYACAAAACEA&#10;KjgoV+EAAAAKAQAADwAAAGRycy9kb3ducmV2LnhtbEyPTU/DMAyG70j8h8hI3FhKVbqtNJ34WA/s&#10;gMQ2IY5pY9pC41RNtpV/P3OCk2X50evnzVeT7cURR985UnA7i0Ag1c501CjY78qbBQgfNBndO0IF&#10;P+hhVVxe5Doz7kRveNyGRnAI+UwraEMYMil93aLVfuYGJL59utHqwOvYSDPqE4fbXsZRlEqrO+IP&#10;rR7wqcX6e3uwnPJSPi7XX68fi83zxr5XpW3WS6vU9dX0cA8i4BT+YPjVZ3Uo2KlyBzJe9AqSJEoY&#10;VRCnPBlIknkKomLybh6DLHL5v0JxBgAA//8DAFBLAQItABQABgAIAAAAIQC2gziS/gAAAOEBAAAT&#10;AAAAAAAAAAAAAAAAAAAAAABbQ29udGVudF9UeXBlc10ueG1sUEsBAi0AFAAGAAgAAAAhADj9If/W&#10;AAAAlAEAAAsAAAAAAAAAAAAAAAAALwEAAF9yZWxzLy5yZWxzUEsBAi0AFAAGAAgAAAAhAIj8NMPT&#10;AQAA9AMAAA4AAAAAAAAAAAAAAAAALgIAAGRycy9lMm9Eb2MueG1sUEsBAi0AFAAGAAgAAAAhACo4&#10;KFfhAAAACgEAAA8AAAAAAAAAAAAAAAAALQQAAGRycy9kb3ducmV2LnhtbFBLBQYAAAAABAAEAPMA&#10;AAA7BQAAAAA=&#10;" strokecolor="#4472c4 [3204]" strokeweight=".5pt">
                <v:stroke endarrow="block" joinstyle="miter"/>
                <o:lock v:ext="edit" shapetype="f"/>
              </v:shape>
            </w:pict>
          </mc:Fallback>
        </mc:AlternateContent>
      </w:r>
      <w:r>
        <w:rPr>
          <w:noProof/>
        </w:rPr>
        <mc:AlternateContent>
          <mc:Choice Requires="wps">
            <w:drawing>
              <wp:anchor distT="0" distB="0" distL="114300" distR="114300" simplePos="0" relativeHeight="251689984" behindDoc="0" locked="0" layoutInCell="1" allowOverlap="1" wp14:anchorId="1A69A90D" wp14:editId="62870581">
                <wp:simplePos x="0" y="0"/>
                <wp:positionH relativeFrom="column">
                  <wp:posOffset>1135380</wp:posOffset>
                </wp:positionH>
                <wp:positionV relativeFrom="paragraph">
                  <wp:posOffset>167640</wp:posOffset>
                </wp:positionV>
                <wp:extent cx="1706880" cy="571500"/>
                <wp:effectExtent l="38100" t="0" r="7620" b="57150"/>
                <wp:wrapNone/>
                <wp:docPr id="314764669"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706880" cy="5715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1A3A1C" id="Straight Arrow Connector 3" o:spid="_x0000_s1026" type="#_x0000_t32" style="position:absolute;margin-left:89.4pt;margin-top:13.2pt;width:134.4pt;height:4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z+X0wEAAPYDAAAOAAAAZHJzL2Uyb0RvYy54bWysU8tu3DAMvBfoPwi6d20HSLIw1pvDpo9D&#10;0AZN+gGKTNlCZUmQ2LX996XkXadoCxQJeiEskTPkjOjdzTQYdoQQtbMNrzYlZ2Cla7XtGv7t8cO7&#10;LWcRhW2FcRYaPkPkN/u3b3ajr+HC9c60EBiR2FiPvuE9oq+LIsoeBhE3zoOlpHJhEEjH0BVtECOx&#10;D6a4KMurYnSh9cFJiJFub5ck32d+pUDiF6UiIDMNp9kwx5DjU4rFfifqLgjfa3kaQ7xiikFoS01X&#10;qluBgv0I+g+qQcvgolO4kW4onFJaQtZAaqryNzUPvfCQtZA50a82xf9HKz8fD/Y+pNHlZB/8nZPf&#10;I5lSjD7WazIdol/KJhUGpoz2n+i9s2ZSwaZs6bxaChMySZfVdXm13ZLzknKX19VlmT0vRJ14Ulsf&#10;In4EN7D00fCIQeiux4Ozll7PhaWHON5FTHM9AxLY2BRRaPPetgxnTyuGQQvbGUhvS+WpJKtZBGQp&#10;OBtY4F9BMd2mQbOUvHdwMIEdBW2MkBIsVisTVSeY0saswPLfwFN9gkLeyZeAV0Tu7Cyu4EFbF/7W&#10;HafzyGqpPzuw6E4WPLl2vg/nh6blyl6dfoS0vb+eM/z5d93/BAAA//8DAFBLAwQUAAYACAAAACEA&#10;iWQUeuAAAAAKAQAADwAAAGRycy9kb3ducmV2LnhtbEyPzU7DMBCE70i8g7VI3KjTKkrTEKfipznQ&#10;QyUKqnp04iUJxOsodtvw9iwnOM7OaPabfD3ZXpxx9J0jBfNZBAKpdqajRsH7W3mXgvBBk9G9I1Tw&#10;jR7WxfVVrjPjLvSK531oBJeQz7SCNoQhk9LXLVrtZ25AYu/DjVYHlmMjzagvXG57uYiiRFrdEX9o&#10;9YBPLdZf+5PllpfycbX53B3T7fPWHqrSNpuVVer2Znq4BxFwCn9h+MVndCiYqXInMl70rJcpowcF&#10;iyQGwYE4XiYgKnbmfJFFLv9PKH4AAAD//wMAUEsBAi0AFAAGAAgAAAAhALaDOJL+AAAA4QEAABMA&#10;AAAAAAAAAAAAAAAAAAAAAFtDb250ZW50X1R5cGVzXS54bWxQSwECLQAUAAYACAAAACEAOP0h/9YA&#10;AACUAQAACwAAAAAAAAAAAAAAAAAvAQAAX3JlbHMvLnJlbHNQSwECLQAUAAYACAAAACEAkaM/l9MB&#10;AAD2AwAADgAAAAAAAAAAAAAAAAAuAgAAZHJzL2Uyb0RvYy54bWxQSwECLQAUAAYACAAAACEAiWQU&#10;euAAAAAKAQAADwAAAAAAAAAAAAAAAAAtBAAAZHJzL2Rvd25yZXYueG1sUEsFBgAAAAAEAAQA8wAA&#10;ADoFAAAAAA==&#10;" strokecolor="#4472c4 [3204]" strokeweight=".5pt">
                <v:stroke endarrow="block" joinstyle="miter"/>
                <o:lock v:ext="edit" shapetype="f"/>
              </v:shape>
            </w:pict>
          </mc:Fallback>
        </mc:AlternateContent>
      </w:r>
    </w:p>
    <w:p w14:paraId="4BE92372" w14:textId="77777777" w:rsidR="00AB3643" w:rsidRDefault="00AB3643" w:rsidP="00AB3643">
      <w:pPr>
        <w:spacing w:before="120"/>
        <w:jc w:val="center"/>
        <w:rPr>
          <w:szCs w:val="24"/>
        </w:rPr>
      </w:pPr>
    </w:p>
    <w:p w14:paraId="4A01BBE8" w14:textId="77777777" w:rsidR="00AB3643" w:rsidRPr="00E33063" w:rsidRDefault="00AB3643" w:rsidP="00AB3643">
      <w:pPr>
        <w:spacing w:before="120"/>
        <w:ind w:firstLine="0"/>
        <w:rPr>
          <w:szCs w:val="24"/>
        </w:rPr>
      </w:pPr>
    </w:p>
    <w:p w14:paraId="3F9297E9" w14:textId="77777777" w:rsidR="00AB3643" w:rsidRDefault="00AB3643" w:rsidP="00AB3643">
      <w:pPr>
        <w:ind w:firstLine="0"/>
        <w:rPr>
          <w:szCs w:val="24"/>
        </w:rPr>
      </w:pPr>
      <w:r>
        <w:rPr>
          <w:noProof/>
        </w:rPr>
        <w:lastRenderedPageBreak/>
        <mc:AlternateContent>
          <mc:Choice Requires="wps">
            <w:drawing>
              <wp:anchor distT="0" distB="0" distL="114300" distR="114300" simplePos="0" relativeHeight="251695104" behindDoc="0" locked="0" layoutInCell="1" allowOverlap="1" wp14:anchorId="70EAFF06" wp14:editId="02468F3B">
                <wp:simplePos x="0" y="0"/>
                <wp:positionH relativeFrom="column">
                  <wp:posOffset>3909060</wp:posOffset>
                </wp:positionH>
                <wp:positionV relativeFrom="paragraph">
                  <wp:posOffset>1649730</wp:posOffset>
                </wp:positionV>
                <wp:extent cx="2415540" cy="297180"/>
                <wp:effectExtent l="0" t="0" r="0" b="0"/>
                <wp:wrapNone/>
                <wp:docPr id="21165670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5540" cy="297180"/>
                        </a:xfrm>
                        <a:prstGeom prst="rect">
                          <a:avLst/>
                        </a:prstGeom>
                        <a:solidFill>
                          <a:schemeClr val="lt1"/>
                        </a:solidFill>
                        <a:ln w="6350">
                          <a:noFill/>
                        </a:ln>
                      </wps:spPr>
                      <wps:txbx>
                        <w:txbxContent>
                          <w:p w14:paraId="47854DD1" w14:textId="77777777" w:rsidR="00AB3643" w:rsidRDefault="00AB3643" w:rsidP="00AB3643">
                            <w:r>
                              <w:t>Alpha-C-oxidation product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EAFF06" id="Text Box 2" o:spid="_x0000_s1032" type="#_x0000_t202" style="position:absolute;margin-left:307.8pt;margin-top:129.9pt;width:190.2pt;height:23.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UZuPQIAAHQEAAAOAAAAZHJzL2Uyb0RvYy54bWysVE1v2zAMvQ/YfxB0XxxnST+MOEWWIsOA&#10;oC2QFj0rspQIk0VNUmJ3v36U7Hys22nYRRZFitR7j/T0rq01OQjnFZiS5oMhJcJwqJTZlvTlefnp&#10;hhIfmKmYBiNK+iY8vZt9/DBtbCFGsANdCUcwifFFY0u6C8EWWeb5TtTMD8AKg04JrmYBTbfNKsca&#10;zF7rbDQcXmUNuMo64MJ7PL3vnHSW8kspeHiU0otAdEnxbSGtLq2buGazKSu2jtmd4v0z2D+8ombK&#10;YNFTqnsWGNk79UeqWnEHHmQYcKgzkFJxkTAgmnz4Ds16x6xIWJAcb080+f+Xlj8c1vbJkdB+gRYF&#10;TCC8XQH/7pGbrLG+6GMip77wGB2BttLV8YsQCF5Ebt9OfIo2EI6Ho3E+mYzRxdE3ur3ObxLh2fm2&#10;dT58FVCTuCmpQ73SC9hh5UOsz4pjSCzmQatqqbRORuwRsdCOHBiqq0Me1cQbv0VpQ5qSXn2eDFNi&#10;A/F6F6dND7DDFNGFdtMSVeGFmCuebKB6Q34cdK3jLV8qfOuK+fDEHPYKwsP+D4+4SA1YC/odJTtw&#10;P/92HuNRQvRS0mDvldT/2DMnKNHfDIp7m48jayEZ48n1CA136dlcesy+XgASkOOkWZ62MT7o41Y6&#10;qF9xTOaxKrqY4Vi7pOG4XYRuInDMuJjPUxC2p2VhZdaWH9siKvHcvjJne7kCCv0Axy5lxTvVutgo&#10;lYH5PoBUSdIzqz392NpJt34M4+xc2inq/LOY/QIAAP//AwBQSwMEFAAGAAgAAAAhAHZpfsTiAAAA&#10;CwEAAA8AAABkcnMvZG93bnJldi54bWxMj8tOwzAQRfdI/QdrkNgg6rRRDAlxKoR4SN3RQCt2bmyS&#10;qPE4it0k/D3DCpajubr3nHwz246NZvCtQwmrZQTMYOV0i7WE9/L55g6YDwq16hwaCd/Gw6ZYXOQq&#10;027CNzPuQs2oBH2mJDQh9BnnvmqMVX7peoP0+3KDVYHOoeZ6UBOV246vo0hwq1qkhUb15rEx1Wl3&#10;thI+r+vD1s8vH1OcxP3T61je7nUp5dXl/HAPLJg5/IXhF5/QoSCmozuj9qyTIFaJoKiEdZKSAyXS&#10;VJDdUUIcCQG8yPl/h+IHAAD//wMAUEsBAi0AFAAGAAgAAAAhALaDOJL+AAAA4QEAABMAAAAAAAAA&#10;AAAAAAAAAAAAAFtDb250ZW50X1R5cGVzXS54bWxQSwECLQAUAAYACAAAACEAOP0h/9YAAACUAQAA&#10;CwAAAAAAAAAAAAAAAAAvAQAAX3JlbHMvLnJlbHNQSwECLQAUAAYACAAAACEA5u1Gbj0CAAB0BAAA&#10;DgAAAAAAAAAAAAAAAAAuAgAAZHJzL2Uyb0RvYy54bWxQSwECLQAUAAYACAAAACEAdml+xOIAAAAL&#10;AQAADwAAAAAAAAAAAAAAAACXBAAAZHJzL2Rvd25yZXYueG1sUEsFBgAAAAAEAAQA8wAAAKYFAAAA&#10;AA==&#10;" fillcolor="white [3201]" stroked="f" strokeweight=".5pt">
                <v:textbox>
                  <w:txbxContent>
                    <w:p w14:paraId="47854DD1" w14:textId="77777777" w:rsidR="00AB3643" w:rsidRDefault="00AB3643" w:rsidP="00AB3643">
                      <w:r>
                        <w:t>Alpha-C-oxidation product</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67F17C42" wp14:editId="3638E82A">
                <wp:simplePos x="0" y="0"/>
                <wp:positionH relativeFrom="column">
                  <wp:posOffset>4831080</wp:posOffset>
                </wp:positionH>
                <wp:positionV relativeFrom="paragraph">
                  <wp:posOffset>1817370</wp:posOffset>
                </wp:positionV>
                <wp:extent cx="45720" cy="411480"/>
                <wp:effectExtent l="57150" t="0" r="30480" b="45720"/>
                <wp:wrapNone/>
                <wp:docPr id="1394690058"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5720" cy="4114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45CFED" id="Straight Arrow Connector 1" o:spid="_x0000_s1026" type="#_x0000_t32" style="position:absolute;margin-left:380.4pt;margin-top:143.1pt;width:3.6pt;height:32.4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9c0wEAAPQDAAAOAAAAZHJzL2Uyb0RvYy54bWysU01v1DAQvSPxHyzf2SSrBaposz1s+ThU&#10;UFH4Aa4zTiwc27KHTfLvGTu7KQJUqYjLKPbMezPvebK/ngbDThCidrbh1abkDKx0rbZdw799ff/q&#10;irOIwrbCOAsNnyHy68PLF/vR17B1vTMtBEYkNtajb3iP6OuiiLKHQcSN82ApqVwYBNIxdEUbxEjs&#10;gym2ZfmmGF1ofXASYqTbmyXJD5lfKZD4WakIyEzDaTbMMeT4kGJx2Iu6C8L3Wp7HEP8wxSC0paYr&#10;1Y1AwX4E/QfVoGVw0SncSDcUTiktIWsgNVX5m5r7XnjIWsic6Feb4v+jlZ9OR3sX0uhysvf+1snv&#10;kUwpRh/rNZkO0S9lkwoDU0b7j/TeWTOpYFO2dF4thQmZpMvd67db8l1SZldVu6vseCHqxJKa+hDx&#10;A7iBpY+GRwxCdz0enbX0di4sHcTpNmKa6hGQwMamiEKbd7ZlOHtaMAxa2M5AelkqTyVZyzJ+FoKz&#10;gQX+BRTTLY25tMlbB0cT2EnQvggpwWK1MlF1giltzAosswNPAs/1CQp5I58DXhG5s7O4ggdtXfhb&#10;d5wuI6ul/uLAojtZ8ODa+S5cnplWK3t1/g3S7v56zvDHn/XwEwAA//8DAFBLAwQUAAYACAAAACEA&#10;6r5DZ+IAAAALAQAADwAAAGRycy9kb3ducmV2LnhtbEyPy07DMBBF90j8gzVI7KjTINI0xKl4NAu6&#10;QKKtEEsnHpJAPI5itw1/32EFy9FcnXtuvppsL444+s6RgvksAoFUO9NRo2C/K29SED5oMrp3hAp+&#10;0MOquLzIdWbcid7wuA2NYAj5TCtoQxgyKX3dotV+5gYk/n260erA59hIM+oTw20v4yhKpNUdcUOr&#10;B3xqsf7eHixTXsrH5frr9SPdPG/se1XaZr20Sl1fTQ/3IAJO4S8Mv/qsDgU7Ve5AxotewSKJWD0o&#10;iNMkBsGJRZLyukrB7d08Alnk8v+G4gwAAP//AwBQSwECLQAUAAYACAAAACEAtoM4kv4AAADhAQAA&#10;EwAAAAAAAAAAAAAAAAAAAAAAW0NvbnRlbnRfVHlwZXNdLnhtbFBLAQItABQABgAIAAAAIQA4/SH/&#10;1gAAAJQBAAALAAAAAAAAAAAAAAAAAC8BAABfcmVscy8ucmVsc1BLAQItABQABgAIAAAAIQAlR29c&#10;0wEAAPQDAAAOAAAAAAAAAAAAAAAAAC4CAABkcnMvZTJvRG9jLnhtbFBLAQItABQABgAIAAAAIQDq&#10;vkNn4gAAAAsBAAAPAAAAAAAAAAAAAAAAAC0EAABkcnMvZG93bnJldi54bWxQSwUGAAAAAAQABADz&#10;AAAAPAUAAAAA&#10;" strokecolor="#4472c4 [3204]" strokeweight=".5pt">
                <v:stroke endarrow="block" joinstyle="miter"/>
                <o:lock v:ext="edit" shapetype="f"/>
              </v:shape>
            </w:pict>
          </mc:Fallback>
        </mc:AlternateContent>
      </w:r>
      <w:r>
        <w:rPr>
          <w:szCs w:val="24"/>
        </w:rPr>
        <w:t xml:space="preserve"> </w:t>
      </w:r>
      <w:r>
        <w:rPr>
          <w:noProof/>
        </w:rPr>
        <w:drawing>
          <wp:inline distT="0" distB="0" distL="0" distR="0" wp14:anchorId="402F6B39" wp14:editId="76314CFC">
            <wp:extent cx="1752600" cy="1478280"/>
            <wp:effectExtent l="76200" t="76200" r="133350" b="140970"/>
            <wp:docPr id="20" name="Picture 20" descr="A structure of a chemical formu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tructure of a chemical formula&#10;&#10;Description automatically generated"/>
                    <pic:cNvPicPr/>
                  </pic:nvPicPr>
                  <pic:blipFill>
                    <a:blip r:embed="rId40"/>
                    <a:stretch>
                      <a:fillRect/>
                    </a:stretch>
                  </pic:blipFill>
                  <pic:spPr>
                    <a:xfrm>
                      <a:off x="0" y="0"/>
                      <a:ext cx="1752600" cy="14782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noProof/>
        </w:rPr>
        <w:drawing>
          <wp:inline distT="0" distB="0" distL="0" distR="0" wp14:anchorId="5C63533C" wp14:editId="697D1004">
            <wp:extent cx="1485900" cy="1478280"/>
            <wp:effectExtent l="76200" t="76200" r="133350" b="140970"/>
            <wp:docPr id="23" name="Picture 23" descr="A structure of a chemical formu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structure of a chemical formula&#10;&#10;Description automatically generated"/>
                    <pic:cNvPicPr/>
                  </pic:nvPicPr>
                  <pic:blipFill>
                    <a:blip r:embed="rId41"/>
                    <a:stretch>
                      <a:fillRect/>
                    </a:stretch>
                  </pic:blipFill>
                  <pic:spPr>
                    <a:xfrm>
                      <a:off x="0" y="0"/>
                      <a:ext cx="1485900" cy="14782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szCs w:val="24"/>
        </w:rPr>
        <w:t xml:space="preserve">           </w:t>
      </w:r>
      <w:r>
        <w:rPr>
          <w:noProof/>
        </w:rPr>
        <w:drawing>
          <wp:inline distT="0" distB="0" distL="0" distR="0" wp14:anchorId="7DDC66E1" wp14:editId="0B63C87E">
            <wp:extent cx="1592580" cy="1485900"/>
            <wp:effectExtent l="76200" t="76200" r="140970" b="133350"/>
            <wp:docPr id="24" name="Picture 24" descr="A molecule structure with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molecule structure with letters and numbers&#10;&#10;Description automatically generated"/>
                    <pic:cNvPicPr/>
                  </pic:nvPicPr>
                  <pic:blipFill>
                    <a:blip r:embed="rId42"/>
                    <a:stretch>
                      <a:fillRect/>
                    </a:stretch>
                  </pic:blipFill>
                  <pic:spPr>
                    <a:xfrm>
                      <a:off x="0" y="0"/>
                      <a:ext cx="1612465" cy="150445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5DA9D4F" w14:textId="77777777" w:rsidR="00AB3643" w:rsidRDefault="00AB3643" w:rsidP="00AB3643">
      <w:pPr>
        <w:ind w:firstLine="0"/>
        <w:jc w:val="both"/>
        <w:rPr>
          <w:szCs w:val="24"/>
        </w:rPr>
      </w:pPr>
      <w:r>
        <w:rPr>
          <w:szCs w:val="24"/>
        </w:rPr>
        <w:t xml:space="preserve">(Glutathione </w:t>
      </w:r>
      <w:proofErr w:type="gramStart"/>
      <w:r>
        <w:rPr>
          <w:szCs w:val="24"/>
        </w:rPr>
        <w:t xml:space="preserve">Conjugation)   </w:t>
      </w:r>
      <w:proofErr w:type="gramEnd"/>
      <w:r>
        <w:rPr>
          <w:szCs w:val="24"/>
        </w:rPr>
        <w:t xml:space="preserve">       (Mercapturic acid formation)</w:t>
      </w:r>
    </w:p>
    <w:p w14:paraId="5ED1CD78" w14:textId="77777777" w:rsidR="00AB3643" w:rsidRDefault="00AB3643" w:rsidP="00AB3643">
      <w:pPr>
        <w:ind w:firstLine="0"/>
        <w:jc w:val="both"/>
        <w:rPr>
          <w:szCs w:val="24"/>
        </w:rPr>
      </w:pPr>
      <w:r>
        <w:rPr>
          <w:szCs w:val="24"/>
        </w:rPr>
        <w:t xml:space="preserve">                                                                                                      </w:t>
      </w:r>
      <w:r>
        <w:rPr>
          <w:noProof/>
        </w:rPr>
        <w:drawing>
          <wp:inline distT="0" distB="0" distL="0" distR="0" wp14:anchorId="0E0F3BE7" wp14:editId="7979D43F">
            <wp:extent cx="1752600" cy="1333500"/>
            <wp:effectExtent l="76200" t="76200" r="133350" b="133350"/>
            <wp:docPr id="28" name="Picture 28" descr="A structure of a chemical formu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tructure of a chemical formula&#10;&#10;Description automatically generated"/>
                    <pic:cNvPicPr/>
                  </pic:nvPicPr>
                  <pic:blipFill>
                    <a:blip r:embed="rId40"/>
                    <a:stretch>
                      <a:fillRect/>
                    </a:stretch>
                  </pic:blipFill>
                  <pic:spPr>
                    <a:xfrm>
                      <a:off x="0" y="0"/>
                      <a:ext cx="1752600" cy="13335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1C4527B" w14:textId="77777777" w:rsidR="00AB3643" w:rsidRDefault="00AB3643" w:rsidP="00AB3643">
      <w:pPr>
        <w:jc w:val="both"/>
        <w:rPr>
          <w:szCs w:val="24"/>
        </w:rPr>
      </w:pPr>
      <w:r>
        <w:rPr>
          <w:szCs w:val="24"/>
        </w:rPr>
        <w:t xml:space="preserve">                                                                                              (Glutathione Conjugation)</w:t>
      </w:r>
    </w:p>
    <w:p w14:paraId="539D0303" w14:textId="77777777" w:rsidR="00AB3643" w:rsidRDefault="00AB3643" w:rsidP="00AB3643">
      <w:pPr>
        <w:ind w:firstLine="0"/>
        <w:rPr>
          <w:b/>
          <w:bCs w:val="0"/>
          <w:szCs w:val="24"/>
        </w:rPr>
      </w:pPr>
      <w:r w:rsidRPr="004C5D43">
        <w:rPr>
          <w:b/>
          <w:bCs w:val="0"/>
          <w:szCs w:val="24"/>
        </w:rPr>
        <w:t xml:space="preserve">Figure </w:t>
      </w:r>
      <w:r>
        <w:rPr>
          <w:b/>
          <w:bCs w:val="0"/>
          <w:szCs w:val="24"/>
        </w:rPr>
        <w:t>6</w:t>
      </w:r>
      <w:r w:rsidRPr="004C5D43">
        <w:rPr>
          <w:b/>
          <w:bCs w:val="0"/>
          <w:szCs w:val="24"/>
        </w:rPr>
        <w:t xml:space="preserve">: </w:t>
      </w:r>
      <w:r w:rsidRPr="003739F9">
        <w:rPr>
          <w:szCs w:val="24"/>
        </w:rPr>
        <w:t>Modified Predicted metabolism pathway of p-Methoxycinnamaldehyde using OASIS TIMES (v2.28.1.6)</w:t>
      </w:r>
    </w:p>
    <w:p w14:paraId="502E5B60" w14:textId="3D6FD837" w:rsidR="009C1C10" w:rsidRDefault="009C1C10">
      <w:pPr>
        <w:spacing w:after="160" w:line="259" w:lineRule="auto"/>
        <w:ind w:firstLine="0"/>
        <w:rPr>
          <w:rFonts w:cs="Times New Roman"/>
          <w:noProof/>
          <w:szCs w:val="24"/>
        </w:rPr>
      </w:pPr>
      <w:r>
        <w:rPr>
          <w:rFonts w:cs="Times New Roman"/>
          <w:noProof/>
          <w:szCs w:val="24"/>
        </w:rPr>
        <w:br w:type="page"/>
      </w:r>
    </w:p>
    <w:p w14:paraId="06C6996A" w14:textId="30A12054" w:rsidR="009C1C10" w:rsidRPr="008474C8" w:rsidRDefault="009C1C10" w:rsidP="00AB3643">
      <w:pPr>
        <w:ind w:firstLine="0"/>
        <w:rPr>
          <w:rFonts w:cs="Times New Roman"/>
          <w:b/>
          <w:bCs w:val="0"/>
          <w:noProof/>
          <w:sz w:val="32"/>
          <w:szCs w:val="32"/>
          <w:u w:val="single"/>
        </w:rPr>
      </w:pPr>
      <w:r w:rsidRPr="008474C8">
        <w:rPr>
          <w:rFonts w:cs="Times New Roman"/>
          <w:b/>
          <w:bCs w:val="0"/>
          <w:noProof/>
          <w:sz w:val="32"/>
          <w:szCs w:val="32"/>
          <w:u w:val="single"/>
        </w:rPr>
        <w:lastRenderedPageBreak/>
        <w:t>Tables</w:t>
      </w:r>
    </w:p>
    <w:tbl>
      <w:tblPr>
        <w:tblStyle w:val="TableGrid"/>
        <w:tblW w:w="0" w:type="auto"/>
        <w:tblLook w:val="04A0" w:firstRow="1" w:lastRow="0" w:firstColumn="1" w:lastColumn="0" w:noHBand="0" w:noVBand="1"/>
      </w:tblPr>
      <w:tblGrid>
        <w:gridCol w:w="1941"/>
        <w:gridCol w:w="3966"/>
        <w:gridCol w:w="1074"/>
        <w:gridCol w:w="1166"/>
        <w:gridCol w:w="1213"/>
      </w:tblGrid>
      <w:tr w:rsidR="009C1C10" w:rsidRPr="001D668B" w14:paraId="32BB2A19" w14:textId="77777777" w:rsidTr="004D0741">
        <w:tc>
          <w:tcPr>
            <w:tcW w:w="8147" w:type="dxa"/>
            <w:gridSpan w:val="4"/>
            <w:tcBorders>
              <w:top w:val="nil"/>
              <w:left w:val="nil"/>
              <w:bottom w:val="single" w:sz="4" w:space="0" w:color="auto"/>
              <w:right w:val="nil"/>
            </w:tcBorders>
            <w:shd w:val="clear" w:color="auto" w:fill="FFFFFF" w:themeFill="background1"/>
          </w:tcPr>
          <w:p w14:paraId="05A08460" w14:textId="77777777" w:rsidR="009C1C10" w:rsidRDefault="009C1C10" w:rsidP="004D0741">
            <w:pPr>
              <w:spacing w:after="0" w:line="240" w:lineRule="auto"/>
              <w:ind w:firstLine="0"/>
              <w:rPr>
                <w:rFonts w:cs="Times New Roman"/>
                <w:sz w:val="22"/>
              </w:rPr>
            </w:pPr>
            <w:r w:rsidRPr="001D668B">
              <w:rPr>
                <w:rFonts w:cs="Times New Roman"/>
                <w:b/>
                <w:sz w:val="22"/>
              </w:rPr>
              <w:t xml:space="preserve">Table 1. </w:t>
            </w:r>
            <w:r w:rsidRPr="001D668B">
              <w:rPr>
                <w:rFonts w:cs="Times New Roman"/>
                <w:sz w:val="22"/>
              </w:rPr>
              <w:t xml:space="preserve">Characterization of chemicals </w:t>
            </w:r>
            <w:proofErr w:type="gramStart"/>
            <w:r w:rsidRPr="001D668B">
              <w:rPr>
                <w:rFonts w:cs="Times New Roman"/>
                <w:sz w:val="22"/>
              </w:rPr>
              <w:t>tested</w:t>
            </w:r>
            <w:proofErr w:type="gramEnd"/>
            <w:r w:rsidRPr="001D668B">
              <w:rPr>
                <w:rFonts w:cs="Times New Roman"/>
                <w:sz w:val="22"/>
              </w:rPr>
              <w:t xml:space="preserve"> in CEGA and HET-MN</w:t>
            </w:r>
          </w:p>
          <w:p w14:paraId="7A030747" w14:textId="77777777" w:rsidR="009C1C10" w:rsidRPr="001D668B" w:rsidRDefault="009C1C10" w:rsidP="004D0741">
            <w:pPr>
              <w:spacing w:after="0" w:line="240" w:lineRule="auto"/>
              <w:ind w:firstLine="0"/>
              <w:rPr>
                <w:rFonts w:cs="Times New Roman"/>
                <w:b/>
                <w:sz w:val="22"/>
              </w:rPr>
            </w:pPr>
          </w:p>
        </w:tc>
        <w:tc>
          <w:tcPr>
            <w:tcW w:w="1213" w:type="dxa"/>
            <w:tcBorders>
              <w:top w:val="nil"/>
              <w:left w:val="nil"/>
              <w:bottom w:val="single" w:sz="4" w:space="0" w:color="auto"/>
              <w:right w:val="nil"/>
            </w:tcBorders>
            <w:shd w:val="clear" w:color="auto" w:fill="FFFFFF" w:themeFill="background1"/>
          </w:tcPr>
          <w:p w14:paraId="613B15AB" w14:textId="77777777" w:rsidR="009C1C10" w:rsidRPr="001D668B" w:rsidRDefault="009C1C10" w:rsidP="004D0741">
            <w:pPr>
              <w:spacing w:after="0" w:line="240" w:lineRule="auto"/>
              <w:ind w:firstLine="0"/>
              <w:rPr>
                <w:rFonts w:cs="Times New Roman"/>
                <w:b/>
                <w:sz w:val="22"/>
              </w:rPr>
            </w:pPr>
          </w:p>
        </w:tc>
      </w:tr>
      <w:tr w:rsidR="009C1C10" w:rsidRPr="001D668B" w14:paraId="4E2E2978" w14:textId="77777777" w:rsidTr="004D0741">
        <w:tc>
          <w:tcPr>
            <w:tcW w:w="1941" w:type="dxa"/>
            <w:tcBorders>
              <w:top w:val="single" w:sz="4" w:space="0" w:color="auto"/>
            </w:tcBorders>
            <w:shd w:val="clear" w:color="auto" w:fill="auto"/>
          </w:tcPr>
          <w:p w14:paraId="514AC6EA" w14:textId="77777777" w:rsidR="009C1C10" w:rsidRPr="001D668B" w:rsidRDefault="009C1C10" w:rsidP="004D0741">
            <w:pPr>
              <w:spacing w:after="0" w:line="240" w:lineRule="auto"/>
              <w:ind w:firstLine="0"/>
              <w:rPr>
                <w:rFonts w:cs="Times New Roman"/>
                <w:b/>
                <w:bCs w:val="0"/>
                <w:sz w:val="22"/>
              </w:rPr>
            </w:pPr>
            <w:r w:rsidRPr="001D668B">
              <w:rPr>
                <w:rFonts w:cs="Times New Roman"/>
                <w:b/>
                <w:bCs w:val="0"/>
                <w:sz w:val="22"/>
              </w:rPr>
              <w:t>Chemical Name</w:t>
            </w:r>
          </w:p>
        </w:tc>
        <w:tc>
          <w:tcPr>
            <w:tcW w:w="3966" w:type="dxa"/>
            <w:tcBorders>
              <w:top w:val="single" w:sz="4" w:space="0" w:color="auto"/>
            </w:tcBorders>
            <w:shd w:val="clear" w:color="auto" w:fill="auto"/>
          </w:tcPr>
          <w:p w14:paraId="3CBDE3F0" w14:textId="77777777" w:rsidR="009C1C10" w:rsidRPr="001D668B" w:rsidRDefault="009C1C10" w:rsidP="004D0741">
            <w:pPr>
              <w:spacing w:after="0" w:line="240" w:lineRule="auto"/>
              <w:ind w:firstLine="0"/>
              <w:jc w:val="center"/>
              <w:rPr>
                <w:rFonts w:cs="Times New Roman"/>
                <w:b/>
                <w:bCs w:val="0"/>
                <w:sz w:val="22"/>
              </w:rPr>
            </w:pPr>
            <w:r w:rsidRPr="001D668B">
              <w:rPr>
                <w:rFonts w:cs="Times New Roman"/>
                <w:b/>
                <w:bCs w:val="0"/>
                <w:sz w:val="22"/>
              </w:rPr>
              <w:t>Chemical Structure</w:t>
            </w:r>
          </w:p>
        </w:tc>
        <w:tc>
          <w:tcPr>
            <w:tcW w:w="1074" w:type="dxa"/>
            <w:tcBorders>
              <w:top w:val="single" w:sz="4" w:space="0" w:color="auto"/>
            </w:tcBorders>
            <w:shd w:val="clear" w:color="auto" w:fill="auto"/>
          </w:tcPr>
          <w:p w14:paraId="5BDE3B5D" w14:textId="77777777" w:rsidR="009C1C10" w:rsidRPr="001D668B" w:rsidRDefault="009C1C10" w:rsidP="004D0741">
            <w:pPr>
              <w:spacing w:after="0" w:line="240" w:lineRule="auto"/>
              <w:ind w:firstLine="0"/>
              <w:jc w:val="center"/>
              <w:rPr>
                <w:rFonts w:cs="Times New Roman"/>
                <w:b/>
                <w:bCs w:val="0"/>
                <w:sz w:val="22"/>
              </w:rPr>
            </w:pPr>
            <w:r w:rsidRPr="001D668B">
              <w:rPr>
                <w:rFonts w:cs="Times New Roman"/>
                <w:b/>
                <w:bCs w:val="0"/>
                <w:sz w:val="22"/>
              </w:rPr>
              <w:t>LD</w:t>
            </w:r>
            <w:r w:rsidRPr="001D668B">
              <w:rPr>
                <w:rFonts w:cs="Times New Roman"/>
                <w:b/>
                <w:bCs w:val="0"/>
                <w:sz w:val="22"/>
                <w:vertAlign w:val="subscript"/>
              </w:rPr>
              <w:t>50</w:t>
            </w:r>
            <w:r w:rsidRPr="001D668B">
              <w:rPr>
                <w:rFonts w:cs="Times New Roman"/>
                <w:b/>
                <w:bCs w:val="0"/>
                <w:sz w:val="22"/>
              </w:rPr>
              <w:t xml:space="preserve"> (rat oral)</w:t>
            </w:r>
            <w:r>
              <w:rPr>
                <w:rFonts w:cs="Times New Roman"/>
                <w:b/>
                <w:bCs w:val="0"/>
                <w:sz w:val="22"/>
              </w:rPr>
              <w:t>,</w:t>
            </w:r>
            <w:r w:rsidRPr="001D668B">
              <w:rPr>
                <w:rFonts w:cs="Times New Roman"/>
                <w:b/>
                <w:bCs w:val="0"/>
                <w:sz w:val="22"/>
              </w:rPr>
              <w:t xml:space="preserve"> mg/kg bw </w:t>
            </w:r>
            <w:r w:rsidRPr="001D668B">
              <w:rPr>
                <w:rFonts w:cs="Times New Roman"/>
                <w:b/>
                <w:bCs w:val="0"/>
                <w:sz w:val="22"/>
                <w:vertAlign w:val="superscript"/>
              </w:rPr>
              <w:t>a</w:t>
            </w:r>
          </w:p>
        </w:tc>
        <w:tc>
          <w:tcPr>
            <w:tcW w:w="1166" w:type="dxa"/>
            <w:tcBorders>
              <w:top w:val="single" w:sz="4" w:space="0" w:color="auto"/>
            </w:tcBorders>
            <w:shd w:val="clear" w:color="auto" w:fill="auto"/>
          </w:tcPr>
          <w:p w14:paraId="77983C11" w14:textId="77777777" w:rsidR="009C1C10" w:rsidRPr="001D668B" w:rsidRDefault="009C1C10" w:rsidP="004D0741">
            <w:pPr>
              <w:spacing w:after="0" w:line="240" w:lineRule="auto"/>
              <w:ind w:firstLine="0"/>
              <w:jc w:val="center"/>
              <w:rPr>
                <w:rFonts w:cs="Times New Roman"/>
                <w:b/>
                <w:bCs w:val="0"/>
                <w:sz w:val="22"/>
              </w:rPr>
            </w:pPr>
            <w:r w:rsidRPr="001D668B">
              <w:rPr>
                <w:rFonts w:cs="Times New Roman"/>
                <w:b/>
                <w:bCs w:val="0"/>
                <w:sz w:val="22"/>
              </w:rPr>
              <w:t xml:space="preserve">Doses </w:t>
            </w:r>
            <w:proofErr w:type="gramStart"/>
            <w:r w:rsidRPr="001D668B">
              <w:rPr>
                <w:rFonts w:cs="Times New Roman"/>
                <w:b/>
                <w:bCs w:val="0"/>
                <w:sz w:val="22"/>
              </w:rPr>
              <w:t>tested</w:t>
            </w:r>
            <w:proofErr w:type="gramEnd"/>
            <w:r>
              <w:rPr>
                <w:rFonts w:cs="Times New Roman"/>
                <w:b/>
                <w:bCs w:val="0"/>
                <w:sz w:val="22"/>
              </w:rPr>
              <w:t xml:space="preserve"> in CEGA</w:t>
            </w:r>
            <w:r w:rsidRPr="001D668B">
              <w:rPr>
                <w:rFonts w:cs="Times New Roman"/>
                <w:b/>
                <w:bCs w:val="0"/>
                <w:sz w:val="22"/>
              </w:rPr>
              <w:t xml:space="preserve">, mg/egg </w:t>
            </w:r>
            <w:r w:rsidRPr="001D668B">
              <w:rPr>
                <w:rFonts w:cs="Times New Roman"/>
                <w:b/>
                <w:bCs w:val="0"/>
                <w:sz w:val="22"/>
                <w:vertAlign w:val="superscript"/>
              </w:rPr>
              <w:t>b</w:t>
            </w:r>
          </w:p>
        </w:tc>
        <w:tc>
          <w:tcPr>
            <w:tcW w:w="1213" w:type="dxa"/>
            <w:tcBorders>
              <w:top w:val="single" w:sz="4" w:space="0" w:color="auto"/>
            </w:tcBorders>
            <w:shd w:val="clear" w:color="auto" w:fill="auto"/>
          </w:tcPr>
          <w:p w14:paraId="26455DDA" w14:textId="77777777" w:rsidR="009C1C10" w:rsidRPr="001D668B" w:rsidRDefault="009C1C10" w:rsidP="004D0741">
            <w:pPr>
              <w:spacing w:after="0" w:line="240" w:lineRule="auto"/>
              <w:ind w:firstLine="0"/>
              <w:jc w:val="center"/>
              <w:rPr>
                <w:rFonts w:cs="Times New Roman"/>
                <w:b/>
                <w:bCs w:val="0"/>
                <w:sz w:val="22"/>
              </w:rPr>
            </w:pPr>
            <w:r w:rsidRPr="001D668B">
              <w:rPr>
                <w:rFonts w:cs="Times New Roman"/>
                <w:b/>
                <w:bCs w:val="0"/>
                <w:sz w:val="22"/>
              </w:rPr>
              <w:t xml:space="preserve">Doses </w:t>
            </w:r>
            <w:proofErr w:type="gramStart"/>
            <w:r w:rsidRPr="001D668B">
              <w:rPr>
                <w:rFonts w:cs="Times New Roman"/>
                <w:b/>
                <w:bCs w:val="0"/>
                <w:sz w:val="22"/>
              </w:rPr>
              <w:t>test</w:t>
            </w:r>
            <w:r>
              <w:rPr>
                <w:rFonts w:cs="Times New Roman"/>
                <w:b/>
                <w:bCs w:val="0"/>
                <w:sz w:val="22"/>
              </w:rPr>
              <w:t>ed</w:t>
            </w:r>
            <w:proofErr w:type="gramEnd"/>
            <w:r>
              <w:rPr>
                <w:rFonts w:cs="Times New Roman"/>
                <w:b/>
                <w:bCs w:val="0"/>
                <w:sz w:val="22"/>
              </w:rPr>
              <w:t xml:space="preserve"> in HET_MN</w:t>
            </w:r>
            <w:r w:rsidRPr="001D668B">
              <w:rPr>
                <w:rFonts w:cs="Times New Roman"/>
                <w:b/>
                <w:bCs w:val="0"/>
                <w:sz w:val="22"/>
              </w:rPr>
              <w:t>, mg/egg</w:t>
            </w:r>
            <w:r w:rsidRPr="001D668B">
              <w:rPr>
                <w:rFonts w:cs="Times New Roman"/>
                <w:b/>
                <w:bCs w:val="0"/>
                <w:sz w:val="22"/>
                <w:vertAlign w:val="superscript"/>
              </w:rPr>
              <w:t>c</w:t>
            </w:r>
          </w:p>
        </w:tc>
      </w:tr>
      <w:tr w:rsidR="009C1C10" w:rsidRPr="001D668B" w14:paraId="7DFDE6D3" w14:textId="77777777" w:rsidTr="004D0741">
        <w:tc>
          <w:tcPr>
            <w:tcW w:w="8147" w:type="dxa"/>
            <w:gridSpan w:val="4"/>
            <w:shd w:val="clear" w:color="auto" w:fill="F2F2F2" w:themeFill="background1" w:themeFillShade="F2"/>
          </w:tcPr>
          <w:p w14:paraId="5BF9C00D"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Vehicle</w:t>
            </w:r>
          </w:p>
        </w:tc>
        <w:tc>
          <w:tcPr>
            <w:tcW w:w="1213" w:type="dxa"/>
            <w:shd w:val="clear" w:color="auto" w:fill="F2F2F2" w:themeFill="background1" w:themeFillShade="F2"/>
          </w:tcPr>
          <w:p w14:paraId="17499C4D" w14:textId="77777777" w:rsidR="009C1C10" w:rsidRPr="001D668B" w:rsidRDefault="009C1C10" w:rsidP="004D0741">
            <w:pPr>
              <w:spacing w:after="0" w:line="240" w:lineRule="auto"/>
              <w:ind w:firstLine="0"/>
              <w:jc w:val="center"/>
              <w:rPr>
                <w:rFonts w:cs="Times New Roman"/>
                <w:sz w:val="22"/>
              </w:rPr>
            </w:pPr>
          </w:p>
        </w:tc>
      </w:tr>
      <w:tr w:rsidR="009C1C10" w:rsidRPr="001D668B" w14:paraId="2412D2DA" w14:textId="77777777" w:rsidTr="004D0741">
        <w:trPr>
          <w:trHeight w:val="800"/>
        </w:trPr>
        <w:tc>
          <w:tcPr>
            <w:tcW w:w="1941" w:type="dxa"/>
          </w:tcPr>
          <w:p w14:paraId="108D16FB" w14:textId="77777777" w:rsidR="009C1C10" w:rsidRPr="001D668B" w:rsidRDefault="009C1C10" w:rsidP="004D0741">
            <w:pPr>
              <w:pStyle w:val="NoSpacing"/>
              <w:rPr>
                <w:rFonts w:cs="Times New Roman"/>
                <w:sz w:val="22"/>
              </w:rPr>
            </w:pPr>
            <w:r w:rsidRPr="001D668B">
              <w:rPr>
                <w:rFonts w:cs="Times New Roman"/>
                <w:sz w:val="22"/>
              </w:rPr>
              <w:t>Solutol HS15</w:t>
            </w:r>
            <w:r w:rsidRPr="00684F24">
              <w:rPr>
                <w:rFonts w:cs="Times New Roman"/>
                <w:sz w:val="22"/>
                <w:vertAlign w:val="superscript"/>
              </w:rPr>
              <w:t>d</w:t>
            </w:r>
          </w:p>
          <w:p w14:paraId="0FB74512" w14:textId="77777777" w:rsidR="009C1C10" w:rsidRPr="001D668B" w:rsidRDefault="009C1C10" w:rsidP="004D0741">
            <w:pPr>
              <w:pStyle w:val="NoSpacing"/>
              <w:rPr>
                <w:rFonts w:cs="Times New Roman"/>
                <w:sz w:val="22"/>
              </w:rPr>
            </w:pPr>
          </w:p>
        </w:tc>
        <w:tc>
          <w:tcPr>
            <w:tcW w:w="3966" w:type="dxa"/>
          </w:tcPr>
          <w:p w14:paraId="04E18BA0" w14:textId="77777777" w:rsidR="009C1C10" w:rsidRDefault="009C1C10" w:rsidP="004D0741">
            <w:pPr>
              <w:spacing w:after="0" w:line="240" w:lineRule="auto"/>
              <w:ind w:firstLine="0"/>
              <w:jc w:val="center"/>
              <w:rPr>
                <w:rFonts w:cs="Times New Roman"/>
                <w:noProof/>
                <w:sz w:val="22"/>
              </w:rPr>
            </w:pPr>
          </w:p>
          <w:p w14:paraId="5BB6228F" w14:textId="77777777" w:rsidR="009C1C10" w:rsidRPr="001D668B" w:rsidRDefault="009C1C10" w:rsidP="004D0741">
            <w:pPr>
              <w:spacing w:after="0" w:line="240" w:lineRule="auto"/>
              <w:ind w:firstLine="0"/>
              <w:jc w:val="center"/>
              <w:rPr>
                <w:rFonts w:cs="Times New Roman"/>
                <w:noProof/>
                <w:sz w:val="22"/>
              </w:rPr>
            </w:pPr>
            <w:r w:rsidRPr="008467F7">
              <w:rPr>
                <w:rFonts w:cs="Times New Roman"/>
                <w:noProof/>
                <w:sz w:val="22"/>
              </w:rPr>
              <w:drawing>
                <wp:inline distT="0" distB="0" distL="0" distR="0" wp14:anchorId="32EC317F" wp14:editId="2A33A097">
                  <wp:extent cx="1986915" cy="289560"/>
                  <wp:effectExtent l="0" t="0" r="0" b="0"/>
                  <wp:docPr id="1221853544" name="Picture 1" descr="A chevron of a chemical formul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853544" name="Picture 1" descr="A chevron of a chemical formula&#10;&#10;Description automatically generated with medium confidence"/>
                          <pic:cNvPicPr/>
                        </pic:nvPicPr>
                        <pic:blipFill>
                          <a:blip r:embed="rId43"/>
                          <a:stretch>
                            <a:fillRect/>
                          </a:stretch>
                        </pic:blipFill>
                        <pic:spPr>
                          <a:xfrm>
                            <a:off x="0" y="0"/>
                            <a:ext cx="1987114" cy="289589"/>
                          </a:xfrm>
                          <a:prstGeom prst="rect">
                            <a:avLst/>
                          </a:prstGeom>
                        </pic:spPr>
                      </pic:pic>
                    </a:graphicData>
                  </a:graphic>
                </wp:inline>
              </w:drawing>
            </w:r>
          </w:p>
        </w:tc>
        <w:tc>
          <w:tcPr>
            <w:tcW w:w="1074" w:type="dxa"/>
          </w:tcPr>
          <w:p w14:paraId="7558B2F2" w14:textId="77777777" w:rsidR="009C1C10" w:rsidRPr="001D668B" w:rsidRDefault="009C1C10" w:rsidP="004D0741">
            <w:pPr>
              <w:spacing w:after="0" w:line="240" w:lineRule="auto"/>
              <w:ind w:firstLine="0"/>
              <w:jc w:val="center"/>
              <w:rPr>
                <w:rFonts w:cs="Times New Roman"/>
                <w:sz w:val="22"/>
              </w:rPr>
            </w:pPr>
          </w:p>
        </w:tc>
        <w:tc>
          <w:tcPr>
            <w:tcW w:w="1166" w:type="dxa"/>
          </w:tcPr>
          <w:p w14:paraId="66D5D670" w14:textId="77777777" w:rsidR="009C1C10" w:rsidRPr="001D668B" w:rsidRDefault="009C1C10" w:rsidP="004D0741">
            <w:pPr>
              <w:spacing w:after="0" w:line="240" w:lineRule="auto"/>
              <w:ind w:firstLine="0"/>
              <w:jc w:val="center"/>
              <w:rPr>
                <w:rFonts w:cs="Times New Roman"/>
                <w:sz w:val="22"/>
              </w:rPr>
            </w:pPr>
            <w:proofErr w:type="gramStart"/>
            <w:r w:rsidRPr="001D668B">
              <w:rPr>
                <w:rFonts w:cs="Times New Roman"/>
                <w:sz w:val="22"/>
              </w:rPr>
              <w:t>20%</w:t>
            </w:r>
            <w:proofErr w:type="gramEnd"/>
            <w:r w:rsidRPr="001D668B">
              <w:rPr>
                <w:rFonts w:cs="Times New Roman"/>
                <w:sz w:val="22"/>
              </w:rPr>
              <w:t xml:space="preserve"> aqueous solution</w:t>
            </w:r>
          </w:p>
        </w:tc>
        <w:tc>
          <w:tcPr>
            <w:tcW w:w="1213" w:type="dxa"/>
          </w:tcPr>
          <w:p w14:paraId="34906F83" w14:textId="77777777" w:rsidR="009C1C10" w:rsidRPr="001D668B" w:rsidRDefault="009C1C10" w:rsidP="004D0741">
            <w:pPr>
              <w:spacing w:after="0" w:line="240" w:lineRule="auto"/>
              <w:ind w:firstLine="0"/>
              <w:jc w:val="center"/>
              <w:rPr>
                <w:rFonts w:cs="Times New Roman"/>
                <w:sz w:val="22"/>
              </w:rPr>
            </w:pPr>
          </w:p>
        </w:tc>
      </w:tr>
      <w:tr w:rsidR="009C1C10" w:rsidRPr="001D668B" w14:paraId="69367DE5" w14:textId="77777777" w:rsidTr="004D0741">
        <w:trPr>
          <w:trHeight w:val="800"/>
        </w:trPr>
        <w:tc>
          <w:tcPr>
            <w:tcW w:w="1941" w:type="dxa"/>
          </w:tcPr>
          <w:p w14:paraId="012FBC02" w14:textId="77777777" w:rsidR="009C1C10" w:rsidRPr="001D668B" w:rsidRDefault="009C1C10" w:rsidP="004D0741">
            <w:pPr>
              <w:pStyle w:val="NoSpacing"/>
              <w:rPr>
                <w:rFonts w:cs="Times New Roman"/>
                <w:sz w:val="22"/>
              </w:rPr>
            </w:pPr>
            <w:r w:rsidRPr="001D668B">
              <w:rPr>
                <w:rFonts w:cs="Times New Roman"/>
                <w:sz w:val="22"/>
              </w:rPr>
              <w:t xml:space="preserve">Isopropyl myristate (IPM) </w:t>
            </w:r>
            <w:r>
              <w:rPr>
                <w:rFonts w:cs="Times New Roman"/>
                <w:sz w:val="22"/>
                <w:vertAlign w:val="superscript"/>
              </w:rPr>
              <w:t>e</w:t>
            </w:r>
          </w:p>
          <w:p w14:paraId="1F4C3ECB" w14:textId="77777777" w:rsidR="009C1C10" w:rsidRPr="001D668B" w:rsidRDefault="009C1C10" w:rsidP="004D0741">
            <w:pPr>
              <w:pStyle w:val="NoSpacing"/>
              <w:rPr>
                <w:rFonts w:cs="Times New Roman"/>
                <w:sz w:val="22"/>
              </w:rPr>
            </w:pPr>
          </w:p>
        </w:tc>
        <w:tc>
          <w:tcPr>
            <w:tcW w:w="3966" w:type="dxa"/>
          </w:tcPr>
          <w:p w14:paraId="4B11AFB6" w14:textId="77777777" w:rsidR="009C1C10" w:rsidRDefault="009C1C10" w:rsidP="004D0741">
            <w:pPr>
              <w:spacing w:after="0" w:line="240" w:lineRule="auto"/>
              <w:ind w:firstLine="0"/>
              <w:jc w:val="center"/>
              <w:rPr>
                <w:rFonts w:cs="Times New Roman"/>
                <w:noProof/>
                <w:sz w:val="22"/>
              </w:rPr>
            </w:pPr>
          </w:p>
          <w:p w14:paraId="008EC6C7" w14:textId="77777777" w:rsidR="009C1C10" w:rsidRPr="001D668B" w:rsidRDefault="009C1C10" w:rsidP="004D0741">
            <w:pPr>
              <w:spacing w:after="0" w:line="240" w:lineRule="auto"/>
              <w:ind w:firstLine="0"/>
              <w:jc w:val="center"/>
              <w:rPr>
                <w:rFonts w:cs="Times New Roman"/>
                <w:noProof/>
                <w:sz w:val="22"/>
              </w:rPr>
            </w:pPr>
            <w:r w:rsidRPr="008467F7">
              <w:rPr>
                <w:rFonts w:cs="Times New Roman"/>
                <w:noProof/>
                <w:sz w:val="22"/>
              </w:rPr>
              <w:drawing>
                <wp:inline distT="0" distB="0" distL="0" distR="0" wp14:anchorId="19A49753" wp14:editId="5A4E1627">
                  <wp:extent cx="1963420" cy="259080"/>
                  <wp:effectExtent l="0" t="0" r="0" b="7620"/>
                  <wp:docPr id="1838447853" name="Picture 1" descr="A black line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447853" name="Picture 1" descr="A black line on a white background&#10;&#10;Description automatically generated"/>
                          <pic:cNvPicPr/>
                        </pic:nvPicPr>
                        <pic:blipFill>
                          <a:blip r:embed="rId44"/>
                          <a:stretch>
                            <a:fillRect/>
                          </a:stretch>
                        </pic:blipFill>
                        <pic:spPr>
                          <a:xfrm>
                            <a:off x="0" y="0"/>
                            <a:ext cx="1976508" cy="260807"/>
                          </a:xfrm>
                          <a:prstGeom prst="rect">
                            <a:avLst/>
                          </a:prstGeom>
                        </pic:spPr>
                      </pic:pic>
                    </a:graphicData>
                  </a:graphic>
                </wp:inline>
              </w:drawing>
            </w:r>
          </w:p>
        </w:tc>
        <w:tc>
          <w:tcPr>
            <w:tcW w:w="1074" w:type="dxa"/>
          </w:tcPr>
          <w:p w14:paraId="006C8070" w14:textId="77777777" w:rsidR="009C1C10" w:rsidRPr="001D668B" w:rsidRDefault="009C1C10" w:rsidP="004D0741">
            <w:pPr>
              <w:spacing w:after="0" w:line="240" w:lineRule="auto"/>
              <w:ind w:firstLine="0"/>
              <w:jc w:val="center"/>
              <w:rPr>
                <w:rFonts w:cs="Times New Roman"/>
                <w:sz w:val="22"/>
              </w:rPr>
            </w:pPr>
          </w:p>
        </w:tc>
        <w:tc>
          <w:tcPr>
            <w:tcW w:w="1166" w:type="dxa"/>
          </w:tcPr>
          <w:p w14:paraId="5D87E862" w14:textId="77777777" w:rsidR="009C1C10" w:rsidRPr="001D668B" w:rsidRDefault="009C1C10" w:rsidP="004D0741">
            <w:pPr>
              <w:spacing w:after="0" w:line="240" w:lineRule="auto"/>
              <w:ind w:firstLine="0"/>
              <w:jc w:val="center"/>
              <w:rPr>
                <w:rFonts w:cs="Times New Roman"/>
                <w:sz w:val="22"/>
              </w:rPr>
            </w:pPr>
          </w:p>
        </w:tc>
        <w:tc>
          <w:tcPr>
            <w:tcW w:w="1213" w:type="dxa"/>
          </w:tcPr>
          <w:p w14:paraId="41EAD692" w14:textId="77777777" w:rsidR="009C1C10" w:rsidRPr="001D668B" w:rsidRDefault="009C1C10" w:rsidP="004D0741">
            <w:pPr>
              <w:spacing w:after="0" w:line="240" w:lineRule="auto"/>
              <w:ind w:firstLine="0"/>
              <w:jc w:val="center"/>
              <w:rPr>
                <w:rFonts w:cs="Times New Roman"/>
                <w:sz w:val="22"/>
              </w:rPr>
            </w:pPr>
          </w:p>
        </w:tc>
      </w:tr>
      <w:tr w:rsidR="009C1C10" w:rsidRPr="001D668B" w14:paraId="7D195D94" w14:textId="77777777" w:rsidTr="004D0741">
        <w:tc>
          <w:tcPr>
            <w:tcW w:w="8147" w:type="dxa"/>
            <w:gridSpan w:val="4"/>
            <w:shd w:val="clear" w:color="auto" w:fill="F2F2F2" w:themeFill="background1" w:themeFillShade="F2"/>
          </w:tcPr>
          <w:p w14:paraId="6A88B8BE" w14:textId="77777777" w:rsidR="009C1C10" w:rsidRPr="001D668B" w:rsidRDefault="009C1C10" w:rsidP="004D0741">
            <w:pPr>
              <w:spacing w:after="0" w:line="240" w:lineRule="auto"/>
              <w:ind w:firstLine="0"/>
              <w:jc w:val="center"/>
              <w:rPr>
                <w:rFonts w:cs="Times New Roman"/>
                <w:sz w:val="22"/>
              </w:rPr>
            </w:pPr>
            <w:proofErr w:type="gramStart"/>
            <w:r w:rsidRPr="001D668B">
              <w:rPr>
                <w:rFonts w:cs="Times New Roman"/>
                <w:sz w:val="22"/>
              </w:rPr>
              <w:t>Test</w:t>
            </w:r>
            <w:proofErr w:type="gramEnd"/>
            <w:r w:rsidRPr="001D668B">
              <w:rPr>
                <w:rFonts w:cs="Times New Roman"/>
                <w:sz w:val="22"/>
              </w:rPr>
              <w:t xml:space="preserve"> Chemicals</w:t>
            </w:r>
          </w:p>
        </w:tc>
        <w:tc>
          <w:tcPr>
            <w:tcW w:w="1213" w:type="dxa"/>
            <w:shd w:val="clear" w:color="auto" w:fill="F2F2F2" w:themeFill="background1" w:themeFillShade="F2"/>
          </w:tcPr>
          <w:p w14:paraId="1A244936" w14:textId="77777777" w:rsidR="009C1C10" w:rsidRPr="001D668B" w:rsidRDefault="009C1C10" w:rsidP="004D0741">
            <w:pPr>
              <w:spacing w:after="0" w:line="240" w:lineRule="auto"/>
              <w:ind w:firstLine="0"/>
              <w:jc w:val="center"/>
              <w:rPr>
                <w:rFonts w:cs="Times New Roman"/>
                <w:sz w:val="22"/>
              </w:rPr>
            </w:pPr>
          </w:p>
        </w:tc>
      </w:tr>
      <w:tr w:rsidR="009C1C10" w:rsidRPr="001D668B" w14:paraId="69719CBF" w14:textId="77777777" w:rsidTr="004D0741">
        <w:tc>
          <w:tcPr>
            <w:tcW w:w="1941" w:type="dxa"/>
          </w:tcPr>
          <w:p w14:paraId="5127E31C" w14:textId="77777777" w:rsidR="009C1C10" w:rsidRPr="001D668B" w:rsidRDefault="009C1C10" w:rsidP="004D0741">
            <w:pPr>
              <w:pStyle w:val="NoSpacing"/>
              <w:rPr>
                <w:rFonts w:cs="Times New Roman"/>
                <w:sz w:val="22"/>
              </w:rPr>
            </w:pPr>
            <w:r w:rsidRPr="001D668B">
              <w:rPr>
                <w:rFonts w:cs="Times New Roman"/>
                <w:sz w:val="22"/>
              </w:rPr>
              <w:t>2-Phenyl-2-butenal</w:t>
            </w:r>
          </w:p>
        </w:tc>
        <w:tc>
          <w:tcPr>
            <w:tcW w:w="3966" w:type="dxa"/>
          </w:tcPr>
          <w:p w14:paraId="02409C31" w14:textId="77777777" w:rsidR="009C1C10" w:rsidRDefault="009C1C10" w:rsidP="004D0741">
            <w:pPr>
              <w:spacing w:after="0" w:line="240" w:lineRule="auto"/>
              <w:ind w:firstLine="0"/>
              <w:jc w:val="center"/>
              <w:rPr>
                <w:rFonts w:cs="Times New Roman"/>
                <w:sz w:val="22"/>
              </w:rPr>
            </w:pPr>
          </w:p>
          <w:p w14:paraId="03B4B050" w14:textId="77777777" w:rsidR="009C1C10" w:rsidRPr="001D668B" w:rsidRDefault="009C1C10" w:rsidP="004D0741">
            <w:pPr>
              <w:spacing w:after="0" w:line="240" w:lineRule="auto"/>
              <w:ind w:firstLine="0"/>
              <w:jc w:val="center"/>
              <w:rPr>
                <w:rFonts w:cs="Times New Roman"/>
                <w:sz w:val="22"/>
              </w:rPr>
            </w:pPr>
            <w:r w:rsidRPr="008467F7">
              <w:rPr>
                <w:rFonts w:cs="Times New Roman"/>
                <w:noProof/>
                <w:sz w:val="22"/>
              </w:rPr>
              <w:drawing>
                <wp:inline distT="0" distB="0" distL="0" distR="0" wp14:anchorId="00B4CF8E" wp14:editId="338B37F4">
                  <wp:extent cx="944658" cy="1089660"/>
                  <wp:effectExtent l="0" t="0" r="8255" b="0"/>
                  <wp:docPr id="2128318983" name="Picture 1" descr="A structure of a chemical comp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318983" name="Picture 1" descr="A structure of a chemical compound&#10;&#10;Description automatically generated"/>
                          <pic:cNvPicPr/>
                        </pic:nvPicPr>
                        <pic:blipFill>
                          <a:blip r:embed="rId45"/>
                          <a:stretch>
                            <a:fillRect/>
                          </a:stretch>
                        </pic:blipFill>
                        <pic:spPr>
                          <a:xfrm>
                            <a:off x="0" y="0"/>
                            <a:ext cx="962894" cy="1110695"/>
                          </a:xfrm>
                          <a:prstGeom prst="rect">
                            <a:avLst/>
                          </a:prstGeom>
                        </pic:spPr>
                      </pic:pic>
                    </a:graphicData>
                  </a:graphic>
                </wp:inline>
              </w:drawing>
            </w:r>
          </w:p>
        </w:tc>
        <w:tc>
          <w:tcPr>
            <w:tcW w:w="1074" w:type="dxa"/>
          </w:tcPr>
          <w:p w14:paraId="45DC9C7F"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N/A</w:t>
            </w:r>
          </w:p>
        </w:tc>
        <w:tc>
          <w:tcPr>
            <w:tcW w:w="1166" w:type="dxa"/>
          </w:tcPr>
          <w:p w14:paraId="3B6C7DC8"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w:t>
            </w:r>
          </w:p>
          <w:p w14:paraId="4C22416A"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2</w:t>
            </w:r>
          </w:p>
          <w:p w14:paraId="59345E97"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2.5</w:t>
            </w:r>
          </w:p>
          <w:p w14:paraId="491DB3F3"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3</w:t>
            </w:r>
          </w:p>
          <w:p w14:paraId="138D5D1A"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5</w:t>
            </w:r>
          </w:p>
        </w:tc>
        <w:tc>
          <w:tcPr>
            <w:tcW w:w="1213" w:type="dxa"/>
          </w:tcPr>
          <w:p w14:paraId="31397089"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0.5</w:t>
            </w:r>
          </w:p>
          <w:p w14:paraId="039EF331"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w:t>
            </w:r>
          </w:p>
          <w:p w14:paraId="03E453DB"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2</w:t>
            </w:r>
          </w:p>
        </w:tc>
      </w:tr>
      <w:tr w:rsidR="009C1C10" w:rsidRPr="001D668B" w14:paraId="5D48C87A" w14:textId="77777777" w:rsidTr="004D0741">
        <w:tc>
          <w:tcPr>
            <w:tcW w:w="1941" w:type="dxa"/>
          </w:tcPr>
          <w:p w14:paraId="46974153" w14:textId="77777777" w:rsidR="009C1C10" w:rsidRPr="001D668B" w:rsidRDefault="009C1C10" w:rsidP="004D0741">
            <w:pPr>
              <w:pStyle w:val="NoSpacing"/>
              <w:rPr>
                <w:rFonts w:cs="Times New Roman"/>
                <w:sz w:val="22"/>
              </w:rPr>
            </w:pPr>
            <w:r w:rsidRPr="001D668B">
              <w:rPr>
                <w:rFonts w:cs="Times New Roman"/>
                <w:sz w:val="22"/>
              </w:rPr>
              <w:t>Nona-2 trans- 6-cis-dienal</w:t>
            </w:r>
          </w:p>
        </w:tc>
        <w:tc>
          <w:tcPr>
            <w:tcW w:w="3966" w:type="dxa"/>
          </w:tcPr>
          <w:p w14:paraId="33B1E33F" w14:textId="77777777" w:rsidR="009C1C10" w:rsidRDefault="009C1C10" w:rsidP="004D0741">
            <w:pPr>
              <w:spacing w:after="0" w:line="240" w:lineRule="auto"/>
              <w:ind w:firstLine="0"/>
              <w:jc w:val="center"/>
              <w:rPr>
                <w:rFonts w:cs="Times New Roman"/>
                <w:sz w:val="22"/>
              </w:rPr>
            </w:pPr>
          </w:p>
          <w:p w14:paraId="4A67B669" w14:textId="77777777" w:rsidR="009C1C10" w:rsidRPr="001D668B" w:rsidRDefault="009C1C10" w:rsidP="004D0741">
            <w:pPr>
              <w:spacing w:after="0" w:line="240" w:lineRule="auto"/>
              <w:ind w:firstLine="0"/>
              <w:jc w:val="center"/>
              <w:rPr>
                <w:rFonts w:cs="Times New Roman"/>
                <w:sz w:val="22"/>
              </w:rPr>
            </w:pPr>
            <w:r w:rsidRPr="008467F7">
              <w:rPr>
                <w:rFonts w:cs="Times New Roman"/>
                <w:noProof/>
                <w:sz w:val="22"/>
              </w:rPr>
              <w:drawing>
                <wp:inline distT="0" distB="0" distL="0" distR="0" wp14:anchorId="7EEE5C69" wp14:editId="195C2C82">
                  <wp:extent cx="1546860" cy="944880"/>
                  <wp:effectExtent l="0" t="0" r="0" b="7620"/>
                  <wp:docPr id="254890732" name="Picture 1" descr="A diagram of a chemical formu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890732" name="Picture 1" descr="A diagram of a chemical formula&#10;&#10;Description automatically generated"/>
                          <pic:cNvPicPr/>
                        </pic:nvPicPr>
                        <pic:blipFill>
                          <a:blip r:embed="rId46"/>
                          <a:stretch>
                            <a:fillRect/>
                          </a:stretch>
                        </pic:blipFill>
                        <pic:spPr>
                          <a:xfrm>
                            <a:off x="0" y="0"/>
                            <a:ext cx="1547002" cy="944967"/>
                          </a:xfrm>
                          <a:prstGeom prst="rect">
                            <a:avLst/>
                          </a:prstGeom>
                        </pic:spPr>
                      </pic:pic>
                    </a:graphicData>
                  </a:graphic>
                </wp:inline>
              </w:drawing>
            </w:r>
          </w:p>
        </w:tc>
        <w:tc>
          <w:tcPr>
            <w:tcW w:w="1074" w:type="dxa"/>
          </w:tcPr>
          <w:p w14:paraId="07CDC1C6"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5,000</w:t>
            </w:r>
          </w:p>
        </w:tc>
        <w:tc>
          <w:tcPr>
            <w:tcW w:w="1166" w:type="dxa"/>
          </w:tcPr>
          <w:p w14:paraId="7B8F846B"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0.25</w:t>
            </w:r>
          </w:p>
          <w:p w14:paraId="4BD8059D"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0.5</w:t>
            </w:r>
          </w:p>
        </w:tc>
        <w:tc>
          <w:tcPr>
            <w:tcW w:w="1213" w:type="dxa"/>
          </w:tcPr>
          <w:p w14:paraId="395C44E8"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0.1</w:t>
            </w:r>
          </w:p>
          <w:p w14:paraId="23CC4F33"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0.25</w:t>
            </w:r>
          </w:p>
          <w:p w14:paraId="700725FA"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0.5</w:t>
            </w:r>
          </w:p>
        </w:tc>
      </w:tr>
      <w:tr w:rsidR="009C1C10" w:rsidRPr="001D668B" w14:paraId="22C38EA5" w14:textId="77777777" w:rsidTr="004D0741">
        <w:tc>
          <w:tcPr>
            <w:tcW w:w="1941" w:type="dxa"/>
          </w:tcPr>
          <w:p w14:paraId="4C3FD672" w14:textId="77777777" w:rsidR="009C1C10" w:rsidRPr="001D668B" w:rsidRDefault="009C1C10" w:rsidP="004D0741">
            <w:pPr>
              <w:pStyle w:val="NoSpacing"/>
              <w:rPr>
                <w:rFonts w:cs="Times New Roman"/>
                <w:sz w:val="22"/>
              </w:rPr>
            </w:pPr>
            <w:r w:rsidRPr="001D668B">
              <w:rPr>
                <w:rFonts w:cs="Times New Roman"/>
                <w:sz w:val="22"/>
              </w:rPr>
              <w:t xml:space="preserve">2-Methyl-2-pentenal </w:t>
            </w:r>
          </w:p>
        </w:tc>
        <w:tc>
          <w:tcPr>
            <w:tcW w:w="3966" w:type="dxa"/>
          </w:tcPr>
          <w:p w14:paraId="4812C35B" w14:textId="77777777" w:rsidR="009C1C10" w:rsidRDefault="009C1C10" w:rsidP="004D0741">
            <w:pPr>
              <w:spacing w:after="0" w:line="240" w:lineRule="auto"/>
              <w:ind w:firstLine="0"/>
              <w:jc w:val="center"/>
              <w:rPr>
                <w:rFonts w:cs="Times New Roman"/>
                <w:sz w:val="22"/>
              </w:rPr>
            </w:pPr>
          </w:p>
          <w:p w14:paraId="12DD6223" w14:textId="77777777" w:rsidR="009C1C10" w:rsidRPr="001D668B" w:rsidRDefault="009C1C10" w:rsidP="004D0741">
            <w:pPr>
              <w:spacing w:after="0" w:line="240" w:lineRule="auto"/>
              <w:ind w:firstLine="0"/>
              <w:jc w:val="center"/>
              <w:rPr>
                <w:rFonts w:cs="Times New Roman"/>
                <w:sz w:val="22"/>
              </w:rPr>
            </w:pPr>
            <w:r w:rsidRPr="008467F7">
              <w:rPr>
                <w:rFonts w:cs="Times New Roman"/>
                <w:noProof/>
                <w:sz w:val="22"/>
              </w:rPr>
              <w:drawing>
                <wp:inline distT="0" distB="0" distL="0" distR="0" wp14:anchorId="002438F1" wp14:editId="08A9347F">
                  <wp:extent cx="1150620" cy="685800"/>
                  <wp:effectExtent l="0" t="0" r="0" b="0"/>
                  <wp:docPr id="1026121961" name="Picture 1" descr="A structure of a chemical formu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121961" name="Picture 1" descr="A structure of a chemical formula&#10;&#10;Description automatically generated"/>
                          <pic:cNvPicPr/>
                        </pic:nvPicPr>
                        <pic:blipFill>
                          <a:blip r:embed="rId47"/>
                          <a:stretch>
                            <a:fillRect/>
                          </a:stretch>
                        </pic:blipFill>
                        <pic:spPr>
                          <a:xfrm>
                            <a:off x="0" y="0"/>
                            <a:ext cx="1150726" cy="685863"/>
                          </a:xfrm>
                          <a:prstGeom prst="rect">
                            <a:avLst/>
                          </a:prstGeom>
                        </pic:spPr>
                      </pic:pic>
                    </a:graphicData>
                  </a:graphic>
                </wp:inline>
              </w:drawing>
            </w:r>
          </w:p>
        </w:tc>
        <w:tc>
          <w:tcPr>
            <w:tcW w:w="1074" w:type="dxa"/>
          </w:tcPr>
          <w:p w14:paraId="520A97A7"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4,290</w:t>
            </w:r>
          </w:p>
        </w:tc>
        <w:tc>
          <w:tcPr>
            <w:tcW w:w="1166" w:type="dxa"/>
          </w:tcPr>
          <w:p w14:paraId="7B68D1AF"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7</w:t>
            </w:r>
          </w:p>
          <w:p w14:paraId="7F41159D"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 xml:space="preserve">8 </w:t>
            </w:r>
          </w:p>
          <w:p w14:paraId="7EE72FBA"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10</w:t>
            </w:r>
          </w:p>
        </w:tc>
        <w:tc>
          <w:tcPr>
            <w:tcW w:w="1213" w:type="dxa"/>
          </w:tcPr>
          <w:p w14:paraId="061EF0FA"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w:t>
            </w:r>
          </w:p>
          <w:p w14:paraId="6C0F6AC7"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3</w:t>
            </w:r>
          </w:p>
          <w:p w14:paraId="26804AD5"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5</w:t>
            </w:r>
          </w:p>
        </w:tc>
      </w:tr>
      <w:tr w:rsidR="009C1C10" w:rsidRPr="001D668B" w14:paraId="68DB4607" w14:textId="77777777" w:rsidTr="004D0741">
        <w:tc>
          <w:tcPr>
            <w:tcW w:w="1941" w:type="dxa"/>
          </w:tcPr>
          <w:p w14:paraId="43440B6F" w14:textId="77777777" w:rsidR="009C1C10" w:rsidRPr="001D668B" w:rsidRDefault="009C1C10" w:rsidP="004D0741">
            <w:pPr>
              <w:pStyle w:val="NoSpacing"/>
              <w:rPr>
                <w:rFonts w:cs="Times New Roman"/>
                <w:sz w:val="22"/>
              </w:rPr>
            </w:pPr>
            <w:r w:rsidRPr="001D668B">
              <w:rPr>
                <w:rFonts w:cs="Times New Roman"/>
                <w:sz w:val="22"/>
              </w:rPr>
              <w:t xml:space="preserve">p-Methoxy cinnamaldehyde </w:t>
            </w:r>
          </w:p>
        </w:tc>
        <w:tc>
          <w:tcPr>
            <w:tcW w:w="3966" w:type="dxa"/>
          </w:tcPr>
          <w:p w14:paraId="247783B5" w14:textId="77777777" w:rsidR="009C1C10" w:rsidRDefault="009C1C10" w:rsidP="004D0741">
            <w:pPr>
              <w:spacing w:after="0" w:line="240" w:lineRule="auto"/>
              <w:ind w:firstLine="0"/>
              <w:jc w:val="center"/>
              <w:rPr>
                <w:rFonts w:cs="Times New Roman"/>
                <w:sz w:val="22"/>
              </w:rPr>
            </w:pPr>
          </w:p>
          <w:p w14:paraId="18047D30" w14:textId="77777777" w:rsidR="009C1C10" w:rsidRPr="001D668B" w:rsidRDefault="009C1C10" w:rsidP="004D0741">
            <w:pPr>
              <w:spacing w:after="0" w:line="240" w:lineRule="auto"/>
              <w:ind w:firstLine="0"/>
              <w:jc w:val="center"/>
              <w:rPr>
                <w:rFonts w:cs="Times New Roman"/>
                <w:sz w:val="22"/>
              </w:rPr>
            </w:pPr>
            <w:r w:rsidRPr="008467F7">
              <w:rPr>
                <w:rFonts w:cs="Times New Roman"/>
                <w:noProof/>
                <w:sz w:val="22"/>
              </w:rPr>
              <w:drawing>
                <wp:inline distT="0" distB="0" distL="0" distR="0" wp14:anchorId="5E4F8F6E" wp14:editId="2D3E4605">
                  <wp:extent cx="768350" cy="922020"/>
                  <wp:effectExtent l="0" t="0" r="0" b="0"/>
                  <wp:docPr id="985472901" name="Picture 1" descr="A black and white drawing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472901" name="Picture 1" descr="A black and white drawing of a molecule&#10;&#10;Description automatically generated"/>
                          <pic:cNvPicPr/>
                        </pic:nvPicPr>
                        <pic:blipFill>
                          <a:blip r:embed="rId48"/>
                          <a:stretch>
                            <a:fillRect/>
                          </a:stretch>
                        </pic:blipFill>
                        <pic:spPr>
                          <a:xfrm>
                            <a:off x="0" y="0"/>
                            <a:ext cx="768423" cy="922108"/>
                          </a:xfrm>
                          <a:prstGeom prst="rect">
                            <a:avLst/>
                          </a:prstGeom>
                        </pic:spPr>
                      </pic:pic>
                    </a:graphicData>
                  </a:graphic>
                </wp:inline>
              </w:drawing>
            </w:r>
          </w:p>
        </w:tc>
        <w:tc>
          <w:tcPr>
            <w:tcW w:w="1074" w:type="dxa"/>
          </w:tcPr>
          <w:p w14:paraId="7F436A62"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N/A</w:t>
            </w:r>
          </w:p>
        </w:tc>
        <w:tc>
          <w:tcPr>
            <w:tcW w:w="1166" w:type="dxa"/>
          </w:tcPr>
          <w:p w14:paraId="58552A89"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1.5</w:t>
            </w:r>
          </w:p>
          <w:p w14:paraId="564DAA34"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2.0</w:t>
            </w:r>
          </w:p>
          <w:p w14:paraId="7C875DF6"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2.5</w:t>
            </w:r>
          </w:p>
        </w:tc>
        <w:tc>
          <w:tcPr>
            <w:tcW w:w="1213" w:type="dxa"/>
          </w:tcPr>
          <w:p w14:paraId="702C94BC"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1.0</w:t>
            </w:r>
          </w:p>
          <w:p w14:paraId="7952DF90"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1.25</w:t>
            </w:r>
          </w:p>
          <w:p w14:paraId="7B578D79"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1.5</w:t>
            </w:r>
          </w:p>
        </w:tc>
      </w:tr>
      <w:tr w:rsidR="009C1C10" w:rsidRPr="001D668B" w14:paraId="1CAF1C1D" w14:textId="77777777" w:rsidTr="004D0741">
        <w:tc>
          <w:tcPr>
            <w:tcW w:w="8147" w:type="dxa"/>
            <w:gridSpan w:val="4"/>
            <w:shd w:val="clear" w:color="auto" w:fill="F2F2F2" w:themeFill="background1" w:themeFillShade="F2"/>
          </w:tcPr>
          <w:p w14:paraId="3F1A6A1D"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Positive Control</w:t>
            </w:r>
          </w:p>
        </w:tc>
        <w:tc>
          <w:tcPr>
            <w:tcW w:w="1213" w:type="dxa"/>
            <w:shd w:val="clear" w:color="auto" w:fill="F2F2F2" w:themeFill="background1" w:themeFillShade="F2"/>
          </w:tcPr>
          <w:p w14:paraId="73659FC4" w14:textId="77777777" w:rsidR="009C1C10" w:rsidRPr="001D668B" w:rsidRDefault="009C1C10" w:rsidP="004D0741">
            <w:pPr>
              <w:spacing w:after="0" w:line="240" w:lineRule="auto"/>
              <w:ind w:firstLine="0"/>
              <w:jc w:val="center"/>
              <w:rPr>
                <w:rFonts w:cs="Times New Roman"/>
                <w:sz w:val="22"/>
              </w:rPr>
            </w:pPr>
          </w:p>
        </w:tc>
      </w:tr>
      <w:tr w:rsidR="009C1C10" w:rsidRPr="001D668B" w14:paraId="17F36DBD" w14:textId="77777777" w:rsidTr="004D0741">
        <w:tc>
          <w:tcPr>
            <w:tcW w:w="1941" w:type="dxa"/>
            <w:tcBorders>
              <w:bottom w:val="single" w:sz="4" w:space="0" w:color="auto"/>
            </w:tcBorders>
          </w:tcPr>
          <w:p w14:paraId="04D64C65" w14:textId="77777777" w:rsidR="009C1C10" w:rsidRPr="001D668B" w:rsidRDefault="009C1C10" w:rsidP="004D0741">
            <w:pPr>
              <w:pStyle w:val="NoSpacing"/>
              <w:rPr>
                <w:rFonts w:cs="Times New Roman"/>
                <w:sz w:val="22"/>
              </w:rPr>
            </w:pPr>
            <w:r w:rsidRPr="001D668B">
              <w:rPr>
                <w:rFonts w:cs="Times New Roman"/>
                <w:sz w:val="22"/>
              </w:rPr>
              <w:t>Quinoline</w:t>
            </w:r>
            <w:r w:rsidRPr="00684F24">
              <w:rPr>
                <w:rFonts w:cs="Times New Roman"/>
                <w:sz w:val="22"/>
                <w:vertAlign w:val="superscript"/>
              </w:rPr>
              <w:t xml:space="preserve"> d</w:t>
            </w:r>
          </w:p>
          <w:p w14:paraId="2C3D7996" w14:textId="77777777" w:rsidR="009C1C10" w:rsidRPr="001D668B" w:rsidRDefault="009C1C10" w:rsidP="004D0741">
            <w:pPr>
              <w:pStyle w:val="NoSpacing"/>
              <w:rPr>
                <w:rFonts w:cs="Times New Roman"/>
                <w:sz w:val="22"/>
              </w:rPr>
            </w:pPr>
          </w:p>
        </w:tc>
        <w:tc>
          <w:tcPr>
            <w:tcW w:w="3966" w:type="dxa"/>
            <w:tcBorders>
              <w:bottom w:val="single" w:sz="4" w:space="0" w:color="auto"/>
            </w:tcBorders>
          </w:tcPr>
          <w:p w14:paraId="4D6E407D" w14:textId="77777777" w:rsidR="009C1C10" w:rsidRDefault="009C1C10" w:rsidP="004D0741">
            <w:pPr>
              <w:spacing w:after="0" w:line="240" w:lineRule="auto"/>
              <w:ind w:firstLine="0"/>
              <w:jc w:val="center"/>
              <w:rPr>
                <w:rFonts w:cs="Times New Roman"/>
                <w:sz w:val="22"/>
              </w:rPr>
            </w:pPr>
          </w:p>
          <w:p w14:paraId="19ACE2D0" w14:textId="77777777" w:rsidR="009C1C10" w:rsidRPr="001D668B" w:rsidRDefault="009C1C10" w:rsidP="004D0741">
            <w:pPr>
              <w:spacing w:after="0" w:line="240" w:lineRule="auto"/>
              <w:ind w:firstLine="0"/>
              <w:jc w:val="center"/>
              <w:rPr>
                <w:rFonts w:cs="Times New Roman"/>
                <w:sz w:val="22"/>
              </w:rPr>
            </w:pPr>
            <w:r w:rsidRPr="008467F7">
              <w:rPr>
                <w:rFonts w:cs="Times New Roman"/>
                <w:noProof/>
                <w:sz w:val="22"/>
              </w:rPr>
              <w:drawing>
                <wp:inline distT="0" distB="0" distL="0" distR="0" wp14:anchorId="4910FAEB" wp14:editId="2B76DFB1">
                  <wp:extent cx="913064" cy="478325"/>
                  <wp:effectExtent l="0" t="0" r="1905" b="0"/>
                  <wp:docPr id="521202487" name="Picture 1" descr="A black and blue chemic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202487" name="Picture 1" descr="A black and blue chemical structure&#10;&#10;Description automatically generated"/>
                          <pic:cNvPicPr/>
                        </pic:nvPicPr>
                        <pic:blipFill>
                          <a:blip r:embed="rId49"/>
                          <a:stretch>
                            <a:fillRect/>
                          </a:stretch>
                        </pic:blipFill>
                        <pic:spPr>
                          <a:xfrm>
                            <a:off x="0" y="0"/>
                            <a:ext cx="937445" cy="491098"/>
                          </a:xfrm>
                          <a:prstGeom prst="rect">
                            <a:avLst/>
                          </a:prstGeom>
                        </pic:spPr>
                      </pic:pic>
                    </a:graphicData>
                  </a:graphic>
                </wp:inline>
              </w:drawing>
            </w:r>
          </w:p>
        </w:tc>
        <w:tc>
          <w:tcPr>
            <w:tcW w:w="1074" w:type="dxa"/>
            <w:tcBorders>
              <w:bottom w:val="single" w:sz="4" w:space="0" w:color="auto"/>
            </w:tcBorders>
          </w:tcPr>
          <w:p w14:paraId="18861284"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331</w:t>
            </w:r>
          </w:p>
        </w:tc>
        <w:tc>
          <w:tcPr>
            <w:tcW w:w="1166" w:type="dxa"/>
            <w:tcBorders>
              <w:bottom w:val="single" w:sz="4" w:space="0" w:color="auto"/>
            </w:tcBorders>
          </w:tcPr>
          <w:p w14:paraId="6A811A55"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5</w:t>
            </w:r>
          </w:p>
        </w:tc>
        <w:tc>
          <w:tcPr>
            <w:tcW w:w="1213" w:type="dxa"/>
            <w:tcBorders>
              <w:bottom w:val="single" w:sz="4" w:space="0" w:color="auto"/>
            </w:tcBorders>
          </w:tcPr>
          <w:p w14:paraId="75DC1A8C" w14:textId="77777777" w:rsidR="009C1C10" w:rsidRPr="001D668B" w:rsidRDefault="009C1C10" w:rsidP="004D0741">
            <w:pPr>
              <w:spacing w:after="0" w:line="240" w:lineRule="auto"/>
              <w:ind w:firstLine="0"/>
              <w:jc w:val="center"/>
              <w:rPr>
                <w:rFonts w:cs="Times New Roman"/>
                <w:sz w:val="22"/>
              </w:rPr>
            </w:pPr>
          </w:p>
        </w:tc>
      </w:tr>
      <w:tr w:rsidR="009C1C10" w:rsidRPr="001D668B" w14:paraId="63837174" w14:textId="77777777" w:rsidTr="004D0741">
        <w:trPr>
          <w:trHeight w:val="638"/>
        </w:trPr>
        <w:tc>
          <w:tcPr>
            <w:tcW w:w="1941" w:type="dxa"/>
            <w:tcBorders>
              <w:bottom w:val="single" w:sz="4" w:space="0" w:color="auto"/>
            </w:tcBorders>
          </w:tcPr>
          <w:p w14:paraId="70C5AF51" w14:textId="77777777" w:rsidR="009C1C10" w:rsidRPr="001D668B" w:rsidRDefault="009C1C10" w:rsidP="004D0741">
            <w:pPr>
              <w:pStyle w:val="NoSpacing"/>
              <w:rPr>
                <w:rFonts w:cs="Times New Roman"/>
                <w:sz w:val="22"/>
              </w:rPr>
            </w:pPr>
            <w:r w:rsidRPr="001D668B">
              <w:rPr>
                <w:rFonts w:cs="Times New Roman"/>
                <w:sz w:val="22"/>
              </w:rPr>
              <w:lastRenderedPageBreak/>
              <w:t>Trans-2-Hexenal</w:t>
            </w:r>
            <w:r w:rsidRPr="00684F24">
              <w:rPr>
                <w:rFonts w:cs="Times New Roman"/>
                <w:sz w:val="22"/>
                <w:vertAlign w:val="superscript"/>
              </w:rPr>
              <w:t xml:space="preserve"> d</w:t>
            </w:r>
          </w:p>
          <w:p w14:paraId="6AE3B773" w14:textId="77777777" w:rsidR="009C1C10" w:rsidRPr="001D668B" w:rsidRDefault="009C1C10" w:rsidP="004D0741">
            <w:pPr>
              <w:pStyle w:val="NoSpacing"/>
              <w:rPr>
                <w:rFonts w:cs="Times New Roman"/>
                <w:sz w:val="22"/>
              </w:rPr>
            </w:pPr>
          </w:p>
        </w:tc>
        <w:tc>
          <w:tcPr>
            <w:tcW w:w="3966" w:type="dxa"/>
            <w:tcBorders>
              <w:bottom w:val="single" w:sz="4" w:space="0" w:color="auto"/>
            </w:tcBorders>
          </w:tcPr>
          <w:p w14:paraId="3D01AEE3" w14:textId="77777777" w:rsidR="009C1C10" w:rsidRDefault="009C1C10" w:rsidP="004D0741">
            <w:pPr>
              <w:spacing w:after="0" w:line="240" w:lineRule="auto"/>
              <w:ind w:firstLine="0"/>
              <w:jc w:val="center"/>
              <w:rPr>
                <w:rFonts w:cs="Times New Roman"/>
                <w:noProof/>
                <w:sz w:val="22"/>
              </w:rPr>
            </w:pPr>
          </w:p>
          <w:p w14:paraId="049F1AE7" w14:textId="77777777" w:rsidR="009C1C10" w:rsidRPr="001D668B" w:rsidRDefault="009C1C10" w:rsidP="004D0741">
            <w:pPr>
              <w:spacing w:after="0" w:line="240" w:lineRule="auto"/>
              <w:ind w:firstLine="0"/>
              <w:jc w:val="center"/>
              <w:rPr>
                <w:rFonts w:cs="Times New Roman"/>
                <w:noProof/>
                <w:sz w:val="22"/>
              </w:rPr>
            </w:pPr>
            <w:r w:rsidRPr="008467F7">
              <w:rPr>
                <w:rFonts w:cs="Times New Roman"/>
                <w:noProof/>
                <w:sz w:val="22"/>
              </w:rPr>
              <w:drawing>
                <wp:inline distT="0" distB="0" distL="0" distR="0" wp14:anchorId="0A70465F" wp14:editId="10485F6A">
                  <wp:extent cx="911860" cy="510540"/>
                  <wp:effectExtent l="0" t="0" r="2540" b="3810"/>
                  <wp:docPr id="575842001" name="Picture 1" descr="A black line drawing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842001" name="Picture 1" descr="A black line drawing of a graph&#10;&#10;Description automatically generated"/>
                          <pic:cNvPicPr/>
                        </pic:nvPicPr>
                        <pic:blipFill>
                          <a:blip r:embed="rId50"/>
                          <a:stretch>
                            <a:fillRect/>
                          </a:stretch>
                        </pic:blipFill>
                        <pic:spPr>
                          <a:xfrm>
                            <a:off x="0" y="0"/>
                            <a:ext cx="916415" cy="513090"/>
                          </a:xfrm>
                          <a:prstGeom prst="rect">
                            <a:avLst/>
                          </a:prstGeom>
                        </pic:spPr>
                      </pic:pic>
                    </a:graphicData>
                  </a:graphic>
                </wp:inline>
              </w:drawing>
            </w:r>
          </w:p>
        </w:tc>
        <w:tc>
          <w:tcPr>
            <w:tcW w:w="1074" w:type="dxa"/>
            <w:tcBorders>
              <w:bottom w:val="single" w:sz="4" w:space="0" w:color="auto"/>
            </w:tcBorders>
          </w:tcPr>
          <w:p w14:paraId="66D7BAA0"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780</w:t>
            </w:r>
          </w:p>
        </w:tc>
        <w:tc>
          <w:tcPr>
            <w:tcW w:w="1166" w:type="dxa"/>
            <w:tcBorders>
              <w:bottom w:val="single" w:sz="4" w:space="0" w:color="auto"/>
            </w:tcBorders>
          </w:tcPr>
          <w:p w14:paraId="7D1F7A7E"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0.25</w:t>
            </w:r>
          </w:p>
          <w:p w14:paraId="3BAB22F8"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0.5</w:t>
            </w:r>
          </w:p>
          <w:p w14:paraId="2F694CDA"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 xml:space="preserve">1 </w:t>
            </w:r>
          </w:p>
        </w:tc>
        <w:tc>
          <w:tcPr>
            <w:tcW w:w="1213" w:type="dxa"/>
            <w:tcBorders>
              <w:bottom w:val="single" w:sz="4" w:space="0" w:color="auto"/>
            </w:tcBorders>
          </w:tcPr>
          <w:p w14:paraId="75B608FB" w14:textId="77777777" w:rsidR="009C1C10" w:rsidRPr="001D668B" w:rsidRDefault="009C1C10" w:rsidP="004D0741">
            <w:pPr>
              <w:spacing w:after="0" w:line="240" w:lineRule="auto"/>
              <w:ind w:firstLine="0"/>
              <w:jc w:val="center"/>
              <w:rPr>
                <w:rFonts w:cs="Times New Roman"/>
                <w:sz w:val="22"/>
              </w:rPr>
            </w:pPr>
          </w:p>
        </w:tc>
      </w:tr>
      <w:tr w:rsidR="009C1C10" w:rsidRPr="001D668B" w14:paraId="59E1EDC1" w14:textId="77777777" w:rsidTr="004D0741">
        <w:trPr>
          <w:trHeight w:val="1097"/>
        </w:trPr>
        <w:tc>
          <w:tcPr>
            <w:tcW w:w="1941" w:type="dxa"/>
            <w:tcBorders>
              <w:bottom w:val="single" w:sz="4" w:space="0" w:color="auto"/>
            </w:tcBorders>
          </w:tcPr>
          <w:p w14:paraId="44A45B1D" w14:textId="77777777" w:rsidR="009C1C10" w:rsidRPr="001D668B" w:rsidRDefault="009C1C10" w:rsidP="004D0741">
            <w:pPr>
              <w:pStyle w:val="NoSpacing"/>
              <w:rPr>
                <w:rFonts w:cs="Times New Roman"/>
                <w:sz w:val="22"/>
              </w:rPr>
            </w:pPr>
            <w:r w:rsidRPr="001D668B">
              <w:rPr>
                <w:rFonts w:cs="Times New Roman"/>
                <w:sz w:val="22"/>
              </w:rPr>
              <w:t>Cyclophosphamide</w:t>
            </w:r>
            <w:r w:rsidRPr="00684F24">
              <w:rPr>
                <w:rFonts w:cs="Times New Roman"/>
                <w:sz w:val="22"/>
                <w:vertAlign w:val="superscript"/>
              </w:rPr>
              <w:t xml:space="preserve"> </w:t>
            </w:r>
            <w:r>
              <w:rPr>
                <w:rFonts w:cs="Times New Roman"/>
                <w:sz w:val="22"/>
                <w:vertAlign w:val="superscript"/>
              </w:rPr>
              <w:t>e</w:t>
            </w:r>
          </w:p>
          <w:p w14:paraId="7048378E" w14:textId="77777777" w:rsidR="009C1C10" w:rsidRPr="001D668B" w:rsidRDefault="009C1C10" w:rsidP="004D0741">
            <w:pPr>
              <w:pStyle w:val="NoSpacing"/>
              <w:rPr>
                <w:rFonts w:cs="Times New Roman"/>
                <w:sz w:val="22"/>
              </w:rPr>
            </w:pPr>
          </w:p>
        </w:tc>
        <w:tc>
          <w:tcPr>
            <w:tcW w:w="3966" w:type="dxa"/>
            <w:tcBorders>
              <w:bottom w:val="single" w:sz="4" w:space="0" w:color="auto"/>
            </w:tcBorders>
          </w:tcPr>
          <w:p w14:paraId="1D88427E" w14:textId="77777777" w:rsidR="009C1C10" w:rsidRDefault="009C1C10" w:rsidP="004D0741">
            <w:pPr>
              <w:spacing w:after="0" w:line="240" w:lineRule="auto"/>
              <w:ind w:firstLine="0"/>
              <w:jc w:val="center"/>
              <w:rPr>
                <w:rFonts w:cs="Times New Roman"/>
                <w:noProof/>
                <w:sz w:val="22"/>
              </w:rPr>
            </w:pPr>
          </w:p>
          <w:p w14:paraId="0F6B91A6" w14:textId="77777777" w:rsidR="009C1C10" w:rsidRPr="001D668B" w:rsidRDefault="009C1C10" w:rsidP="004D0741">
            <w:pPr>
              <w:spacing w:after="0" w:line="240" w:lineRule="auto"/>
              <w:ind w:firstLine="0"/>
              <w:jc w:val="center"/>
              <w:rPr>
                <w:rFonts w:cs="Times New Roman"/>
                <w:noProof/>
                <w:sz w:val="22"/>
              </w:rPr>
            </w:pPr>
            <w:r w:rsidRPr="008467F7">
              <w:rPr>
                <w:rFonts w:cs="Times New Roman"/>
                <w:noProof/>
                <w:sz w:val="22"/>
              </w:rPr>
              <w:drawing>
                <wp:inline distT="0" distB="0" distL="0" distR="0" wp14:anchorId="43812220" wp14:editId="4C06FD71">
                  <wp:extent cx="548005" cy="494884"/>
                  <wp:effectExtent l="0" t="0" r="4445" b="635"/>
                  <wp:docPr id="1876264041" name="Picture 1" descr="A structure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264041" name="Picture 1" descr="A structure of a molecule&#10;&#10;Description automatically generated"/>
                          <pic:cNvPicPr/>
                        </pic:nvPicPr>
                        <pic:blipFill>
                          <a:blip r:embed="rId51"/>
                          <a:stretch>
                            <a:fillRect/>
                          </a:stretch>
                        </pic:blipFill>
                        <pic:spPr>
                          <a:xfrm>
                            <a:off x="0" y="0"/>
                            <a:ext cx="558238" cy="504125"/>
                          </a:xfrm>
                          <a:prstGeom prst="rect">
                            <a:avLst/>
                          </a:prstGeom>
                        </pic:spPr>
                      </pic:pic>
                    </a:graphicData>
                  </a:graphic>
                </wp:inline>
              </w:drawing>
            </w:r>
          </w:p>
        </w:tc>
        <w:tc>
          <w:tcPr>
            <w:tcW w:w="1074" w:type="dxa"/>
            <w:tcBorders>
              <w:bottom w:val="single" w:sz="4" w:space="0" w:color="auto"/>
            </w:tcBorders>
          </w:tcPr>
          <w:p w14:paraId="2CBF57C9" w14:textId="77777777" w:rsidR="009C1C10" w:rsidRPr="001D668B" w:rsidRDefault="009C1C10" w:rsidP="004D0741">
            <w:pPr>
              <w:spacing w:after="0" w:line="240" w:lineRule="auto"/>
              <w:ind w:firstLine="0"/>
              <w:jc w:val="center"/>
              <w:rPr>
                <w:rFonts w:cs="Times New Roman"/>
                <w:sz w:val="22"/>
              </w:rPr>
            </w:pPr>
          </w:p>
        </w:tc>
        <w:tc>
          <w:tcPr>
            <w:tcW w:w="1166" w:type="dxa"/>
            <w:tcBorders>
              <w:bottom w:val="single" w:sz="4" w:space="0" w:color="auto"/>
            </w:tcBorders>
          </w:tcPr>
          <w:p w14:paraId="439782A0" w14:textId="77777777" w:rsidR="009C1C10" w:rsidRPr="001D668B" w:rsidRDefault="009C1C10" w:rsidP="004D0741">
            <w:pPr>
              <w:spacing w:after="0" w:line="240" w:lineRule="auto"/>
              <w:ind w:firstLine="0"/>
              <w:jc w:val="center"/>
              <w:rPr>
                <w:rFonts w:cs="Times New Roman"/>
                <w:sz w:val="22"/>
              </w:rPr>
            </w:pPr>
          </w:p>
        </w:tc>
        <w:tc>
          <w:tcPr>
            <w:tcW w:w="1213" w:type="dxa"/>
            <w:tcBorders>
              <w:bottom w:val="single" w:sz="4" w:space="0" w:color="auto"/>
            </w:tcBorders>
          </w:tcPr>
          <w:p w14:paraId="267B0E57" w14:textId="77777777" w:rsidR="009C1C10" w:rsidRPr="001D668B" w:rsidRDefault="009C1C10" w:rsidP="004D0741">
            <w:pPr>
              <w:spacing w:after="0" w:line="240" w:lineRule="auto"/>
              <w:ind w:firstLine="0"/>
              <w:jc w:val="center"/>
              <w:rPr>
                <w:rFonts w:cs="Times New Roman"/>
                <w:sz w:val="22"/>
              </w:rPr>
            </w:pPr>
            <w:r w:rsidRPr="001D668B">
              <w:rPr>
                <w:rFonts w:cs="Times New Roman"/>
                <w:sz w:val="22"/>
              </w:rPr>
              <w:t>0.05</w:t>
            </w:r>
          </w:p>
        </w:tc>
      </w:tr>
    </w:tbl>
    <w:p w14:paraId="4B6AF043" w14:textId="77777777" w:rsidR="009C1C10" w:rsidRPr="001D668B" w:rsidRDefault="009C1C10" w:rsidP="009C1C10">
      <w:pPr>
        <w:spacing w:after="0" w:line="240" w:lineRule="auto"/>
        <w:ind w:firstLine="0"/>
        <w:rPr>
          <w:rFonts w:cs="Times New Roman"/>
          <w:sz w:val="22"/>
        </w:rPr>
      </w:pPr>
      <w:proofErr w:type="gramStart"/>
      <w:r w:rsidRPr="001D668B">
        <w:rPr>
          <w:rFonts w:cs="Times New Roman"/>
          <w:sz w:val="22"/>
        </w:rPr>
        <w:t>a,</w:t>
      </w:r>
      <w:proofErr w:type="gramEnd"/>
      <w:r w:rsidRPr="001D668B">
        <w:rPr>
          <w:rFonts w:cs="Times New Roman"/>
          <w:sz w:val="22"/>
        </w:rPr>
        <w:t xml:space="preserve"> values obtained from ChemIDplus Advanced database (</w:t>
      </w:r>
      <w:hyperlink r:id="rId52" w:history="1">
        <w:r w:rsidRPr="001D668B">
          <w:rPr>
            <w:rStyle w:val="Hyperlink"/>
            <w:rFonts w:cs="Times New Roman"/>
            <w:color w:val="auto"/>
            <w:sz w:val="22"/>
          </w:rPr>
          <w:t>https://chem.nlm.nih.gov/chemidplus/</w:t>
        </w:r>
      </w:hyperlink>
      <w:r w:rsidRPr="001D668B">
        <w:rPr>
          <w:rFonts w:cs="Times New Roman"/>
          <w:sz w:val="22"/>
        </w:rPr>
        <w:t xml:space="preserve">) </w:t>
      </w:r>
    </w:p>
    <w:p w14:paraId="60900A70" w14:textId="77777777" w:rsidR="009C1C10" w:rsidRPr="001D668B" w:rsidRDefault="009C1C10" w:rsidP="009C1C10">
      <w:pPr>
        <w:spacing w:after="0" w:line="240" w:lineRule="auto"/>
        <w:ind w:firstLine="0"/>
        <w:rPr>
          <w:rFonts w:cs="Times New Roman"/>
          <w:sz w:val="22"/>
        </w:rPr>
      </w:pPr>
      <w:r w:rsidRPr="001D668B">
        <w:rPr>
          <w:rFonts w:cs="Times New Roman"/>
          <w:sz w:val="22"/>
        </w:rPr>
        <w:t xml:space="preserve">b, cumulative dose administered in CEGA in 3 consecutive daily injections in 0.15 </w:t>
      </w:r>
      <w:proofErr w:type="gramStart"/>
      <w:r w:rsidRPr="001D668B">
        <w:rPr>
          <w:rFonts w:cs="Times New Roman"/>
          <w:sz w:val="22"/>
        </w:rPr>
        <w:t>ml</w:t>
      </w:r>
      <w:proofErr w:type="gramEnd"/>
      <w:r w:rsidRPr="001D668B">
        <w:rPr>
          <w:rFonts w:cs="Times New Roman"/>
          <w:sz w:val="22"/>
        </w:rPr>
        <w:t xml:space="preserve"> </w:t>
      </w:r>
    </w:p>
    <w:p w14:paraId="10ED4B33" w14:textId="77777777" w:rsidR="009C1C10" w:rsidRDefault="009C1C10" w:rsidP="009C1C10">
      <w:pPr>
        <w:spacing w:after="0" w:line="240" w:lineRule="auto"/>
        <w:ind w:firstLine="0"/>
        <w:rPr>
          <w:rFonts w:cs="Times New Roman"/>
          <w:sz w:val="22"/>
        </w:rPr>
      </w:pPr>
      <w:r>
        <w:rPr>
          <w:rFonts w:cs="Times New Roman"/>
          <w:sz w:val="22"/>
        </w:rPr>
        <w:t>c</w:t>
      </w:r>
      <w:r w:rsidRPr="001D668B">
        <w:rPr>
          <w:rFonts w:cs="Times New Roman"/>
          <w:sz w:val="22"/>
        </w:rPr>
        <w:t>, Single dose administered in HET-MN assay on Day 8</w:t>
      </w:r>
    </w:p>
    <w:p w14:paraId="7A6A9534" w14:textId="77777777" w:rsidR="009C1C10" w:rsidRDefault="009C1C10" w:rsidP="009C1C10">
      <w:pPr>
        <w:spacing w:after="0" w:line="240" w:lineRule="auto"/>
        <w:ind w:firstLine="0"/>
        <w:rPr>
          <w:rFonts w:cs="Times New Roman"/>
          <w:sz w:val="22"/>
        </w:rPr>
      </w:pPr>
      <w:r>
        <w:rPr>
          <w:rFonts w:cs="Times New Roman"/>
          <w:sz w:val="22"/>
        </w:rPr>
        <w:t>d, control for GEGA</w:t>
      </w:r>
    </w:p>
    <w:p w14:paraId="65EAD623" w14:textId="77777777" w:rsidR="009C1C10" w:rsidRDefault="009C1C10" w:rsidP="009C1C10">
      <w:pPr>
        <w:spacing w:after="0" w:line="240" w:lineRule="auto"/>
        <w:ind w:firstLine="0"/>
        <w:rPr>
          <w:rFonts w:cs="Times New Roman"/>
          <w:sz w:val="22"/>
        </w:rPr>
      </w:pPr>
      <w:r>
        <w:rPr>
          <w:rFonts w:cs="Times New Roman"/>
          <w:sz w:val="22"/>
        </w:rPr>
        <w:t>e, control for HET-MN</w:t>
      </w:r>
      <w:r w:rsidRPr="001D668B">
        <w:rPr>
          <w:rFonts w:cs="Times New Roman"/>
          <w:sz w:val="22"/>
        </w:rPr>
        <w:t xml:space="preserve"> </w:t>
      </w:r>
    </w:p>
    <w:p w14:paraId="7D25EC6E" w14:textId="77777777" w:rsidR="009C1C10" w:rsidRPr="001D668B" w:rsidRDefault="009C1C10" w:rsidP="009C1C10">
      <w:pPr>
        <w:spacing w:after="0" w:line="240" w:lineRule="auto"/>
        <w:ind w:firstLine="0"/>
        <w:rPr>
          <w:rFonts w:cs="Times New Roman"/>
          <w:sz w:val="22"/>
        </w:rPr>
      </w:pPr>
      <w:r>
        <w:rPr>
          <w:rFonts w:cs="Times New Roman"/>
          <w:sz w:val="22"/>
        </w:rPr>
        <w:t xml:space="preserve">CEGA, Chicken Egg Genotoxicity Assay, HET-MN, Hen Egg micronucleus induction test, </w:t>
      </w:r>
      <w:r w:rsidRPr="001D668B">
        <w:rPr>
          <w:rFonts w:cs="Times New Roman"/>
          <w:sz w:val="22"/>
        </w:rPr>
        <w:t>N/A, not available</w:t>
      </w:r>
    </w:p>
    <w:p w14:paraId="1CC6A486" w14:textId="77777777" w:rsidR="007555EF" w:rsidRPr="00E33063" w:rsidRDefault="007555EF" w:rsidP="007555EF">
      <w:pPr>
        <w:rPr>
          <w:rFonts w:cs="Times New Roman"/>
          <w:noProof/>
          <w:szCs w:val="24"/>
        </w:rPr>
      </w:pPr>
    </w:p>
    <w:p w14:paraId="0BA26D3E" w14:textId="77777777" w:rsidR="007555EF" w:rsidRPr="00E33063" w:rsidRDefault="007555EF" w:rsidP="007555EF">
      <w:pPr>
        <w:rPr>
          <w:rFonts w:cs="Times New Roman"/>
          <w:noProof/>
          <w:szCs w:val="24"/>
        </w:rPr>
      </w:pPr>
    </w:p>
    <w:p w14:paraId="57B60041" w14:textId="77777777" w:rsidR="009C1C10" w:rsidRPr="00E33063" w:rsidRDefault="009C1C10" w:rsidP="009C1C10">
      <w:pPr>
        <w:ind w:firstLine="0"/>
        <w:jc w:val="center"/>
        <w:rPr>
          <w:b/>
        </w:rPr>
      </w:pPr>
      <w:r w:rsidRPr="00E33063">
        <w:t xml:space="preserve">The results of testing for all four compounds </w:t>
      </w:r>
      <w:proofErr w:type="gramStart"/>
      <w:r w:rsidRPr="00E33063">
        <w:t>are summarized</w:t>
      </w:r>
      <w:proofErr w:type="gramEnd"/>
      <w:r w:rsidRPr="00E33063">
        <w:t xml:space="preserve"> in Table</w:t>
      </w:r>
      <w:r w:rsidRPr="00E33063">
        <w:rPr>
          <w:b/>
        </w:rPr>
        <w:t xml:space="preserve"> </w:t>
      </w:r>
      <w:r>
        <w:rPr>
          <w:b/>
        </w:rPr>
        <w:t>2</w:t>
      </w:r>
      <w:r w:rsidRPr="00E33063">
        <w:rPr>
          <w:b/>
        </w:rPr>
        <w:t xml:space="preserve"> </w:t>
      </w:r>
      <w:r w:rsidRPr="00E33063">
        <w:rPr>
          <w:bCs w:val="0"/>
        </w:rPr>
        <w:t>below</w:t>
      </w:r>
      <w:r w:rsidRPr="00E33063">
        <w:rPr>
          <w:b/>
        </w:rPr>
        <w:t>.</w:t>
      </w:r>
    </w:p>
    <w:tbl>
      <w:tblPr>
        <w:tblW w:w="0" w:type="auto"/>
        <w:jc w:val="center"/>
        <w:tblLook w:val="04A0" w:firstRow="1" w:lastRow="0" w:firstColumn="1" w:lastColumn="0" w:noHBand="0" w:noVBand="1"/>
      </w:tblPr>
      <w:tblGrid>
        <w:gridCol w:w="2691"/>
        <w:gridCol w:w="1133"/>
        <w:gridCol w:w="482"/>
        <w:gridCol w:w="482"/>
        <w:gridCol w:w="1072"/>
        <w:gridCol w:w="482"/>
        <w:gridCol w:w="848"/>
        <w:gridCol w:w="482"/>
        <w:gridCol w:w="482"/>
      </w:tblGrid>
      <w:tr w:rsidR="009C1C10" w:rsidRPr="00E33063" w14:paraId="51F46519" w14:textId="77777777" w:rsidTr="004D0741">
        <w:trPr>
          <w:trHeight w:val="336"/>
          <w:jc w:val="center"/>
        </w:trPr>
        <w:tc>
          <w:tcPr>
            <w:tcW w:w="0" w:type="auto"/>
            <w:vMerge w:val="restart"/>
            <w:tcBorders>
              <w:top w:val="single" w:sz="8" w:space="0" w:color="auto"/>
              <w:left w:val="single" w:sz="8" w:space="0" w:color="auto"/>
              <w:bottom w:val="single" w:sz="8" w:space="0" w:color="000000"/>
              <w:right w:val="single" w:sz="8" w:space="0" w:color="FFFFFF"/>
            </w:tcBorders>
            <w:shd w:val="clear" w:color="000000" w:fill="000000"/>
            <w:vAlign w:val="center"/>
            <w:hideMark/>
          </w:tcPr>
          <w:p w14:paraId="7C34B426" w14:textId="77777777" w:rsidR="009C1C10" w:rsidRPr="00884F9C" w:rsidRDefault="009C1C10" w:rsidP="004D0741">
            <w:pPr>
              <w:spacing w:after="0" w:line="240" w:lineRule="auto"/>
              <w:ind w:firstLine="0"/>
              <w:rPr>
                <w:rFonts w:eastAsia="Times New Roman" w:cs="Times New Roman"/>
                <w:bCs w:val="0"/>
              </w:rPr>
            </w:pPr>
            <w:r w:rsidRPr="00884F9C">
              <w:rPr>
                <w:rFonts w:eastAsia="Times New Roman" w:cs="Times New Roman"/>
                <w:bCs w:val="0"/>
                <w:sz w:val="22"/>
              </w:rPr>
              <w:t>Chemical Name</w:t>
            </w:r>
          </w:p>
        </w:tc>
        <w:tc>
          <w:tcPr>
            <w:tcW w:w="0" w:type="auto"/>
            <w:vMerge w:val="restart"/>
            <w:tcBorders>
              <w:top w:val="single" w:sz="8" w:space="0" w:color="auto"/>
              <w:left w:val="single" w:sz="8" w:space="0" w:color="FFFFFF"/>
              <w:bottom w:val="single" w:sz="8" w:space="0" w:color="000000"/>
              <w:right w:val="single" w:sz="8" w:space="0" w:color="FFFFFF"/>
            </w:tcBorders>
            <w:shd w:val="clear" w:color="000000" w:fill="000000"/>
            <w:vAlign w:val="center"/>
            <w:hideMark/>
          </w:tcPr>
          <w:p w14:paraId="0CEFFD49"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CAS #</w:t>
            </w:r>
          </w:p>
        </w:tc>
        <w:tc>
          <w:tcPr>
            <w:tcW w:w="0" w:type="auto"/>
            <w:gridSpan w:val="2"/>
            <w:tcBorders>
              <w:top w:val="single" w:sz="8" w:space="0" w:color="auto"/>
              <w:left w:val="nil"/>
              <w:bottom w:val="single" w:sz="8" w:space="0" w:color="FFFFFF"/>
              <w:right w:val="single" w:sz="8" w:space="0" w:color="FFFFFF"/>
            </w:tcBorders>
            <w:shd w:val="clear" w:color="000000" w:fill="000000"/>
            <w:vAlign w:val="center"/>
            <w:hideMark/>
          </w:tcPr>
          <w:p w14:paraId="6DD48726"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CEGA</w:t>
            </w:r>
          </w:p>
        </w:tc>
        <w:tc>
          <w:tcPr>
            <w:tcW w:w="0" w:type="auto"/>
            <w:tcBorders>
              <w:top w:val="single" w:sz="8" w:space="0" w:color="auto"/>
              <w:left w:val="nil"/>
              <w:bottom w:val="single" w:sz="8" w:space="0" w:color="FFFFFF"/>
              <w:right w:val="single" w:sz="4" w:space="0" w:color="FFFFFF" w:themeColor="background1"/>
            </w:tcBorders>
            <w:shd w:val="clear" w:color="000000" w:fill="000000"/>
          </w:tcPr>
          <w:p w14:paraId="0D51AE66" w14:textId="77777777" w:rsidR="009C1C10" w:rsidRPr="00884F9C" w:rsidRDefault="009C1C10" w:rsidP="004D0741">
            <w:pPr>
              <w:spacing w:after="0" w:line="240" w:lineRule="auto"/>
              <w:ind w:firstLine="0"/>
              <w:jc w:val="center"/>
              <w:rPr>
                <w:rFonts w:eastAsia="Times New Roman" w:cs="Times New Roman"/>
                <w:bCs w:val="0"/>
              </w:rPr>
            </w:pPr>
            <w:r>
              <w:rPr>
                <w:rFonts w:eastAsia="Times New Roman" w:cs="Times New Roman"/>
                <w:bCs w:val="0"/>
                <w:sz w:val="22"/>
              </w:rPr>
              <w:t>HET-MN</w:t>
            </w:r>
          </w:p>
        </w:tc>
        <w:tc>
          <w:tcPr>
            <w:tcW w:w="1330" w:type="dxa"/>
            <w:gridSpan w:val="2"/>
            <w:tcBorders>
              <w:top w:val="single" w:sz="8" w:space="0" w:color="auto"/>
              <w:left w:val="single" w:sz="4" w:space="0" w:color="FFFFFF" w:themeColor="background1"/>
              <w:bottom w:val="single" w:sz="8" w:space="0" w:color="FFFFFF"/>
              <w:right w:val="single" w:sz="8" w:space="0" w:color="FFFFFF"/>
            </w:tcBorders>
            <w:shd w:val="clear" w:color="000000" w:fill="000000"/>
            <w:vAlign w:val="center"/>
            <w:hideMark/>
          </w:tcPr>
          <w:p w14:paraId="119C409F" w14:textId="77777777" w:rsidR="009C1C10" w:rsidRPr="0010018C" w:rsidRDefault="009C1C10" w:rsidP="004D0741">
            <w:pPr>
              <w:spacing w:after="0" w:line="240" w:lineRule="auto"/>
              <w:ind w:firstLine="0"/>
              <w:jc w:val="center"/>
              <w:rPr>
                <w:rFonts w:eastAsia="Times New Roman" w:cs="Times New Roman"/>
                <w:bCs w:val="0"/>
                <w:i/>
                <w:iCs/>
              </w:rPr>
            </w:pPr>
            <w:r w:rsidRPr="000D6061">
              <w:rPr>
                <w:rFonts w:eastAsia="Times New Roman" w:cs="Times New Roman"/>
                <w:bCs w:val="0"/>
                <w:sz w:val="22"/>
              </w:rPr>
              <w:t>In vitro</w:t>
            </w:r>
            <w:r w:rsidRPr="000D6061">
              <w:rPr>
                <w:rFonts w:eastAsia="Times New Roman" w:cs="Times New Roman"/>
                <w:bCs w:val="0"/>
                <w:sz w:val="22"/>
                <w:vertAlign w:val="superscript"/>
              </w:rPr>
              <w:t> </w:t>
            </w:r>
            <w:r w:rsidRPr="0010018C">
              <w:rPr>
                <w:rFonts w:eastAsia="Times New Roman" w:cs="Times New Roman"/>
                <w:bCs w:val="0"/>
                <w:i/>
                <w:iCs/>
                <w:sz w:val="22"/>
                <w:vertAlign w:val="superscript"/>
              </w:rPr>
              <w:t>a</w:t>
            </w:r>
          </w:p>
        </w:tc>
        <w:tc>
          <w:tcPr>
            <w:tcW w:w="964" w:type="dxa"/>
            <w:gridSpan w:val="2"/>
            <w:tcBorders>
              <w:top w:val="single" w:sz="8" w:space="0" w:color="auto"/>
              <w:left w:val="nil"/>
              <w:bottom w:val="single" w:sz="8" w:space="0" w:color="FFFFFF"/>
              <w:right w:val="single" w:sz="8" w:space="0" w:color="000000"/>
            </w:tcBorders>
            <w:shd w:val="clear" w:color="000000" w:fill="000000"/>
            <w:vAlign w:val="center"/>
            <w:hideMark/>
          </w:tcPr>
          <w:p w14:paraId="3267C4C4" w14:textId="77777777" w:rsidR="009C1C10" w:rsidRPr="00884F9C" w:rsidRDefault="009C1C10" w:rsidP="004D0741">
            <w:pPr>
              <w:spacing w:after="0" w:line="240" w:lineRule="auto"/>
              <w:ind w:firstLine="0"/>
              <w:jc w:val="center"/>
              <w:rPr>
                <w:rFonts w:eastAsia="Times New Roman" w:cs="Times New Roman"/>
                <w:bCs w:val="0"/>
              </w:rPr>
            </w:pPr>
            <w:r w:rsidRPr="000D6061">
              <w:rPr>
                <w:rFonts w:eastAsia="Times New Roman" w:cs="Times New Roman"/>
                <w:bCs w:val="0"/>
                <w:sz w:val="22"/>
              </w:rPr>
              <w:t>In vivo</w:t>
            </w:r>
            <w:r w:rsidRPr="00884F9C">
              <w:rPr>
                <w:rFonts w:eastAsia="Times New Roman" w:cs="Times New Roman"/>
                <w:bCs w:val="0"/>
                <w:sz w:val="22"/>
              </w:rPr>
              <w:t xml:space="preserve"> </w:t>
            </w:r>
            <w:r w:rsidRPr="00884F9C">
              <w:rPr>
                <w:rFonts w:eastAsia="Times New Roman" w:cs="Times New Roman"/>
                <w:bCs w:val="0"/>
                <w:sz w:val="22"/>
                <w:vertAlign w:val="superscript"/>
              </w:rPr>
              <w:t>b</w:t>
            </w:r>
          </w:p>
        </w:tc>
      </w:tr>
      <w:tr w:rsidR="009C1C10" w:rsidRPr="00E33063" w14:paraId="2610DD9B" w14:textId="77777777" w:rsidTr="004D0741">
        <w:trPr>
          <w:trHeight w:val="936"/>
          <w:jc w:val="center"/>
        </w:trPr>
        <w:tc>
          <w:tcPr>
            <w:tcW w:w="0" w:type="auto"/>
            <w:vMerge/>
            <w:tcBorders>
              <w:top w:val="single" w:sz="8" w:space="0" w:color="auto"/>
              <w:left w:val="single" w:sz="8" w:space="0" w:color="auto"/>
              <w:bottom w:val="single" w:sz="8" w:space="0" w:color="000000"/>
              <w:right w:val="single" w:sz="8" w:space="0" w:color="FFFFFF"/>
            </w:tcBorders>
            <w:vAlign w:val="center"/>
            <w:hideMark/>
          </w:tcPr>
          <w:p w14:paraId="27D75E61" w14:textId="77777777" w:rsidR="009C1C10" w:rsidRPr="00884F9C" w:rsidRDefault="009C1C10" w:rsidP="004D0741">
            <w:pPr>
              <w:spacing w:after="0" w:line="240" w:lineRule="auto"/>
              <w:ind w:firstLine="0"/>
              <w:rPr>
                <w:rFonts w:eastAsia="Times New Roman" w:cs="Times New Roman"/>
                <w:bCs w:val="0"/>
              </w:rPr>
            </w:pPr>
          </w:p>
        </w:tc>
        <w:tc>
          <w:tcPr>
            <w:tcW w:w="0" w:type="auto"/>
            <w:vMerge/>
            <w:tcBorders>
              <w:top w:val="single" w:sz="8" w:space="0" w:color="auto"/>
              <w:left w:val="single" w:sz="8" w:space="0" w:color="FFFFFF"/>
              <w:bottom w:val="single" w:sz="8" w:space="0" w:color="000000"/>
              <w:right w:val="single" w:sz="8" w:space="0" w:color="FFFFFF"/>
            </w:tcBorders>
            <w:vAlign w:val="center"/>
            <w:hideMark/>
          </w:tcPr>
          <w:p w14:paraId="0C4C711B" w14:textId="77777777" w:rsidR="009C1C10" w:rsidRPr="00884F9C" w:rsidRDefault="009C1C10" w:rsidP="004D0741">
            <w:pPr>
              <w:spacing w:after="0" w:line="240" w:lineRule="auto"/>
              <w:ind w:firstLine="0"/>
              <w:rPr>
                <w:rFonts w:eastAsia="Times New Roman" w:cs="Times New Roman"/>
                <w:bCs w:val="0"/>
              </w:rPr>
            </w:pPr>
          </w:p>
        </w:tc>
        <w:tc>
          <w:tcPr>
            <w:tcW w:w="0" w:type="auto"/>
            <w:tcBorders>
              <w:top w:val="nil"/>
              <w:left w:val="nil"/>
              <w:bottom w:val="single" w:sz="8" w:space="0" w:color="auto"/>
              <w:right w:val="single" w:sz="8" w:space="0" w:color="FFFFFF"/>
            </w:tcBorders>
            <w:shd w:val="clear" w:color="000000" w:fill="000000"/>
            <w:textDirection w:val="tbRl"/>
            <w:vAlign w:val="center"/>
            <w:hideMark/>
          </w:tcPr>
          <w:p w14:paraId="6B9BBF52"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NPL</w:t>
            </w:r>
          </w:p>
        </w:tc>
        <w:tc>
          <w:tcPr>
            <w:tcW w:w="0" w:type="auto"/>
            <w:tcBorders>
              <w:top w:val="nil"/>
              <w:left w:val="nil"/>
              <w:bottom w:val="single" w:sz="8" w:space="0" w:color="auto"/>
              <w:right w:val="single" w:sz="8" w:space="0" w:color="FFFFFF"/>
            </w:tcBorders>
            <w:shd w:val="clear" w:color="000000" w:fill="000000"/>
            <w:textDirection w:val="tbRl"/>
            <w:vAlign w:val="center"/>
            <w:hideMark/>
          </w:tcPr>
          <w:p w14:paraId="51079490"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Comet</w:t>
            </w:r>
          </w:p>
        </w:tc>
        <w:tc>
          <w:tcPr>
            <w:tcW w:w="0" w:type="auto"/>
            <w:tcBorders>
              <w:top w:val="nil"/>
              <w:left w:val="nil"/>
              <w:bottom w:val="single" w:sz="8" w:space="0" w:color="auto"/>
              <w:right w:val="single" w:sz="4" w:space="0" w:color="FFFFFF" w:themeColor="background1"/>
            </w:tcBorders>
            <w:shd w:val="clear" w:color="000000" w:fill="000000"/>
            <w:textDirection w:val="tbRl"/>
          </w:tcPr>
          <w:p w14:paraId="2ADB482F" w14:textId="77777777" w:rsidR="009C1C10" w:rsidRPr="00884F9C" w:rsidRDefault="009C1C10" w:rsidP="004D0741">
            <w:pPr>
              <w:spacing w:after="0" w:line="240" w:lineRule="auto"/>
              <w:ind w:firstLine="0"/>
              <w:jc w:val="center"/>
              <w:rPr>
                <w:rFonts w:eastAsia="Times New Roman" w:cs="Times New Roman"/>
                <w:bCs w:val="0"/>
              </w:rPr>
            </w:pPr>
          </w:p>
        </w:tc>
        <w:tc>
          <w:tcPr>
            <w:tcW w:w="0" w:type="auto"/>
            <w:tcBorders>
              <w:top w:val="nil"/>
              <w:left w:val="single" w:sz="4" w:space="0" w:color="FFFFFF" w:themeColor="background1"/>
              <w:bottom w:val="single" w:sz="8" w:space="0" w:color="auto"/>
              <w:right w:val="single" w:sz="8" w:space="0" w:color="FFFFFF"/>
            </w:tcBorders>
            <w:shd w:val="clear" w:color="000000" w:fill="000000"/>
            <w:textDirection w:val="tbRl"/>
            <w:vAlign w:val="center"/>
            <w:hideMark/>
          </w:tcPr>
          <w:p w14:paraId="396CEDD2"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Ames</w:t>
            </w:r>
          </w:p>
        </w:tc>
        <w:tc>
          <w:tcPr>
            <w:tcW w:w="848" w:type="dxa"/>
            <w:tcBorders>
              <w:top w:val="nil"/>
              <w:left w:val="nil"/>
              <w:bottom w:val="single" w:sz="8" w:space="0" w:color="auto"/>
              <w:right w:val="single" w:sz="8" w:space="0" w:color="FFFFFF"/>
            </w:tcBorders>
            <w:shd w:val="clear" w:color="000000" w:fill="000000"/>
            <w:textDirection w:val="tbRl"/>
            <w:vAlign w:val="center"/>
            <w:hideMark/>
          </w:tcPr>
          <w:p w14:paraId="22EC545A" w14:textId="77777777" w:rsidR="009C1C10" w:rsidRPr="00884F9C" w:rsidRDefault="009C1C10" w:rsidP="004D0741">
            <w:pPr>
              <w:spacing w:after="0" w:line="240" w:lineRule="auto"/>
              <w:ind w:firstLine="0"/>
              <w:jc w:val="center"/>
              <w:rPr>
                <w:rFonts w:eastAsia="Times New Roman" w:cs="Times New Roman"/>
                <w:bCs w:val="0"/>
              </w:rPr>
            </w:pPr>
            <w:r w:rsidRPr="000D6061">
              <w:rPr>
                <w:rFonts w:eastAsia="Times New Roman" w:cs="Times New Roman"/>
                <w:bCs w:val="0"/>
                <w:sz w:val="22"/>
              </w:rPr>
              <w:t>In vitro</w:t>
            </w:r>
            <w:r w:rsidRPr="002C6E57">
              <w:rPr>
                <w:rFonts w:eastAsia="Times New Roman" w:cs="Times New Roman"/>
                <w:bCs w:val="0"/>
                <w:sz w:val="22"/>
              </w:rPr>
              <w:t xml:space="preserve"> </w:t>
            </w:r>
            <w:r w:rsidRPr="00884F9C">
              <w:rPr>
                <w:rFonts w:eastAsia="Times New Roman" w:cs="Times New Roman"/>
                <w:bCs w:val="0"/>
                <w:sz w:val="22"/>
              </w:rPr>
              <w:t>MNT</w:t>
            </w:r>
          </w:p>
        </w:tc>
        <w:tc>
          <w:tcPr>
            <w:tcW w:w="482" w:type="dxa"/>
            <w:tcBorders>
              <w:top w:val="nil"/>
              <w:left w:val="nil"/>
              <w:bottom w:val="single" w:sz="8" w:space="0" w:color="auto"/>
              <w:right w:val="single" w:sz="8" w:space="0" w:color="FFFFFF"/>
            </w:tcBorders>
            <w:shd w:val="clear" w:color="000000" w:fill="000000"/>
            <w:textDirection w:val="tbRl"/>
            <w:vAlign w:val="center"/>
            <w:hideMark/>
          </w:tcPr>
          <w:p w14:paraId="5F6CC9F9"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Comet</w:t>
            </w:r>
          </w:p>
        </w:tc>
        <w:tc>
          <w:tcPr>
            <w:tcW w:w="0" w:type="auto"/>
            <w:tcBorders>
              <w:top w:val="nil"/>
              <w:left w:val="nil"/>
              <w:bottom w:val="single" w:sz="8" w:space="0" w:color="auto"/>
              <w:right w:val="single" w:sz="8" w:space="0" w:color="auto"/>
            </w:tcBorders>
            <w:shd w:val="clear" w:color="000000" w:fill="000000"/>
            <w:textDirection w:val="tbRl"/>
            <w:vAlign w:val="center"/>
            <w:hideMark/>
          </w:tcPr>
          <w:p w14:paraId="6B8D4805"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MNT</w:t>
            </w:r>
          </w:p>
        </w:tc>
      </w:tr>
      <w:tr w:rsidR="009C1C10" w:rsidRPr="00E33063" w14:paraId="367A4956" w14:textId="77777777" w:rsidTr="004D0741">
        <w:trPr>
          <w:trHeight w:val="2296"/>
          <w:jc w:val="center"/>
        </w:trPr>
        <w:tc>
          <w:tcPr>
            <w:tcW w:w="0" w:type="auto"/>
            <w:tcBorders>
              <w:top w:val="nil"/>
              <w:left w:val="single" w:sz="8" w:space="0" w:color="auto"/>
              <w:bottom w:val="single" w:sz="8" w:space="0" w:color="000000"/>
              <w:right w:val="single" w:sz="8" w:space="0" w:color="auto"/>
            </w:tcBorders>
            <w:shd w:val="clear" w:color="auto" w:fill="auto"/>
            <w:vAlign w:val="center"/>
            <w:hideMark/>
          </w:tcPr>
          <w:p w14:paraId="70124B76" w14:textId="77777777" w:rsidR="009C1C10" w:rsidRPr="00884F9C" w:rsidRDefault="009C1C10" w:rsidP="004D0741">
            <w:pPr>
              <w:spacing w:after="0" w:line="240" w:lineRule="auto"/>
              <w:ind w:firstLine="0"/>
              <w:rPr>
                <w:rFonts w:eastAsia="Times New Roman" w:cs="Times New Roman"/>
                <w:bCs w:val="0"/>
              </w:rPr>
            </w:pPr>
            <w:r w:rsidRPr="00884F9C">
              <w:rPr>
                <w:rFonts w:eastAsia="Times New Roman" w:cs="Times New Roman"/>
                <w:bCs w:val="0"/>
                <w:sz w:val="22"/>
              </w:rPr>
              <w:t>2-Phenyl-2-butenal</w:t>
            </w:r>
          </w:p>
        </w:tc>
        <w:tc>
          <w:tcPr>
            <w:tcW w:w="0" w:type="auto"/>
            <w:tcBorders>
              <w:top w:val="nil"/>
              <w:left w:val="single" w:sz="8" w:space="0" w:color="auto"/>
              <w:bottom w:val="single" w:sz="8" w:space="0" w:color="000000"/>
              <w:right w:val="single" w:sz="8" w:space="0" w:color="auto"/>
            </w:tcBorders>
            <w:shd w:val="clear" w:color="auto" w:fill="auto"/>
            <w:vAlign w:val="center"/>
            <w:hideMark/>
          </w:tcPr>
          <w:p w14:paraId="08E5EB00"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4411-89-6</w:t>
            </w:r>
          </w:p>
        </w:tc>
        <w:tc>
          <w:tcPr>
            <w:tcW w:w="0" w:type="auto"/>
            <w:tcBorders>
              <w:top w:val="single" w:sz="8" w:space="0" w:color="auto"/>
              <w:left w:val="nil"/>
              <w:right w:val="single" w:sz="8" w:space="0" w:color="auto"/>
            </w:tcBorders>
            <w:shd w:val="clear" w:color="000000" w:fill="E2EFD9"/>
            <w:vAlign w:val="center"/>
            <w:hideMark/>
          </w:tcPr>
          <w:p w14:paraId="77751FA9" w14:textId="77777777" w:rsidR="009C1C10" w:rsidRPr="00884F9C" w:rsidRDefault="009C1C10" w:rsidP="004D0741">
            <w:pPr>
              <w:spacing w:after="0" w:line="240" w:lineRule="auto"/>
              <w:ind w:firstLine="0"/>
              <w:jc w:val="center"/>
              <w:rPr>
                <w:rFonts w:eastAsia="Times New Roman" w:cs="Times New Roman"/>
                <w:bCs w:val="0"/>
              </w:rPr>
            </w:pPr>
          </w:p>
          <w:p w14:paraId="634C8D3B"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w:t>
            </w:r>
          </w:p>
          <w:p w14:paraId="0AD2ED93" w14:textId="77777777" w:rsidR="009C1C10" w:rsidRPr="00884F9C" w:rsidRDefault="009C1C10" w:rsidP="004D0741">
            <w:pPr>
              <w:spacing w:after="0" w:line="240" w:lineRule="auto"/>
              <w:ind w:firstLine="0"/>
              <w:jc w:val="center"/>
              <w:rPr>
                <w:rFonts w:ascii="Calibri" w:eastAsia="Times New Roman" w:hAnsi="Calibri" w:cs="Calibri"/>
                <w:bCs w:val="0"/>
              </w:rPr>
            </w:pPr>
          </w:p>
          <w:p w14:paraId="58F0CB69" w14:textId="77777777" w:rsidR="009C1C10" w:rsidRPr="00884F9C" w:rsidRDefault="009C1C10" w:rsidP="004D0741">
            <w:pPr>
              <w:spacing w:after="0" w:line="240" w:lineRule="auto"/>
              <w:ind w:firstLine="0"/>
              <w:jc w:val="center"/>
              <w:rPr>
                <w:rFonts w:ascii="Calibri" w:eastAsia="Times New Roman" w:hAnsi="Calibri" w:cs="Calibri"/>
                <w:bCs w:val="0"/>
              </w:rPr>
            </w:pPr>
          </w:p>
          <w:p w14:paraId="28B85F07" w14:textId="77777777" w:rsidR="009C1C10" w:rsidRPr="00884F9C" w:rsidRDefault="009C1C10" w:rsidP="004D0741">
            <w:pPr>
              <w:spacing w:after="0" w:line="240" w:lineRule="auto"/>
              <w:ind w:firstLine="0"/>
              <w:jc w:val="center"/>
              <w:rPr>
                <w:rFonts w:ascii="Calibri" w:eastAsia="Times New Roman" w:hAnsi="Calibri" w:cs="Calibri"/>
                <w:bCs w:val="0"/>
              </w:rPr>
            </w:pPr>
          </w:p>
          <w:p w14:paraId="442247E4" w14:textId="77777777" w:rsidR="009C1C10" w:rsidRPr="00884F9C" w:rsidRDefault="009C1C10" w:rsidP="004D0741">
            <w:pPr>
              <w:spacing w:after="0" w:line="240" w:lineRule="auto"/>
              <w:ind w:firstLine="0"/>
              <w:jc w:val="center"/>
              <w:rPr>
                <w:rFonts w:ascii="Calibri" w:eastAsia="Times New Roman" w:hAnsi="Calibri" w:cs="Calibri"/>
                <w:bCs w:val="0"/>
              </w:rPr>
            </w:pPr>
          </w:p>
          <w:p w14:paraId="722CC014" w14:textId="77777777" w:rsidR="009C1C10" w:rsidRPr="00884F9C" w:rsidRDefault="009C1C10" w:rsidP="004D0741">
            <w:pPr>
              <w:spacing w:after="0" w:line="240" w:lineRule="auto"/>
              <w:jc w:val="center"/>
              <w:rPr>
                <w:rFonts w:eastAsia="Times New Roman" w:cs="Times New Roman"/>
                <w:bCs w:val="0"/>
              </w:rPr>
            </w:pPr>
          </w:p>
        </w:tc>
        <w:tc>
          <w:tcPr>
            <w:tcW w:w="0" w:type="auto"/>
            <w:tcBorders>
              <w:top w:val="single" w:sz="8" w:space="0" w:color="auto"/>
              <w:left w:val="nil"/>
              <w:right w:val="single" w:sz="8" w:space="0" w:color="auto"/>
            </w:tcBorders>
            <w:shd w:val="clear" w:color="000000" w:fill="E2EFD9"/>
            <w:vAlign w:val="center"/>
            <w:hideMark/>
          </w:tcPr>
          <w:p w14:paraId="39D1BFB2" w14:textId="77777777" w:rsidR="009C1C10" w:rsidRPr="00884F9C" w:rsidRDefault="009C1C10" w:rsidP="004D0741">
            <w:pPr>
              <w:spacing w:after="0" w:line="240" w:lineRule="auto"/>
              <w:ind w:firstLine="0"/>
              <w:jc w:val="center"/>
              <w:rPr>
                <w:rFonts w:eastAsia="Times New Roman" w:cs="Times New Roman"/>
                <w:bCs w:val="0"/>
                <w:szCs w:val="24"/>
              </w:rPr>
            </w:pPr>
            <w:r w:rsidRPr="00884F9C">
              <w:rPr>
                <w:rFonts w:eastAsia="Times New Roman" w:cs="Times New Roman"/>
                <w:bCs w:val="0"/>
                <w:szCs w:val="24"/>
              </w:rPr>
              <w:t>-</w:t>
            </w:r>
          </w:p>
          <w:p w14:paraId="3EB3D007" w14:textId="77777777" w:rsidR="009C1C10" w:rsidRPr="00884F9C" w:rsidRDefault="009C1C10" w:rsidP="004D0741">
            <w:pPr>
              <w:spacing w:after="0" w:line="240" w:lineRule="auto"/>
              <w:ind w:firstLine="0"/>
              <w:jc w:val="center"/>
              <w:rPr>
                <w:rFonts w:eastAsia="Times New Roman" w:cs="Times New Roman"/>
                <w:bCs w:val="0"/>
                <w:szCs w:val="24"/>
              </w:rPr>
            </w:pPr>
          </w:p>
          <w:p w14:paraId="13407782" w14:textId="77777777" w:rsidR="009C1C10" w:rsidRPr="00884F9C" w:rsidRDefault="009C1C10" w:rsidP="004D0741">
            <w:pPr>
              <w:spacing w:after="0" w:line="240" w:lineRule="auto"/>
              <w:jc w:val="center"/>
              <w:rPr>
                <w:rFonts w:eastAsia="Times New Roman" w:cs="Times New Roman"/>
                <w:bCs w:val="0"/>
                <w:szCs w:val="24"/>
              </w:rPr>
            </w:pPr>
          </w:p>
        </w:tc>
        <w:tc>
          <w:tcPr>
            <w:tcW w:w="0" w:type="auto"/>
            <w:tcBorders>
              <w:top w:val="single" w:sz="8" w:space="0" w:color="auto"/>
              <w:left w:val="single" w:sz="8" w:space="0" w:color="auto"/>
              <w:right w:val="single" w:sz="8" w:space="0" w:color="auto"/>
            </w:tcBorders>
            <w:shd w:val="clear" w:color="auto" w:fill="E2EFD9" w:themeFill="accent6" w:themeFillTint="33"/>
            <w:vAlign w:val="center"/>
          </w:tcPr>
          <w:p w14:paraId="2B357D56"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Cs w:val="0"/>
                <w:sz w:val="22"/>
              </w:rPr>
              <w:t>-</w:t>
            </w:r>
          </w:p>
          <w:p w14:paraId="3E160E2E" w14:textId="77777777" w:rsidR="009C1C10" w:rsidRPr="00884F9C" w:rsidRDefault="009C1C10" w:rsidP="004D0741">
            <w:pPr>
              <w:spacing w:after="0" w:line="240" w:lineRule="auto"/>
              <w:ind w:firstLine="0"/>
              <w:jc w:val="center"/>
              <w:rPr>
                <w:rFonts w:eastAsia="Times New Roman" w:cs="Times New Roman"/>
                <w:b/>
              </w:rPr>
            </w:pPr>
          </w:p>
          <w:p w14:paraId="6F2ACE8E" w14:textId="77777777" w:rsidR="009C1C10" w:rsidRPr="00884F9C" w:rsidRDefault="009C1C10" w:rsidP="004D0741">
            <w:pPr>
              <w:spacing w:after="0" w:line="240" w:lineRule="auto"/>
              <w:ind w:firstLine="0"/>
              <w:jc w:val="center"/>
              <w:rPr>
                <w:rFonts w:eastAsia="Times New Roman" w:cs="Times New Roman"/>
                <w:b/>
              </w:rPr>
            </w:pPr>
          </w:p>
          <w:p w14:paraId="5843013D" w14:textId="77777777" w:rsidR="009C1C10" w:rsidRPr="00884F9C" w:rsidRDefault="009C1C10" w:rsidP="004D0741">
            <w:pPr>
              <w:spacing w:after="0" w:line="240" w:lineRule="auto"/>
              <w:ind w:firstLine="0"/>
              <w:jc w:val="center"/>
              <w:rPr>
                <w:rFonts w:eastAsia="Times New Roman" w:cs="Times New Roman"/>
                <w:b/>
              </w:rPr>
            </w:pPr>
          </w:p>
          <w:p w14:paraId="1D93717B" w14:textId="77777777" w:rsidR="009C1C10" w:rsidRPr="00884F9C" w:rsidRDefault="009C1C10" w:rsidP="004D0741">
            <w:pPr>
              <w:spacing w:after="0" w:line="240" w:lineRule="auto"/>
              <w:ind w:firstLine="0"/>
              <w:jc w:val="center"/>
              <w:rPr>
                <w:rFonts w:eastAsia="Times New Roman" w:cs="Times New Roman"/>
                <w:b/>
              </w:rPr>
            </w:pPr>
          </w:p>
          <w:p w14:paraId="3C7539E0" w14:textId="77777777" w:rsidR="009C1C10" w:rsidRPr="00884F9C" w:rsidRDefault="009C1C10" w:rsidP="004D0741">
            <w:pPr>
              <w:spacing w:after="0" w:line="240" w:lineRule="auto"/>
              <w:ind w:firstLine="0"/>
              <w:jc w:val="center"/>
              <w:rPr>
                <w:rFonts w:eastAsia="Times New Roman" w:cs="Times New Roman"/>
                <w:b/>
              </w:rPr>
            </w:pPr>
          </w:p>
          <w:p w14:paraId="783A1712" w14:textId="77777777" w:rsidR="009C1C10" w:rsidRPr="00884F9C" w:rsidRDefault="009C1C10" w:rsidP="004D0741">
            <w:pPr>
              <w:spacing w:after="0" w:line="240" w:lineRule="auto"/>
              <w:jc w:val="center"/>
              <w:rPr>
                <w:rFonts w:eastAsia="Times New Roman" w:cs="Times New Roman"/>
                <w:b/>
              </w:rPr>
            </w:pPr>
          </w:p>
        </w:tc>
        <w:tc>
          <w:tcPr>
            <w:tcW w:w="0" w:type="auto"/>
            <w:tcBorders>
              <w:top w:val="nil"/>
              <w:left w:val="single" w:sz="8" w:space="0" w:color="auto"/>
              <w:bottom w:val="single" w:sz="8" w:space="0" w:color="000000"/>
              <w:right w:val="single" w:sz="8" w:space="0" w:color="auto"/>
            </w:tcBorders>
            <w:shd w:val="clear" w:color="000000" w:fill="FBE4D5"/>
            <w:vAlign w:val="center"/>
            <w:hideMark/>
          </w:tcPr>
          <w:p w14:paraId="6793FF6E"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848" w:type="dxa"/>
            <w:tcBorders>
              <w:top w:val="nil"/>
              <w:left w:val="single" w:sz="8" w:space="0" w:color="auto"/>
              <w:bottom w:val="single" w:sz="8" w:space="0" w:color="000000"/>
              <w:right w:val="single" w:sz="8" w:space="0" w:color="auto"/>
            </w:tcBorders>
            <w:shd w:val="clear" w:color="auto" w:fill="auto"/>
            <w:vAlign w:val="center"/>
            <w:hideMark/>
          </w:tcPr>
          <w:p w14:paraId="33BAFC66" w14:textId="77777777" w:rsidR="009C1C10" w:rsidRPr="00884F9C" w:rsidRDefault="009C1C10" w:rsidP="004D0741">
            <w:pPr>
              <w:spacing w:after="0" w:line="240" w:lineRule="auto"/>
              <w:ind w:firstLine="0"/>
              <w:jc w:val="center"/>
              <w:rPr>
                <w:rFonts w:eastAsia="Times New Roman" w:cs="Times New Roman"/>
                <w:b/>
              </w:rPr>
            </w:pPr>
          </w:p>
        </w:tc>
        <w:tc>
          <w:tcPr>
            <w:tcW w:w="482" w:type="dxa"/>
            <w:tcBorders>
              <w:top w:val="nil"/>
              <w:left w:val="single" w:sz="8" w:space="0" w:color="auto"/>
              <w:bottom w:val="single" w:sz="8" w:space="0" w:color="000000"/>
              <w:right w:val="single" w:sz="8" w:space="0" w:color="auto"/>
            </w:tcBorders>
            <w:shd w:val="clear" w:color="000000" w:fill="E2EFD9"/>
            <w:vAlign w:val="center"/>
            <w:hideMark/>
          </w:tcPr>
          <w:p w14:paraId="27719BF0"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0" w:type="auto"/>
            <w:tcBorders>
              <w:top w:val="nil"/>
              <w:left w:val="single" w:sz="8" w:space="0" w:color="auto"/>
              <w:bottom w:val="single" w:sz="8" w:space="0" w:color="000000"/>
              <w:right w:val="single" w:sz="8" w:space="0" w:color="auto"/>
            </w:tcBorders>
            <w:shd w:val="clear" w:color="000000" w:fill="E2EFD9"/>
            <w:vAlign w:val="center"/>
            <w:hideMark/>
          </w:tcPr>
          <w:p w14:paraId="4C781995"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r>
      <w:tr w:rsidR="009C1C10" w:rsidRPr="00E33063" w14:paraId="3EC4C7D6" w14:textId="77777777" w:rsidTr="004D0741">
        <w:trPr>
          <w:trHeight w:val="312"/>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0C5C4AC7" w14:textId="77777777" w:rsidR="009C1C10" w:rsidRPr="00884F9C" w:rsidRDefault="009C1C10" w:rsidP="004D0741">
            <w:pPr>
              <w:spacing w:after="0" w:line="240" w:lineRule="auto"/>
              <w:ind w:firstLine="0"/>
              <w:rPr>
                <w:rFonts w:eastAsia="Times New Roman" w:cs="Times New Roman"/>
                <w:bCs w:val="0"/>
              </w:rPr>
            </w:pPr>
            <w:r w:rsidRPr="00884F9C">
              <w:rPr>
                <w:rFonts w:eastAsia="Times New Roman" w:cs="Times New Roman"/>
                <w:bCs w:val="0"/>
                <w:sz w:val="22"/>
              </w:rPr>
              <w:t>Nona-2 trans- 6-cis-dienal</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4BAD624C"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557-48-2</w:t>
            </w:r>
          </w:p>
        </w:tc>
        <w:tc>
          <w:tcPr>
            <w:tcW w:w="0" w:type="auto"/>
            <w:tcBorders>
              <w:top w:val="single" w:sz="4" w:space="0" w:color="auto"/>
              <w:left w:val="nil"/>
              <w:bottom w:val="nil"/>
              <w:right w:val="single" w:sz="8" w:space="0" w:color="auto"/>
            </w:tcBorders>
            <w:shd w:val="clear" w:color="000000" w:fill="E2EFD9"/>
            <w:vAlign w:val="center"/>
            <w:hideMark/>
          </w:tcPr>
          <w:p w14:paraId="55A0EBAE" w14:textId="77777777" w:rsidR="009C1C10" w:rsidRPr="00884F9C" w:rsidRDefault="009C1C10" w:rsidP="004D0741">
            <w:pPr>
              <w:spacing w:after="0" w:line="240" w:lineRule="auto"/>
              <w:ind w:firstLine="0"/>
              <w:jc w:val="center"/>
              <w:rPr>
                <w:rFonts w:eastAsia="Times New Roman" w:cs="Times New Roman"/>
                <w:bCs w:val="0"/>
              </w:rPr>
            </w:pPr>
          </w:p>
        </w:tc>
        <w:tc>
          <w:tcPr>
            <w:tcW w:w="0" w:type="auto"/>
            <w:vMerge w:val="restart"/>
            <w:tcBorders>
              <w:top w:val="single" w:sz="4" w:space="0" w:color="auto"/>
              <w:left w:val="nil"/>
              <w:right w:val="single" w:sz="8" w:space="0" w:color="auto"/>
            </w:tcBorders>
            <w:shd w:val="clear" w:color="000000" w:fill="E2EFD9"/>
            <w:vAlign w:val="center"/>
            <w:hideMark/>
          </w:tcPr>
          <w:p w14:paraId="197E4589" w14:textId="77777777" w:rsidR="009C1C10" w:rsidRPr="00884F9C" w:rsidRDefault="009C1C10" w:rsidP="004D0741">
            <w:pPr>
              <w:spacing w:after="0" w:line="240" w:lineRule="auto"/>
              <w:ind w:firstLine="0"/>
              <w:jc w:val="center"/>
              <w:rPr>
                <w:rFonts w:eastAsia="Times New Roman" w:cs="Times New Roman"/>
                <w:bCs w:val="0"/>
                <w:szCs w:val="24"/>
              </w:rPr>
            </w:pPr>
            <w:r w:rsidRPr="00884F9C">
              <w:rPr>
                <w:rFonts w:eastAsia="Times New Roman" w:cs="Times New Roman"/>
                <w:bCs w:val="0"/>
                <w:szCs w:val="24"/>
              </w:rPr>
              <w:t>-</w:t>
            </w:r>
          </w:p>
          <w:p w14:paraId="1C3E4BA6" w14:textId="77777777" w:rsidR="009C1C10" w:rsidRPr="00884F9C" w:rsidRDefault="009C1C10" w:rsidP="004D0741">
            <w:pPr>
              <w:spacing w:after="0" w:line="240" w:lineRule="auto"/>
              <w:ind w:firstLine="0"/>
              <w:jc w:val="center"/>
              <w:rPr>
                <w:rFonts w:eastAsia="Times New Roman" w:cs="Times New Roman"/>
                <w:bCs w:val="0"/>
                <w:szCs w:val="24"/>
              </w:rPr>
            </w:pPr>
          </w:p>
          <w:p w14:paraId="1CE8DF98" w14:textId="77777777" w:rsidR="009C1C10" w:rsidRPr="00884F9C" w:rsidRDefault="009C1C10" w:rsidP="004D0741">
            <w:pPr>
              <w:spacing w:after="0" w:line="240" w:lineRule="auto"/>
              <w:ind w:firstLine="0"/>
              <w:jc w:val="center"/>
              <w:rPr>
                <w:rFonts w:ascii="Calibri" w:eastAsia="Times New Roman" w:hAnsi="Calibri" w:cs="Calibri"/>
                <w:bCs w:val="0"/>
              </w:rPr>
            </w:pPr>
          </w:p>
          <w:p w14:paraId="2CD69E37" w14:textId="77777777" w:rsidR="009C1C10" w:rsidRPr="00884F9C" w:rsidRDefault="009C1C10" w:rsidP="004D0741">
            <w:pPr>
              <w:spacing w:after="0" w:line="240" w:lineRule="auto"/>
              <w:ind w:firstLine="0"/>
              <w:jc w:val="center"/>
              <w:rPr>
                <w:rFonts w:ascii="Calibri" w:eastAsia="Times New Roman" w:hAnsi="Calibri" w:cs="Calibri"/>
                <w:bCs w:val="0"/>
              </w:rPr>
            </w:pPr>
          </w:p>
          <w:p w14:paraId="40806F35" w14:textId="77777777" w:rsidR="009C1C10" w:rsidRPr="00884F9C" w:rsidRDefault="009C1C10" w:rsidP="004D0741">
            <w:pPr>
              <w:spacing w:after="0" w:line="240" w:lineRule="auto"/>
              <w:ind w:firstLine="0"/>
              <w:jc w:val="center"/>
              <w:rPr>
                <w:rFonts w:ascii="Calibri" w:eastAsia="Times New Roman" w:hAnsi="Calibri" w:cs="Calibri"/>
                <w:bCs w:val="0"/>
              </w:rPr>
            </w:pPr>
          </w:p>
          <w:p w14:paraId="1A372C2F" w14:textId="77777777" w:rsidR="009C1C10" w:rsidRPr="00884F9C" w:rsidRDefault="009C1C10" w:rsidP="004D0741">
            <w:pPr>
              <w:spacing w:after="0" w:line="240" w:lineRule="auto"/>
              <w:jc w:val="center"/>
              <w:rPr>
                <w:rFonts w:eastAsia="Times New Roman" w:cs="Times New Roman"/>
                <w:bCs w:val="0"/>
                <w:szCs w:val="24"/>
              </w:rPr>
            </w:pPr>
          </w:p>
        </w:tc>
        <w:tc>
          <w:tcPr>
            <w:tcW w:w="0" w:type="auto"/>
            <w:vMerge w:val="restart"/>
            <w:tcBorders>
              <w:top w:val="single" w:sz="4" w:space="0" w:color="auto"/>
              <w:left w:val="single" w:sz="8" w:space="0" w:color="auto"/>
              <w:right w:val="single" w:sz="8" w:space="0" w:color="auto"/>
            </w:tcBorders>
            <w:shd w:val="clear" w:color="auto" w:fill="E2EFD9" w:themeFill="accent6" w:themeFillTint="33"/>
            <w:vAlign w:val="center"/>
          </w:tcPr>
          <w:p w14:paraId="51A6B814"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Cs w:val="0"/>
                <w:sz w:val="22"/>
              </w:rPr>
              <w:t>-</w:t>
            </w:r>
          </w:p>
          <w:p w14:paraId="03F0A92B" w14:textId="77777777" w:rsidR="009C1C10" w:rsidRPr="00884F9C" w:rsidRDefault="009C1C10" w:rsidP="004D0741">
            <w:pPr>
              <w:spacing w:after="0" w:line="240" w:lineRule="auto"/>
              <w:ind w:firstLine="0"/>
              <w:jc w:val="center"/>
              <w:rPr>
                <w:rFonts w:eastAsia="Times New Roman" w:cs="Times New Roman"/>
                <w:b/>
              </w:rPr>
            </w:pPr>
          </w:p>
          <w:p w14:paraId="42967830" w14:textId="77777777" w:rsidR="009C1C10" w:rsidRPr="00884F9C" w:rsidRDefault="009C1C10" w:rsidP="004D0741">
            <w:pPr>
              <w:spacing w:after="0" w:line="240" w:lineRule="auto"/>
              <w:ind w:firstLine="0"/>
              <w:jc w:val="center"/>
              <w:rPr>
                <w:rFonts w:eastAsia="Times New Roman" w:cs="Times New Roman"/>
                <w:b/>
              </w:rPr>
            </w:pPr>
          </w:p>
          <w:p w14:paraId="218DB1AA" w14:textId="77777777" w:rsidR="009C1C10" w:rsidRPr="00884F9C" w:rsidRDefault="009C1C10" w:rsidP="004D0741">
            <w:pPr>
              <w:spacing w:after="0" w:line="240" w:lineRule="auto"/>
              <w:ind w:firstLine="0"/>
              <w:jc w:val="center"/>
              <w:rPr>
                <w:rFonts w:eastAsia="Times New Roman" w:cs="Times New Roman"/>
                <w:b/>
              </w:rPr>
            </w:pPr>
          </w:p>
          <w:p w14:paraId="53E593A2" w14:textId="77777777" w:rsidR="009C1C10" w:rsidRPr="00884F9C" w:rsidRDefault="009C1C10" w:rsidP="004D0741">
            <w:pPr>
              <w:spacing w:after="0" w:line="240" w:lineRule="auto"/>
              <w:jc w:val="center"/>
              <w:rPr>
                <w:rFonts w:eastAsia="Times New Roman" w:cs="Times New Roman"/>
                <w:b/>
              </w:rPr>
            </w:pP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295D95A1" w14:textId="77777777" w:rsidR="009C1C10" w:rsidRPr="00884F9C" w:rsidRDefault="009C1C10" w:rsidP="004D0741">
            <w:pPr>
              <w:spacing w:after="0" w:line="240" w:lineRule="auto"/>
              <w:ind w:firstLine="0"/>
              <w:jc w:val="center"/>
              <w:rPr>
                <w:rFonts w:eastAsia="Times New Roman" w:cs="Times New Roman"/>
                <w:b/>
              </w:rPr>
            </w:pPr>
          </w:p>
        </w:tc>
        <w:tc>
          <w:tcPr>
            <w:tcW w:w="848" w:type="dxa"/>
            <w:vMerge w:val="restart"/>
            <w:tcBorders>
              <w:top w:val="nil"/>
              <w:left w:val="single" w:sz="8" w:space="0" w:color="auto"/>
              <w:bottom w:val="single" w:sz="8" w:space="0" w:color="000000"/>
              <w:right w:val="single" w:sz="8" w:space="0" w:color="auto"/>
            </w:tcBorders>
            <w:shd w:val="clear" w:color="000000" w:fill="FBE4D5"/>
            <w:vAlign w:val="center"/>
            <w:hideMark/>
          </w:tcPr>
          <w:p w14:paraId="06420AEC"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482" w:type="dxa"/>
            <w:vMerge w:val="restart"/>
            <w:tcBorders>
              <w:top w:val="nil"/>
              <w:left w:val="single" w:sz="8" w:space="0" w:color="auto"/>
              <w:bottom w:val="single" w:sz="8" w:space="0" w:color="000000"/>
              <w:right w:val="single" w:sz="8" w:space="0" w:color="auto"/>
            </w:tcBorders>
            <w:shd w:val="clear" w:color="000000" w:fill="E2EFD9"/>
            <w:vAlign w:val="center"/>
            <w:hideMark/>
          </w:tcPr>
          <w:p w14:paraId="2EA9B383"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0" w:type="auto"/>
            <w:vMerge w:val="restart"/>
            <w:tcBorders>
              <w:top w:val="nil"/>
              <w:left w:val="single" w:sz="8" w:space="0" w:color="auto"/>
              <w:bottom w:val="single" w:sz="8" w:space="0" w:color="000000"/>
              <w:right w:val="single" w:sz="8" w:space="0" w:color="auto"/>
            </w:tcBorders>
            <w:shd w:val="clear" w:color="000000" w:fill="E2EFD9"/>
            <w:vAlign w:val="center"/>
            <w:hideMark/>
          </w:tcPr>
          <w:p w14:paraId="3F586FC6"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r>
      <w:tr w:rsidR="009C1C10" w:rsidRPr="00E33063" w14:paraId="0CB3B642" w14:textId="77777777" w:rsidTr="004D0741">
        <w:trPr>
          <w:trHeight w:val="1216"/>
          <w:jc w:val="center"/>
        </w:trPr>
        <w:tc>
          <w:tcPr>
            <w:tcW w:w="0" w:type="auto"/>
            <w:vMerge/>
            <w:tcBorders>
              <w:top w:val="nil"/>
              <w:left w:val="single" w:sz="8" w:space="0" w:color="auto"/>
              <w:bottom w:val="single" w:sz="8" w:space="0" w:color="000000"/>
              <w:right w:val="single" w:sz="8" w:space="0" w:color="auto"/>
            </w:tcBorders>
            <w:vAlign w:val="center"/>
            <w:hideMark/>
          </w:tcPr>
          <w:p w14:paraId="1E332C78" w14:textId="77777777" w:rsidR="009C1C10" w:rsidRPr="00884F9C" w:rsidRDefault="009C1C10" w:rsidP="004D0741">
            <w:pPr>
              <w:spacing w:after="0" w:line="240" w:lineRule="auto"/>
              <w:ind w:firstLine="0"/>
              <w:rPr>
                <w:rFonts w:eastAsia="Times New Roman" w:cs="Times New Roman"/>
                <w:bCs w:val="0"/>
              </w:rPr>
            </w:pPr>
          </w:p>
        </w:tc>
        <w:tc>
          <w:tcPr>
            <w:tcW w:w="0" w:type="auto"/>
            <w:vMerge/>
            <w:tcBorders>
              <w:top w:val="nil"/>
              <w:left w:val="single" w:sz="8" w:space="0" w:color="auto"/>
              <w:bottom w:val="single" w:sz="8" w:space="0" w:color="000000"/>
              <w:right w:val="single" w:sz="8" w:space="0" w:color="auto"/>
            </w:tcBorders>
            <w:vAlign w:val="center"/>
            <w:hideMark/>
          </w:tcPr>
          <w:p w14:paraId="2C3DB543" w14:textId="77777777" w:rsidR="009C1C10" w:rsidRPr="00884F9C" w:rsidRDefault="009C1C10" w:rsidP="004D0741">
            <w:pPr>
              <w:spacing w:after="0" w:line="240" w:lineRule="auto"/>
              <w:ind w:firstLine="0"/>
              <w:rPr>
                <w:rFonts w:eastAsia="Times New Roman" w:cs="Times New Roman"/>
                <w:bCs w:val="0"/>
              </w:rPr>
            </w:pPr>
          </w:p>
        </w:tc>
        <w:tc>
          <w:tcPr>
            <w:tcW w:w="0" w:type="auto"/>
            <w:tcBorders>
              <w:top w:val="nil"/>
              <w:left w:val="nil"/>
              <w:right w:val="single" w:sz="8" w:space="0" w:color="auto"/>
            </w:tcBorders>
            <w:shd w:val="clear" w:color="000000" w:fill="E2EFD9"/>
            <w:vAlign w:val="center"/>
            <w:hideMark/>
          </w:tcPr>
          <w:p w14:paraId="565F919F"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w:t>
            </w:r>
          </w:p>
          <w:p w14:paraId="2B626923" w14:textId="77777777" w:rsidR="009C1C10" w:rsidRPr="00884F9C" w:rsidRDefault="009C1C10" w:rsidP="004D0741">
            <w:pPr>
              <w:spacing w:after="0" w:line="240" w:lineRule="auto"/>
              <w:ind w:firstLine="0"/>
              <w:jc w:val="center"/>
              <w:rPr>
                <w:rFonts w:ascii="Calibri" w:eastAsia="Times New Roman" w:hAnsi="Calibri" w:cs="Calibri"/>
                <w:bCs w:val="0"/>
              </w:rPr>
            </w:pPr>
          </w:p>
          <w:p w14:paraId="79683E86" w14:textId="77777777" w:rsidR="009C1C10" w:rsidRPr="00884F9C" w:rsidRDefault="009C1C10" w:rsidP="004D0741">
            <w:pPr>
              <w:spacing w:after="0" w:line="240" w:lineRule="auto"/>
              <w:ind w:firstLine="0"/>
              <w:jc w:val="center"/>
              <w:rPr>
                <w:rFonts w:ascii="Calibri" w:eastAsia="Times New Roman" w:hAnsi="Calibri" w:cs="Calibri"/>
                <w:bCs w:val="0"/>
              </w:rPr>
            </w:pPr>
          </w:p>
          <w:p w14:paraId="2F33A094" w14:textId="77777777" w:rsidR="009C1C10" w:rsidRPr="00884F9C" w:rsidRDefault="009C1C10" w:rsidP="004D0741">
            <w:pPr>
              <w:spacing w:after="0" w:line="240" w:lineRule="auto"/>
              <w:jc w:val="center"/>
              <w:rPr>
                <w:rFonts w:eastAsia="Times New Roman" w:cs="Times New Roman"/>
                <w:bCs w:val="0"/>
              </w:rPr>
            </w:pPr>
          </w:p>
        </w:tc>
        <w:tc>
          <w:tcPr>
            <w:tcW w:w="0" w:type="auto"/>
            <w:vMerge/>
            <w:tcBorders>
              <w:left w:val="nil"/>
              <w:right w:val="single" w:sz="8" w:space="0" w:color="auto"/>
            </w:tcBorders>
            <w:shd w:val="clear" w:color="000000" w:fill="E2EFD9"/>
            <w:vAlign w:val="center"/>
            <w:hideMark/>
          </w:tcPr>
          <w:p w14:paraId="6AA41804" w14:textId="77777777" w:rsidR="009C1C10" w:rsidRPr="00884F9C" w:rsidRDefault="009C1C10" w:rsidP="004D0741">
            <w:pPr>
              <w:spacing w:after="0" w:line="240" w:lineRule="auto"/>
              <w:jc w:val="center"/>
              <w:rPr>
                <w:rFonts w:eastAsia="Times New Roman" w:cs="Times New Roman"/>
                <w:bCs w:val="0"/>
                <w:szCs w:val="24"/>
              </w:rPr>
            </w:pPr>
          </w:p>
        </w:tc>
        <w:tc>
          <w:tcPr>
            <w:tcW w:w="0" w:type="auto"/>
            <w:vMerge/>
            <w:tcBorders>
              <w:left w:val="single" w:sz="8" w:space="0" w:color="auto"/>
              <w:right w:val="single" w:sz="8" w:space="0" w:color="auto"/>
            </w:tcBorders>
            <w:shd w:val="clear" w:color="auto" w:fill="E2EFD9" w:themeFill="accent6" w:themeFillTint="33"/>
            <w:vAlign w:val="center"/>
          </w:tcPr>
          <w:p w14:paraId="343A51E2" w14:textId="77777777" w:rsidR="009C1C10" w:rsidRPr="00884F9C" w:rsidRDefault="009C1C10" w:rsidP="004D0741">
            <w:pPr>
              <w:spacing w:after="0" w:line="240" w:lineRule="auto"/>
              <w:jc w:val="center"/>
              <w:rPr>
                <w:rFonts w:eastAsia="Times New Roman" w:cs="Times New Roman"/>
                <w:b/>
              </w:rPr>
            </w:pPr>
          </w:p>
        </w:tc>
        <w:tc>
          <w:tcPr>
            <w:tcW w:w="0" w:type="auto"/>
            <w:vMerge/>
            <w:tcBorders>
              <w:top w:val="nil"/>
              <w:left w:val="single" w:sz="8" w:space="0" w:color="auto"/>
              <w:bottom w:val="single" w:sz="8" w:space="0" w:color="000000"/>
              <w:right w:val="single" w:sz="8" w:space="0" w:color="auto"/>
            </w:tcBorders>
            <w:vAlign w:val="center"/>
            <w:hideMark/>
          </w:tcPr>
          <w:p w14:paraId="3C640B51" w14:textId="77777777" w:rsidR="009C1C10" w:rsidRPr="00884F9C" w:rsidRDefault="009C1C10" w:rsidP="004D0741">
            <w:pPr>
              <w:spacing w:after="0" w:line="240" w:lineRule="auto"/>
              <w:ind w:firstLine="0"/>
              <w:jc w:val="center"/>
              <w:rPr>
                <w:rFonts w:eastAsia="Times New Roman" w:cs="Times New Roman"/>
                <w:b/>
              </w:rPr>
            </w:pPr>
          </w:p>
        </w:tc>
        <w:tc>
          <w:tcPr>
            <w:tcW w:w="848" w:type="dxa"/>
            <w:vMerge/>
            <w:tcBorders>
              <w:top w:val="nil"/>
              <w:left w:val="single" w:sz="8" w:space="0" w:color="auto"/>
              <w:bottom w:val="single" w:sz="8" w:space="0" w:color="000000"/>
              <w:right w:val="single" w:sz="8" w:space="0" w:color="auto"/>
            </w:tcBorders>
            <w:vAlign w:val="center"/>
            <w:hideMark/>
          </w:tcPr>
          <w:p w14:paraId="6512EF73" w14:textId="77777777" w:rsidR="009C1C10" w:rsidRPr="00884F9C" w:rsidRDefault="009C1C10" w:rsidP="004D0741">
            <w:pPr>
              <w:spacing w:after="0" w:line="240" w:lineRule="auto"/>
              <w:ind w:firstLine="0"/>
              <w:jc w:val="center"/>
              <w:rPr>
                <w:rFonts w:eastAsia="Times New Roman" w:cs="Times New Roman"/>
                <w:b/>
              </w:rPr>
            </w:pPr>
          </w:p>
        </w:tc>
        <w:tc>
          <w:tcPr>
            <w:tcW w:w="482" w:type="dxa"/>
            <w:vMerge/>
            <w:tcBorders>
              <w:top w:val="nil"/>
              <w:left w:val="single" w:sz="8" w:space="0" w:color="auto"/>
              <w:bottom w:val="single" w:sz="8" w:space="0" w:color="000000"/>
              <w:right w:val="single" w:sz="8" w:space="0" w:color="auto"/>
            </w:tcBorders>
            <w:vAlign w:val="center"/>
            <w:hideMark/>
          </w:tcPr>
          <w:p w14:paraId="2279047E" w14:textId="77777777" w:rsidR="009C1C10" w:rsidRPr="00884F9C" w:rsidRDefault="009C1C10" w:rsidP="004D0741">
            <w:pPr>
              <w:spacing w:after="0" w:line="240" w:lineRule="auto"/>
              <w:ind w:firstLine="0"/>
              <w:jc w:val="center"/>
              <w:rPr>
                <w:rFonts w:eastAsia="Times New Roman" w:cs="Times New Roman"/>
                <w:b/>
              </w:rPr>
            </w:pPr>
          </w:p>
        </w:tc>
        <w:tc>
          <w:tcPr>
            <w:tcW w:w="0" w:type="auto"/>
            <w:vMerge/>
            <w:tcBorders>
              <w:top w:val="nil"/>
              <w:left w:val="single" w:sz="8" w:space="0" w:color="auto"/>
              <w:bottom w:val="single" w:sz="8" w:space="0" w:color="000000"/>
              <w:right w:val="single" w:sz="8" w:space="0" w:color="auto"/>
            </w:tcBorders>
            <w:vAlign w:val="center"/>
            <w:hideMark/>
          </w:tcPr>
          <w:p w14:paraId="17AE16F7" w14:textId="77777777" w:rsidR="009C1C10" w:rsidRPr="00884F9C" w:rsidRDefault="009C1C10" w:rsidP="004D0741">
            <w:pPr>
              <w:spacing w:after="0" w:line="240" w:lineRule="auto"/>
              <w:ind w:firstLine="0"/>
              <w:jc w:val="center"/>
              <w:rPr>
                <w:rFonts w:eastAsia="Times New Roman" w:cs="Times New Roman"/>
                <w:b/>
              </w:rPr>
            </w:pPr>
          </w:p>
        </w:tc>
      </w:tr>
      <w:tr w:rsidR="009C1C10" w:rsidRPr="00E33063" w14:paraId="3F425183" w14:textId="77777777" w:rsidTr="004D0741">
        <w:trPr>
          <w:trHeight w:val="300"/>
          <w:jc w:val="center"/>
        </w:trPr>
        <w:tc>
          <w:tcPr>
            <w:tcW w:w="0" w:type="auto"/>
            <w:vMerge/>
            <w:tcBorders>
              <w:top w:val="nil"/>
              <w:left w:val="single" w:sz="8" w:space="0" w:color="auto"/>
              <w:bottom w:val="single" w:sz="8" w:space="0" w:color="000000"/>
              <w:right w:val="single" w:sz="8" w:space="0" w:color="auto"/>
            </w:tcBorders>
            <w:vAlign w:val="center"/>
            <w:hideMark/>
          </w:tcPr>
          <w:p w14:paraId="6563C21D" w14:textId="77777777" w:rsidR="009C1C10" w:rsidRPr="00884F9C" w:rsidRDefault="009C1C10" w:rsidP="004D0741">
            <w:pPr>
              <w:spacing w:after="0" w:line="240" w:lineRule="auto"/>
              <w:ind w:firstLine="0"/>
              <w:rPr>
                <w:rFonts w:eastAsia="Times New Roman" w:cs="Times New Roman"/>
                <w:bCs w:val="0"/>
              </w:rPr>
            </w:pPr>
          </w:p>
        </w:tc>
        <w:tc>
          <w:tcPr>
            <w:tcW w:w="0" w:type="auto"/>
            <w:vMerge/>
            <w:tcBorders>
              <w:top w:val="nil"/>
              <w:left w:val="single" w:sz="8" w:space="0" w:color="auto"/>
              <w:bottom w:val="single" w:sz="8" w:space="0" w:color="000000"/>
              <w:right w:val="single" w:sz="8" w:space="0" w:color="auto"/>
            </w:tcBorders>
            <w:vAlign w:val="center"/>
            <w:hideMark/>
          </w:tcPr>
          <w:p w14:paraId="3F1ABEF5" w14:textId="77777777" w:rsidR="009C1C10" w:rsidRPr="00884F9C" w:rsidRDefault="009C1C10" w:rsidP="004D0741">
            <w:pPr>
              <w:spacing w:after="0" w:line="240" w:lineRule="auto"/>
              <w:ind w:firstLine="0"/>
              <w:rPr>
                <w:rFonts w:eastAsia="Times New Roman" w:cs="Times New Roman"/>
                <w:bCs w:val="0"/>
              </w:rPr>
            </w:pPr>
          </w:p>
        </w:tc>
        <w:tc>
          <w:tcPr>
            <w:tcW w:w="0" w:type="auto"/>
            <w:tcBorders>
              <w:top w:val="nil"/>
              <w:left w:val="nil"/>
              <w:bottom w:val="single" w:sz="8" w:space="0" w:color="auto"/>
              <w:right w:val="single" w:sz="8" w:space="0" w:color="auto"/>
            </w:tcBorders>
            <w:shd w:val="clear" w:color="000000" w:fill="E2EFD9"/>
            <w:vAlign w:val="center"/>
            <w:hideMark/>
          </w:tcPr>
          <w:p w14:paraId="001C907A" w14:textId="77777777" w:rsidR="009C1C10" w:rsidRPr="00884F9C" w:rsidRDefault="009C1C10" w:rsidP="004D0741">
            <w:pPr>
              <w:spacing w:after="0" w:line="240" w:lineRule="auto"/>
              <w:ind w:firstLine="0"/>
              <w:jc w:val="center"/>
              <w:rPr>
                <w:rFonts w:ascii="Calibri" w:eastAsia="Times New Roman" w:hAnsi="Calibri" w:cs="Calibri"/>
                <w:bCs w:val="0"/>
              </w:rPr>
            </w:pPr>
          </w:p>
        </w:tc>
        <w:tc>
          <w:tcPr>
            <w:tcW w:w="0" w:type="auto"/>
            <w:vMerge/>
            <w:tcBorders>
              <w:left w:val="nil"/>
              <w:bottom w:val="single" w:sz="8" w:space="0" w:color="auto"/>
              <w:right w:val="single" w:sz="8" w:space="0" w:color="auto"/>
            </w:tcBorders>
            <w:shd w:val="clear" w:color="000000" w:fill="E2EFD9"/>
            <w:vAlign w:val="center"/>
            <w:hideMark/>
          </w:tcPr>
          <w:p w14:paraId="62DF5922" w14:textId="77777777" w:rsidR="009C1C10" w:rsidRPr="00884F9C" w:rsidRDefault="009C1C10" w:rsidP="004D0741">
            <w:pPr>
              <w:spacing w:after="0" w:line="240" w:lineRule="auto"/>
              <w:ind w:firstLine="0"/>
              <w:jc w:val="center"/>
              <w:rPr>
                <w:rFonts w:ascii="Calibri" w:eastAsia="Times New Roman" w:hAnsi="Calibri" w:cs="Calibri"/>
                <w:bCs w:val="0"/>
              </w:rPr>
            </w:pPr>
          </w:p>
        </w:tc>
        <w:tc>
          <w:tcPr>
            <w:tcW w:w="0" w:type="auto"/>
            <w:vMerge/>
            <w:tcBorders>
              <w:left w:val="single" w:sz="8" w:space="0" w:color="auto"/>
              <w:bottom w:val="single" w:sz="8" w:space="0" w:color="000000"/>
              <w:right w:val="single" w:sz="8" w:space="0" w:color="auto"/>
            </w:tcBorders>
            <w:shd w:val="clear" w:color="auto" w:fill="E2EFD9" w:themeFill="accent6" w:themeFillTint="33"/>
            <w:vAlign w:val="center"/>
          </w:tcPr>
          <w:p w14:paraId="2D6B4BC4" w14:textId="77777777" w:rsidR="009C1C10" w:rsidRPr="00884F9C" w:rsidRDefault="009C1C10" w:rsidP="004D0741">
            <w:pPr>
              <w:spacing w:after="0" w:line="240" w:lineRule="auto"/>
              <w:ind w:firstLine="0"/>
              <w:jc w:val="center"/>
              <w:rPr>
                <w:rFonts w:eastAsia="Times New Roman" w:cs="Times New Roman"/>
                <w:b/>
              </w:rPr>
            </w:pPr>
          </w:p>
        </w:tc>
        <w:tc>
          <w:tcPr>
            <w:tcW w:w="0" w:type="auto"/>
            <w:vMerge/>
            <w:tcBorders>
              <w:top w:val="nil"/>
              <w:left w:val="single" w:sz="8" w:space="0" w:color="auto"/>
              <w:bottom w:val="single" w:sz="8" w:space="0" w:color="000000"/>
              <w:right w:val="single" w:sz="8" w:space="0" w:color="auto"/>
            </w:tcBorders>
            <w:vAlign w:val="center"/>
            <w:hideMark/>
          </w:tcPr>
          <w:p w14:paraId="08465AF9" w14:textId="77777777" w:rsidR="009C1C10" w:rsidRPr="00884F9C" w:rsidRDefault="009C1C10" w:rsidP="004D0741">
            <w:pPr>
              <w:spacing w:after="0" w:line="240" w:lineRule="auto"/>
              <w:ind w:firstLine="0"/>
              <w:jc w:val="center"/>
              <w:rPr>
                <w:rFonts w:eastAsia="Times New Roman" w:cs="Times New Roman"/>
                <w:b/>
              </w:rPr>
            </w:pPr>
          </w:p>
        </w:tc>
        <w:tc>
          <w:tcPr>
            <w:tcW w:w="848" w:type="dxa"/>
            <w:vMerge/>
            <w:tcBorders>
              <w:top w:val="nil"/>
              <w:left w:val="single" w:sz="8" w:space="0" w:color="auto"/>
              <w:bottom w:val="single" w:sz="8" w:space="0" w:color="000000"/>
              <w:right w:val="single" w:sz="8" w:space="0" w:color="auto"/>
            </w:tcBorders>
            <w:vAlign w:val="center"/>
            <w:hideMark/>
          </w:tcPr>
          <w:p w14:paraId="0E1CC1DA" w14:textId="77777777" w:rsidR="009C1C10" w:rsidRPr="00884F9C" w:rsidRDefault="009C1C10" w:rsidP="004D0741">
            <w:pPr>
              <w:spacing w:after="0" w:line="240" w:lineRule="auto"/>
              <w:ind w:firstLine="0"/>
              <w:jc w:val="center"/>
              <w:rPr>
                <w:rFonts w:eastAsia="Times New Roman" w:cs="Times New Roman"/>
                <w:b/>
              </w:rPr>
            </w:pPr>
          </w:p>
        </w:tc>
        <w:tc>
          <w:tcPr>
            <w:tcW w:w="482" w:type="dxa"/>
            <w:vMerge/>
            <w:tcBorders>
              <w:top w:val="nil"/>
              <w:left w:val="single" w:sz="8" w:space="0" w:color="auto"/>
              <w:bottom w:val="single" w:sz="8" w:space="0" w:color="000000"/>
              <w:right w:val="single" w:sz="8" w:space="0" w:color="auto"/>
            </w:tcBorders>
            <w:vAlign w:val="center"/>
            <w:hideMark/>
          </w:tcPr>
          <w:p w14:paraId="00456EF0" w14:textId="77777777" w:rsidR="009C1C10" w:rsidRPr="00884F9C" w:rsidRDefault="009C1C10" w:rsidP="004D0741">
            <w:pPr>
              <w:spacing w:after="0" w:line="240" w:lineRule="auto"/>
              <w:ind w:firstLine="0"/>
              <w:jc w:val="center"/>
              <w:rPr>
                <w:rFonts w:eastAsia="Times New Roman" w:cs="Times New Roman"/>
                <w:b/>
              </w:rPr>
            </w:pPr>
          </w:p>
        </w:tc>
        <w:tc>
          <w:tcPr>
            <w:tcW w:w="0" w:type="auto"/>
            <w:vMerge/>
            <w:tcBorders>
              <w:top w:val="nil"/>
              <w:left w:val="single" w:sz="8" w:space="0" w:color="auto"/>
              <w:bottom w:val="single" w:sz="8" w:space="0" w:color="000000"/>
              <w:right w:val="single" w:sz="8" w:space="0" w:color="auto"/>
            </w:tcBorders>
            <w:vAlign w:val="center"/>
            <w:hideMark/>
          </w:tcPr>
          <w:p w14:paraId="02BD9D25" w14:textId="77777777" w:rsidR="009C1C10" w:rsidRPr="00884F9C" w:rsidRDefault="009C1C10" w:rsidP="004D0741">
            <w:pPr>
              <w:spacing w:after="0" w:line="240" w:lineRule="auto"/>
              <w:ind w:firstLine="0"/>
              <w:jc w:val="center"/>
              <w:rPr>
                <w:rFonts w:eastAsia="Times New Roman" w:cs="Times New Roman"/>
                <w:b/>
              </w:rPr>
            </w:pPr>
          </w:p>
        </w:tc>
      </w:tr>
      <w:tr w:rsidR="009C1C10" w:rsidRPr="00E33063" w14:paraId="7CE6B47D" w14:textId="77777777" w:rsidTr="004D0741">
        <w:trPr>
          <w:trHeight w:val="2200"/>
          <w:jc w:val="center"/>
        </w:trPr>
        <w:tc>
          <w:tcPr>
            <w:tcW w:w="0" w:type="auto"/>
            <w:tcBorders>
              <w:top w:val="nil"/>
              <w:left w:val="single" w:sz="8" w:space="0" w:color="auto"/>
              <w:bottom w:val="single" w:sz="8" w:space="0" w:color="000000"/>
              <w:right w:val="single" w:sz="8" w:space="0" w:color="auto"/>
            </w:tcBorders>
            <w:shd w:val="clear" w:color="auto" w:fill="auto"/>
            <w:vAlign w:val="center"/>
            <w:hideMark/>
          </w:tcPr>
          <w:p w14:paraId="6E3DD1DC" w14:textId="77777777" w:rsidR="009C1C10" w:rsidRPr="00884F9C" w:rsidRDefault="009C1C10" w:rsidP="004D0741">
            <w:pPr>
              <w:spacing w:after="0" w:line="240" w:lineRule="auto"/>
              <w:ind w:firstLine="0"/>
              <w:rPr>
                <w:rFonts w:eastAsia="Times New Roman" w:cs="Times New Roman"/>
                <w:bCs w:val="0"/>
              </w:rPr>
            </w:pPr>
            <w:r w:rsidRPr="00884F9C">
              <w:rPr>
                <w:rFonts w:eastAsia="Times New Roman" w:cs="Times New Roman"/>
                <w:bCs w:val="0"/>
                <w:sz w:val="22"/>
              </w:rPr>
              <w:lastRenderedPageBreak/>
              <w:t xml:space="preserve">2-Methyl-2-pentenal </w:t>
            </w:r>
          </w:p>
        </w:tc>
        <w:tc>
          <w:tcPr>
            <w:tcW w:w="0" w:type="auto"/>
            <w:tcBorders>
              <w:top w:val="nil"/>
              <w:left w:val="single" w:sz="8" w:space="0" w:color="auto"/>
              <w:bottom w:val="single" w:sz="8" w:space="0" w:color="000000"/>
              <w:right w:val="single" w:sz="8" w:space="0" w:color="auto"/>
            </w:tcBorders>
            <w:shd w:val="clear" w:color="auto" w:fill="auto"/>
            <w:vAlign w:val="center"/>
            <w:hideMark/>
          </w:tcPr>
          <w:p w14:paraId="54A8E98B"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623-36-9</w:t>
            </w:r>
          </w:p>
        </w:tc>
        <w:tc>
          <w:tcPr>
            <w:tcW w:w="0" w:type="auto"/>
            <w:tcBorders>
              <w:top w:val="nil"/>
              <w:left w:val="single" w:sz="8" w:space="0" w:color="auto"/>
              <w:bottom w:val="single" w:sz="8" w:space="0" w:color="000000"/>
              <w:right w:val="single" w:sz="8" w:space="0" w:color="auto"/>
            </w:tcBorders>
            <w:shd w:val="clear" w:color="000000" w:fill="E2EFD9"/>
            <w:vAlign w:val="center"/>
            <w:hideMark/>
          </w:tcPr>
          <w:p w14:paraId="6F1466D0"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w:t>
            </w:r>
          </w:p>
        </w:tc>
        <w:tc>
          <w:tcPr>
            <w:tcW w:w="0" w:type="auto"/>
            <w:tcBorders>
              <w:top w:val="nil"/>
              <w:left w:val="nil"/>
              <w:bottom w:val="single" w:sz="4" w:space="0" w:color="auto"/>
              <w:right w:val="single" w:sz="8" w:space="0" w:color="auto"/>
            </w:tcBorders>
            <w:shd w:val="clear" w:color="000000" w:fill="E2EFD9"/>
            <w:vAlign w:val="center"/>
            <w:hideMark/>
          </w:tcPr>
          <w:p w14:paraId="7CB93A49" w14:textId="77777777" w:rsidR="009C1C10" w:rsidRPr="00884F9C" w:rsidRDefault="009C1C10" w:rsidP="004D0741">
            <w:pPr>
              <w:spacing w:after="0" w:line="240" w:lineRule="auto"/>
              <w:ind w:firstLine="0"/>
              <w:jc w:val="center"/>
              <w:rPr>
                <w:rFonts w:eastAsia="Times New Roman" w:cs="Times New Roman"/>
                <w:bCs w:val="0"/>
                <w:szCs w:val="24"/>
              </w:rPr>
            </w:pPr>
            <w:r w:rsidRPr="00884F9C">
              <w:rPr>
                <w:rFonts w:eastAsia="Times New Roman" w:cs="Times New Roman"/>
                <w:bCs w:val="0"/>
                <w:szCs w:val="24"/>
              </w:rPr>
              <w:t>-</w:t>
            </w:r>
          </w:p>
          <w:p w14:paraId="68FE051E" w14:textId="77777777" w:rsidR="009C1C10" w:rsidRPr="00884F9C" w:rsidRDefault="009C1C10" w:rsidP="004D0741">
            <w:pPr>
              <w:spacing w:after="0" w:line="240" w:lineRule="auto"/>
              <w:ind w:firstLine="0"/>
              <w:jc w:val="center"/>
              <w:rPr>
                <w:rFonts w:eastAsia="Times New Roman" w:cs="Times New Roman"/>
                <w:bCs w:val="0"/>
                <w:szCs w:val="24"/>
              </w:rPr>
            </w:pPr>
          </w:p>
          <w:p w14:paraId="741740D0" w14:textId="77777777" w:rsidR="009C1C10" w:rsidRPr="00884F9C" w:rsidRDefault="009C1C10" w:rsidP="004D0741">
            <w:pPr>
              <w:spacing w:after="0" w:line="240" w:lineRule="auto"/>
              <w:ind w:firstLine="0"/>
              <w:jc w:val="center"/>
              <w:rPr>
                <w:rFonts w:eastAsia="Times New Roman" w:cs="Times New Roman"/>
                <w:bCs w:val="0"/>
                <w:szCs w:val="24"/>
              </w:rPr>
            </w:pPr>
          </w:p>
          <w:p w14:paraId="3B1E6180" w14:textId="77777777" w:rsidR="009C1C10" w:rsidRPr="00884F9C" w:rsidRDefault="009C1C10" w:rsidP="004D0741">
            <w:pPr>
              <w:spacing w:after="0" w:line="240" w:lineRule="auto"/>
              <w:ind w:firstLine="0"/>
              <w:jc w:val="center"/>
              <w:rPr>
                <w:rFonts w:ascii="Calibri" w:eastAsia="Times New Roman" w:hAnsi="Calibri" w:cs="Calibri"/>
                <w:bCs w:val="0"/>
              </w:rPr>
            </w:pPr>
          </w:p>
          <w:p w14:paraId="178F41BF" w14:textId="77777777" w:rsidR="009C1C10" w:rsidRPr="00884F9C" w:rsidRDefault="009C1C10" w:rsidP="004D0741">
            <w:pPr>
              <w:spacing w:after="0" w:line="240" w:lineRule="auto"/>
              <w:ind w:firstLine="0"/>
              <w:jc w:val="center"/>
              <w:rPr>
                <w:rFonts w:ascii="Calibri" w:eastAsia="Times New Roman" w:hAnsi="Calibri" w:cs="Calibri"/>
                <w:bCs w:val="0"/>
              </w:rPr>
            </w:pPr>
          </w:p>
          <w:p w14:paraId="6DD9F27C" w14:textId="77777777" w:rsidR="009C1C10" w:rsidRPr="00884F9C" w:rsidRDefault="009C1C10" w:rsidP="004D0741">
            <w:pPr>
              <w:spacing w:after="0" w:line="240" w:lineRule="auto"/>
              <w:ind w:firstLine="0"/>
              <w:jc w:val="center"/>
              <w:rPr>
                <w:rFonts w:ascii="Calibri" w:eastAsia="Times New Roman" w:hAnsi="Calibri" w:cs="Calibri"/>
                <w:bCs w:val="0"/>
              </w:rPr>
            </w:pPr>
          </w:p>
          <w:p w14:paraId="5D385E6E" w14:textId="77777777" w:rsidR="009C1C10" w:rsidRPr="00884F9C" w:rsidRDefault="009C1C10" w:rsidP="004D0741">
            <w:pPr>
              <w:spacing w:after="0" w:line="240" w:lineRule="auto"/>
              <w:jc w:val="center"/>
              <w:rPr>
                <w:rFonts w:eastAsia="Times New Roman" w:cs="Times New Roman"/>
                <w:bCs w:val="0"/>
                <w:szCs w:val="24"/>
              </w:rPr>
            </w:pPr>
          </w:p>
        </w:tc>
        <w:tc>
          <w:tcPr>
            <w:tcW w:w="0" w:type="auto"/>
            <w:tcBorders>
              <w:top w:val="nil"/>
              <w:left w:val="single" w:sz="8" w:space="0" w:color="auto"/>
              <w:bottom w:val="single" w:sz="4" w:space="0" w:color="auto"/>
              <w:right w:val="single" w:sz="8" w:space="0" w:color="auto"/>
            </w:tcBorders>
            <w:shd w:val="clear" w:color="auto" w:fill="E2EFD9" w:themeFill="accent6" w:themeFillTint="33"/>
            <w:vAlign w:val="center"/>
          </w:tcPr>
          <w:p w14:paraId="568B84A4" w14:textId="77777777" w:rsidR="009C1C10" w:rsidRPr="00884F9C" w:rsidRDefault="009C1C10" w:rsidP="004D0741">
            <w:pPr>
              <w:spacing w:after="0" w:line="240" w:lineRule="auto"/>
              <w:ind w:firstLine="0"/>
              <w:jc w:val="center"/>
              <w:rPr>
                <w:rFonts w:eastAsia="Times New Roman" w:cs="Times New Roman"/>
                <w:b/>
              </w:rPr>
            </w:pPr>
            <w:r>
              <w:rPr>
                <w:rFonts w:ascii="Calibri" w:eastAsia="Times New Roman" w:hAnsi="Calibri" w:cs="Calibri"/>
                <w:bCs w:val="0"/>
                <w:sz w:val="22"/>
              </w:rPr>
              <w:t>-</w:t>
            </w:r>
          </w:p>
        </w:tc>
        <w:tc>
          <w:tcPr>
            <w:tcW w:w="0" w:type="auto"/>
            <w:tcBorders>
              <w:top w:val="nil"/>
              <w:left w:val="single" w:sz="8" w:space="0" w:color="auto"/>
              <w:bottom w:val="single" w:sz="8" w:space="0" w:color="000000"/>
              <w:right w:val="single" w:sz="8" w:space="0" w:color="auto"/>
            </w:tcBorders>
            <w:shd w:val="clear" w:color="000000" w:fill="E2EFD9"/>
            <w:vAlign w:val="center"/>
            <w:hideMark/>
          </w:tcPr>
          <w:p w14:paraId="416C69E2"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848" w:type="dxa"/>
            <w:tcBorders>
              <w:top w:val="nil"/>
              <w:left w:val="single" w:sz="8" w:space="0" w:color="auto"/>
              <w:bottom w:val="single" w:sz="8" w:space="0" w:color="000000"/>
              <w:right w:val="single" w:sz="8" w:space="0" w:color="auto"/>
            </w:tcBorders>
            <w:shd w:val="clear" w:color="000000" w:fill="FBE4D5"/>
            <w:vAlign w:val="center"/>
            <w:hideMark/>
          </w:tcPr>
          <w:p w14:paraId="7726E8ED"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482" w:type="dxa"/>
            <w:tcBorders>
              <w:top w:val="nil"/>
              <w:left w:val="single" w:sz="8" w:space="0" w:color="auto"/>
              <w:bottom w:val="single" w:sz="8" w:space="0" w:color="000000"/>
              <w:right w:val="single" w:sz="8" w:space="0" w:color="auto"/>
            </w:tcBorders>
            <w:shd w:val="clear" w:color="000000" w:fill="E2EFD9"/>
            <w:vAlign w:val="center"/>
            <w:hideMark/>
          </w:tcPr>
          <w:p w14:paraId="2AC2C688"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0" w:type="auto"/>
            <w:tcBorders>
              <w:top w:val="nil"/>
              <w:left w:val="single" w:sz="8" w:space="0" w:color="auto"/>
              <w:bottom w:val="single" w:sz="8" w:space="0" w:color="000000"/>
              <w:right w:val="single" w:sz="8" w:space="0" w:color="auto"/>
            </w:tcBorders>
            <w:shd w:val="clear" w:color="000000" w:fill="E2EFD9"/>
            <w:vAlign w:val="center"/>
            <w:hideMark/>
          </w:tcPr>
          <w:p w14:paraId="0D4721C2"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r>
      <w:tr w:rsidR="009C1C10" w:rsidRPr="00E33063" w14:paraId="49A0D9FC" w14:textId="77777777" w:rsidTr="004D0741">
        <w:trPr>
          <w:trHeight w:val="1134"/>
          <w:jc w:val="center"/>
        </w:trPr>
        <w:tc>
          <w:tcPr>
            <w:tcW w:w="0" w:type="auto"/>
            <w:tcBorders>
              <w:top w:val="nil"/>
              <w:left w:val="single" w:sz="8" w:space="0" w:color="auto"/>
              <w:bottom w:val="single" w:sz="8" w:space="0" w:color="000000"/>
              <w:right w:val="single" w:sz="8" w:space="0" w:color="auto"/>
            </w:tcBorders>
            <w:shd w:val="clear" w:color="auto" w:fill="auto"/>
            <w:vAlign w:val="center"/>
            <w:hideMark/>
          </w:tcPr>
          <w:p w14:paraId="39A71546" w14:textId="77777777" w:rsidR="009C1C10" w:rsidRPr="00884F9C" w:rsidRDefault="009C1C10" w:rsidP="004D0741">
            <w:pPr>
              <w:spacing w:after="0" w:line="240" w:lineRule="auto"/>
              <w:ind w:firstLine="0"/>
              <w:rPr>
                <w:rFonts w:eastAsia="Times New Roman" w:cs="Times New Roman"/>
                <w:bCs w:val="0"/>
              </w:rPr>
            </w:pPr>
            <w:r w:rsidRPr="00884F9C">
              <w:rPr>
                <w:rFonts w:eastAsia="Times New Roman" w:cs="Times New Roman"/>
                <w:bCs w:val="0"/>
                <w:sz w:val="22"/>
              </w:rPr>
              <w:t xml:space="preserve">p-Methoxy cinnamaldehyde </w:t>
            </w:r>
          </w:p>
        </w:tc>
        <w:tc>
          <w:tcPr>
            <w:tcW w:w="0" w:type="auto"/>
            <w:tcBorders>
              <w:top w:val="nil"/>
              <w:left w:val="single" w:sz="8" w:space="0" w:color="auto"/>
              <w:bottom w:val="single" w:sz="8" w:space="0" w:color="000000"/>
              <w:right w:val="single" w:sz="8" w:space="0" w:color="auto"/>
            </w:tcBorders>
            <w:shd w:val="clear" w:color="auto" w:fill="auto"/>
            <w:vAlign w:val="center"/>
            <w:hideMark/>
          </w:tcPr>
          <w:p w14:paraId="59E7EDA1" w14:textId="77777777" w:rsidR="009C1C10" w:rsidRPr="00884F9C" w:rsidRDefault="009C1C10" w:rsidP="004D0741">
            <w:pPr>
              <w:spacing w:after="0" w:line="240" w:lineRule="auto"/>
              <w:ind w:firstLine="0"/>
              <w:jc w:val="center"/>
              <w:rPr>
                <w:rFonts w:eastAsia="Times New Roman" w:cs="Times New Roman"/>
                <w:bCs w:val="0"/>
              </w:rPr>
            </w:pPr>
            <w:r w:rsidRPr="00884F9C">
              <w:rPr>
                <w:rFonts w:eastAsia="Times New Roman" w:cs="Times New Roman"/>
                <w:bCs w:val="0"/>
                <w:sz w:val="22"/>
              </w:rPr>
              <w:t>1963-36-6</w:t>
            </w:r>
          </w:p>
        </w:tc>
        <w:tc>
          <w:tcPr>
            <w:tcW w:w="0" w:type="auto"/>
            <w:tcBorders>
              <w:top w:val="nil"/>
              <w:left w:val="nil"/>
              <w:bottom w:val="single" w:sz="4" w:space="0" w:color="auto"/>
              <w:right w:val="single" w:sz="8" w:space="0" w:color="auto"/>
            </w:tcBorders>
            <w:shd w:val="clear" w:color="000000" w:fill="FBE4D5"/>
            <w:vAlign w:val="center"/>
            <w:hideMark/>
          </w:tcPr>
          <w:p w14:paraId="3194131B" w14:textId="77777777" w:rsidR="009C1C10" w:rsidRPr="00884F9C" w:rsidRDefault="009C1C10" w:rsidP="004D0741">
            <w:pPr>
              <w:spacing w:after="0" w:line="240" w:lineRule="auto"/>
              <w:ind w:firstLine="0"/>
              <w:jc w:val="center"/>
              <w:rPr>
                <w:rFonts w:eastAsia="Times New Roman" w:cs="Times New Roman"/>
                <w:bCs w:val="0"/>
              </w:rPr>
            </w:pPr>
          </w:p>
          <w:p w14:paraId="18ADAF94" w14:textId="77777777" w:rsidR="009C1C10" w:rsidRPr="00884F9C" w:rsidRDefault="009C1C10" w:rsidP="004D0741">
            <w:pPr>
              <w:spacing w:after="0" w:line="240" w:lineRule="auto"/>
              <w:ind w:firstLine="0"/>
              <w:jc w:val="center"/>
              <w:rPr>
                <w:rFonts w:eastAsia="Times New Roman" w:cs="Times New Roman"/>
                <w:bCs w:val="0"/>
              </w:rPr>
            </w:pPr>
          </w:p>
          <w:p w14:paraId="5A358027" w14:textId="77777777" w:rsidR="009C1C10" w:rsidRPr="00884F9C" w:rsidRDefault="009C1C10" w:rsidP="004D0741">
            <w:pPr>
              <w:spacing w:after="0" w:line="240" w:lineRule="auto"/>
              <w:ind w:firstLine="0"/>
              <w:rPr>
                <w:rFonts w:eastAsia="Times New Roman" w:cs="Times New Roman"/>
                <w:bCs w:val="0"/>
              </w:rPr>
            </w:pPr>
            <w:r w:rsidRPr="00884F9C">
              <w:rPr>
                <w:rFonts w:eastAsia="Times New Roman" w:cs="Times New Roman"/>
                <w:bCs w:val="0"/>
                <w:sz w:val="22"/>
              </w:rPr>
              <w:t>+</w:t>
            </w:r>
          </w:p>
        </w:tc>
        <w:tc>
          <w:tcPr>
            <w:tcW w:w="0" w:type="auto"/>
            <w:tcBorders>
              <w:top w:val="single" w:sz="4" w:space="0" w:color="auto"/>
              <w:left w:val="nil"/>
              <w:bottom w:val="single" w:sz="4" w:space="0" w:color="auto"/>
              <w:right w:val="single" w:sz="8" w:space="0" w:color="auto"/>
            </w:tcBorders>
            <w:shd w:val="clear" w:color="000000" w:fill="FBE4D5"/>
            <w:vAlign w:val="center"/>
            <w:hideMark/>
          </w:tcPr>
          <w:p w14:paraId="51824BA2"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p w14:paraId="0E9C5C2C" w14:textId="77777777" w:rsidR="009C1C10" w:rsidRPr="00884F9C" w:rsidRDefault="009C1C10" w:rsidP="004D0741">
            <w:pPr>
              <w:spacing w:after="0" w:line="240" w:lineRule="auto"/>
              <w:jc w:val="center"/>
              <w:rPr>
                <w:rFonts w:eastAsia="Times New Roman" w:cs="Times New Roman"/>
                <w:b/>
              </w:rPr>
            </w:pPr>
          </w:p>
        </w:tc>
        <w:tc>
          <w:tcPr>
            <w:tcW w:w="0" w:type="auto"/>
            <w:tcBorders>
              <w:top w:val="single" w:sz="4" w:space="0" w:color="auto"/>
              <w:left w:val="single" w:sz="8" w:space="0" w:color="auto"/>
              <w:bottom w:val="single" w:sz="4" w:space="0" w:color="auto"/>
              <w:right w:val="single" w:sz="8" w:space="0" w:color="auto"/>
            </w:tcBorders>
            <w:shd w:val="clear" w:color="auto" w:fill="E2EFD9" w:themeFill="accent6" w:themeFillTint="33"/>
            <w:vAlign w:val="center"/>
          </w:tcPr>
          <w:p w14:paraId="1F88C10E" w14:textId="77777777" w:rsidR="009C1C10" w:rsidRPr="00884F9C" w:rsidRDefault="009C1C10" w:rsidP="004D0741">
            <w:pPr>
              <w:spacing w:after="0" w:line="240" w:lineRule="auto"/>
              <w:ind w:firstLine="0"/>
              <w:jc w:val="center"/>
              <w:rPr>
                <w:rFonts w:eastAsia="Times New Roman" w:cs="Times New Roman"/>
                <w:b/>
              </w:rPr>
            </w:pPr>
            <w:r>
              <w:rPr>
                <w:rFonts w:ascii="Calibri" w:eastAsia="Times New Roman" w:hAnsi="Calibri" w:cs="Calibri"/>
                <w:bCs w:val="0"/>
                <w:sz w:val="22"/>
              </w:rPr>
              <w:t>-</w:t>
            </w:r>
          </w:p>
          <w:p w14:paraId="5C62EAFC" w14:textId="77777777" w:rsidR="009C1C10" w:rsidRPr="00884F9C" w:rsidRDefault="009C1C10" w:rsidP="004D0741">
            <w:pPr>
              <w:spacing w:after="0" w:line="240" w:lineRule="auto"/>
              <w:ind w:firstLine="0"/>
              <w:jc w:val="center"/>
              <w:rPr>
                <w:rFonts w:eastAsia="Times New Roman" w:cs="Times New Roman"/>
                <w:b/>
              </w:rPr>
            </w:pPr>
          </w:p>
          <w:p w14:paraId="59DDA887" w14:textId="77777777" w:rsidR="009C1C10" w:rsidRPr="00884F9C" w:rsidRDefault="009C1C10" w:rsidP="004D0741">
            <w:pPr>
              <w:spacing w:after="0" w:line="240" w:lineRule="auto"/>
              <w:jc w:val="center"/>
              <w:rPr>
                <w:rFonts w:eastAsia="Times New Roman" w:cs="Times New Roman"/>
                <w:b/>
              </w:rPr>
            </w:pPr>
          </w:p>
        </w:tc>
        <w:tc>
          <w:tcPr>
            <w:tcW w:w="0" w:type="auto"/>
            <w:tcBorders>
              <w:top w:val="nil"/>
              <w:left w:val="single" w:sz="8" w:space="0" w:color="auto"/>
              <w:bottom w:val="single" w:sz="8" w:space="0" w:color="000000"/>
              <w:right w:val="single" w:sz="8" w:space="0" w:color="auto"/>
            </w:tcBorders>
            <w:shd w:val="clear" w:color="000000" w:fill="FBE4D5"/>
            <w:vAlign w:val="center"/>
            <w:hideMark/>
          </w:tcPr>
          <w:p w14:paraId="27971ADC"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848" w:type="dxa"/>
            <w:tcBorders>
              <w:top w:val="nil"/>
              <w:left w:val="single" w:sz="8" w:space="0" w:color="auto"/>
              <w:bottom w:val="single" w:sz="8" w:space="0" w:color="000000"/>
              <w:right w:val="single" w:sz="8" w:space="0" w:color="auto"/>
            </w:tcBorders>
            <w:shd w:val="clear" w:color="000000" w:fill="FBE4D5"/>
            <w:vAlign w:val="center"/>
            <w:hideMark/>
          </w:tcPr>
          <w:p w14:paraId="6AEE3F43"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482" w:type="dxa"/>
            <w:tcBorders>
              <w:top w:val="nil"/>
              <w:left w:val="single" w:sz="8" w:space="0" w:color="auto"/>
              <w:bottom w:val="single" w:sz="8" w:space="0" w:color="000000"/>
              <w:right w:val="single" w:sz="8" w:space="0" w:color="auto"/>
            </w:tcBorders>
            <w:shd w:val="clear" w:color="000000" w:fill="E2EFD9"/>
            <w:vAlign w:val="center"/>
            <w:hideMark/>
          </w:tcPr>
          <w:p w14:paraId="50FDE945"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c>
          <w:tcPr>
            <w:tcW w:w="0" w:type="auto"/>
            <w:tcBorders>
              <w:top w:val="nil"/>
              <w:left w:val="single" w:sz="8" w:space="0" w:color="auto"/>
              <w:bottom w:val="single" w:sz="8" w:space="0" w:color="000000"/>
              <w:right w:val="single" w:sz="8" w:space="0" w:color="auto"/>
            </w:tcBorders>
            <w:shd w:val="clear" w:color="000000" w:fill="E2EFD9"/>
            <w:vAlign w:val="center"/>
            <w:hideMark/>
          </w:tcPr>
          <w:p w14:paraId="37EAE6B1" w14:textId="77777777" w:rsidR="009C1C10" w:rsidRPr="00884F9C" w:rsidRDefault="009C1C10" w:rsidP="004D0741">
            <w:pPr>
              <w:spacing w:after="0" w:line="240" w:lineRule="auto"/>
              <w:ind w:firstLine="0"/>
              <w:jc w:val="center"/>
              <w:rPr>
                <w:rFonts w:eastAsia="Times New Roman" w:cs="Times New Roman"/>
                <w:b/>
              </w:rPr>
            </w:pPr>
            <w:r w:rsidRPr="00884F9C">
              <w:rPr>
                <w:rFonts w:eastAsia="Times New Roman" w:cs="Times New Roman"/>
                <w:b/>
                <w:sz w:val="22"/>
              </w:rPr>
              <w:t>-</w:t>
            </w:r>
          </w:p>
        </w:tc>
      </w:tr>
    </w:tbl>
    <w:p w14:paraId="3AD76F8A" w14:textId="77777777" w:rsidR="009C1C10" w:rsidRPr="00E33063" w:rsidRDefault="009C1C10" w:rsidP="009C1C10">
      <w:pPr>
        <w:spacing w:line="240" w:lineRule="auto"/>
        <w:ind w:firstLine="0"/>
        <w:rPr>
          <w:bCs w:val="0"/>
        </w:rPr>
      </w:pPr>
      <w:r w:rsidRPr="00E33063">
        <w:rPr>
          <w:bCs w:val="0"/>
        </w:rPr>
        <w:t xml:space="preserve">a </w:t>
      </w:r>
      <w:proofErr w:type="gramStart"/>
      <w:r>
        <w:rPr>
          <w:bCs w:val="0"/>
        </w:rPr>
        <w:t>values</w:t>
      </w:r>
      <w:proofErr w:type="gramEnd"/>
      <w:r>
        <w:rPr>
          <w:bCs w:val="0"/>
        </w:rPr>
        <w:t xml:space="preserve"> obtained from RIFM for </w:t>
      </w:r>
      <w:r w:rsidRPr="000D6061">
        <w:rPr>
          <w:bCs w:val="0"/>
        </w:rPr>
        <w:t>in vitro</w:t>
      </w:r>
      <w:r w:rsidRPr="002C6E57">
        <w:rPr>
          <w:bCs w:val="0"/>
        </w:rPr>
        <w:t xml:space="preserve"> </w:t>
      </w:r>
      <w:r>
        <w:rPr>
          <w:bCs w:val="0"/>
        </w:rPr>
        <w:t>studies</w:t>
      </w:r>
      <w:r w:rsidRPr="00E33063">
        <w:rPr>
          <w:bCs w:val="0"/>
        </w:rPr>
        <w:tab/>
      </w:r>
      <w:r w:rsidRPr="00E33063">
        <w:rPr>
          <w:bCs w:val="0"/>
        </w:rPr>
        <w:tab/>
      </w:r>
    </w:p>
    <w:p w14:paraId="75DED68C" w14:textId="77777777" w:rsidR="009C1C10" w:rsidRPr="00E33063" w:rsidRDefault="009C1C10" w:rsidP="009C1C10">
      <w:pPr>
        <w:spacing w:line="240" w:lineRule="auto"/>
        <w:ind w:firstLine="0"/>
        <w:rPr>
          <w:bCs w:val="0"/>
        </w:rPr>
      </w:pPr>
      <w:r w:rsidRPr="00E33063">
        <w:rPr>
          <w:bCs w:val="0"/>
        </w:rPr>
        <w:t>b, values obtained from RIFM</w:t>
      </w:r>
      <w:r>
        <w:rPr>
          <w:bCs w:val="0"/>
        </w:rPr>
        <w:t xml:space="preserve"> for </w:t>
      </w:r>
      <w:r w:rsidRPr="000D6061">
        <w:rPr>
          <w:bCs w:val="0"/>
        </w:rPr>
        <w:t>in vivo</w:t>
      </w:r>
      <w:r>
        <w:rPr>
          <w:bCs w:val="0"/>
        </w:rPr>
        <w:t xml:space="preserve"> </w:t>
      </w:r>
      <w:proofErr w:type="gramStart"/>
      <w:r>
        <w:rPr>
          <w:bCs w:val="0"/>
        </w:rPr>
        <w:t>studies</w:t>
      </w:r>
      <w:proofErr w:type="gramEnd"/>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p>
    <w:p w14:paraId="00D9BBC3" w14:textId="77777777" w:rsidR="009C1C10" w:rsidRPr="00E33063" w:rsidRDefault="009C1C10" w:rsidP="009C1C10">
      <w:pPr>
        <w:spacing w:line="240" w:lineRule="auto"/>
        <w:ind w:firstLine="0"/>
        <w:rPr>
          <w:bCs w:val="0"/>
        </w:rPr>
      </w:pPr>
      <w:r w:rsidRPr="00E33063">
        <w:rPr>
          <w:bCs w:val="0"/>
        </w:rPr>
        <w:t>MNT, micronucleus assay</w:t>
      </w:r>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r w:rsidRPr="00E33063">
        <w:rPr>
          <w:bCs w:val="0"/>
        </w:rPr>
        <w:tab/>
      </w:r>
    </w:p>
    <w:p w14:paraId="3C04E7E7" w14:textId="77777777" w:rsidR="009C1C10" w:rsidRPr="00E33063" w:rsidRDefault="009C1C10" w:rsidP="009C1C10">
      <w:pPr>
        <w:spacing w:line="240" w:lineRule="auto"/>
        <w:ind w:firstLine="0"/>
        <w:rPr>
          <w:b/>
        </w:rPr>
      </w:pPr>
      <w:r w:rsidRPr="00E33063">
        <w:rPr>
          <w:bCs w:val="0"/>
        </w:rPr>
        <w:t>+, positive; -, negative</w:t>
      </w:r>
      <w:r w:rsidRPr="00E33063">
        <w:rPr>
          <w:b/>
        </w:rPr>
        <w:tab/>
      </w:r>
    </w:p>
    <w:p w14:paraId="23416E60" w14:textId="77777777" w:rsidR="009C1C10" w:rsidRPr="00E33063" w:rsidRDefault="009C1C10" w:rsidP="009C1C10">
      <w:pPr>
        <w:spacing w:line="240" w:lineRule="auto"/>
        <w:ind w:firstLine="0"/>
        <w:jc w:val="center"/>
        <w:rPr>
          <w:b/>
        </w:rPr>
      </w:pPr>
      <w:r w:rsidRPr="00E33063">
        <w:rPr>
          <w:b/>
        </w:rPr>
        <w:t xml:space="preserve">Table </w:t>
      </w:r>
      <w:r>
        <w:rPr>
          <w:b/>
        </w:rPr>
        <w:t>2</w:t>
      </w:r>
      <w:r w:rsidRPr="00E33063">
        <w:rPr>
          <w:b/>
        </w:rPr>
        <w:t>. Summary of the results of α, ß-unsaturated aldehyde e class of fragrance materials in CEGA,</w:t>
      </w:r>
      <w:r>
        <w:rPr>
          <w:b/>
        </w:rPr>
        <w:t xml:space="preserve"> HET-MN</w:t>
      </w:r>
      <w:r w:rsidRPr="00E33063">
        <w:rPr>
          <w:b/>
        </w:rPr>
        <w:t xml:space="preserve"> and comparison to available </w:t>
      </w:r>
      <w:r w:rsidRPr="000D6061">
        <w:rPr>
          <w:b/>
        </w:rPr>
        <w:t>in vitro</w:t>
      </w:r>
      <w:r w:rsidRPr="002C6E57">
        <w:rPr>
          <w:b/>
        </w:rPr>
        <w:t xml:space="preserve"> </w:t>
      </w:r>
      <w:r w:rsidRPr="00E33063">
        <w:rPr>
          <w:b/>
        </w:rPr>
        <w:t xml:space="preserve">and </w:t>
      </w:r>
      <w:r w:rsidRPr="000D6061">
        <w:rPr>
          <w:b/>
        </w:rPr>
        <w:t>in vivo</w:t>
      </w:r>
      <w:r w:rsidRPr="00E33063">
        <w:rPr>
          <w:b/>
        </w:rPr>
        <w:t xml:space="preserve"> genotoxicity data.</w:t>
      </w:r>
    </w:p>
    <w:p w14:paraId="2C55372A" w14:textId="77777777" w:rsidR="00A80032" w:rsidRPr="00E33063" w:rsidRDefault="00A80032" w:rsidP="00A34EDF">
      <w:pPr>
        <w:ind w:firstLine="0"/>
        <w:rPr>
          <w:b/>
          <w:bCs w:val="0"/>
          <w:u w:val="single"/>
        </w:rPr>
      </w:pPr>
    </w:p>
    <w:sectPr w:rsidR="00A80032" w:rsidRPr="00E33063" w:rsidSect="00096897">
      <w:pgSz w:w="12240" w:h="15840"/>
      <w:pgMar w:top="1440" w:right="1440" w:bottom="1440" w:left="1440" w:header="720" w:footer="720" w:gutter="0"/>
      <w:lnNumType w:countBy="1" w:restart="continuou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9E5085"/>
    <w:multiLevelType w:val="hybridMultilevel"/>
    <w:tmpl w:val="9AAAD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53D294E"/>
    <w:multiLevelType w:val="hybridMultilevel"/>
    <w:tmpl w:val="A8BEF2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360739F"/>
    <w:multiLevelType w:val="hybridMultilevel"/>
    <w:tmpl w:val="CF7C5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2353559">
    <w:abstractNumId w:val="0"/>
  </w:num>
  <w:num w:numId="2" w16cid:durableId="906644590">
    <w:abstractNumId w:val="2"/>
  </w:num>
  <w:num w:numId="3" w16cid:durableId="198403995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5E32"/>
    <w:rsid w:val="0000420E"/>
    <w:rsid w:val="00006232"/>
    <w:rsid w:val="00012259"/>
    <w:rsid w:val="00012A7C"/>
    <w:rsid w:val="00013FF2"/>
    <w:rsid w:val="00016CF7"/>
    <w:rsid w:val="000230CC"/>
    <w:rsid w:val="00031A7A"/>
    <w:rsid w:val="00032403"/>
    <w:rsid w:val="000419E8"/>
    <w:rsid w:val="00041AE9"/>
    <w:rsid w:val="00041E7B"/>
    <w:rsid w:val="00042098"/>
    <w:rsid w:val="00043F4C"/>
    <w:rsid w:val="00056722"/>
    <w:rsid w:val="00067279"/>
    <w:rsid w:val="000860F8"/>
    <w:rsid w:val="00090415"/>
    <w:rsid w:val="0009256C"/>
    <w:rsid w:val="00093F5B"/>
    <w:rsid w:val="00096897"/>
    <w:rsid w:val="000A20CA"/>
    <w:rsid w:val="000B4DFF"/>
    <w:rsid w:val="000B5145"/>
    <w:rsid w:val="000C164B"/>
    <w:rsid w:val="000C4278"/>
    <w:rsid w:val="000C7206"/>
    <w:rsid w:val="000D6061"/>
    <w:rsid w:val="000D6E98"/>
    <w:rsid w:val="000E52BA"/>
    <w:rsid w:val="000F002F"/>
    <w:rsid w:val="000F059A"/>
    <w:rsid w:val="000F15CA"/>
    <w:rsid w:val="000F1AFA"/>
    <w:rsid w:val="000F1CEF"/>
    <w:rsid w:val="000F364D"/>
    <w:rsid w:val="000F3B5B"/>
    <w:rsid w:val="000F52E8"/>
    <w:rsid w:val="000F59D4"/>
    <w:rsid w:val="000F6B55"/>
    <w:rsid w:val="000F778C"/>
    <w:rsid w:val="00112FA5"/>
    <w:rsid w:val="001143CC"/>
    <w:rsid w:val="00121C5D"/>
    <w:rsid w:val="00122279"/>
    <w:rsid w:val="001240A5"/>
    <w:rsid w:val="00124FB4"/>
    <w:rsid w:val="001343C7"/>
    <w:rsid w:val="00140044"/>
    <w:rsid w:val="0015240D"/>
    <w:rsid w:val="00157AD8"/>
    <w:rsid w:val="00163385"/>
    <w:rsid w:val="0016389C"/>
    <w:rsid w:val="00164097"/>
    <w:rsid w:val="00166219"/>
    <w:rsid w:val="00170288"/>
    <w:rsid w:val="00177B21"/>
    <w:rsid w:val="001822BF"/>
    <w:rsid w:val="001876B1"/>
    <w:rsid w:val="00190B45"/>
    <w:rsid w:val="001918C4"/>
    <w:rsid w:val="001A2303"/>
    <w:rsid w:val="001A5B60"/>
    <w:rsid w:val="001B42EF"/>
    <w:rsid w:val="001B6312"/>
    <w:rsid w:val="001C4F6A"/>
    <w:rsid w:val="001D0367"/>
    <w:rsid w:val="001D533B"/>
    <w:rsid w:val="001D668B"/>
    <w:rsid w:val="001E19B6"/>
    <w:rsid w:val="001E53E7"/>
    <w:rsid w:val="001E6DB9"/>
    <w:rsid w:val="001F42B4"/>
    <w:rsid w:val="001F7667"/>
    <w:rsid w:val="001F7CBA"/>
    <w:rsid w:val="00204CF9"/>
    <w:rsid w:val="00205624"/>
    <w:rsid w:val="002140FC"/>
    <w:rsid w:val="00214DE7"/>
    <w:rsid w:val="002157AF"/>
    <w:rsid w:val="002177D8"/>
    <w:rsid w:val="00225492"/>
    <w:rsid w:val="00225846"/>
    <w:rsid w:val="00226E20"/>
    <w:rsid w:val="00232D5F"/>
    <w:rsid w:val="00233C86"/>
    <w:rsid w:val="0023795B"/>
    <w:rsid w:val="00242FC4"/>
    <w:rsid w:val="002516CE"/>
    <w:rsid w:val="0026554C"/>
    <w:rsid w:val="00266618"/>
    <w:rsid w:val="00266B05"/>
    <w:rsid w:val="0028000C"/>
    <w:rsid w:val="00280AFF"/>
    <w:rsid w:val="00290469"/>
    <w:rsid w:val="00293204"/>
    <w:rsid w:val="002A61E4"/>
    <w:rsid w:val="002A75D8"/>
    <w:rsid w:val="002B526A"/>
    <w:rsid w:val="002B78F6"/>
    <w:rsid w:val="002C0F55"/>
    <w:rsid w:val="002C6E57"/>
    <w:rsid w:val="002D14A4"/>
    <w:rsid w:val="002D3172"/>
    <w:rsid w:val="002D353B"/>
    <w:rsid w:val="002F0307"/>
    <w:rsid w:val="002F0A8E"/>
    <w:rsid w:val="002F1B57"/>
    <w:rsid w:val="003034EC"/>
    <w:rsid w:val="0030657B"/>
    <w:rsid w:val="003079DB"/>
    <w:rsid w:val="00311387"/>
    <w:rsid w:val="00327537"/>
    <w:rsid w:val="0033538A"/>
    <w:rsid w:val="003416CF"/>
    <w:rsid w:val="00344E1C"/>
    <w:rsid w:val="003471C4"/>
    <w:rsid w:val="0035039B"/>
    <w:rsid w:val="00352A65"/>
    <w:rsid w:val="003631EC"/>
    <w:rsid w:val="00364D79"/>
    <w:rsid w:val="00371386"/>
    <w:rsid w:val="00371DCF"/>
    <w:rsid w:val="003739F9"/>
    <w:rsid w:val="00375295"/>
    <w:rsid w:val="00375DE2"/>
    <w:rsid w:val="00382ACF"/>
    <w:rsid w:val="003911B9"/>
    <w:rsid w:val="003A4227"/>
    <w:rsid w:val="003A543A"/>
    <w:rsid w:val="003A70D9"/>
    <w:rsid w:val="003C24FE"/>
    <w:rsid w:val="003C6655"/>
    <w:rsid w:val="003D43E0"/>
    <w:rsid w:val="003F4EFC"/>
    <w:rsid w:val="004049EB"/>
    <w:rsid w:val="00410AB8"/>
    <w:rsid w:val="004128F2"/>
    <w:rsid w:val="0041328A"/>
    <w:rsid w:val="004300C1"/>
    <w:rsid w:val="00430339"/>
    <w:rsid w:val="004310EC"/>
    <w:rsid w:val="00443642"/>
    <w:rsid w:val="00444ABF"/>
    <w:rsid w:val="00445A31"/>
    <w:rsid w:val="0044632B"/>
    <w:rsid w:val="00451D43"/>
    <w:rsid w:val="00454BAE"/>
    <w:rsid w:val="00454F18"/>
    <w:rsid w:val="00462CCF"/>
    <w:rsid w:val="0046558C"/>
    <w:rsid w:val="00471678"/>
    <w:rsid w:val="00476804"/>
    <w:rsid w:val="004952DD"/>
    <w:rsid w:val="00496112"/>
    <w:rsid w:val="004C5D43"/>
    <w:rsid w:val="004C5E70"/>
    <w:rsid w:val="004D26C8"/>
    <w:rsid w:val="004D74A5"/>
    <w:rsid w:val="004E203C"/>
    <w:rsid w:val="004E3C2F"/>
    <w:rsid w:val="004F09A2"/>
    <w:rsid w:val="004F19D6"/>
    <w:rsid w:val="0050450C"/>
    <w:rsid w:val="00504BCF"/>
    <w:rsid w:val="005069BA"/>
    <w:rsid w:val="00510994"/>
    <w:rsid w:val="00535E32"/>
    <w:rsid w:val="00540A40"/>
    <w:rsid w:val="0055415C"/>
    <w:rsid w:val="00561D39"/>
    <w:rsid w:val="00565FB5"/>
    <w:rsid w:val="0057375E"/>
    <w:rsid w:val="00576A8B"/>
    <w:rsid w:val="00576D84"/>
    <w:rsid w:val="0058368B"/>
    <w:rsid w:val="00594280"/>
    <w:rsid w:val="005A0B70"/>
    <w:rsid w:val="005A5536"/>
    <w:rsid w:val="005B74EE"/>
    <w:rsid w:val="005C220B"/>
    <w:rsid w:val="005C3D66"/>
    <w:rsid w:val="005C68D2"/>
    <w:rsid w:val="005D38C5"/>
    <w:rsid w:val="005D391B"/>
    <w:rsid w:val="005D6EFF"/>
    <w:rsid w:val="005E7CE4"/>
    <w:rsid w:val="005E7D7D"/>
    <w:rsid w:val="005F13AF"/>
    <w:rsid w:val="005F701F"/>
    <w:rsid w:val="0061134E"/>
    <w:rsid w:val="00644020"/>
    <w:rsid w:val="00645F69"/>
    <w:rsid w:val="00657C96"/>
    <w:rsid w:val="006668AA"/>
    <w:rsid w:val="006670CC"/>
    <w:rsid w:val="00667F19"/>
    <w:rsid w:val="00676F57"/>
    <w:rsid w:val="00677D8F"/>
    <w:rsid w:val="00684F24"/>
    <w:rsid w:val="00686FD1"/>
    <w:rsid w:val="006938E1"/>
    <w:rsid w:val="006A3B50"/>
    <w:rsid w:val="006A7C69"/>
    <w:rsid w:val="006B0F9C"/>
    <w:rsid w:val="006B3FAC"/>
    <w:rsid w:val="006B462B"/>
    <w:rsid w:val="006B71F1"/>
    <w:rsid w:val="006C54D5"/>
    <w:rsid w:val="006D2583"/>
    <w:rsid w:val="006F5673"/>
    <w:rsid w:val="007014C5"/>
    <w:rsid w:val="00703320"/>
    <w:rsid w:val="00710E5F"/>
    <w:rsid w:val="00721384"/>
    <w:rsid w:val="007235CE"/>
    <w:rsid w:val="00725518"/>
    <w:rsid w:val="007269D2"/>
    <w:rsid w:val="00726EC8"/>
    <w:rsid w:val="00731C2C"/>
    <w:rsid w:val="00731E58"/>
    <w:rsid w:val="007342EA"/>
    <w:rsid w:val="00744E7C"/>
    <w:rsid w:val="007555EF"/>
    <w:rsid w:val="007562D5"/>
    <w:rsid w:val="00760919"/>
    <w:rsid w:val="00761A81"/>
    <w:rsid w:val="00762DAF"/>
    <w:rsid w:val="00786EFC"/>
    <w:rsid w:val="00791420"/>
    <w:rsid w:val="00794EE7"/>
    <w:rsid w:val="00796E0B"/>
    <w:rsid w:val="007A7A43"/>
    <w:rsid w:val="007A7D0C"/>
    <w:rsid w:val="007B3805"/>
    <w:rsid w:val="007B43CF"/>
    <w:rsid w:val="007B6841"/>
    <w:rsid w:val="007C1CF8"/>
    <w:rsid w:val="007D00E8"/>
    <w:rsid w:val="007D646C"/>
    <w:rsid w:val="007E39F4"/>
    <w:rsid w:val="007F06CC"/>
    <w:rsid w:val="007F6838"/>
    <w:rsid w:val="00800978"/>
    <w:rsid w:val="00802B75"/>
    <w:rsid w:val="00807EE2"/>
    <w:rsid w:val="0081004B"/>
    <w:rsid w:val="00815B0D"/>
    <w:rsid w:val="00817A0D"/>
    <w:rsid w:val="0083015B"/>
    <w:rsid w:val="0083213F"/>
    <w:rsid w:val="0083526E"/>
    <w:rsid w:val="00837B52"/>
    <w:rsid w:val="00841905"/>
    <w:rsid w:val="00846387"/>
    <w:rsid w:val="008467F7"/>
    <w:rsid w:val="008472BE"/>
    <w:rsid w:val="008474C8"/>
    <w:rsid w:val="0085194F"/>
    <w:rsid w:val="0086028D"/>
    <w:rsid w:val="00871E4B"/>
    <w:rsid w:val="0087727C"/>
    <w:rsid w:val="00883476"/>
    <w:rsid w:val="00884F9C"/>
    <w:rsid w:val="008A12A8"/>
    <w:rsid w:val="008A66B8"/>
    <w:rsid w:val="008A6FFD"/>
    <w:rsid w:val="008A7852"/>
    <w:rsid w:val="008C4BD5"/>
    <w:rsid w:val="008D0E20"/>
    <w:rsid w:val="008E256D"/>
    <w:rsid w:val="008E4191"/>
    <w:rsid w:val="008F7410"/>
    <w:rsid w:val="00906C85"/>
    <w:rsid w:val="0090716A"/>
    <w:rsid w:val="009129E8"/>
    <w:rsid w:val="0091386F"/>
    <w:rsid w:val="009145C8"/>
    <w:rsid w:val="00914F5F"/>
    <w:rsid w:val="009301E9"/>
    <w:rsid w:val="00935E6D"/>
    <w:rsid w:val="009465D9"/>
    <w:rsid w:val="009501F7"/>
    <w:rsid w:val="009505B2"/>
    <w:rsid w:val="00956E6D"/>
    <w:rsid w:val="00960293"/>
    <w:rsid w:val="009667C0"/>
    <w:rsid w:val="0098386F"/>
    <w:rsid w:val="009922C4"/>
    <w:rsid w:val="00995DB9"/>
    <w:rsid w:val="00996E26"/>
    <w:rsid w:val="00997135"/>
    <w:rsid w:val="009A4274"/>
    <w:rsid w:val="009B00C1"/>
    <w:rsid w:val="009B3807"/>
    <w:rsid w:val="009B49BF"/>
    <w:rsid w:val="009B53E0"/>
    <w:rsid w:val="009C07E5"/>
    <w:rsid w:val="009C1C10"/>
    <w:rsid w:val="009E0333"/>
    <w:rsid w:val="009E0A4C"/>
    <w:rsid w:val="009E234C"/>
    <w:rsid w:val="009F321E"/>
    <w:rsid w:val="009F4047"/>
    <w:rsid w:val="009F4AFA"/>
    <w:rsid w:val="00A00536"/>
    <w:rsid w:val="00A03AB2"/>
    <w:rsid w:val="00A03BA2"/>
    <w:rsid w:val="00A062B6"/>
    <w:rsid w:val="00A0757A"/>
    <w:rsid w:val="00A07C14"/>
    <w:rsid w:val="00A11C13"/>
    <w:rsid w:val="00A24236"/>
    <w:rsid w:val="00A34EDF"/>
    <w:rsid w:val="00A35247"/>
    <w:rsid w:val="00A3628F"/>
    <w:rsid w:val="00A462A8"/>
    <w:rsid w:val="00A47CB0"/>
    <w:rsid w:val="00A51F27"/>
    <w:rsid w:val="00A64628"/>
    <w:rsid w:val="00A64CAE"/>
    <w:rsid w:val="00A76C7D"/>
    <w:rsid w:val="00A80032"/>
    <w:rsid w:val="00A81DB4"/>
    <w:rsid w:val="00A831DD"/>
    <w:rsid w:val="00A841B8"/>
    <w:rsid w:val="00A848DA"/>
    <w:rsid w:val="00A86350"/>
    <w:rsid w:val="00AA217D"/>
    <w:rsid w:val="00AA359C"/>
    <w:rsid w:val="00AA3F2E"/>
    <w:rsid w:val="00AB03C3"/>
    <w:rsid w:val="00AB3643"/>
    <w:rsid w:val="00AB3DDA"/>
    <w:rsid w:val="00AB6BD9"/>
    <w:rsid w:val="00AB7ECD"/>
    <w:rsid w:val="00AC3CC6"/>
    <w:rsid w:val="00AC7647"/>
    <w:rsid w:val="00AD034F"/>
    <w:rsid w:val="00AD210D"/>
    <w:rsid w:val="00AD4BD7"/>
    <w:rsid w:val="00AE6BB9"/>
    <w:rsid w:val="00AF23C9"/>
    <w:rsid w:val="00AF5554"/>
    <w:rsid w:val="00B053C2"/>
    <w:rsid w:val="00B06DFA"/>
    <w:rsid w:val="00B23345"/>
    <w:rsid w:val="00B245F9"/>
    <w:rsid w:val="00B25000"/>
    <w:rsid w:val="00B30213"/>
    <w:rsid w:val="00B317F3"/>
    <w:rsid w:val="00B33333"/>
    <w:rsid w:val="00B339C7"/>
    <w:rsid w:val="00B33C40"/>
    <w:rsid w:val="00B34373"/>
    <w:rsid w:val="00B40999"/>
    <w:rsid w:val="00B432A7"/>
    <w:rsid w:val="00B45FB2"/>
    <w:rsid w:val="00B60139"/>
    <w:rsid w:val="00B81C3A"/>
    <w:rsid w:val="00B85F81"/>
    <w:rsid w:val="00B87B50"/>
    <w:rsid w:val="00B90428"/>
    <w:rsid w:val="00BA141F"/>
    <w:rsid w:val="00BA499B"/>
    <w:rsid w:val="00BA6A46"/>
    <w:rsid w:val="00BC0EC8"/>
    <w:rsid w:val="00BC5739"/>
    <w:rsid w:val="00BC6557"/>
    <w:rsid w:val="00BD73D1"/>
    <w:rsid w:val="00BD7EAE"/>
    <w:rsid w:val="00BE5EE9"/>
    <w:rsid w:val="00BE62D0"/>
    <w:rsid w:val="00BE6CFA"/>
    <w:rsid w:val="00BF05B3"/>
    <w:rsid w:val="00BF6134"/>
    <w:rsid w:val="00C0521C"/>
    <w:rsid w:val="00C13966"/>
    <w:rsid w:val="00C334C5"/>
    <w:rsid w:val="00C33957"/>
    <w:rsid w:val="00C41C18"/>
    <w:rsid w:val="00C44D89"/>
    <w:rsid w:val="00C461D8"/>
    <w:rsid w:val="00C50028"/>
    <w:rsid w:val="00C5040E"/>
    <w:rsid w:val="00C5216B"/>
    <w:rsid w:val="00C532AE"/>
    <w:rsid w:val="00C53AEA"/>
    <w:rsid w:val="00C62133"/>
    <w:rsid w:val="00C64578"/>
    <w:rsid w:val="00C65669"/>
    <w:rsid w:val="00C66AEC"/>
    <w:rsid w:val="00C70A3C"/>
    <w:rsid w:val="00C712C0"/>
    <w:rsid w:val="00C73293"/>
    <w:rsid w:val="00C81853"/>
    <w:rsid w:val="00C85482"/>
    <w:rsid w:val="00CA04DB"/>
    <w:rsid w:val="00CA19C2"/>
    <w:rsid w:val="00CA380B"/>
    <w:rsid w:val="00CB0E51"/>
    <w:rsid w:val="00CC3BBD"/>
    <w:rsid w:val="00CC4B9A"/>
    <w:rsid w:val="00CD536B"/>
    <w:rsid w:val="00CE5CFB"/>
    <w:rsid w:val="00D02EB2"/>
    <w:rsid w:val="00D10C57"/>
    <w:rsid w:val="00D200E2"/>
    <w:rsid w:val="00D22DAC"/>
    <w:rsid w:val="00D2362D"/>
    <w:rsid w:val="00D24117"/>
    <w:rsid w:val="00D41A12"/>
    <w:rsid w:val="00D501CD"/>
    <w:rsid w:val="00D54911"/>
    <w:rsid w:val="00D57004"/>
    <w:rsid w:val="00D6392D"/>
    <w:rsid w:val="00D71AB9"/>
    <w:rsid w:val="00D76657"/>
    <w:rsid w:val="00D8113C"/>
    <w:rsid w:val="00D81A4F"/>
    <w:rsid w:val="00D828F3"/>
    <w:rsid w:val="00D87D9B"/>
    <w:rsid w:val="00D9113A"/>
    <w:rsid w:val="00D912AF"/>
    <w:rsid w:val="00D923C1"/>
    <w:rsid w:val="00D96FBD"/>
    <w:rsid w:val="00D97F36"/>
    <w:rsid w:val="00DA102B"/>
    <w:rsid w:val="00DA2959"/>
    <w:rsid w:val="00DA34A4"/>
    <w:rsid w:val="00DA49BF"/>
    <w:rsid w:val="00DA4ACF"/>
    <w:rsid w:val="00DB22D8"/>
    <w:rsid w:val="00DB583A"/>
    <w:rsid w:val="00DC3847"/>
    <w:rsid w:val="00DD16FF"/>
    <w:rsid w:val="00DD4286"/>
    <w:rsid w:val="00DD5328"/>
    <w:rsid w:val="00DD5A2C"/>
    <w:rsid w:val="00DE199D"/>
    <w:rsid w:val="00DE2587"/>
    <w:rsid w:val="00DE286E"/>
    <w:rsid w:val="00DE401D"/>
    <w:rsid w:val="00DE551E"/>
    <w:rsid w:val="00DE571E"/>
    <w:rsid w:val="00DF0638"/>
    <w:rsid w:val="00DF6ED1"/>
    <w:rsid w:val="00E03B80"/>
    <w:rsid w:val="00E06BBD"/>
    <w:rsid w:val="00E25C5B"/>
    <w:rsid w:val="00E329A6"/>
    <w:rsid w:val="00E32B06"/>
    <w:rsid w:val="00E32E5A"/>
    <w:rsid w:val="00E33063"/>
    <w:rsid w:val="00E36AE1"/>
    <w:rsid w:val="00E43035"/>
    <w:rsid w:val="00E45D89"/>
    <w:rsid w:val="00E4790A"/>
    <w:rsid w:val="00E54858"/>
    <w:rsid w:val="00E6170E"/>
    <w:rsid w:val="00E713EA"/>
    <w:rsid w:val="00E75069"/>
    <w:rsid w:val="00E80564"/>
    <w:rsid w:val="00E97402"/>
    <w:rsid w:val="00E97C15"/>
    <w:rsid w:val="00EA6955"/>
    <w:rsid w:val="00EA6F18"/>
    <w:rsid w:val="00EB2B25"/>
    <w:rsid w:val="00EB439F"/>
    <w:rsid w:val="00EB5175"/>
    <w:rsid w:val="00EB549C"/>
    <w:rsid w:val="00EB63BF"/>
    <w:rsid w:val="00EE014A"/>
    <w:rsid w:val="00EE4C3F"/>
    <w:rsid w:val="00EE5CF0"/>
    <w:rsid w:val="00EF444C"/>
    <w:rsid w:val="00EF5B58"/>
    <w:rsid w:val="00EF7FD3"/>
    <w:rsid w:val="00F21701"/>
    <w:rsid w:val="00F2417C"/>
    <w:rsid w:val="00F26677"/>
    <w:rsid w:val="00F27021"/>
    <w:rsid w:val="00F30F6E"/>
    <w:rsid w:val="00F33CF1"/>
    <w:rsid w:val="00F342B4"/>
    <w:rsid w:val="00F36CAF"/>
    <w:rsid w:val="00F413DE"/>
    <w:rsid w:val="00F44DBF"/>
    <w:rsid w:val="00F544D8"/>
    <w:rsid w:val="00F55232"/>
    <w:rsid w:val="00F557EA"/>
    <w:rsid w:val="00F56CCE"/>
    <w:rsid w:val="00F61D05"/>
    <w:rsid w:val="00F62FE9"/>
    <w:rsid w:val="00F66307"/>
    <w:rsid w:val="00F666D1"/>
    <w:rsid w:val="00F70B64"/>
    <w:rsid w:val="00F738B1"/>
    <w:rsid w:val="00F83376"/>
    <w:rsid w:val="00F85AD6"/>
    <w:rsid w:val="00F92A31"/>
    <w:rsid w:val="00F96D08"/>
    <w:rsid w:val="00FA0527"/>
    <w:rsid w:val="00FA1437"/>
    <w:rsid w:val="00FA5111"/>
    <w:rsid w:val="00FA767D"/>
    <w:rsid w:val="00FB0FC0"/>
    <w:rsid w:val="00FB3D71"/>
    <w:rsid w:val="00FC718E"/>
    <w:rsid w:val="00FD59DB"/>
    <w:rsid w:val="00FE0ACE"/>
    <w:rsid w:val="00FE45DD"/>
    <w:rsid w:val="00FE779C"/>
    <w:rsid w:val="00FF5548"/>
    <w:rsid w:val="00FF6B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2404BF"/>
  <w15:docId w15:val="{D5613CE1-3B8C-44E9-9D8D-1841F2517A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5E32"/>
    <w:pPr>
      <w:spacing w:after="120" w:line="360" w:lineRule="auto"/>
      <w:ind w:firstLine="720"/>
    </w:pPr>
    <w:rPr>
      <w:rFonts w:ascii="Times New Roman" w:hAnsi="Times New Roman"/>
      <w:bCs/>
      <w:sz w:val="24"/>
    </w:rPr>
  </w:style>
  <w:style w:type="paragraph" w:styleId="Heading1">
    <w:name w:val="heading 1"/>
    <w:basedOn w:val="Normal"/>
    <w:next w:val="Normal"/>
    <w:link w:val="Heading1Char"/>
    <w:uiPriority w:val="9"/>
    <w:qFormat/>
    <w:rsid w:val="00A34EDF"/>
    <w:pPr>
      <w:keepNext/>
      <w:keepLines/>
      <w:spacing w:before="240"/>
      <w:ind w:firstLine="0"/>
      <w:outlineLvl w:val="0"/>
    </w:pPr>
    <w:rPr>
      <w:rFonts w:eastAsiaTheme="majorEastAsia" w:cstheme="majorBidi"/>
      <w:b/>
      <w:szCs w:val="32"/>
    </w:rPr>
  </w:style>
  <w:style w:type="paragraph" w:styleId="Heading2">
    <w:name w:val="heading 2"/>
    <w:basedOn w:val="Normal"/>
    <w:next w:val="Normal"/>
    <w:link w:val="Heading2Char"/>
    <w:uiPriority w:val="9"/>
    <w:unhideWhenUsed/>
    <w:qFormat/>
    <w:rsid w:val="00CE5CF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CE5CFB"/>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A80032"/>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4EDF"/>
    <w:rPr>
      <w:rFonts w:ascii="Times New Roman" w:eastAsiaTheme="majorEastAsia" w:hAnsi="Times New Roman" w:cstheme="majorBidi"/>
      <w:b/>
      <w:bCs/>
      <w:sz w:val="24"/>
      <w:szCs w:val="32"/>
    </w:rPr>
  </w:style>
  <w:style w:type="paragraph" w:styleId="NoSpacing">
    <w:name w:val="No Spacing"/>
    <w:uiPriority w:val="1"/>
    <w:qFormat/>
    <w:rsid w:val="00A34EDF"/>
    <w:pPr>
      <w:spacing w:after="0" w:line="240" w:lineRule="auto"/>
    </w:pPr>
    <w:rPr>
      <w:rFonts w:ascii="Times New Roman" w:hAnsi="Times New Roman"/>
      <w:bCs/>
      <w:sz w:val="24"/>
    </w:rPr>
  </w:style>
  <w:style w:type="paragraph" w:styleId="ListParagraph">
    <w:name w:val="List Paragraph"/>
    <w:basedOn w:val="Normal"/>
    <w:uiPriority w:val="34"/>
    <w:qFormat/>
    <w:rsid w:val="00A34EDF"/>
    <w:pPr>
      <w:spacing w:after="200" w:line="276" w:lineRule="auto"/>
      <w:ind w:left="720" w:firstLine="0"/>
      <w:contextualSpacing/>
    </w:pPr>
    <w:rPr>
      <w:rFonts w:ascii="Cambria" w:eastAsia="SimSun" w:hAnsi="Cambria" w:cs="Times New Roman"/>
      <w:bCs w:val="0"/>
      <w:sz w:val="22"/>
      <w:lang w:bidi="en-US"/>
    </w:rPr>
  </w:style>
  <w:style w:type="character" w:styleId="CommentReference">
    <w:name w:val="annotation reference"/>
    <w:basedOn w:val="DefaultParagraphFont"/>
    <w:uiPriority w:val="99"/>
    <w:semiHidden/>
    <w:unhideWhenUsed/>
    <w:rsid w:val="00A34EDF"/>
    <w:rPr>
      <w:sz w:val="16"/>
      <w:szCs w:val="16"/>
    </w:rPr>
  </w:style>
  <w:style w:type="paragraph" w:styleId="CommentText">
    <w:name w:val="annotation text"/>
    <w:basedOn w:val="Normal"/>
    <w:link w:val="CommentTextChar"/>
    <w:uiPriority w:val="99"/>
    <w:unhideWhenUsed/>
    <w:rsid w:val="00A34EDF"/>
    <w:pPr>
      <w:spacing w:line="240" w:lineRule="auto"/>
    </w:pPr>
    <w:rPr>
      <w:sz w:val="20"/>
      <w:szCs w:val="20"/>
    </w:rPr>
  </w:style>
  <w:style w:type="character" w:customStyle="1" w:styleId="CommentTextChar">
    <w:name w:val="Comment Text Char"/>
    <w:basedOn w:val="DefaultParagraphFont"/>
    <w:link w:val="CommentText"/>
    <w:uiPriority w:val="99"/>
    <w:rsid w:val="00A34EDF"/>
    <w:rPr>
      <w:rFonts w:ascii="Times New Roman" w:hAnsi="Times New Roman"/>
      <w:bCs/>
      <w:sz w:val="20"/>
      <w:szCs w:val="20"/>
    </w:rPr>
  </w:style>
  <w:style w:type="character" w:customStyle="1" w:styleId="Heading2Char">
    <w:name w:val="Heading 2 Char"/>
    <w:basedOn w:val="DefaultParagraphFont"/>
    <w:link w:val="Heading2"/>
    <w:uiPriority w:val="9"/>
    <w:rsid w:val="00CE5CFB"/>
    <w:rPr>
      <w:rFonts w:asciiTheme="majorHAnsi" w:eastAsiaTheme="majorEastAsia" w:hAnsiTheme="majorHAnsi" w:cstheme="majorBidi"/>
      <w:bCs/>
      <w:color w:val="2F5496" w:themeColor="accent1" w:themeShade="BF"/>
      <w:sz w:val="26"/>
      <w:szCs w:val="26"/>
    </w:rPr>
  </w:style>
  <w:style w:type="character" w:customStyle="1" w:styleId="Heading3Char">
    <w:name w:val="Heading 3 Char"/>
    <w:basedOn w:val="DefaultParagraphFont"/>
    <w:link w:val="Heading3"/>
    <w:uiPriority w:val="9"/>
    <w:rsid w:val="00CE5CFB"/>
    <w:rPr>
      <w:rFonts w:asciiTheme="majorHAnsi" w:eastAsiaTheme="majorEastAsia" w:hAnsiTheme="majorHAnsi" w:cstheme="majorBidi"/>
      <w:bCs/>
      <w:color w:val="1F3763" w:themeColor="accent1" w:themeShade="7F"/>
      <w:sz w:val="24"/>
      <w:szCs w:val="24"/>
    </w:rPr>
  </w:style>
  <w:style w:type="table" w:styleId="TableGrid">
    <w:name w:val="Table Grid"/>
    <w:basedOn w:val="TableNormal"/>
    <w:uiPriority w:val="39"/>
    <w:rsid w:val="00CE5C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E5CFB"/>
    <w:rPr>
      <w:color w:val="0563C1" w:themeColor="hyperlink"/>
      <w:u w:val="single"/>
    </w:rPr>
  </w:style>
  <w:style w:type="paragraph" w:customStyle="1" w:styleId="BodyTextIndent1">
    <w:name w:val="Body Text Indent1"/>
    <w:basedOn w:val="Normal"/>
    <w:link w:val="BodytextindentChar"/>
    <w:autoRedefine/>
    <w:qFormat/>
    <w:rsid w:val="008467F7"/>
    <w:pPr>
      <w:overflowPunct w:val="0"/>
      <w:autoSpaceDE w:val="0"/>
      <w:autoSpaceDN w:val="0"/>
      <w:adjustRightInd w:val="0"/>
      <w:spacing w:after="0"/>
      <w:ind w:firstLine="0"/>
      <w:jc w:val="center"/>
    </w:pPr>
    <w:rPr>
      <w:rFonts w:eastAsia="Times New Roman" w:cs="Times New Roman"/>
      <w:noProof/>
      <w:szCs w:val="20"/>
    </w:rPr>
  </w:style>
  <w:style w:type="character" w:customStyle="1" w:styleId="BodytextindentChar">
    <w:name w:val="Body text indent Char"/>
    <w:link w:val="BodyTextIndent1"/>
    <w:rsid w:val="008467F7"/>
    <w:rPr>
      <w:rFonts w:ascii="Times New Roman" w:eastAsia="Times New Roman" w:hAnsi="Times New Roman" w:cs="Times New Roman"/>
      <w:bCs/>
      <w:noProof/>
      <w:sz w:val="24"/>
      <w:szCs w:val="20"/>
    </w:rPr>
  </w:style>
  <w:style w:type="character" w:customStyle="1" w:styleId="Heading4Char">
    <w:name w:val="Heading 4 Char"/>
    <w:basedOn w:val="DefaultParagraphFont"/>
    <w:link w:val="Heading4"/>
    <w:uiPriority w:val="9"/>
    <w:semiHidden/>
    <w:rsid w:val="00A80032"/>
    <w:rPr>
      <w:rFonts w:asciiTheme="majorHAnsi" w:eastAsiaTheme="majorEastAsia" w:hAnsiTheme="majorHAnsi" w:cstheme="majorBidi"/>
      <w:bCs/>
      <w:i/>
      <w:iCs/>
      <w:color w:val="2F5496" w:themeColor="accent1" w:themeShade="BF"/>
      <w:sz w:val="24"/>
    </w:rPr>
  </w:style>
  <w:style w:type="paragraph" w:styleId="Header">
    <w:name w:val="header"/>
    <w:basedOn w:val="Normal"/>
    <w:link w:val="HeaderChar"/>
    <w:uiPriority w:val="99"/>
    <w:unhideWhenUsed/>
    <w:rsid w:val="00A800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A80032"/>
    <w:rPr>
      <w:rFonts w:ascii="Times New Roman" w:hAnsi="Times New Roman"/>
      <w:bCs/>
      <w:sz w:val="24"/>
    </w:rPr>
  </w:style>
  <w:style w:type="paragraph" w:styleId="Footer">
    <w:name w:val="footer"/>
    <w:basedOn w:val="Normal"/>
    <w:link w:val="FooterChar"/>
    <w:uiPriority w:val="99"/>
    <w:unhideWhenUsed/>
    <w:rsid w:val="00A800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A80032"/>
    <w:rPr>
      <w:rFonts w:ascii="Times New Roman" w:hAnsi="Times New Roman"/>
      <w:bCs/>
      <w:sz w:val="24"/>
    </w:rPr>
  </w:style>
  <w:style w:type="paragraph" w:styleId="TOCHeading">
    <w:name w:val="TOC Heading"/>
    <w:basedOn w:val="Heading1"/>
    <w:next w:val="Normal"/>
    <w:uiPriority w:val="39"/>
    <w:unhideWhenUsed/>
    <w:qFormat/>
    <w:rsid w:val="00A80032"/>
    <w:pPr>
      <w:spacing w:line="259" w:lineRule="auto"/>
      <w:outlineLvl w:val="9"/>
    </w:pPr>
    <w:rPr>
      <w:bCs w:val="0"/>
    </w:rPr>
  </w:style>
  <w:style w:type="character" w:styleId="FollowedHyperlink">
    <w:name w:val="FollowedHyperlink"/>
    <w:basedOn w:val="DefaultParagraphFont"/>
    <w:uiPriority w:val="99"/>
    <w:semiHidden/>
    <w:unhideWhenUsed/>
    <w:rsid w:val="00A80032"/>
    <w:rPr>
      <w:color w:val="954F72" w:themeColor="followedHyperlink"/>
      <w:u w:val="single"/>
    </w:rPr>
  </w:style>
  <w:style w:type="paragraph" w:styleId="TOC1">
    <w:name w:val="toc 1"/>
    <w:basedOn w:val="Normal"/>
    <w:next w:val="Normal"/>
    <w:autoRedefine/>
    <w:uiPriority w:val="39"/>
    <w:unhideWhenUsed/>
    <w:rsid w:val="00A80032"/>
    <w:pPr>
      <w:tabs>
        <w:tab w:val="right" w:leader="dot" w:pos="9350"/>
      </w:tabs>
      <w:spacing w:after="0" w:line="240" w:lineRule="auto"/>
      <w:ind w:firstLine="0"/>
    </w:pPr>
  </w:style>
  <w:style w:type="paragraph" w:styleId="TOC2">
    <w:name w:val="toc 2"/>
    <w:basedOn w:val="Normal"/>
    <w:next w:val="Normal"/>
    <w:autoRedefine/>
    <w:uiPriority w:val="39"/>
    <w:unhideWhenUsed/>
    <w:rsid w:val="00A80032"/>
    <w:pPr>
      <w:spacing w:after="100"/>
      <w:ind w:left="240"/>
    </w:pPr>
  </w:style>
  <w:style w:type="character" w:customStyle="1" w:styleId="highlight">
    <w:name w:val="highlight"/>
    <w:basedOn w:val="DefaultParagraphFont"/>
    <w:rsid w:val="00A80032"/>
  </w:style>
  <w:style w:type="paragraph" w:styleId="BalloonText">
    <w:name w:val="Balloon Text"/>
    <w:basedOn w:val="Normal"/>
    <w:link w:val="BalloonTextChar"/>
    <w:uiPriority w:val="99"/>
    <w:semiHidden/>
    <w:unhideWhenUsed/>
    <w:rsid w:val="00A800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0032"/>
    <w:rPr>
      <w:rFonts w:ascii="Tahoma" w:hAnsi="Tahoma" w:cs="Tahoma"/>
      <w:bCs/>
      <w:sz w:val="16"/>
      <w:szCs w:val="16"/>
    </w:rPr>
  </w:style>
  <w:style w:type="character" w:customStyle="1" w:styleId="Normal1Char">
    <w:name w:val="Normal1 Char"/>
    <w:link w:val="Normal1"/>
    <w:locked/>
    <w:rsid w:val="00A80032"/>
    <w:rPr>
      <w:sz w:val="24"/>
    </w:rPr>
  </w:style>
  <w:style w:type="paragraph" w:customStyle="1" w:styleId="Normal1">
    <w:name w:val="Normal1"/>
    <w:basedOn w:val="Normal"/>
    <w:link w:val="Normal1Char"/>
    <w:rsid w:val="00A80032"/>
    <w:pPr>
      <w:widowControl w:val="0"/>
      <w:tabs>
        <w:tab w:val="left" w:pos="432"/>
      </w:tabs>
      <w:suppressAutoHyphens/>
      <w:snapToGrid w:val="0"/>
      <w:spacing w:after="240" w:line="240" w:lineRule="auto"/>
      <w:ind w:firstLine="450"/>
      <w:jc w:val="both"/>
    </w:pPr>
    <w:rPr>
      <w:rFonts w:asciiTheme="minorHAnsi" w:hAnsiTheme="minorHAnsi"/>
      <w:bCs w:val="0"/>
    </w:rPr>
  </w:style>
  <w:style w:type="paragraph" w:styleId="TOC3">
    <w:name w:val="toc 3"/>
    <w:basedOn w:val="Normal"/>
    <w:next w:val="Normal"/>
    <w:autoRedefine/>
    <w:uiPriority w:val="39"/>
    <w:unhideWhenUsed/>
    <w:rsid w:val="00A80032"/>
    <w:pPr>
      <w:spacing w:after="100"/>
      <w:ind w:left="480"/>
    </w:pPr>
  </w:style>
  <w:style w:type="paragraph" w:styleId="CommentSubject">
    <w:name w:val="annotation subject"/>
    <w:basedOn w:val="CommentText"/>
    <w:next w:val="CommentText"/>
    <w:link w:val="CommentSubjectChar"/>
    <w:uiPriority w:val="99"/>
    <w:semiHidden/>
    <w:unhideWhenUsed/>
    <w:rsid w:val="00A80032"/>
    <w:rPr>
      <w:b/>
    </w:rPr>
  </w:style>
  <w:style w:type="character" w:customStyle="1" w:styleId="CommentSubjectChar">
    <w:name w:val="Comment Subject Char"/>
    <w:basedOn w:val="CommentTextChar"/>
    <w:link w:val="CommentSubject"/>
    <w:uiPriority w:val="99"/>
    <w:semiHidden/>
    <w:rsid w:val="00A80032"/>
    <w:rPr>
      <w:rFonts w:ascii="Times New Roman" w:hAnsi="Times New Roman"/>
      <w:b/>
      <w:bCs/>
      <w:sz w:val="20"/>
      <w:szCs w:val="20"/>
    </w:rPr>
  </w:style>
  <w:style w:type="paragraph" w:customStyle="1" w:styleId="EndNoteBibliography">
    <w:name w:val="EndNote Bibliography"/>
    <w:basedOn w:val="Normal"/>
    <w:link w:val="EndNoteBibliographyChar"/>
    <w:rsid w:val="00F413DE"/>
    <w:pPr>
      <w:spacing w:after="160" w:line="240" w:lineRule="auto"/>
      <w:ind w:firstLine="0"/>
    </w:pPr>
    <w:rPr>
      <w:rFonts w:ascii="Calibri" w:hAnsi="Calibri" w:cs="Calibri"/>
      <w:bCs w:val="0"/>
      <w:noProof/>
      <w:sz w:val="22"/>
    </w:rPr>
  </w:style>
  <w:style w:type="character" w:customStyle="1" w:styleId="EndNoteBibliographyChar">
    <w:name w:val="EndNote Bibliography Char"/>
    <w:basedOn w:val="DefaultParagraphFont"/>
    <w:link w:val="EndNoteBibliography"/>
    <w:rsid w:val="00F413DE"/>
    <w:rPr>
      <w:rFonts w:ascii="Calibri" w:hAnsi="Calibri" w:cs="Calibri"/>
      <w:noProof/>
    </w:rPr>
  </w:style>
  <w:style w:type="character" w:customStyle="1" w:styleId="verborgen">
    <w:name w:val="verborgen"/>
    <w:rsid w:val="00AC7647"/>
    <w:rPr>
      <w:rFonts w:ascii="Times New Roman" w:hAnsi="Times New Roman" w:cs="Times New Roman" w:hint="default"/>
      <w:i/>
      <w:iCs w:val="0"/>
      <w:vanish/>
      <w:webHidden w:val="0"/>
      <w:color w:val="FF0000"/>
      <w:sz w:val="24"/>
      <w:specVanish/>
    </w:rPr>
  </w:style>
  <w:style w:type="character" w:customStyle="1" w:styleId="ref-title">
    <w:name w:val="ref-title"/>
    <w:basedOn w:val="DefaultParagraphFont"/>
    <w:rsid w:val="0061134E"/>
  </w:style>
  <w:style w:type="character" w:customStyle="1" w:styleId="ref-journal">
    <w:name w:val="ref-journal"/>
    <w:basedOn w:val="DefaultParagraphFont"/>
    <w:rsid w:val="0061134E"/>
  </w:style>
  <w:style w:type="paragraph" w:styleId="Revision">
    <w:name w:val="Revision"/>
    <w:hidden/>
    <w:uiPriority w:val="99"/>
    <w:semiHidden/>
    <w:rsid w:val="00F70B64"/>
    <w:pPr>
      <w:spacing w:after="0" w:line="240" w:lineRule="auto"/>
    </w:pPr>
    <w:rPr>
      <w:rFonts w:ascii="Times New Roman" w:hAnsi="Times New Roman"/>
      <w:bCs/>
      <w:sz w:val="24"/>
    </w:rPr>
  </w:style>
  <w:style w:type="character" w:styleId="UnresolvedMention">
    <w:name w:val="Unresolved Mention"/>
    <w:basedOn w:val="DefaultParagraphFont"/>
    <w:uiPriority w:val="99"/>
    <w:semiHidden/>
    <w:unhideWhenUsed/>
    <w:rsid w:val="003D43E0"/>
    <w:rPr>
      <w:color w:val="605E5C"/>
      <w:shd w:val="clear" w:color="auto" w:fill="E1DFDD"/>
    </w:rPr>
  </w:style>
  <w:style w:type="character" w:styleId="LineNumber">
    <w:name w:val="line number"/>
    <w:basedOn w:val="DefaultParagraphFont"/>
    <w:uiPriority w:val="99"/>
    <w:semiHidden/>
    <w:unhideWhenUsed/>
    <w:rsid w:val="00B904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2820961">
      <w:bodyDiv w:val="1"/>
      <w:marLeft w:val="0"/>
      <w:marRight w:val="0"/>
      <w:marTop w:val="0"/>
      <w:marBottom w:val="0"/>
      <w:divBdr>
        <w:top w:val="none" w:sz="0" w:space="0" w:color="auto"/>
        <w:left w:val="none" w:sz="0" w:space="0" w:color="auto"/>
        <w:bottom w:val="none" w:sz="0" w:space="0" w:color="auto"/>
        <w:right w:val="none" w:sz="0" w:space="0" w:color="auto"/>
      </w:divBdr>
    </w:div>
    <w:div w:id="817651306">
      <w:bodyDiv w:val="1"/>
      <w:marLeft w:val="0"/>
      <w:marRight w:val="0"/>
      <w:marTop w:val="0"/>
      <w:marBottom w:val="0"/>
      <w:divBdr>
        <w:top w:val="none" w:sz="0" w:space="0" w:color="auto"/>
        <w:left w:val="none" w:sz="0" w:space="0" w:color="auto"/>
        <w:bottom w:val="none" w:sz="0" w:space="0" w:color="auto"/>
        <w:right w:val="none" w:sz="0" w:space="0" w:color="auto"/>
      </w:divBdr>
    </w:div>
    <w:div w:id="1643465082">
      <w:bodyDiv w:val="1"/>
      <w:marLeft w:val="0"/>
      <w:marRight w:val="0"/>
      <w:marTop w:val="0"/>
      <w:marBottom w:val="0"/>
      <w:divBdr>
        <w:top w:val="none" w:sz="0" w:space="0" w:color="auto"/>
        <w:left w:val="none" w:sz="0" w:space="0" w:color="auto"/>
        <w:bottom w:val="none" w:sz="0" w:space="0" w:color="auto"/>
        <w:right w:val="none" w:sz="0" w:space="0" w:color="auto"/>
      </w:divBdr>
    </w:div>
    <w:div w:id="17793713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8.png"/><Relationship Id="rId26" Type="http://schemas.openxmlformats.org/officeDocument/2006/relationships/image" Target="media/image14.emf"/><Relationship Id="rId39" Type="http://schemas.openxmlformats.org/officeDocument/2006/relationships/image" Target="media/image22.png"/><Relationship Id="rId21" Type="http://schemas.openxmlformats.org/officeDocument/2006/relationships/image" Target="media/image10.emf"/><Relationship Id="rId34" Type="http://schemas.openxmlformats.org/officeDocument/2006/relationships/oleObject" Target="embeddings/oleObject7.bin"/><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oleObject" Target="embeddings/oleObject6.bin"/><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1.emf"/><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image" Target="media/image2.png"/><Relationship Id="rId19" Type="http://schemas.openxmlformats.org/officeDocument/2006/relationships/image" Target="media/image9.emf"/><Relationship Id="rId31" Type="http://schemas.openxmlformats.org/officeDocument/2006/relationships/image" Target="media/image17.png"/><Relationship Id="rId44" Type="http://schemas.openxmlformats.org/officeDocument/2006/relationships/image" Target="media/image27.png"/><Relationship Id="rId52" Type="http://schemas.openxmlformats.org/officeDocument/2006/relationships/hyperlink" Target="https://chem.nlm.nih.gov/chemidplus/"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oleObject" Target="embeddings/oleObject4.bin"/><Relationship Id="rId27" Type="http://schemas.openxmlformats.org/officeDocument/2006/relationships/oleObject" Target="embeddings/oleObject5.bin"/><Relationship Id="rId30" Type="http://schemas.openxmlformats.org/officeDocument/2006/relationships/image" Target="media/image16.png"/><Relationship Id="rId35" Type="http://schemas.openxmlformats.org/officeDocument/2006/relationships/image" Target="media/image20.emf"/><Relationship Id="rId43" Type="http://schemas.openxmlformats.org/officeDocument/2006/relationships/image" Target="media/image26.png"/><Relationship Id="rId48" Type="http://schemas.openxmlformats.org/officeDocument/2006/relationships/image" Target="media/image31.png"/><Relationship Id="rId8" Type="http://schemas.openxmlformats.org/officeDocument/2006/relationships/webSettings" Target="webSettings.xml"/><Relationship Id="rId51" Type="http://schemas.openxmlformats.org/officeDocument/2006/relationships/image" Target="media/image34.png"/><Relationship Id="rId3" Type="http://schemas.openxmlformats.org/officeDocument/2006/relationships/customXml" Target="../customXml/item3.xml"/><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9.emf"/><Relationship Id="rId38" Type="http://schemas.openxmlformats.org/officeDocument/2006/relationships/oleObject" Target="embeddings/oleObject9.bin"/><Relationship Id="rId46" Type="http://schemas.openxmlformats.org/officeDocument/2006/relationships/image" Target="media/image29.png"/><Relationship Id="rId20" Type="http://schemas.openxmlformats.org/officeDocument/2006/relationships/oleObject" Target="embeddings/oleObject3.bin"/><Relationship Id="rId41" Type="http://schemas.openxmlformats.org/officeDocument/2006/relationships/image" Target="media/image24.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2.bin"/><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oleObject" Target="embeddings/oleObject8.bin"/><Relationship Id="rId49"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B62908C59C47846A32D87CC5AE4D275" ma:contentTypeVersion="14" ma:contentTypeDescription="Create a new document." ma:contentTypeScope="" ma:versionID="52ad2f9b1b2a0c788ebce2b8e19118ba">
  <xsd:schema xmlns:xsd="http://www.w3.org/2001/XMLSchema" xmlns:xs="http://www.w3.org/2001/XMLSchema" xmlns:p="http://schemas.microsoft.com/office/2006/metadata/properties" xmlns:ns3="f84d51d5-33ed-4473-a02d-c5eed0f1922c" xmlns:ns4="73646927-1066-4e06-aa95-7499d7b8d0fe" targetNamespace="http://schemas.microsoft.com/office/2006/metadata/properties" ma:root="true" ma:fieldsID="010dfc9faecf884e73a45ceaf44092b1" ns3:_="" ns4:_="">
    <xsd:import namespace="f84d51d5-33ed-4473-a02d-c5eed0f1922c"/>
    <xsd:import namespace="73646927-1066-4e06-aa95-7499d7b8d0fe"/>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_activity"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4d51d5-33ed-4473-a02d-c5eed0f192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_activity" ma:index="19" nillable="true" ma:displayName="_activity" ma:hidden="true" ma:internalName="_activity">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3646927-1066-4e06-aa95-7499d7b8d0f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f84d51d5-33ed-4473-a02d-c5eed0f1922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8A89F2-5E74-4C7C-88B7-F7F90C5E2724}">
  <ds:schemaRefs>
    <ds:schemaRef ds:uri="http://schemas.microsoft.com/sharepoint/v3/contenttype/forms"/>
  </ds:schemaRefs>
</ds:datastoreItem>
</file>

<file path=customXml/itemProps2.xml><?xml version="1.0" encoding="utf-8"?>
<ds:datastoreItem xmlns:ds="http://schemas.openxmlformats.org/officeDocument/2006/customXml" ds:itemID="{17B26380-7970-4B5C-9A5A-C7D7DD3311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4d51d5-33ed-4473-a02d-c5eed0f1922c"/>
    <ds:schemaRef ds:uri="73646927-1066-4e06-aa95-7499d7b8d0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2BC40D6-93AD-412C-B8F5-2ADC7FBE3890}">
  <ds:schemaRefs>
    <ds:schemaRef ds:uri="http://schemas.microsoft.com/office/2006/metadata/properties"/>
    <ds:schemaRef ds:uri="http://schemas.microsoft.com/office/infopath/2007/PartnerControls"/>
    <ds:schemaRef ds:uri="f84d51d5-33ed-4473-a02d-c5eed0f1922c"/>
  </ds:schemaRefs>
</ds:datastoreItem>
</file>

<file path=customXml/itemProps4.xml><?xml version="1.0" encoding="utf-8"?>
<ds:datastoreItem xmlns:ds="http://schemas.openxmlformats.org/officeDocument/2006/customXml" ds:itemID="{A5594E3B-444C-46B2-B8C9-5C471BFA03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27</Pages>
  <Words>6604</Words>
  <Characters>37645</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Yax Thakkar</dc:creator>
  <cp:keywords/>
  <dc:description/>
  <cp:lastModifiedBy>Yax Thakkar</cp:lastModifiedBy>
  <cp:revision>5</cp:revision>
  <dcterms:created xsi:type="dcterms:W3CDTF">2024-04-01T02:04:00Z</dcterms:created>
  <dcterms:modified xsi:type="dcterms:W3CDTF">2024-04-01T02:13:00Z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0x0101009B62908C59C47846A32D87CC5AE4D275</vt:lpwstr>
  </property>
  <property fmtid="{D5CDD505-2E9C-101B-9397-08002B2CF9AE}" pid="3" name="_activity">
    <vt:lpwstr/>
  </property>
</Properties>
</file>